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BBC24" w14:textId="64C96E6F" w:rsidR="00D52159" w:rsidRDefault="004A7016">
      <w:pPr>
        <w:pStyle w:val="3GPPHeader"/>
        <w:spacing w:after="60"/>
        <w:rPr>
          <w:rFonts w:eastAsia="等线"/>
          <w:sz w:val="32"/>
          <w:szCs w:val="32"/>
        </w:rPr>
      </w:pPr>
      <w:r>
        <w:t>3GPP TSG-RAN WG1 Meeting #12</w:t>
      </w:r>
      <w:r w:rsidR="00F13E80">
        <w:t>3</w:t>
      </w:r>
      <w:r>
        <w:tab/>
      </w:r>
      <w:r>
        <w:rPr>
          <w:szCs w:val="24"/>
        </w:rPr>
        <w:t>R1-</w:t>
      </w:r>
      <w:r w:rsidR="00CD6A6A" w:rsidRPr="00CD6A6A">
        <w:t xml:space="preserve"> </w:t>
      </w:r>
      <w:r w:rsidR="001D1188">
        <w:t>2509051</w:t>
      </w:r>
    </w:p>
    <w:p w14:paraId="2E2D7796" w14:textId="46EC151C" w:rsidR="00D52159" w:rsidRDefault="00F13E80">
      <w:pPr>
        <w:pStyle w:val="3GPPHeader"/>
        <w:rPr>
          <w:rFonts w:eastAsia="Yu Mincho"/>
        </w:rPr>
      </w:pPr>
      <w:r w:rsidRPr="00F13E80">
        <w:rPr>
          <w:rFonts w:eastAsia="Yu Mincho"/>
        </w:rPr>
        <w:t>Dallas, USA, Nov 17th – 21st, 2025</w:t>
      </w:r>
    </w:p>
    <w:p w14:paraId="50846698" w14:textId="77777777" w:rsidR="00D52159" w:rsidRDefault="004A7016">
      <w:pPr>
        <w:pStyle w:val="3GPPHeader"/>
        <w:rPr>
          <w:sz w:val="22"/>
        </w:rPr>
      </w:pPr>
      <w:r>
        <w:rPr>
          <w:sz w:val="22"/>
        </w:rPr>
        <w:t>Agenda Item:</w:t>
      </w:r>
      <w:r>
        <w:rPr>
          <w:sz w:val="22"/>
        </w:rPr>
        <w:tab/>
        <w:t>10.1.1.2</w:t>
      </w:r>
    </w:p>
    <w:p w14:paraId="0260B5E1" w14:textId="0FB09B71" w:rsidR="00D52159" w:rsidRDefault="004A7016">
      <w:pPr>
        <w:pStyle w:val="3GPPHeader"/>
        <w:rPr>
          <w:sz w:val="22"/>
        </w:rPr>
      </w:pPr>
      <w:r>
        <w:rPr>
          <w:sz w:val="22"/>
        </w:rPr>
        <w:t>Source:</w:t>
      </w:r>
      <w:r>
        <w:rPr>
          <w:sz w:val="22"/>
        </w:rPr>
        <w:tab/>
        <w:t>Southeast University</w:t>
      </w:r>
    </w:p>
    <w:p w14:paraId="532E385A" w14:textId="5A6C220B" w:rsidR="00D52159" w:rsidRDefault="004A7016">
      <w:pPr>
        <w:pStyle w:val="3GPPHeader"/>
        <w:rPr>
          <w:sz w:val="22"/>
        </w:rPr>
      </w:pPr>
      <w:r>
        <w:rPr>
          <w:sz w:val="22"/>
        </w:rPr>
        <w:t>Title:</w:t>
      </w:r>
      <w:r>
        <w:rPr>
          <w:sz w:val="22"/>
        </w:rPr>
        <w:tab/>
      </w:r>
      <w:r w:rsidR="0026669A">
        <w:rPr>
          <w:rFonts w:eastAsia="等线" w:hint="eastAsia"/>
          <w:sz w:val="22"/>
        </w:rPr>
        <w:t>View</w:t>
      </w:r>
      <w:r w:rsidR="0026669A" w:rsidRPr="007F23D1">
        <w:rPr>
          <w:rFonts w:hint="eastAsia"/>
          <w:sz w:val="22"/>
        </w:rPr>
        <w:t>s</w:t>
      </w:r>
      <w:r w:rsidR="001773DF" w:rsidRPr="007F23D1">
        <w:rPr>
          <w:rFonts w:hint="eastAsia"/>
          <w:sz w:val="22"/>
        </w:rPr>
        <w:t xml:space="preserve"> o</w:t>
      </w:r>
      <w:r w:rsidRPr="007F23D1">
        <w:rPr>
          <w:sz w:val="22"/>
        </w:rPr>
        <w:t xml:space="preserve">n </w:t>
      </w:r>
      <w:r w:rsidR="001773DF" w:rsidRPr="007F23D1">
        <w:rPr>
          <w:rFonts w:hint="eastAsia"/>
          <w:sz w:val="22"/>
        </w:rPr>
        <w:t xml:space="preserve">the </w:t>
      </w:r>
      <w:r w:rsidR="001773DF" w:rsidRPr="007F23D1">
        <w:rPr>
          <w:sz w:val="22"/>
        </w:rPr>
        <w:t>lifecycle management</w:t>
      </w:r>
      <w:r w:rsidRPr="007F23D1">
        <w:rPr>
          <w:sz w:val="22"/>
        </w:rPr>
        <w:t xml:space="preserve"> for AI/ML-based CSI Compression</w:t>
      </w:r>
    </w:p>
    <w:p w14:paraId="2F34B6B5" w14:textId="77777777" w:rsidR="00D52159" w:rsidRDefault="004A7016">
      <w:pPr>
        <w:pStyle w:val="3GPPHeader"/>
        <w:rPr>
          <w:sz w:val="22"/>
        </w:rPr>
      </w:pPr>
      <w:r>
        <w:rPr>
          <w:sz w:val="22"/>
        </w:rPr>
        <w:t>Document for:</w:t>
      </w:r>
      <w:r>
        <w:rPr>
          <w:sz w:val="22"/>
        </w:rPr>
        <w:tab/>
        <w:t>Discussion</w:t>
      </w:r>
    </w:p>
    <w:p w14:paraId="27B149D2" w14:textId="77777777" w:rsidR="00D52159" w:rsidRDefault="004A7016">
      <w:pPr>
        <w:pStyle w:val="1"/>
      </w:pPr>
      <w:r>
        <w:t>1</w:t>
      </w:r>
      <w:r>
        <w:tab/>
        <w:t>Introduction</w:t>
      </w:r>
    </w:p>
    <w:p w14:paraId="5769CECF" w14:textId="466BC277" w:rsidR="00D52159" w:rsidRDefault="004A7016">
      <w:pPr>
        <w:pStyle w:val="a6"/>
      </w:pPr>
      <w:r>
        <w:t xml:space="preserve">The WID for NR Artificial Intelligence (AI)/Machine Learning (ML) for NR air interface enhancements </w:t>
      </w:r>
      <w:r>
        <w:fldChar w:fldCharType="begin"/>
      </w:r>
      <w:r>
        <w:instrText xml:space="preserve"> REF _Ref174151459 \r \h </w:instrText>
      </w:r>
      <w:r>
        <w:fldChar w:fldCharType="separate"/>
      </w:r>
      <w:r w:rsidR="002268A9">
        <w:t>[1]</w:t>
      </w:r>
      <w:r>
        <w:fldChar w:fldCharType="end"/>
      </w:r>
      <w:r>
        <w:t xml:space="preserve"> was approved in RAN#108. The scope of RAN1 work of CSI feedback enhancement for CSI spatial/frequency compression without temporal aspects (“Case 0”) contains the following:</w:t>
      </w:r>
    </w:p>
    <w:p w14:paraId="112FCD05" w14:textId="77777777" w:rsidR="00D52159" w:rsidRDefault="004A7016">
      <w:pPr>
        <w:pStyle w:val="a6"/>
      </w:pPr>
      <w:r>
        <w:rPr>
          <w:rFonts w:asciiTheme="minorBidi" w:hAnsiTheme="minorBidi"/>
          <w:noProof/>
        </w:rPr>
        <mc:AlternateContent>
          <mc:Choice Requires="wps">
            <w:drawing>
              <wp:inline distT="0" distB="0" distL="0" distR="0" wp14:anchorId="1F9A7D1B" wp14:editId="04BE4297">
                <wp:extent cx="6090285" cy="207391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ln>
                      </wps:spPr>
                      <wps:txbx>
                        <w:txbxContent>
                          <w:p w14:paraId="662BF596" w14:textId="77777777" w:rsidR="00D52159" w:rsidRDefault="004A7016">
                            <w:pPr>
                              <w:rPr>
                                <w:szCs w:val="20"/>
                              </w:rPr>
                            </w:pPr>
                            <w:r>
                              <w:rPr>
                                <w:b/>
                                <w:color w:val="0000FF"/>
                                <w:szCs w:val="20"/>
                              </w:rPr>
                              <w:t>CSI feedback enhancement</w:t>
                            </w:r>
                            <w:r>
                              <w:rPr>
                                <w:szCs w:val="20"/>
                              </w:rPr>
                              <w:t>, encompassing (two-sided model) [RAN1, RAN2]:</w:t>
                            </w:r>
                          </w:p>
                          <w:p w14:paraId="3F796B4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CSI spatial/frequency compression without temporal aspects (“Case 0”), </w:t>
                            </w:r>
                          </w:p>
                          <w:p w14:paraId="3015A9A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Specify necessary signalling/mechanism(s) as per the identified potential specification impacts in FS_NR_AIML_Air , including:</w:t>
                            </w:r>
                          </w:p>
                          <w:p w14:paraId="4A1A7F93"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759D19AB"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6EEAB36"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2D2AF449"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Target CSI format</w:t>
                            </w:r>
                          </w:p>
                          <w:p w14:paraId="63EA5ACD"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30AA52D9"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113929A6" w14:textId="77777777" w:rsidR="00D52159" w:rsidRDefault="00D52159">
                            <w:pPr>
                              <w:pStyle w:val="a6"/>
                            </w:pPr>
                          </w:p>
                        </w:txbxContent>
                      </wps:txbx>
                      <wps:bodyPr rot="0" vert="horz" wrap="square" lIns="91440" tIns="45720" rIns="91440" bIns="45720" anchor="t" anchorCtr="0">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1F9A7D1B" id="_x0000_t202" coordsize="21600,21600" o:spt="202" path="m,l,21600r21600,l21600,xe">
                <v:stroke joinstyle="miter"/>
                <v:path gradientshapeok="t" o:connecttype="rect"/>
              </v:shapetype>
              <v:shape id="Text Box 4" o:spid="_x0000_s1026" type="#_x0000_t202" style="width:479.55pt;height:1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">
                <v:textbox>
                  <w:txbxContent>
                    <w:p w14:paraId="662BF596" w14:textId="77777777" w:rsidR="00D52159" w:rsidRDefault="004A7016">
                      <w:pPr>
                        <w:rPr>
                          <w:szCs w:val="20"/>
                        </w:rPr>
                      </w:pPr>
                      <w:r>
                        <w:rPr>
                          <w:b/>
                          <w:color w:val="0000FF"/>
                          <w:szCs w:val="20"/>
                        </w:rPr>
                        <w:t>CSI feedback enhancement</w:t>
                      </w:r>
                      <w:r>
                        <w:rPr>
                          <w:szCs w:val="20"/>
                        </w:rPr>
                        <w:t>, encompassing (two-sided model) [RAN1, RAN2]:</w:t>
                      </w:r>
                    </w:p>
                    <w:p w14:paraId="3F796B4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CSI spatial/frequency compression without temporal aspects (“Case 0”), </w:t>
                      </w:r>
                    </w:p>
                    <w:p w14:paraId="3015A9A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Specify necessary </w:t>
                      </w:r>
                      <w:proofErr w:type="spellStart"/>
                      <w:r>
                        <w:rPr>
                          <w:sz w:val="20"/>
                          <w:szCs w:val="20"/>
                          <w:lang w:val="en-US"/>
                        </w:rPr>
                        <w:t>signalling</w:t>
                      </w:r>
                      <w:proofErr w:type="spellEnd"/>
                      <w:r>
                        <w:rPr>
                          <w:sz w:val="20"/>
                          <w:szCs w:val="20"/>
                          <w:lang w:val="en-US"/>
                        </w:rPr>
                        <w:t xml:space="preserve">/mechanism(s) as per the identified potential specification impacts in </w:t>
                      </w:r>
                      <w:proofErr w:type="spellStart"/>
                      <w:r>
                        <w:rPr>
                          <w:sz w:val="20"/>
                          <w:szCs w:val="20"/>
                          <w:lang w:val="en-US"/>
                        </w:rPr>
                        <w:t>FS_NR_AIML_</w:t>
                      </w:r>
                      <w:proofErr w:type="gramStart"/>
                      <w:r>
                        <w:rPr>
                          <w:sz w:val="20"/>
                          <w:szCs w:val="20"/>
                          <w:lang w:val="en-US"/>
                        </w:rPr>
                        <w:t>Air</w:t>
                      </w:r>
                      <w:proofErr w:type="spellEnd"/>
                      <w:r>
                        <w:rPr>
                          <w:sz w:val="20"/>
                          <w:szCs w:val="20"/>
                          <w:lang w:val="en-US"/>
                        </w:rPr>
                        <w:t xml:space="preserve"> ,</w:t>
                      </w:r>
                      <w:proofErr w:type="gramEnd"/>
                      <w:r>
                        <w:rPr>
                          <w:sz w:val="20"/>
                          <w:szCs w:val="20"/>
                          <w:lang w:val="en-US"/>
                        </w:rPr>
                        <w:t xml:space="preserve"> including:</w:t>
                      </w:r>
                    </w:p>
                    <w:p w14:paraId="4A1A7F93"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759D19AB"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6EEAB36"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2D2AF449"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Target CSI format</w:t>
                      </w:r>
                    </w:p>
                    <w:p w14:paraId="63EA5ACD"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30AA52D9"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113929A6" w14:textId="77777777" w:rsidR="00D52159" w:rsidRDefault="00D52159">
                      <w:pPr>
                        <w:pStyle w:val="a6"/>
                      </w:pPr>
                    </w:p>
                  </w:txbxContent>
                </v:textbox>
                <w10:anchorlock/>
              </v:shape>
            </w:pict>
          </mc:Fallback>
        </mc:AlternateContent>
      </w:r>
    </w:p>
    <w:p w14:paraId="71D8E8EB" w14:textId="77777777" w:rsidR="00D52159" w:rsidRDefault="004A7016">
      <w:pPr>
        <w:pStyle w:val="a6"/>
      </w:pPr>
      <w:r>
        <w:t xml:space="preserve">In this contribution, we provide our views and proposals on aspects of data collection, monitoring, and model pairing for CSI compression. </w:t>
      </w:r>
    </w:p>
    <w:p w14:paraId="296C70BD" w14:textId="77777777" w:rsidR="00D52159" w:rsidRDefault="004A7016">
      <w:pPr>
        <w:pStyle w:val="1"/>
      </w:pPr>
      <w:bookmarkStart w:id="0" w:name="_Ref178064866"/>
      <w:r>
        <w:t>2</w:t>
      </w:r>
      <w:r>
        <w:tab/>
        <w:t>Discussion</w:t>
      </w:r>
      <w:bookmarkEnd w:id="0"/>
    </w:p>
    <w:p w14:paraId="402DD5C2" w14:textId="77777777" w:rsidR="00D52159" w:rsidRDefault="004A7016">
      <w:pPr>
        <w:pStyle w:val="21"/>
      </w:pPr>
      <w:r>
        <w:t>2.1 Data Collection</w:t>
      </w:r>
    </w:p>
    <w:p w14:paraId="396E37D0" w14:textId="77777777" w:rsidR="00D52159" w:rsidRDefault="004A7016">
      <w:pPr>
        <w:spacing w:before="100" w:beforeAutospacing="1" w:after="100" w:afterAutospacing="1"/>
        <w:rPr>
          <w:rFonts w:eastAsia="宋体" w:cs="Times New Roman"/>
          <w:sz w:val="28"/>
          <w:szCs w:val="20"/>
          <w:lang w:val="en-GB" w:eastAsia="ja-JP"/>
        </w:rPr>
      </w:pPr>
      <w:r>
        <w:rPr>
          <w:rFonts w:eastAsia="宋体" w:cs="Times New Roman"/>
          <w:sz w:val="28"/>
          <w:szCs w:val="20"/>
          <w:lang w:val="en-GB" w:eastAsia="ja-JP"/>
        </w:rPr>
        <w:t>2.1.1 Discussion on Reducing Data Collection Signalling Overhead</w:t>
      </w:r>
    </w:p>
    <w:p w14:paraId="545FF337" w14:textId="785B68E7" w:rsidR="00D52159" w:rsidRDefault="004A7016">
      <w:pPr>
        <w:rPr>
          <w:lang w:val="en-GB" w:eastAsia="ja-JP"/>
        </w:rPr>
      </w:pPr>
      <w:r>
        <w:rPr>
          <w:lang w:val="en-GB"/>
        </w:rPr>
        <w:t>About</w:t>
      </w:r>
      <w:r>
        <w:rPr>
          <w:lang w:val="en-GB" w:eastAsia="ja-JP"/>
        </w:rPr>
        <w:t xml:space="preserve"> NW side data collection for CSI compression, spec impacts are studied and identified in the Rel-19 study phase </w:t>
      </w:r>
      <w:r>
        <w:rPr>
          <w:lang w:val="en-GB" w:eastAsia="ja-JP"/>
        </w:rPr>
        <w:fldChar w:fldCharType="begin"/>
      </w:r>
      <w:r>
        <w:rPr>
          <w:lang w:val="en-GB" w:eastAsia="ja-JP"/>
        </w:rPr>
        <w:instrText xml:space="preserve"> REF _Ref203656136 \r \h </w:instrText>
      </w:r>
      <w:r>
        <w:rPr>
          <w:lang w:val="en-GB" w:eastAsia="ja-JP"/>
        </w:rPr>
      </w:r>
      <w:r>
        <w:rPr>
          <w:lang w:val="en-GB" w:eastAsia="ja-JP"/>
        </w:rPr>
        <w:fldChar w:fldCharType="separate"/>
      </w:r>
      <w:r w:rsidR="002268A9">
        <w:rPr>
          <w:lang w:val="en-GB" w:eastAsia="ja-JP"/>
        </w:rPr>
        <w:t>[2]</w:t>
      </w:r>
      <w:r>
        <w:rPr>
          <w:lang w:val="en-GB" w:eastAsia="ja-JP"/>
        </w:rPr>
        <w:fldChar w:fldCharType="end"/>
      </w:r>
      <w:r>
        <w:rPr>
          <w:lang w:val="en-GB" w:eastAsia="ja-JP"/>
        </w:rPr>
        <w:t xml:space="preserve">. </w:t>
      </w:r>
      <w:r>
        <w:t xml:space="preserve">In RAN1#122bis, the following agreements on NW side data collection are further achieved </w:t>
      </w:r>
      <w:r>
        <w:rPr>
          <w:lang w:val="en-GB" w:eastAsia="ja-JP"/>
        </w:rPr>
        <w:fldChar w:fldCharType="begin"/>
      </w:r>
      <w:r>
        <w:instrText xml:space="preserve"> REF _Ref213239466 \r \h </w:instrText>
      </w:r>
      <w:r>
        <w:rPr>
          <w:lang w:val="en-GB" w:eastAsia="ja-JP"/>
        </w:rPr>
      </w:r>
      <w:r>
        <w:rPr>
          <w:lang w:val="en-GB" w:eastAsia="ja-JP"/>
        </w:rPr>
        <w:fldChar w:fldCharType="separate"/>
      </w:r>
      <w:r w:rsidR="002268A9">
        <w:t>[3]</w:t>
      </w:r>
      <w:r>
        <w:rPr>
          <w:lang w:val="en-GB" w:eastAsia="ja-JP"/>
        </w:rPr>
        <w:fldChar w:fldCharType="end"/>
      </w:r>
      <w:r>
        <w:rPr>
          <w:lang w:val="en-GB" w:eastAsia="ja-JP"/>
        </w:rPr>
        <w:t xml:space="preserve"> as follows:</w:t>
      </w:r>
    </w:p>
    <w:tbl>
      <w:tblPr>
        <w:tblStyle w:val="afe"/>
        <w:tblW w:w="0" w:type="auto"/>
        <w:tblLook w:val="04A0" w:firstRow="1" w:lastRow="0" w:firstColumn="1" w:lastColumn="0" w:noHBand="0" w:noVBand="1"/>
      </w:tblPr>
      <w:tblGrid>
        <w:gridCol w:w="9629"/>
      </w:tblGrid>
      <w:tr w:rsidR="00D52159" w14:paraId="5F57C949" w14:textId="77777777">
        <w:tc>
          <w:tcPr>
            <w:tcW w:w="9629" w:type="dxa"/>
          </w:tcPr>
          <w:p w14:paraId="000257DB" w14:textId="77777777" w:rsidR="00D52159" w:rsidRDefault="004A7016">
            <w:pPr>
              <w:suppressAutoHyphens/>
              <w:snapToGrid w:val="0"/>
              <w:spacing w:after="120" w:line="259" w:lineRule="auto"/>
              <w:jc w:val="both"/>
              <w:rPr>
                <w:rFonts w:ascii="Times New Roman" w:eastAsia="宋体" w:hAnsi="Times New Roman" w:cs="Times New Roman"/>
                <w:sz w:val="20"/>
                <w:szCs w:val="20"/>
              </w:rPr>
            </w:pPr>
            <w:r>
              <w:rPr>
                <w:rFonts w:ascii="Times New Roman" w:eastAsia="宋体" w:hAnsi="Times New Roman" w:cs="Times New Roman"/>
                <w:sz w:val="20"/>
                <w:szCs w:val="20"/>
                <w:highlight w:val="green"/>
              </w:rPr>
              <w:t>Agreement:</w:t>
            </w:r>
          </w:p>
          <w:p w14:paraId="74F11BFC" w14:textId="77777777" w:rsidR="00D52159" w:rsidRDefault="004A7016">
            <w:pPr>
              <w:suppressAutoHyphens/>
              <w:snapToGrid w:val="0"/>
              <w:spacing w:after="120" w:line="259"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NW side data collection, study the solution for quantizing Target CSI, from the aspects of overhead, quantization loss/performance, and complexity. E.g.,:</w:t>
            </w:r>
          </w:p>
          <w:p w14:paraId="60CB91ED"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Option 0: Reusing legacy e-Type II codebook</w:t>
            </w:r>
          </w:p>
          <w:p w14:paraId="7CAA10C7"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Option 1: </w:t>
            </w: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 xml:space="preserve">calar quantization to the Target CSI. FFS number of bits for real/imaginary, whether coefficients for quantization are obtained from transformation of Target CSI. </w:t>
            </w:r>
          </w:p>
          <w:p w14:paraId="2352A0C6"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33EE96C9"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Option 3: Enhanced method for improved overhead saving, e.g., reporting the dominant eigenvalues/eigenvectors of per layer precoding matrix.</w:t>
            </w:r>
          </w:p>
          <w:p w14:paraId="631B621A"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O</w:t>
            </w:r>
            <w:r>
              <w:rPr>
                <w:rFonts w:ascii="Times New Roman" w:eastAsia="宋体" w:hAnsi="Times New Roman" w:cs="Times New Roman"/>
                <w:sz w:val="20"/>
                <w:szCs w:val="20"/>
                <w:lang w:eastAsia="zh-CN"/>
              </w:rPr>
              <w:t xml:space="preserve">ption 4: eType II like codebook with new parameter values (e.g. larger </w:t>
            </w:r>
            <w:r>
              <w:rPr>
                <w:rFonts w:ascii="Times New Roman" w:eastAsia="宋体" w:hAnsi="Times New Roman" w:cs="Times New Roman"/>
                <w:i/>
                <w:sz w:val="20"/>
                <w:szCs w:val="20"/>
                <w:lang w:eastAsia="zh-CN"/>
              </w:rPr>
              <w:t>L,</w:t>
            </w:r>
            <w:r>
              <w:rPr>
                <w:rFonts w:ascii="Times New Roman" w:eastAsia="宋体" w:hAnsi="Times New Roman" w:cs="Times New Roman"/>
                <w:sz w:val="20"/>
                <w:szCs w:val="20"/>
                <w:lang w:eastAsia="zh-CN"/>
              </w:rPr>
              <w:t xml:space="preserve"> </w:t>
            </w:r>
            <w:r>
              <w:rPr>
                <w:rFonts w:ascii="Times New Roman" w:eastAsia="宋体" w:hAnsi="Times New Roman" w:cs="Times New Roman"/>
                <w:i/>
                <w:sz w:val="20"/>
                <w:szCs w:val="20"/>
                <w:lang w:eastAsia="zh-CN"/>
              </w:rPr>
              <w:t>p</w:t>
            </w:r>
            <w:r>
              <w:rPr>
                <w:rFonts w:ascii="Times New Roman" w:eastAsia="宋体" w:hAnsi="Times New Roman" w:cs="Times New Roman"/>
                <w:i/>
                <w:sz w:val="20"/>
                <w:szCs w:val="20"/>
                <w:vertAlign w:val="subscript"/>
                <w:lang w:eastAsia="zh-CN"/>
              </w:rPr>
              <w:t>v</w:t>
            </w:r>
            <w:r>
              <w:rPr>
                <w:rFonts w:ascii="Times New Roman" w:eastAsia="宋体" w:hAnsi="Times New Roman" w:cs="Times New Roman"/>
                <w:sz w:val="20"/>
                <w:szCs w:val="20"/>
                <w:lang w:eastAsia="zh-CN"/>
              </w:rPr>
              <w:t>,</w:t>
            </w:r>
            <w:r>
              <w:rPr>
                <w:rFonts w:ascii="Times New Roman" w:eastAsia="Times New Roman" w:hAnsi="Times New Roman" w:cs="Times New Roman"/>
                <w:i/>
                <w:sz w:val="20"/>
                <w:szCs w:val="20"/>
                <w:lang w:eastAsia="zh-CN"/>
              </w:rPr>
              <w:t xml:space="preserve"> </w:t>
            </w:r>
            <w:r>
              <w:rPr>
                <w:rFonts w:ascii="Times New Roman" w:eastAsia="宋体" w:hAnsi="Times New Roman" w:cs="Times New Roman"/>
                <w:i/>
                <w:sz w:val="20"/>
                <w:szCs w:val="20"/>
                <w:lang w:eastAsia="zh-CN"/>
              </w:rPr>
              <w:t>beta, amplitude, phase</w:t>
            </w:r>
            <w:r>
              <w:rPr>
                <w:rFonts w:ascii="Times New Roman" w:eastAsia="宋体" w:hAnsi="Times New Roman" w:cs="Times New Roman"/>
                <w:sz w:val="20"/>
                <w:szCs w:val="20"/>
                <w:lang w:eastAsia="zh-CN"/>
              </w:rPr>
              <w:t xml:space="preserve">) </w:t>
            </w:r>
          </w:p>
          <w:p w14:paraId="2C8F6B6B"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w:t>
            </w:r>
            <w:r>
              <w:rPr>
                <w:rFonts w:ascii="Times New Roman" w:eastAsia="宋体" w:hAnsi="Times New Roman" w:cs="Times New Roman"/>
                <w:sz w:val="20"/>
                <w:szCs w:val="20"/>
                <w:lang w:eastAsia="zh-CN"/>
              </w:rPr>
              <w:t>ote: the quantization format should consider the maximum payload size per reporting (e.g., 9KBytes) of the current higher layer signaling.</w:t>
            </w:r>
          </w:p>
          <w:p w14:paraId="1518B7E6"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Note: At least take precoding matrix as Target CSI type. FFS channel matrix.</w:t>
            </w:r>
          </w:p>
          <w:p w14:paraId="7053A5BA" w14:textId="77777777" w:rsidR="00D52159" w:rsidRDefault="004A7016">
            <w:pPr>
              <w:numPr>
                <w:ilvl w:val="0"/>
                <w:numId w:val="18"/>
              </w:numPr>
              <w:suppressAutoHyphens/>
              <w:overflowPunct w:val="0"/>
              <w:autoSpaceDE w:val="0"/>
              <w:autoSpaceDN w:val="0"/>
              <w:adjustRightInd w:val="0"/>
              <w:snapToGrid w:val="0"/>
              <w:spacing w:after="180" w:line="259" w:lineRule="auto"/>
              <w:contextualSpacing/>
              <w:jc w:val="both"/>
              <w:textAlignment w:val="baseline"/>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FFS: </w:t>
            </w:r>
            <w:r>
              <w:rPr>
                <w:rFonts w:ascii="Times New Roman" w:eastAsia="宋体" w:hAnsi="Times New Roman" w:cs="Times New Roman" w:hint="eastAsia"/>
                <w:sz w:val="20"/>
                <w:szCs w:val="20"/>
                <w:lang w:eastAsia="zh-CN"/>
              </w:rPr>
              <w:t>E</w:t>
            </w:r>
            <w:r>
              <w:rPr>
                <w:rFonts w:ascii="Times New Roman" w:eastAsia="宋体" w:hAnsi="Times New Roman" w:cs="Times New Roman"/>
                <w:sz w:val="20"/>
                <w:szCs w:val="20"/>
                <w:lang w:eastAsia="zh-CN"/>
              </w:rPr>
              <w:t>VM, metric, benchmark (e.g., FP32, eT2 with PC6/8), by reusing R18 study EVM as baseline.</w:t>
            </w:r>
          </w:p>
          <w:p w14:paraId="5409D318" w14:textId="77777777" w:rsidR="00D52159" w:rsidRDefault="004A7016">
            <w:pPr>
              <w:suppressAutoHyphens/>
              <w:snapToGrid w:val="0"/>
              <w:spacing w:after="120" w:line="259"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highlight w:val="green"/>
                <w:lang w:eastAsia="zh-CN"/>
              </w:rPr>
              <w:t>Agreement:</w:t>
            </w:r>
          </w:p>
          <w:p w14:paraId="17F429BF" w14:textId="77777777" w:rsidR="00D52159" w:rsidRDefault="004A7016">
            <w:pPr>
              <w:tabs>
                <w:tab w:val="left" w:pos="576"/>
              </w:tabs>
              <w:suppressAutoHyphens/>
              <w:overflowPunct w:val="0"/>
              <w:snapToGrid w:val="0"/>
              <w:spacing w:after="120" w:line="259" w:lineRule="auto"/>
              <w:jc w:val="both"/>
              <w:textAlignment w:val="baseline"/>
              <w:rPr>
                <w:rFonts w:ascii="Times New Roman" w:eastAsia="宋体" w:hAnsi="Times New Roman" w:cs="Times New Roman"/>
                <w:i/>
                <w:sz w:val="20"/>
                <w:szCs w:val="20"/>
                <w:lang w:eastAsia="zh-CN"/>
              </w:rPr>
            </w:pPr>
            <w:r>
              <w:rPr>
                <w:rFonts w:ascii="Times New Roman" w:eastAsia="宋体" w:hAnsi="Times New Roman" w:cs="Times New Roman"/>
                <w:sz w:val="20"/>
                <w:szCs w:val="20"/>
                <w:lang w:eastAsia="zh-CN"/>
              </w:rPr>
              <w:t>For NW side data collection with higher layer reporting, for further study of Option 1 (scalar quantization), consider the following definition for evaluation:</w:t>
            </w:r>
          </w:p>
          <w:p w14:paraId="0CF238B1"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b/>
                <w:sz w:val="20"/>
                <w:szCs w:val="20"/>
                <w:lang w:eastAsia="zh-CN"/>
              </w:rPr>
              <w:t>Content</w:t>
            </w:r>
            <w:r>
              <w:rPr>
                <w:rFonts w:ascii="Times New Roman" w:eastAsia="宋体" w:hAnsi="Times New Roman" w:cs="Times New Roman"/>
                <w:sz w:val="20"/>
                <w:szCs w:val="20"/>
                <w:lang w:eastAsia="zh-CN"/>
              </w:rPr>
              <w:t>: for a number of S=1 (as baseline) Target CSI samples each with the dimensions of 2N</w:t>
            </w:r>
            <w:r>
              <w:rPr>
                <w:rFonts w:ascii="Times New Roman" w:eastAsia="宋体" w:hAnsi="Times New Roman" w:cs="Times New Roman"/>
                <w:sz w:val="20"/>
                <w:szCs w:val="20"/>
                <w:vertAlign w:val="subscript"/>
                <w:lang w:eastAsia="zh-CN"/>
              </w:rPr>
              <w:t>1</w:t>
            </w:r>
            <w:r>
              <w:rPr>
                <w:rFonts w:ascii="Times New Roman" w:eastAsia="宋体" w:hAnsi="Times New Roman" w:cs="Times New Roman"/>
                <w:sz w:val="20"/>
                <w:szCs w:val="20"/>
                <w:lang w:eastAsia="zh-CN"/>
              </w:rPr>
              <w:t>N</w:t>
            </w:r>
            <w:r>
              <w:rPr>
                <w:rFonts w:ascii="Times New Roman" w:eastAsia="宋体" w:hAnsi="Times New Roman" w:cs="Times New Roman"/>
                <w:sz w:val="20"/>
                <w:szCs w:val="20"/>
                <w:vertAlign w:val="subscript"/>
                <w:lang w:eastAsia="zh-CN"/>
              </w:rPr>
              <w:t>2</w:t>
            </w:r>
            <w:r>
              <w:rPr>
                <w:rFonts w:ascii="Times New Roman" w:eastAsia="宋体" w:hAnsi="Times New Roman" w:cs="Times New Roman"/>
                <w:sz w:val="20"/>
                <w:szCs w:val="20"/>
                <w:lang w:eastAsia="zh-CN"/>
              </w:rPr>
              <w:t xml:space="preserve"> ports, </w:t>
            </w:r>
            <w:r>
              <w:rPr>
                <w:rFonts w:ascii="Times New Roman" w:eastAsia="宋体" w:hAnsi="Times New Roman" w:cs="Times New Roman" w:hint="eastAsia"/>
                <w:sz w:val="20"/>
                <w:szCs w:val="20"/>
                <w:lang w:eastAsia="zh-CN"/>
              </w:rPr>
              <w:t>N</w:t>
            </w:r>
            <w:r>
              <w:rPr>
                <w:rFonts w:ascii="Times New Roman" w:eastAsia="宋体" w:hAnsi="Times New Roman" w:cs="Times New Roman" w:hint="eastAsia"/>
                <w:sz w:val="20"/>
                <w:szCs w:val="20"/>
                <w:vertAlign w:val="subscript"/>
                <w:lang w:eastAsia="zh-CN"/>
              </w:rPr>
              <w:t>3</w:t>
            </w:r>
            <w:r>
              <w:rPr>
                <w:rFonts w:ascii="Times New Roman" w:eastAsia="宋体" w:hAnsi="Times New Roman" w:cs="Times New Roman"/>
                <w:sz w:val="20"/>
                <w:szCs w:val="20"/>
                <w:lang w:eastAsia="zh-CN"/>
              </w:rPr>
              <w:t xml:space="preserve"> subbands, </w:t>
            </w:r>
            <w:r>
              <w:rPr>
                <w:rFonts w:ascii="Times New Roman" w:eastAsia="宋体" w:hAnsi="Times New Roman" w:cs="Times New Roman"/>
                <w:i/>
                <w:sz w:val="20"/>
                <w:szCs w:val="20"/>
                <w:lang w:eastAsia="zh-CN"/>
              </w:rPr>
              <w:t>v</w:t>
            </w:r>
            <w:r>
              <w:rPr>
                <w:rFonts w:ascii="Times New Roman" w:eastAsia="宋体" w:hAnsi="Times New Roman" w:cs="Times New Roman"/>
                <w:sz w:val="20"/>
                <w:szCs w:val="20"/>
                <w:lang w:eastAsia="zh-CN"/>
              </w:rPr>
              <w:t xml:space="preserve"> layers for precoding matrix, and real+imaginary (or amplitude+phase) parts, which has overall 2N</w:t>
            </w:r>
            <w:r>
              <w:rPr>
                <w:rFonts w:ascii="Times New Roman" w:eastAsia="宋体" w:hAnsi="Times New Roman" w:cs="Times New Roman"/>
                <w:sz w:val="20"/>
                <w:szCs w:val="20"/>
                <w:vertAlign w:val="subscript"/>
                <w:lang w:eastAsia="zh-CN"/>
              </w:rPr>
              <w:t>1</w:t>
            </w:r>
            <w:r>
              <w:rPr>
                <w:rFonts w:ascii="Times New Roman" w:eastAsia="宋体" w:hAnsi="Times New Roman" w:cs="Times New Roman"/>
                <w:sz w:val="20"/>
                <w:szCs w:val="20"/>
                <w:lang w:eastAsia="zh-CN"/>
              </w:rPr>
              <w:t>N</w:t>
            </w:r>
            <w:r>
              <w:rPr>
                <w:rFonts w:ascii="Times New Roman" w:eastAsia="宋体" w:hAnsi="Times New Roman" w:cs="Times New Roman"/>
                <w:sz w:val="20"/>
                <w:szCs w:val="20"/>
                <w:vertAlign w:val="subscript"/>
                <w:lang w:eastAsia="zh-CN"/>
              </w:rPr>
              <w:t>2</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N</w:t>
            </w:r>
            <w:r>
              <w:rPr>
                <w:rFonts w:ascii="Times New Roman" w:eastAsia="宋体" w:hAnsi="Times New Roman" w:cs="Times New Roman" w:hint="eastAsia"/>
                <w:sz w:val="20"/>
                <w:szCs w:val="20"/>
                <w:vertAlign w:val="subscript"/>
                <w:lang w:eastAsia="zh-CN"/>
              </w:rPr>
              <w:t>3</w:t>
            </w:r>
            <w:r>
              <w:rPr>
                <w:rFonts w:ascii="Times New Roman" w:eastAsia="宋体" w:hAnsi="Times New Roman" w:cs="Times New Roman"/>
                <w:sz w:val="20"/>
                <w:szCs w:val="20"/>
                <w:lang w:eastAsia="zh-CN"/>
              </w:rPr>
              <w:t>*</w:t>
            </w:r>
            <w:r>
              <w:rPr>
                <w:rFonts w:ascii="Times New Roman" w:eastAsia="宋体" w:hAnsi="Times New Roman" w:cs="Times New Roman"/>
                <w:i/>
                <w:sz w:val="20"/>
                <w:szCs w:val="20"/>
                <w:lang w:eastAsia="zh-CN"/>
              </w:rPr>
              <w:t>v</w:t>
            </w:r>
            <w:r>
              <w:rPr>
                <w:rFonts w:ascii="Times New Roman" w:eastAsia="宋体" w:hAnsi="Times New Roman" w:cs="Times New Roman"/>
                <w:sz w:val="20"/>
                <w:szCs w:val="20"/>
                <w:lang w:eastAsia="zh-CN"/>
              </w:rPr>
              <w:t xml:space="preserve"> complex elements, and any complex element has a real (or amplitude) part of </w:t>
            </w:r>
            <w:r>
              <w:rPr>
                <w:rFonts w:ascii="Times New Roman" w:eastAsia="宋体" w:hAnsi="Times New Roman" w:cs="Times New Roman"/>
                <w:i/>
                <w:sz w:val="20"/>
                <w:szCs w:val="20"/>
                <w:lang w:eastAsia="zh-CN"/>
              </w:rPr>
              <w:t>x1</w:t>
            </w:r>
            <w:r>
              <w:rPr>
                <w:rFonts w:ascii="Times New Roman" w:eastAsia="宋体" w:hAnsi="Times New Roman" w:cs="Times New Roman"/>
                <w:sz w:val="20"/>
                <w:szCs w:val="20"/>
                <w:lang w:eastAsia="zh-CN"/>
              </w:rPr>
              <w:t xml:space="preserve"> and an imaginary (or phase) part of </w:t>
            </w:r>
            <w:r>
              <w:rPr>
                <w:rFonts w:ascii="Times New Roman" w:eastAsia="宋体" w:hAnsi="Times New Roman" w:cs="Times New Roman"/>
                <w:i/>
                <w:sz w:val="20"/>
                <w:szCs w:val="20"/>
                <w:lang w:eastAsia="zh-CN"/>
              </w:rPr>
              <w:t>x2</w:t>
            </w:r>
            <w:r>
              <w:rPr>
                <w:rFonts w:ascii="Times New Roman" w:eastAsia="宋体" w:hAnsi="Times New Roman" w:cs="Times New Roman"/>
                <w:sz w:val="20"/>
                <w:szCs w:val="20"/>
                <w:lang w:eastAsia="zh-CN"/>
              </w:rPr>
              <w:t>.</w:t>
            </w:r>
          </w:p>
          <w:p w14:paraId="43758989" w14:textId="77777777" w:rsidR="00D52159" w:rsidRDefault="004A7016">
            <w:pPr>
              <w:numPr>
                <w:ilvl w:val="1"/>
                <w:numId w:val="19"/>
              </w:numPr>
              <w:suppressAutoHyphens/>
              <w:snapToGrid w:val="0"/>
              <w:spacing w:after="120" w:line="259" w:lineRule="auto"/>
              <w:ind w:left="780"/>
              <w:jc w:val="both"/>
              <w:rPr>
                <w:rFonts w:ascii="Times New Roman" w:eastAsia="Malgun Gothic" w:hAnsi="Times New Roman" w:cs="Times New Roman"/>
                <w:bCs/>
                <w:iCs/>
                <w:sz w:val="20"/>
                <w:szCs w:val="20"/>
              </w:rPr>
            </w:pPr>
            <w:r>
              <w:rPr>
                <w:rFonts w:ascii="Times New Roman" w:eastAsia="宋体" w:hAnsi="Times New Roman" w:cs="Times New Roman"/>
                <w:bCs/>
                <w:iCs/>
                <w:sz w:val="20"/>
                <w:szCs w:val="20"/>
                <w:lang w:eastAsia="zh-CN"/>
              </w:rPr>
              <w:t xml:space="preserve">Note: Companies to report whether  real value and imaginary value are quantized, or </w:t>
            </w:r>
            <w:r>
              <w:rPr>
                <w:rFonts w:ascii="Times New Roman" w:eastAsia="宋体" w:hAnsi="Times New Roman" w:cs="Times New Roman"/>
                <w:sz w:val="20"/>
                <w:szCs w:val="20"/>
                <w:lang w:eastAsia="zh-CN"/>
              </w:rPr>
              <w:t xml:space="preserve">amplitude </w:t>
            </w:r>
            <w:r>
              <w:rPr>
                <w:rFonts w:ascii="Times New Roman" w:eastAsia="宋体" w:hAnsi="Times New Roman" w:cs="Times New Roman"/>
                <w:bCs/>
                <w:iCs/>
                <w:sz w:val="20"/>
                <w:szCs w:val="20"/>
                <w:lang w:eastAsia="zh-CN"/>
              </w:rPr>
              <w:t xml:space="preserve">value and </w:t>
            </w:r>
            <w:r>
              <w:rPr>
                <w:rFonts w:ascii="Times New Roman" w:eastAsia="宋体" w:hAnsi="Times New Roman" w:cs="Times New Roman"/>
                <w:sz w:val="20"/>
                <w:szCs w:val="20"/>
                <w:lang w:eastAsia="zh-CN"/>
              </w:rPr>
              <w:t xml:space="preserve">phase </w:t>
            </w:r>
            <w:r>
              <w:rPr>
                <w:rFonts w:ascii="Times New Roman" w:eastAsia="宋体" w:hAnsi="Times New Roman" w:cs="Times New Roman"/>
                <w:bCs/>
                <w:iCs/>
                <w:sz w:val="20"/>
                <w:szCs w:val="20"/>
                <w:lang w:eastAsia="zh-CN"/>
              </w:rPr>
              <w:t>value are quantized.</w:t>
            </w:r>
          </w:p>
          <w:p w14:paraId="0F2A1F32"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hint="eastAsia"/>
                <w:b/>
                <w:bCs/>
                <w:iCs/>
                <w:sz w:val="20"/>
                <w:szCs w:val="20"/>
                <w:lang w:eastAsia="zh-CN"/>
              </w:rPr>
              <w:t>F</w:t>
            </w:r>
            <w:r>
              <w:rPr>
                <w:rFonts w:ascii="Times New Roman" w:eastAsia="宋体" w:hAnsi="Times New Roman" w:cs="Times New Roman"/>
                <w:b/>
                <w:bCs/>
                <w:iCs/>
                <w:sz w:val="20"/>
                <w:szCs w:val="20"/>
                <w:lang w:eastAsia="zh-CN"/>
              </w:rPr>
              <w:t>ormat</w:t>
            </w:r>
            <w:r>
              <w:rPr>
                <w:rFonts w:ascii="Times New Roman" w:eastAsia="宋体" w:hAnsi="Times New Roman" w:cs="Times New Roman"/>
                <w:bCs/>
                <w:iCs/>
                <w:sz w:val="20"/>
                <w:szCs w:val="20"/>
                <w:lang w:eastAsia="zh-CN"/>
              </w:rPr>
              <w:t xml:space="preserve">: </w:t>
            </w:r>
            <w:r>
              <w:rPr>
                <w:rFonts w:ascii="Times New Roman" w:eastAsia="宋体" w:hAnsi="Times New Roman" w:cs="Times New Roman"/>
                <w:i/>
                <w:sz w:val="20"/>
                <w:szCs w:val="20"/>
                <w:lang w:eastAsia="zh-CN"/>
              </w:rPr>
              <w:t>x1</w:t>
            </w:r>
            <w:r>
              <w:rPr>
                <w:rFonts w:ascii="Times New Roman" w:eastAsia="宋体" w:hAnsi="Times New Roman" w:cs="Times New Roman"/>
                <w:sz w:val="20"/>
                <w:szCs w:val="20"/>
                <w:lang w:eastAsia="zh-CN"/>
              </w:rPr>
              <w:t xml:space="preserve"> </w:t>
            </w:r>
            <w:r>
              <w:rPr>
                <w:rFonts w:ascii="Times New Roman" w:eastAsia="宋体" w:hAnsi="Times New Roman" w:cs="Times New Roman"/>
                <w:bCs/>
                <w:iCs/>
                <w:sz w:val="20"/>
                <w:szCs w:val="20"/>
                <w:lang w:eastAsia="zh-CN"/>
              </w:rPr>
              <w:t xml:space="preserve">is quantized to k1 bits within range of </w:t>
            </w:r>
            <w:r>
              <w:rPr>
                <w:rFonts w:ascii="Times New Roman" w:eastAsia="宋体" w:hAnsi="Times New Roman" w:cs="Times New Roman"/>
                <w:sz w:val="20"/>
                <w:szCs w:val="20"/>
                <w:lang w:eastAsia="zh-CN"/>
              </w:rPr>
              <w:t>[T1</w:t>
            </w:r>
            <w:r>
              <w:rPr>
                <w:rFonts w:ascii="Times New Roman" w:eastAsia="宋体" w:hAnsi="Times New Roman" w:cs="Times New Roman"/>
                <w:sz w:val="20"/>
                <w:szCs w:val="20"/>
                <w:vertAlign w:val="subscript"/>
                <w:lang w:eastAsia="zh-CN"/>
              </w:rPr>
              <w:t>min</w:t>
            </w:r>
            <w:r>
              <w:rPr>
                <w:rFonts w:ascii="Times New Roman" w:eastAsia="宋体" w:hAnsi="Times New Roman" w:cs="Times New Roman"/>
                <w:sz w:val="20"/>
                <w:szCs w:val="20"/>
                <w:lang w:eastAsia="zh-CN"/>
              </w:rPr>
              <w:t>, T1</w:t>
            </w:r>
            <w:r>
              <w:rPr>
                <w:rFonts w:ascii="Times New Roman" w:eastAsia="宋体" w:hAnsi="Times New Roman" w:cs="Times New Roman"/>
                <w:sz w:val="20"/>
                <w:szCs w:val="20"/>
                <w:vertAlign w:val="subscript"/>
                <w:lang w:eastAsia="zh-CN"/>
              </w:rPr>
              <w:t>max</w:t>
            </w:r>
            <w:r>
              <w:rPr>
                <w:rFonts w:ascii="Times New Roman" w:eastAsia="宋体" w:hAnsi="Times New Roman" w:cs="Times New Roman"/>
                <w:sz w:val="20"/>
                <w:szCs w:val="20"/>
                <w:lang w:eastAsia="zh-CN"/>
              </w:rPr>
              <w:t>],</w:t>
            </w:r>
            <w:r>
              <w:rPr>
                <w:rFonts w:ascii="Times New Roman" w:eastAsia="宋体" w:hAnsi="Times New Roman" w:cs="Times New Roman"/>
                <w:bCs/>
                <w:iCs/>
                <w:sz w:val="20"/>
                <w:szCs w:val="20"/>
                <w:lang w:eastAsia="zh-CN"/>
              </w:rPr>
              <w:t xml:space="preserve"> and </w:t>
            </w:r>
            <w:r>
              <w:rPr>
                <w:rFonts w:ascii="Times New Roman" w:eastAsia="宋体" w:hAnsi="Times New Roman" w:cs="Times New Roman"/>
                <w:i/>
                <w:sz w:val="20"/>
                <w:szCs w:val="20"/>
                <w:lang w:eastAsia="zh-CN"/>
              </w:rPr>
              <w:t>x2</w:t>
            </w:r>
            <w:r>
              <w:rPr>
                <w:rFonts w:ascii="Times New Roman" w:eastAsia="宋体" w:hAnsi="Times New Roman" w:cs="Times New Roman"/>
                <w:bCs/>
                <w:iCs/>
                <w:sz w:val="20"/>
                <w:szCs w:val="20"/>
                <w:lang w:eastAsia="zh-CN"/>
              </w:rPr>
              <w:t xml:space="preserve"> is quantized to k2 bits within range of </w:t>
            </w:r>
            <w:r>
              <w:rPr>
                <w:rFonts w:ascii="Times New Roman" w:eastAsia="宋体" w:hAnsi="Times New Roman" w:cs="Times New Roman"/>
                <w:sz w:val="20"/>
                <w:szCs w:val="20"/>
                <w:lang w:eastAsia="zh-CN"/>
              </w:rPr>
              <w:t>[T2</w:t>
            </w:r>
            <w:r>
              <w:rPr>
                <w:rFonts w:ascii="Times New Roman" w:eastAsia="宋体" w:hAnsi="Times New Roman" w:cs="Times New Roman"/>
                <w:sz w:val="20"/>
                <w:szCs w:val="20"/>
                <w:vertAlign w:val="subscript"/>
                <w:lang w:eastAsia="zh-CN"/>
              </w:rPr>
              <w:t>min</w:t>
            </w:r>
            <w:r>
              <w:rPr>
                <w:rFonts w:ascii="Times New Roman" w:eastAsia="宋体" w:hAnsi="Times New Roman" w:cs="Times New Roman"/>
                <w:sz w:val="20"/>
                <w:szCs w:val="20"/>
                <w:lang w:eastAsia="zh-CN"/>
              </w:rPr>
              <w:t>, T2</w:t>
            </w:r>
            <w:r>
              <w:rPr>
                <w:rFonts w:ascii="Times New Roman" w:eastAsia="宋体" w:hAnsi="Times New Roman" w:cs="Times New Roman"/>
                <w:sz w:val="20"/>
                <w:szCs w:val="20"/>
                <w:vertAlign w:val="subscript"/>
                <w:lang w:eastAsia="zh-CN"/>
              </w:rPr>
              <w:t>max</w:t>
            </w:r>
            <w:r>
              <w:rPr>
                <w:rFonts w:ascii="Times New Roman" w:eastAsia="宋体" w:hAnsi="Times New Roman" w:cs="Times New Roman"/>
                <w:sz w:val="20"/>
                <w:szCs w:val="20"/>
                <w:lang w:eastAsia="zh-CN"/>
              </w:rPr>
              <w:t>].</w:t>
            </w:r>
            <w:r>
              <w:rPr>
                <w:rFonts w:ascii="Times New Roman" w:eastAsia="宋体" w:hAnsi="Times New Roman" w:cs="Times New Roman"/>
                <w:bCs/>
                <w:iCs/>
                <w:sz w:val="20"/>
                <w:szCs w:val="20"/>
                <w:lang w:eastAsia="zh-CN"/>
              </w:rPr>
              <w:t xml:space="preserve"> E.g., for Scalar8, k1=8 bits for quantizing the real part, and k2=8 bits for quantizing the imaginary part. Uniform quantization is assumed.</w:t>
            </w:r>
          </w:p>
          <w:p w14:paraId="5DFB6D25" w14:textId="77777777" w:rsidR="00D52159" w:rsidRDefault="004A7016">
            <w:pPr>
              <w:numPr>
                <w:ilvl w:val="1"/>
                <w:numId w:val="19"/>
              </w:numPr>
              <w:suppressAutoHyphens/>
              <w:snapToGrid w:val="0"/>
              <w:spacing w:after="120" w:line="259" w:lineRule="auto"/>
              <w:ind w:left="780"/>
              <w:jc w:val="both"/>
              <w:rPr>
                <w:rFonts w:ascii="Times New Roman" w:eastAsia="Malgun Gothic" w:hAnsi="Times New Roman" w:cs="Times New Roman"/>
                <w:bCs/>
                <w:iCs/>
                <w:sz w:val="20"/>
                <w:szCs w:val="20"/>
              </w:rPr>
            </w:pPr>
            <w:r>
              <w:rPr>
                <w:rFonts w:ascii="Times New Roman" w:eastAsia="宋体" w:hAnsi="Times New Roman" w:cs="Times New Roman"/>
                <w:bCs/>
                <w:iCs/>
                <w:sz w:val="20"/>
                <w:szCs w:val="20"/>
                <w:lang w:eastAsia="zh-CN"/>
              </w:rPr>
              <w:t>Note: Companies to report whether/how the normalization is performed, and whether it is normalized within or across</w:t>
            </w:r>
            <w:r>
              <w:rPr>
                <w:rFonts w:ascii="Times New Roman" w:eastAsia="宋体" w:hAnsi="Times New Roman" w:cs="Times New Roman"/>
                <w:sz w:val="20"/>
                <w:szCs w:val="20"/>
                <w:lang w:eastAsia="zh-CN"/>
              </w:rPr>
              <w:t xml:space="preserve"> 2N</w:t>
            </w:r>
            <w:r>
              <w:rPr>
                <w:rFonts w:ascii="Times New Roman" w:eastAsia="宋体" w:hAnsi="Times New Roman" w:cs="Times New Roman"/>
                <w:sz w:val="20"/>
                <w:szCs w:val="20"/>
                <w:vertAlign w:val="subscript"/>
                <w:lang w:eastAsia="zh-CN"/>
              </w:rPr>
              <w:t>1</w:t>
            </w:r>
            <w:r>
              <w:rPr>
                <w:rFonts w:ascii="Times New Roman" w:eastAsia="宋体" w:hAnsi="Times New Roman" w:cs="Times New Roman"/>
                <w:sz w:val="20"/>
                <w:szCs w:val="20"/>
                <w:lang w:eastAsia="zh-CN"/>
              </w:rPr>
              <w:t>N</w:t>
            </w:r>
            <w:r>
              <w:rPr>
                <w:rFonts w:ascii="Times New Roman" w:eastAsia="宋体" w:hAnsi="Times New Roman" w:cs="Times New Roman"/>
                <w:sz w:val="20"/>
                <w:szCs w:val="20"/>
                <w:vertAlign w:val="subscript"/>
                <w:lang w:eastAsia="zh-CN"/>
              </w:rPr>
              <w:t>2</w:t>
            </w:r>
            <w:r>
              <w:rPr>
                <w:rFonts w:ascii="Times New Roman" w:eastAsia="宋体" w:hAnsi="Times New Roman" w:cs="Times New Roman"/>
                <w:sz w:val="20"/>
                <w:szCs w:val="20"/>
                <w:lang w:eastAsia="zh-CN"/>
              </w:rPr>
              <w:t xml:space="preserve"> ports/</w:t>
            </w:r>
            <w:r>
              <w:rPr>
                <w:rFonts w:ascii="Times New Roman" w:eastAsia="宋体" w:hAnsi="Times New Roman" w:cs="Times New Roman" w:hint="eastAsia"/>
                <w:sz w:val="20"/>
                <w:szCs w:val="20"/>
                <w:lang w:eastAsia="zh-CN"/>
              </w:rPr>
              <w:t xml:space="preserve"> N</w:t>
            </w:r>
            <w:r>
              <w:rPr>
                <w:rFonts w:ascii="Times New Roman" w:eastAsia="宋体" w:hAnsi="Times New Roman" w:cs="Times New Roman" w:hint="eastAsia"/>
                <w:sz w:val="20"/>
                <w:szCs w:val="20"/>
                <w:vertAlign w:val="subscript"/>
                <w:lang w:eastAsia="zh-CN"/>
              </w:rPr>
              <w:t>3</w:t>
            </w:r>
            <w:r>
              <w:rPr>
                <w:rFonts w:ascii="Times New Roman" w:eastAsia="宋体" w:hAnsi="Times New Roman" w:cs="Times New Roman"/>
                <w:sz w:val="20"/>
                <w:szCs w:val="20"/>
                <w:lang w:eastAsia="zh-CN"/>
              </w:rPr>
              <w:t xml:space="preserve"> subbands/ </w:t>
            </w:r>
            <w:r>
              <w:rPr>
                <w:rFonts w:ascii="Times New Roman" w:eastAsia="宋体" w:hAnsi="Times New Roman" w:cs="Times New Roman"/>
                <w:i/>
                <w:sz w:val="20"/>
                <w:szCs w:val="20"/>
                <w:lang w:eastAsia="zh-CN"/>
              </w:rPr>
              <w:t>v</w:t>
            </w:r>
            <w:r>
              <w:rPr>
                <w:rFonts w:ascii="Times New Roman" w:eastAsia="宋体" w:hAnsi="Times New Roman" w:cs="Times New Roman"/>
                <w:sz w:val="20"/>
                <w:szCs w:val="20"/>
                <w:lang w:eastAsia="zh-CN"/>
              </w:rPr>
              <w:t xml:space="preserve"> layers/ real and imaginary (or amplitude and phase) parts.</w:t>
            </w:r>
          </w:p>
          <w:p w14:paraId="11971630"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bCs/>
                <w:iCs/>
                <w:sz w:val="20"/>
                <w:szCs w:val="20"/>
                <w:lang w:eastAsia="zh-CN"/>
              </w:rPr>
              <w:t>Fixed parameter values of k1/k2/</w:t>
            </w:r>
            <w:r>
              <w:rPr>
                <w:rFonts w:ascii="Times New Roman" w:eastAsia="宋体" w:hAnsi="Times New Roman" w:cs="Times New Roman"/>
                <w:sz w:val="20"/>
                <w:szCs w:val="20"/>
                <w:lang w:eastAsia="zh-CN"/>
              </w:rPr>
              <w:t>T1</w:t>
            </w:r>
            <w:r>
              <w:rPr>
                <w:rFonts w:ascii="Times New Roman" w:eastAsia="宋体" w:hAnsi="Times New Roman" w:cs="Times New Roman"/>
                <w:sz w:val="20"/>
                <w:szCs w:val="20"/>
                <w:vertAlign w:val="subscript"/>
                <w:lang w:eastAsia="zh-CN"/>
              </w:rPr>
              <w:t>min</w:t>
            </w:r>
            <w:r>
              <w:rPr>
                <w:rFonts w:ascii="Times New Roman" w:eastAsia="宋体" w:hAnsi="Times New Roman" w:cs="Times New Roman"/>
                <w:bCs/>
                <w:iCs/>
                <w:sz w:val="20"/>
                <w:szCs w:val="20"/>
                <w:lang w:eastAsia="zh-CN"/>
              </w:rPr>
              <w:t>/</w:t>
            </w:r>
            <w:r>
              <w:rPr>
                <w:rFonts w:ascii="Times New Roman" w:eastAsia="宋体" w:hAnsi="Times New Roman" w:cs="Times New Roman"/>
                <w:sz w:val="20"/>
                <w:szCs w:val="20"/>
                <w:lang w:eastAsia="zh-CN"/>
              </w:rPr>
              <w:t>T1</w:t>
            </w:r>
            <w:r>
              <w:rPr>
                <w:rFonts w:ascii="Times New Roman" w:eastAsia="宋体" w:hAnsi="Times New Roman" w:cs="Times New Roman"/>
                <w:sz w:val="20"/>
                <w:szCs w:val="20"/>
                <w:vertAlign w:val="subscript"/>
                <w:lang w:eastAsia="zh-CN"/>
              </w:rPr>
              <w:t>max</w:t>
            </w:r>
            <w:r>
              <w:rPr>
                <w:rFonts w:ascii="Times New Roman" w:eastAsia="宋体" w:hAnsi="Times New Roman" w:cs="Times New Roman"/>
                <w:bCs/>
                <w:iCs/>
                <w:sz w:val="20"/>
                <w:szCs w:val="20"/>
                <w:lang w:eastAsia="zh-CN"/>
              </w:rPr>
              <w:t>/</w:t>
            </w:r>
            <w:r>
              <w:rPr>
                <w:rFonts w:ascii="Times New Roman" w:eastAsia="宋体" w:hAnsi="Times New Roman" w:cs="Times New Roman"/>
                <w:sz w:val="20"/>
                <w:szCs w:val="20"/>
                <w:lang w:eastAsia="zh-CN"/>
              </w:rPr>
              <w:t>T2</w:t>
            </w:r>
            <w:r>
              <w:rPr>
                <w:rFonts w:ascii="Times New Roman" w:eastAsia="宋体" w:hAnsi="Times New Roman" w:cs="Times New Roman"/>
                <w:sz w:val="20"/>
                <w:szCs w:val="20"/>
                <w:vertAlign w:val="subscript"/>
                <w:lang w:eastAsia="zh-CN"/>
              </w:rPr>
              <w:t>min</w:t>
            </w:r>
            <w:r>
              <w:rPr>
                <w:rFonts w:ascii="Times New Roman" w:eastAsia="宋体" w:hAnsi="Times New Roman" w:cs="Times New Roman"/>
                <w:bCs/>
                <w:iCs/>
                <w:sz w:val="20"/>
                <w:szCs w:val="20"/>
                <w:lang w:eastAsia="zh-CN"/>
              </w:rPr>
              <w:t>/</w:t>
            </w:r>
            <w:r>
              <w:rPr>
                <w:rFonts w:ascii="Times New Roman" w:eastAsia="宋体" w:hAnsi="Times New Roman" w:cs="Times New Roman"/>
                <w:sz w:val="20"/>
                <w:szCs w:val="20"/>
                <w:lang w:eastAsia="zh-CN"/>
              </w:rPr>
              <w:t>T2</w:t>
            </w:r>
            <w:r>
              <w:rPr>
                <w:rFonts w:ascii="Times New Roman" w:eastAsia="宋体" w:hAnsi="Times New Roman" w:cs="Times New Roman"/>
                <w:sz w:val="20"/>
                <w:szCs w:val="20"/>
                <w:vertAlign w:val="subscript"/>
                <w:lang w:eastAsia="zh-CN"/>
              </w:rPr>
              <w:t>max</w:t>
            </w:r>
            <w:r>
              <w:rPr>
                <w:rFonts w:ascii="Times New Roman" w:eastAsia="宋体" w:hAnsi="Times New Roman" w:cs="Times New Roman"/>
                <w:bCs/>
                <w:iCs/>
                <w:sz w:val="20"/>
                <w:szCs w:val="20"/>
                <w:lang w:eastAsia="zh-CN"/>
              </w:rPr>
              <w:t xml:space="preserve"> across</w:t>
            </w:r>
            <w:r>
              <w:rPr>
                <w:rFonts w:ascii="Times New Roman" w:eastAsia="宋体" w:hAnsi="Times New Roman" w:cs="Times New Roman"/>
                <w:sz w:val="20"/>
                <w:szCs w:val="20"/>
                <w:lang w:eastAsia="zh-CN"/>
              </w:rPr>
              <w:t xml:space="preserve"> complex elements,</w:t>
            </w:r>
            <w:r>
              <w:rPr>
                <w:rFonts w:ascii="Times New Roman" w:eastAsia="宋体" w:hAnsi="Times New Roman" w:cs="Times New Roman"/>
                <w:bCs/>
                <w:iCs/>
                <w:sz w:val="20"/>
                <w:szCs w:val="20"/>
                <w:lang w:eastAsia="zh-CN"/>
              </w:rPr>
              <w:t xml:space="preserve"> as a baseline for evaluations. Companies to report the values.</w:t>
            </w:r>
          </w:p>
          <w:p w14:paraId="6C3AD892"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rPr>
            </w:pPr>
            <w:r>
              <w:rPr>
                <w:rFonts w:ascii="Times New Roman" w:eastAsia="Malgun Gothic" w:hAnsi="Times New Roman" w:cs="Times New Roman"/>
                <w:bCs/>
                <w:iCs/>
                <w:sz w:val="20"/>
                <w:szCs w:val="20"/>
              </w:rPr>
              <w:t>Note: It is up to company to use number of samples S&gt;1 in their evaluations. In this case, companies need to provide information how S samples are quantized in their evaluation.</w:t>
            </w:r>
          </w:p>
          <w:p w14:paraId="28934E87" w14:textId="77777777" w:rsidR="00D52159" w:rsidRDefault="004A7016">
            <w:pPr>
              <w:suppressAutoHyphens/>
              <w:spacing w:after="60" w:line="259" w:lineRule="auto"/>
              <w:jc w:val="both"/>
              <w:rPr>
                <w:rFonts w:ascii="Times New Roman" w:eastAsia="MS Mincho" w:hAnsi="Times New Roman" w:cs="Times New Roman"/>
                <w:bCs/>
                <w:sz w:val="20"/>
                <w:szCs w:val="20"/>
                <w:lang w:eastAsia="ko-KR"/>
              </w:rPr>
            </w:pPr>
            <w:r>
              <w:rPr>
                <w:rFonts w:ascii="Times New Roman" w:eastAsia="MS Mincho" w:hAnsi="Times New Roman" w:cs="Times New Roman"/>
                <w:bCs/>
                <w:sz w:val="20"/>
                <w:szCs w:val="20"/>
                <w:highlight w:val="green"/>
                <w:lang w:eastAsia="ko-KR"/>
              </w:rPr>
              <w:t>Agreement:</w:t>
            </w:r>
          </w:p>
          <w:p w14:paraId="363863B1" w14:textId="77777777" w:rsidR="00D52159" w:rsidRDefault="004A7016">
            <w:pPr>
              <w:tabs>
                <w:tab w:val="left" w:pos="576"/>
              </w:tabs>
              <w:suppressAutoHyphens/>
              <w:overflowPunct w:val="0"/>
              <w:snapToGrid w:val="0"/>
              <w:spacing w:after="120" w:line="259" w:lineRule="auto"/>
              <w:jc w:val="both"/>
              <w:textAlignment w:val="baseline"/>
              <w:rPr>
                <w:rFonts w:ascii="Times New Roman" w:eastAsia="宋体" w:hAnsi="Times New Roman" w:cs="Times New Roman"/>
                <w:i/>
                <w:sz w:val="20"/>
                <w:szCs w:val="20"/>
                <w:lang w:eastAsia="zh-CN"/>
              </w:rPr>
            </w:pPr>
            <w:r>
              <w:rPr>
                <w:rFonts w:ascii="Times New Roman" w:eastAsia="宋体" w:hAnsi="Times New Roman" w:cs="Times New Roman"/>
                <w:sz w:val="20"/>
                <w:szCs w:val="20"/>
                <w:lang w:eastAsia="zh-CN"/>
              </w:rPr>
              <w:t>For NW side data collection with higher layer reporting, regarding Option 4 (eType II like codebook with new parameter), further study the following candidate enhanced parameter values with potential down selection.</w:t>
            </w:r>
          </w:p>
          <w:p w14:paraId="2C553E31"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sz w:val="20"/>
                <w:szCs w:val="20"/>
                <w:lang w:eastAsia="zh-CN"/>
              </w:rPr>
              <w:t>L= 4/6/12/16/(N1*N2), pv=0.6/0.75/1, Beta = 0.5/0.8/1. Reference amplitude = 4bits/6bits, differential amplitude = 3bits/4bits, and phase = 4bits/6bits</w:t>
            </w:r>
          </w:p>
          <w:p w14:paraId="5D3F9CD0" w14:textId="77777777" w:rsidR="00D52159" w:rsidRDefault="004A7016">
            <w:pPr>
              <w:numPr>
                <w:ilvl w:val="1"/>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hint="eastAsia"/>
                <w:bCs/>
                <w:iCs/>
                <w:sz w:val="20"/>
                <w:szCs w:val="20"/>
                <w:lang w:eastAsia="zh-CN"/>
              </w:rPr>
              <w:t>C</w:t>
            </w:r>
            <w:r>
              <w:rPr>
                <w:rFonts w:ascii="Times New Roman" w:eastAsia="宋体" w:hAnsi="Times New Roman" w:cs="Times New Roman"/>
                <w:bCs/>
                <w:iCs/>
                <w:sz w:val="20"/>
                <w:szCs w:val="20"/>
                <w:lang w:eastAsia="zh-CN"/>
              </w:rPr>
              <w:t xml:space="preserve">ompany to report the quantization step for </w:t>
            </w:r>
            <w:r>
              <w:rPr>
                <w:rFonts w:ascii="Times New Roman" w:eastAsia="宋体" w:hAnsi="Times New Roman" w:cs="Times New Roman"/>
                <w:sz w:val="20"/>
                <w:szCs w:val="20"/>
                <w:lang w:eastAsia="zh-CN"/>
              </w:rPr>
              <w:t>reference amplitude for 6bits.</w:t>
            </w:r>
          </w:p>
          <w:p w14:paraId="6C6FCE8C"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sz w:val="20"/>
                <w:szCs w:val="20"/>
              </w:rPr>
            </w:pPr>
            <w:r>
              <w:rPr>
                <w:rFonts w:ascii="Times New Roman" w:eastAsia="宋体" w:hAnsi="Times New Roman" w:cs="Times New Roman" w:hint="eastAsia"/>
                <w:bCs/>
                <w:iCs/>
                <w:sz w:val="20"/>
                <w:szCs w:val="20"/>
                <w:lang w:eastAsia="zh-CN"/>
              </w:rPr>
              <w:t>N</w:t>
            </w:r>
            <w:r>
              <w:rPr>
                <w:rFonts w:ascii="Times New Roman" w:eastAsia="宋体" w:hAnsi="Times New Roman" w:cs="Times New Roman"/>
                <w:bCs/>
                <w:iCs/>
                <w:sz w:val="20"/>
                <w:szCs w:val="20"/>
                <w:lang w:eastAsia="zh-CN"/>
              </w:rPr>
              <w:t>o restriction to the total number of non-zero coefficients for a specific rank.</w:t>
            </w:r>
          </w:p>
          <w:p w14:paraId="1853BBC9" w14:textId="77777777" w:rsidR="00D52159" w:rsidRDefault="004A7016">
            <w:pPr>
              <w:numPr>
                <w:ilvl w:val="0"/>
                <w:numId w:val="19"/>
              </w:numPr>
              <w:suppressAutoHyphens/>
              <w:snapToGrid w:val="0"/>
              <w:spacing w:after="120" w:line="259" w:lineRule="auto"/>
              <w:jc w:val="both"/>
              <w:rPr>
                <w:rFonts w:ascii="Times New Roman" w:eastAsia="Malgun Gothic" w:hAnsi="Times New Roman" w:cs="Times New Roman"/>
                <w:bCs/>
                <w:iCs/>
              </w:rPr>
            </w:pPr>
            <w:r>
              <w:rPr>
                <w:rFonts w:ascii="Times New Roman" w:eastAsia="宋体" w:hAnsi="Times New Roman" w:cs="Times New Roman" w:hint="eastAsia"/>
                <w:bCs/>
                <w:iCs/>
                <w:sz w:val="20"/>
                <w:szCs w:val="20"/>
                <w:lang w:eastAsia="zh-CN"/>
              </w:rPr>
              <w:t>O</w:t>
            </w:r>
            <w:r>
              <w:rPr>
                <w:rFonts w:ascii="Times New Roman" w:eastAsia="宋体" w:hAnsi="Times New Roman" w:cs="Times New Roman"/>
                <w:bCs/>
                <w:iCs/>
                <w:sz w:val="20"/>
                <w:szCs w:val="20"/>
                <w:lang w:eastAsia="zh-CN"/>
              </w:rPr>
              <w:t>ther combinations can be considered and reported by companies.</w:t>
            </w:r>
          </w:p>
        </w:tc>
      </w:tr>
    </w:tbl>
    <w:p w14:paraId="45D1E95C"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lastRenderedPageBreak/>
        <w:t>2.1.1.1 Discussion on the content and format of NW side data collection</w:t>
      </w:r>
    </w:p>
    <w:p w14:paraId="20F24138" w14:textId="77777777"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 xml:space="preserve">When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x</m:t>
            </m:r>
          </m:e>
          <m:sub>
            <m:r>
              <m:rPr>
                <m:sty m:val="p"/>
              </m:rPr>
              <w:rPr>
                <w:rFonts w:ascii="Cambria Math" w:eastAsia="Times New Roman" w:hAnsi="Cambria Math" w:cs="Arial"/>
                <w:sz w:val="20"/>
                <w:szCs w:val="20"/>
              </w:rPr>
              <m:t>1</m:t>
            </m:r>
          </m:sub>
        </m:sSub>
      </m:oMath>
      <w:r>
        <w:rPr>
          <w:rFonts w:ascii="Arial" w:eastAsia="Times New Roman" w:hAnsi="Arial" w:cs="Arial"/>
          <w:sz w:val="20"/>
          <w:szCs w:val="20"/>
        </w:rPr>
        <w:t xml:space="preserve"> and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x</m:t>
            </m:r>
          </m:e>
          <m:sub>
            <m:r>
              <m:rPr>
                <m:sty m:val="p"/>
              </m:rPr>
              <w:rPr>
                <w:rFonts w:ascii="Cambria Math" w:eastAsia="Times New Roman" w:hAnsi="Cambria Math" w:cs="Arial"/>
                <w:sz w:val="20"/>
                <w:szCs w:val="20"/>
              </w:rPr>
              <m:t>2</m:t>
            </m:r>
          </m:sub>
        </m:sSub>
      </m:oMath>
      <w:r>
        <w:rPr>
          <w:rFonts w:ascii="Arial" w:eastAsia="Times New Roman" w:hAnsi="Arial" w:cs="Arial"/>
          <w:sz w:val="20"/>
          <w:szCs w:val="20"/>
        </w:rPr>
        <w:t xml:space="preserve"> denote the real and imaginary parts of target CSI samples, respectively, the quantization format should satisfy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k</m:t>
            </m:r>
          </m:e>
          <m:sub>
            <m:r>
              <m:rPr>
                <m:sty m:val="p"/>
              </m:rPr>
              <w:rPr>
                <w:rFonts w:ascii="Cambria Math" w:eastAsia="Times New Roman" w:hAnsi="Cambria Math" w:cs="Arial"/>
                <w:sz w:val="20"/>
                <w:szCs w:val="20"/>
              </w:rPr>
              <m:t>1</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k</m:t>
            </m:r>
          </m:e>
          <m:sub>
            <m:r>
              <m:rPr>
                <m:sty m:val="p"/>
              </m:rPr>
              <w:rPr>
                <w:rFonts w:ascii="Cambria Math" w:eastAsia="Times New Roman" w:hAnsi="Cambria Math" w:cs="Arial"/>
                <w:sz w:val="20"/>
                <w:szCs w:val="20"/>
              </w:rPr>
              <m:t>2</m:t>
            </m:r>
          </m:sub>
        </m:sSub>
      </m:oMath>
      <w:r>
        <w:rPr>
          <w:rFonts w:ascii="Arial" w:eastAsia="Times New Roman" w:hAnsi="Arial" w:cs="Arial"/>
          <w:sz w:val="20"/>
          <w:szCs w:val="20"/>
        </w:rPr>
        <w:t xml:space="preserve"> and apply identical clipping ranges, i.e.,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1,min</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2,min</m:t>
            </m:r>
          </m:sub>
        </m:sSub>
      </m:oMath>
      <w:r>
        <w:rPr>
          <w:rFonts w:ascii="Arial" w:eastAsia="Times New Roman" w:hAnsi="Arial" w:cs="Arial"/>
          <w:sz w:val="20"/>
          <w:szCs w:val="20"/>
        </w:rPr>
        <w:t xml:space="preserve"> and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1,max</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2,max</m:t>
            </m:r>
          </m:sub>
        </m:sSub>
      </m:oMath>
      <w:r>
        <w:rPr>
          <w:rFonts w:ascii="Arial" w:eastAsia="Times New Roman" w:hAnsi="Arial" w:cs="Arial"/>
          <w:sz w:val="20"/>
          <w:szCs w:val="20"/>
        </w:rPr>
        <w:t>. This ensures a symmetric treatment of the two dimensions and simplifies both implementation and evaluation. Because the real and imaginary components statistically exhibit zero-mean, approximately symmetric distributions, asymmetric bit widths or ranges would introduce systematic bias and unnecessary complexity.</w:t>
      </w:r>
    </w:p>
    <w:p w14:paraId="08BCD02C" w14:textId="77777777" w:rsidR="00D52159" w:rsidRDefault="004A7016">
      <w:pPr>
        <w:pStyle w:val="a6"/>
        <w:rPr>
          <w:rFonts w:eastAsia="Times New Roman" w:cs="Arial"/>
          <w:szCs w:val="20"/>
          <w:lang w:eastAsia="en-US"/>
        </w:rPr>
      </w:pPr>
      <w:r>
        <w:rPr>
          <w:rFonts w:eastAsia="Times New Roman" w:cs="Arial"/>
          <w:szCs w:val="20"/>
          <w:lang w:eastAsia="en-US"/>
        </w:rPr>
        <w:t xml:space="preserve">When </w:t>
      </w:r>
      <m:oMath>
        <m:sSub>
          <m:sSubPr>
            <m:ctrlPr>
              <w:rPr>
                <w:rFonts w:ascii="Cambria Math" w:eastAsia="Times New Roman" w:hAnsi="Cambria Math" w:cs="Arial"/>
                <w:szCs w:val="20"/>
                <w:lang w:eastAsia="en-US"/>
              </w:rPr>
            </m:ctrlPr>
          </m:sSubPr>
          <m:e>
            <m:r>
              <w:rPr>
                <w:rFonts w:ascii="Cambria Math" w:eastAsia="Times New Roman" w:hAnsi="Cambria Math" w:cs="Arial"/>
                <w:szCs w:val="20"/>
                <w:lang w:eastAsia="en-US"/>
              </w:rPr>
              <m:t>x</m:t>
            </m:r>
          </m:e>
          <m:sub>
            <m:r>
              <m:rPr>
                <m:sty m:val="p"/>
              </m:rPr>
              <w:rPr>
                <w:rFonts w:ascii="Cambria Math" w:eastAsia="Times New Roman" w:hAnsi="Cambria Math" w:cs="Arial"/>
                <w:szCs w:val="20"/>
                <w:lang w:eastAsia="en-US"/>
              </w:rPr>
              <m:t>1</m:t>
            </m:r>
          </m:sub>
        </m:sSub>
      </m:oMath>
      <w:r>
        <w:rPr>
          <w:rFonts w:eastAsia="Times New Roman" w:cs="Arial"/>
          <w:szCs w:val="20"/>
          <w:lang w:eastAsia="en-US"/>
        </w:rPr>
        <w:t xml:space="preserve"> and </w:t>
      </w:r>
      <m:oMath>
        <m:sSub>
          <m:sSubPr>
            <m:ctrlPr>
              <w:rPr>
                <w:rFonts w:ascii="Cambria Math" w:eastAsia="Times New Roman" w:hAnsi="Cambria Math" w:cs="Arial"/>
                <w:szCs w:val="20"/>
                <w:lang w:eastAsia="en-US"/>
              </w:rPr>
            </m:ctrlPr>
          </m:sSubPr>
          <m:e>
            <m:r>
              <w:rPr>
                <w:rFonts w:ascii="Cambria Math" w:eastAsia="Times New Roman" w:hAnsi="Cambria Math" w:cs="Arial"/>
                <w:szCs w:val="20"/>
                <w:lang w:eastAsia="en-US"/>
              </w:rPr>
              <m:t>x</m:t>
            </m:r>
          </m:e>
          <m:sub>
            <m:r>
              <m:rPr>
                <m:sty m:val="p"/>
              </m:rPr>
              <w:rPr>
                <w:rFonts w:ascii="Cambria Math" w:eastAsia="Times New Roman" w:hAnsi="Cambria Math" w:cs="Arial"/>
                <w:szCs w:val="20"/>
                <w:lang w:eastAsia="en-US"/>
              </w:rPr>
              <m:t>2</m:t>
            </m:r>
          </m:sub>
        </m:sSub>
      </m:oMath>
      <w:r>
        <w:rPr>
          <w:rFonts w:eastAsia="Times New Roman" w:cs="Arial"/>
          <w:szCs w:val="20"/>
          <w:lang w:eastAsia="en-US"/>
        </w:rPr>
        <w:t xml:space="preserve"> represent the amplitude and phase of the target CSI, respectively, the situation is different: the amplitude follows a long-tailed distribution, and the phase is periodic and wraps around </w:t>
      </w:r>
      <m:oMath>
        <m:r>
          <m:rPr>
            <m:sty m:val="p"/>
          </m:rPr>
          <w:rPr>
            <w:rFonts w:ascii="Cambria Math" w:eastAsia="Times New Roman" w:hAnsi="Cambria Math" w:cs="Arial"/>
            <w:szCs w:val="20"/>
            <w:lang w:eastAsia="en-US"/>
          </w:rPr>
          <m:t>2</m:t>
        </m:r>
        <m:r>
          <w:rPr>
            <w:rFonts w:ascii="Cambria Math" w:eastAsia="Times New Roman" w:hAnsi="Cambria Math" w:cs="Arial"/>
            <w:szCs w:val="20"/>
            <w:lang w:eastAsia="en-US"/>
          </w:rPr>
          <m:t>π</m:t>
        </m:r>
      </m:oMath>
      <w:r>
        <w:rPr>
          <w:rFonts w:eastAsia="Times New Roman" w:cs="Arial"/>
          <w:szCs w:val="20"/>
          <w:lang w:eastAsia="en-US"/>
        </w:rPr>
        <w:t>. In this case, the optimum bit allocation and range selection are asymmetric and dependent on the chosen encoding strategy (e.g., reference and differential amplitude, phase differential or unwrapping). Therefore, when the amplitude–phase domain is used, the quantization format should be further studied through evaluation before any parameter fixing or down-selection.</w:t>
      </w:r>
    </w:p>
    <w:p w14:paraId="4E8ADEC2"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 xml:space="preserve">Proposal 1-1: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real and imaginary parts of target CSI samples, set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2</m:t>
            </m:r>
          </m:sub>
        </m:sSub>
      </m:oMath>
      <w:r>
        <w:rPr>
          <w:rFonts w:eastAsia="Times New Roman" w:cs="Arial"/>
          <w:b/>
          <w:bCs/>
          <w:szCs w:val="20"/>
        </w:rPr>
        <w:t xml:space="preserve"> and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1,min</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2,min</m:t>
            </m:r>
          </m:sub>
        </m:sSub>
      </m:oMath>
      <w:r>
        <w:rPr>
          <w:rFonts w:eastAsia="Times New Roman" w:cs="Arial"/>
          <w:b/>
          <w:bCs/>
          <w:szCs w:val="20"/>
        </w:rPr>
        <w:t xml:space="preserve">,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1,max</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2,max</m:t>
            </m:r>
          </m:sub>
        </m:sSub>
      </m:oMath>
      <w:r>
        <w:rPr>
          <w:rFonts w:eastAsia="Times New Roman" w:cs="Arial"/>
          <w:b/>
          <w:bCs/>
          <w:szCs w:val="20"/>
        </w:rPr>
        <w:t xml:space="preserve"> as a baseline.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amplitude and phase parts, </w:t>
      </w:r>
      <w:r>
        <w:rPr>
          <w:rFonts w:eastAsia="Times New Roman" w:cs="Arial"/>
          <w:b/>
          <w:bCs/>
          <w:szCs w:val="20"/>
        </w:rPr>
        <w:lastRenderedPageBreak/>
        <w:t>the bit allocation and range design require further study due to their asymmetric statistical properties and encoding mechanisms.</w:t>
      </w:r>
    </w:p>
    <w:p w14:paraId="409089D9" w14:textId="77777777"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When a two-side CSI feedback model is introduced, the choice of input modality (Re/Im versus Amp/Phase) should be recognized as a design factor that influences the NW side data-collection content and quantization format. If the model takes real and imaginary values as inputs, the collected target CSI should also be quantized in the Re/Im domain using symmetric parameters. If the model adopts amplitude and phase inputs, the collected CSI should accordingly use formats such as reference and differential amplitude plus phase differential encoding, consistent with the definitions studied in Option 4.</w:t>
      </w:r>
    </w:p>
    <w:p w14:paraId="04052DB7" w14:textId="1D1A0A92" w:rsidR="00D52159" w:rsidRDefault="004A7016">
      <w:pPr>
        <w:pStyle w:val="a6"/>
        <w:rPr>
          <w:rFonts w:eastAsia="Times New Roman" w:cs="Arial"/>
          <w:szCs w:val="20"/>
          <w:lang w:eastAsia="en-US"/>
        </w:rPr>
      </w:pPr>
      <w:r>
        <w:rPr>
          <w:rFonts w:eastAsia="Times New Roman" w:cs="Arial"/>
          <w:szCs w:val="20"/>
          <w:lang w:eastAsia="en-US"/>
        </w:rPr>
        <w:t xml:space="preserve">Furthermore, some AI-based CSI feedback schemes have demonstrated the feasibility of representing and compressing channel information in the amplitude–phase domain rather than the real–imaginary domain </w:t>
      </w:r>
      <w:r>
        <w:rPr>
          <w:rFonts w:eastAsia="Times New Roman" w:cs="Arial"/>
          <w:szCs w:val="20"/>
        </w:rPr>
        <w:fldChar w:fldCharType="begin"/>
      </w:r>
      <w:r>
        <w:rPr>
          <w:rFonts w:eastAsia="Times New Roman" w:cs="Arial"/>
          <w:szCs w:val="20"/>
        </w:rPr>
        <w:instrText xml:space="preserve"> REF _Ref213239648 \r \h </w:instrText>
      </w:r>
      <w:r>
        <w:rPr>
          <w:rFonts w:eastAsia="Times New Roman" w:cs="Arial"/>
          <w:szCs w:val="20"/>
        </w:rPr>
      </w:r>
      <w:r>
        <w:rPr>
          <w:rFonts w:eastAsia="Times New Roman" w:cs="Arial"/>
          <w:szCs w:val="20"/>
        </w:rPr>
        <w:fldChar w:fldCharType="separate"/>
      </w:r>
      <w:r w:rsidR="002268A9">
        <w:rPr>
          <w:rFonts w:eastAsia="Times New Roman" w:cs="Arial"/>
          <w:szCs w:val="20"/>
        </w:rPr>
        <w:t>[4]</w:t>
      </w:r>
      <w:r>
        <w:rPr>
          <w:rFonts w:eastAsia="Times New Roman" w:cs="Arial"/>
          <w:szCs w:val="20"/>
        </w:rPr>
        <w:fldChar w:fldCharType="end"/>
      </w:r>
      <w:r>
        <w:rPr>
          <w:rFonts w:eastAsia="Times New Roman" w:cs="Arial"/>
          <w:szCs w:val="20"/>
          <w:lang w:eastAsia="en-US"/>
        </w:rPr>
        <w:t>. Although most existing reference models use Re/Im as inputs, a neural network can internally implement a lightweight transformation to amplitude and phase without violating the standard interface, which suggests the possibility of future format-adaptive AI models.</w:t>
      </w:r>
    </w:p>
    <w:p w14:paraId="55B77DD3"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1-2: If a down-selection is to be made between using real–imaginary and amplitude–phase inputs for the two-side CSI feedback model, it should be further studied whether and how the chosen model-input modality affects the content and quantization format of NW side data collection.</w:t>
      </w:r>
    </w:p>
    <w:p w14:paraId="7B62F844" w14:textId="22E94734"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 xml:space="preserve">In the quantization of complex CSI coefficients, the impact of phase error on the overall distortion is proportional to the signal magnitude. For a complex value </w:t>
      </w:r>
      <m:oMath>
        <m:r>
          <w:rPr>
            <w:rFonts w:ascii="Cambria Math" w:eastAsia="Times New Roman" w:hAnsi="Cambria Math" w:cs="Arial"/>
            <w:sz w:val="20"/>
            <w:szCs w:val="20"/>
          </w:rPr>
          <m:t>h</m:t>
        </m:r>
        <m:r>
          <m:rPr>
            <m:sty m:val="p"/>
          </m:rPr>
          <w:rPr>
            <w:rFonts w:ascii="Cambria Math" w:eastAsia="Times New Roman" w:hAnsi="Cambria Math" w:cs="Arial"/>
            <w:sz w:val="20"/>
            <w:szCs w:val="20"/>
          </w:rPr>
          <m:t>=</m:t>
        </m:r>
        <m:r>
          <w:rPr>
            <w:rFonts w:ascii="Cambria Math" w:eastAsia="Times New Roman" w:hAnsi="Cambria Math" w:cs="Arial"/>
            <w:sz w:val="20"/>
            <w:szCs w:val="20"/>
          </w:rPr>
          <m:t>A</m:t>
        </m:r>
        <m:sSup>
          <m:sSupPr>
            <m:ctrlPr>
              <w:rPr>
                <w:rFonts w:ascii="Cambria Math" w:eastAsia="Times New Roman" w:hAnsi="Cambria Math" w:cs="Arial"/>
                <w:sz w:val="20"/>
                <w:szCs w:val="20"/>
              </w:rPr>
            </m:ctrlPr>
          </m:sSupPr>
          <m:e>
            <m:r>
              <w:rPr>
                <w:rFonts w:ascii="Cambria Math" w:eastAsia="Times New Roman" w:hAnsi="Cambria Math" w:cs="Arial"/>
                <w:sz w:val="20"/>
                <w:szCs w:val="20"/>
              </w:rPr>
              <m:t>e</m:t>
            </m:r>
          </m:e>
          <m:sup>
            <m:r>
              <w:rPr>
                <w:rFonts w:ascii="Cambria Math" w:eastAsia="Times New Roman" w:hAnsi="Cambria Math" w:cs="Arial"/>
                <w:sz w:val="20"/>
                <w:szCs w:val="20"/>
              </w:rPr>
              <m:t>jϕ</m:t>
            </m:r>
          </m:sup>
        </m:sSup>
      </m:oMath>
      <w:r>
        <w:rPr>
          <w:rFonts w:ascii="Arial" w:eastAsia="Times New Roman" w:hAnsi="Arial" w:cs="Arial"/>
          <w:sz w:val="20"/>
          <w:szCs w:val="20"/>
        </w:rPr>
        <w:t xml:space="preserve"> and its reconstruction </w:t>
      </w:r>
      <m:oMath>
        <m:acc>
          <m:accPr>
            <m:ctrlPr>
              <w:rPr>
                <w:rFonts w:ascii="Cambria Math" w:eastAsia="Times New Roman" w:hAnsi="Cambria Math" w:cs="Arial"/>
                <w:sz w:val="20"/>
                <w:szCs w:val="20"/>
              </w:rPr>
            </m:ctrlPr>
          </m:accPr>
          <m:e>
            <m:r>
              <w:rPr>
                <w:rFonts w:ascii="Cambria Math" w:eastAsia="Times New Roman" w:hAnsi="Cambria Math" w:cs="Arial"/>
                <w:sz w:val="20"/>
                <w:szCs w:val="20"/>
              </w:rPr>
              <m:t>h</m:t>
            </m:r>
          </m:e>
        </m:acc>
        <m:r>
          <m:rPr>
            <m:sty m:val="p"/>
          </m:rPr>
          <w:rPr>
            <w:rFonts w:ascii="Cambria Math" w:eastAsia="Times New Roman" w:hAnsi="Cambria Math" w:cs="Arial"/>
            <w:sz w:val="20"/>
            <w:szCs w:val="20"/>
          </w:rPr>
          <m:t>=</m:t>
        </m:r>
        <m:acc>
          <m:accPr>
            <m:ctrlPr>
              <w:rPr>
                <w:rFonts w:ascii="Cambria Math" w:eastAsia="Times New Roman" w:hAnsi="Cambria Math" w:cs="Arial"/>
                <w:sz w:val="20"/>
                <w:szCs w:val="20"/>
              </w:rPr>
            </m:ctrlPr>
          </m:accPr>
          <m:e>
            <m:r>
              <w:rPr>
                <w:rFonts w:ascii="Cambria Math" w:eastAsia="Times New Roman" w:hAnsi="Cambria Math" w:cs="Arial"/>
                <w:sz w:val="20"/>
                <w:szCs w:val="20"/>
              </w:rPr>
              <m:t>A</m:t>
            </m:r>
          </m:e>
        </m:acc>
        <m:sSup>
          <m:sSupPr>
            <m:ctrlPr>
              <w:rPr>
                <w:rFonts w:ascii="Cambria Math" w:eastAsia="Times New Roman" w:hAnsi="Cambria Math" w:cs="Arial"/>
                <w:sz w:val="20"/>
                <w:szCs w:val="20"/>
              </w:rPr>
            </m:ctrlPr>
          </m:sSupPr>
          <m:e>
            <m:r>
              <w:rPr>
                <w:rFonts w:ascii="Cambria Math" w:eastAsia="Times New Roman" w:hAnsi="Cambria Math" w:cs="Arial"/>
                <w:sz w:val="20"/>
                <w:szCs w:val="20"/>
              </w:rPr>
              <m:t>e</m:t>
            </m:r>
          </m:e>
          <m:sup>
            <m:r>
              <w:rPr>
                <w:rFonts w:ascii="Cambria Math" w:eastAsia="Times New Roman" w:hAnsi="Cambria Math" w:cs="Arial"/>
                <w:sz w:val="20"/>
                <w:szCs w:val="20"/>
              </w:rPr>
              <m:t>j</m:t>
            </m:r>
            <m:acc>
              <m:accPr>
                <m:ctrlPr>
                  <w:rPr>
                    <w:rFonts w:ascii="Cambria Math" w:eastAsia="Times New Roman" w:hAnsi="Cambria Math" w:cs="Arial"/>
                    <w:sz w:val="20"/>
                    <w:szCs w:val="20"/>
                  </w:rPr>
                </m:ctrlPr>
              </m:accPr>
              <m:e>
                <m:r>
                  <w:rPr>
                    <w:rFonts w:ascii="Cambria Math" w:eastAsia="Times New Roman" w:hAnsi="Cambria Math" w:cs="Arial"/>
                    <w:sz w:val="20"/>
                    <w:szCs w:val="20"/>
                  </w:rPr>
                  <m:t>ϕ</m:t>
                </m:r>
              </m:e>
            </m:acc>
          </m:sup>
        </m:sSup>
      </m:oMath>
      <w:r>
        <w:rPr>
          <w:rFonts w:ascii="Arial" w:eastAsia="Times New Roman" w:hAnsi="Arial" w:cs="Arial"/>
          <w:sz w:val="20"/>
          <w:szCs w:val="20"/>
        </w:rPr>
        <w:t xml:space="preserve">, the error </w:t>
      </w:r>
      <m:oMath>
        <m:sSup>
          <m:sSupPr>
            <m:ctrlPr>
              <w:rPr>
                <w:rFonts w:ascii="Cambria Math" w:eastAsia="Times New Roman" w:hAnsi="Cambria Math" w:cs="Arial"/>
                <w:sz w:val="20"/>
                <w:szCs w:val="20"/>
              </w:rPr>
            </m:ctrlPr>
          </m:sSupPr>
          <m:e>
            <m:d>
              <m:dPr>
                <m:begChr m:val="|"/>
                <m:endChr m:val="|"/>
                <m:ctrlPr>
                  <w:rPr>
                    <w:rFonts w:ascii="Cambria Math" w:eastAsia="Times New Roman" w:hAnsi="Cambria Math" w:cs="Arial"/>
                    <w:sz w:val="20"/>
                    <w:szCs w:val="20"/>
                  </w:rPr>
                </m:ctrlPr>
              </m:dPr>
              <m:e>
                <m:r>
                  <w:rPr>
                    <w:rFonts w:ascii="Cambria Math" w:eastAsia="Times New Roman" w:hAnsi="Cambria Math" w:cs="Arial"/>
                    <w:sz w:val="20"/>
                    <w:szCs w:val="20"/>
                  </w:rPr>
                  <m:t>h</m:t>
                </m:r>
                <m:r>
                  <m:rPr>
                    <m:sty m:val="p"/>
                  </m:rPr>
                  <w:rPr>
                    <w:rFonts w:ascii="Cambria Math" w:eastAsia="Times New Roman" w:hAnsi="Cambria Math" w:cs="Arial"/>
                    <w:sz w:val="20"/>
                    <w:szCs w:val="20"/>
                  </w:rPr>
                  <m:t>-</m:t>
                </m:r>
                <m:acc>
                  <m:accPr>
                    <m:ctrlPr>
                      <w:rPr>
                        <w:rFonts w:ascii="Cambria Math" w:eastAsia="Times New Roman" w:hAnsi="Cambria Math" w:cs="Arial"/>
                        <w:sz w:val="20"/>
                        <w:szCs w:val="20"/>
                      </w:rPr>
                    </m:ctrlPr>
                  </m:accPr>
                  <m:e>
                    <m:r>
                      <w:rPr>
                        <w:rFonts w:ascii="Cambria Math" w:eastAsia="Times New Roman" w:hAnsi="Cambria Math" w:cs="Arial"/>
                        <w:sz w:val="20"/>
                        <w:szCs w:val="20"/>
                      </w:rPr>
                      <m:t>h</m:t>
                    </m:r>
                  </m:e>
                </m:acc>
              </m:e>
            </m:d>
          </m:e>
          <m:sup>
            <m:r>
              <m:rPr>
                <m:sty m:val="p"/>
              </m:rPr>
              <w:rPr>
                <w:rFonts w:ascii="Cambria Math" w:eastAsia="Times New Roman" w:hAnsi="Cambria Math" w:cs="Arial"/>
                <w:sz w:val="20"/>
                <w:szCs w:val="20"/>
              </w:rPr>
              <m:t>2</m:t>
            </m:r>
          </m:sup>
        </m:sSup>
        <m:r>
          <m:rPr>
            <m:sty m:val="p"/>
          </m:rPr>
          <w:rPr>
            <w:rFonts w:ascii="Cambria Math" w:eastAsia="Times New Roman" w:hAnsi="Cambria Math" w:cs="Arial"/>
            <w:sz w:val="20"/>
            <w:szCs w:val="20"/>
          </w:rPr>
          <m:t>≈</m:t>
        </m:r>
        <m:sSup>
          <m:sSupPr>
            <m:ctrlPr>
              <w:rPr>
                <w:rFonts w:ascii="Cambria Math" w:eastAsia="Times New Roman" w:hAnsi="Cambria Math" w:cs="Arial"/>
                <w:sz w:val="20"/>
                <w:szCs w:val="20"/>
              </w:rPr>
            </m:ctrlPr>
          </m:sSupPr>
          <m:e>
            <m:r>
              <w:rPr>
                <w:rFonts w:ascii="Cambria Math" w:eastAsia="Times New Roman" w:hAnsi="Cambria Math" w:cs="Arial"/>
                <w:sz w:val="20"/>
                <w:szCs w:val="20"/>
              </w:rPr>
              <m:t>A</m:t>
            </m:r>
          </m:e>
          <m:sup>
            <m:r>
              <m:rPr>
                <m:sty m:val="p"/>
              </m:rPr>
              <w:rPr>
                <w:rFonts w:ascii="Cambria Math" w:eastAsia="Times New Roman" w:hAnsi="Cambria Math" w:cs="Arial"/>
                <w:sz w:val="20"/>
                <w:szCs w:val="20"/>
              </w:rPr>
              <m:t>2</m:t>
            </m:r>
          </m:sup>
        </m:sSup>
        <m:sSup>
          <m:sSupPr>
            <m:ctrlPr>
              <w:rPr>
                <w:rFonts w:ascii="Cambria Math" w:eastAsia="Times New Roman" w:hAnsi="Cambria Math" w:cs="Arial"/>
                <w:sz w:val="20"/>
                <w:szCs w:val="20"/>
              </w:rPr>
            </m:ctrlPr>
          </m:sSupPr>
          <m:e>
            <m:d>
              <m:dPr>
                <m:ctrlPr>
                  <w:rPr>
                    <w:rFonts w:ascii="Cambria Math" w:eastAsia="Times New Roman" w:hAnsi="Cambria Math" w:cs="Arial"/>
                    <w:sz w:val="20"/>
                    <w:szCs w:val="20"/>
                  </w:rPr>
                </m:ctrlPr>
              </m:dPr>
              <m:e>
                <m:r>
                  <w:rPr>
                    <w:rFonts w:ascii="Cambria Math" w:eastAsia="Times New Roman" w:hAnsi="Cambria Math" w:cs="Arial"/>
                    <w:sz w:val="20"/>
                    <w:szCs w:val="20"/>
                  </w:rPr>
                  <m:t>Δϕ</m:t>
                </m:r>
              </m:e>
            </m:d>
          </m:e>
          <m:sup>
            <m:r>
              <m:rPr>
                <m:sty m:val="p"/>
              </m:rPr>
              <w:rPr>
                <w:rFonts w:ascii="Cambria Math" w:eastAsia="Times New Roman" w:hAnsi="Cambria Math" w:cs="Arial"/>
                <w:sz w:val="20"/>
                <w:szCs w:val="20"/>
              </w:rPr>
              <m:t>2</m:t>
            </m:r>
          </m:sup>
        </m:sSup>
      </m:oMath>
      <w:r>
        <w:rPr>
          <w:rFonts w:ascii="Arial" w:eastAsia="Times New Roman" w:hAnsi="Arial" w:cs="Arial"/>
          <w:sz w:val="20"/>
          <w:szCs w:val="20"/>
        </w:rPr>
        <w:t xml:space="preserve"> for small phase deviation </w:t>
      </w:r>
      <m:oMath>
        <m:r>
          <w:rPr>
            <w:rFonts w:ascii="Cambria Math" w:eastAsia="Times New Roman" w:hAnsi="Cambria Math" w:cs="Arial"/>
            <w:sz w:val="20"/>
            <w:szCs w:val="20"/>
          </w:rPr>
          <m:t>Δϕ</m:t>
        </m:r>
      </m:oMath>
      <w:r>
        <w:rPr>
          <w:rFonts w:ascii="Arial" w:eastAsia="Times New Roman" w:hAnsi="Arial" w:cs="Arial"/>
          <w:sz w:val="20"/>
          <w:szCs w:val="20"/>
        </w:rPr>
        <w:t xml:space="preserve">. Thus, small-magnitude coefficients have negligible contribution to the phase distortion term, while large-magnitude coefficients dominate the quality metric. This implies that phase quantization need not be uniform for all coefficients </w:t>
      </w:r>
      <w:r>
        <w:rPr>
          <w:rFonts w:ascii="Arial" w:eastAsia="Times New Roman" w:hAnsi="Arial" w:cs="Arial"/>
          <w:sz w:val="20"/>
          <w:szCs w:val="20"/>
        </w:rPr>
        <w:fldChar w:fldCharType="begin"/>
      </w:r>
      <w:r>
        <w:rPr>
          <w:rFonts w:ascii="Arial" w:eastAsia="Times New Roman" w:hAnsi="Arial" w:cs="Arial"/>
          <w:sz w:val="20"/>
          <w:szCs w:val="20"/>
        </w:rPr>
        <w:instrText xml:space="preserve"> REF _Ref213239648 \r \h </w:instrText>
      </w:r>
      <w:r>
        <w:rPr>
          <w:rFonts w:ascii="Arial" w:eastAsia="Times New Roman" w:hAnsi="Arial" w:cs="Arial"/>
          <w:sz w:val="20"/>
          <w:szCs w:val="20"/>
        </w:rPr>
      </w:r>
      <w:r>
        <w:rPr>
          <w:rFonts w:ascii="Arial" w:eastAsia="Times New Roman" w:hAnsi="Arial" w:cs="Arial"/>
          <w:sz w:val="20"/>
          <w:szCs w:val="20"/>
        </w:rPr>
        <w:fldChar w:fldCharType="separate"/>
      </w:r>
      <w:r w:rsidR="002268A9">
        <w:rPr>
          <w:rFonts w:ascii="Arial" w:eastAsia="Times New Roman" w:hAnsi="Arial" w:cs="Arial"/>
          <w:sz w:val="20"/>
          <w:szCs w:val="20"/>
        </w:rPr>
        <w:t>[4]</w:t>
      </w:r>
      <w:r>
        <w:rPr>
          <w:rFonts w:ascii="Arial" w:eastAsia="Times New Roman" w:hAnsi="Arial" w:cs="Arial"/>
          <w:sz w:val="20"/>
          <w:szCs w:val="20"/>
        </w:rPr>
        <w:fldChar w:fldCharType="end"/>
      </w:r>
      <w:r>
        <w:rPr>
          <w:rFonts w:ascii="Arial" w:eastAsia="Times New Roman" w:hAnsi="Arial" w:cs="Arial"/>
          <w:sz w:val="20"/>
          <w:szCs w:val="20"/>
        </w:rPr>
        <w:t>.</w:t>
      </w:r>
    </w:p>
    <w:p w14:paraId="1EDB4922" w14:textId="77777777" w:rsidR="00D52159" w:rsidRDefault="004A7016">
      <w:pPr>
        <w:pStyle w:val="a6"/>
        <w:rPr>
          <w:rFonts w:eastAsia="Times New Roman" w:cs="Arial"/>
          <w:szCs w:val="20"/>
          <w:lang w:eastAsia="en-US"/>
        </w:rPr>
      </w:pPr>
      <w:r>
        <w:rPr>
          <w:rFonts w:eastAsia="Times New Roman" w:cs="Arial"/>
          <w:szCs w:val="20"/>
          <w:lang w:eastAsia="en-US"/>
        </w:rPr>
        <w:t>A magnitude-aware adaptive design can therefore be considered: for coefficients below a certain magnitude threshold, phase may be quantized with reduced bit width or even omitted; for high-magnitude coefficients, a finer phase resolution should be applied. Such a strategy would allocate more bits to the dominant energy components, achieving a better overhead–performance balance. Under Option 1, this concept could be realized by allowing magnitude-dependent quantization behavior while reporting a fixed baseline parameter set; under Option 4, it could be interpreted as a dynamic phase bit allocation rule between 4 and 6 bits according to the magnitude level.</w:t>
      </w:r>
    </w:p>
    <w:p w14:paraId="5D915DB7"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1-3: Further study magnitude-aware adaptive phase quantization, where phase precision is coarsened for low-magnitude coefficients and refined for high-magnitude coefficients, to achieve better payload-efficiency without notable performance loss.</w:t>
      </w:r>
    </w:p>
    <w:p w14:paraId="2CC51072" w14:textId="77777777" w:rsidR="00D52159" w:rsidRDefault="004A7016">
      <w:pPr>
        <w:spacing w:before="100" w:beforeAutospacing="1" w:after="100" w:afterAutospacing="1"/>
        <w:jc w:val="both"/>
        <w:rPr>
          <w:rFonts w:eastAsia="Times New Roman" w:cs="Arial"/>
          <w:szCs w:val="20"/>
          <w:lang w:val="en-GB"/>
        </w:rPr>
      </w:pPr>
      <w:r>
        <w:rPr>
          <w:rFonts w:eastAsia="Times New Roman" w:cs="Arial"/>
          <w:szCs w:val="20"/>
          <w:lang w:val="en-GB"/>
        </w:rPr>
        <w:t>2.1.1.2 Reducing the NW side data collection when S&gt;1</w:t>
      </w:r>
    </w:p>
    <w:p w14:paraId="1F14AC86" w14:textId="77777777" w:rsidR="00D52159" w:rsidRDefault="004A7016">
      <w:pPr>
        <w:spacing w:before="100" w:beforeAutospacing="1" w:after="100" w:afterAutospacing="1"/>
        <w:jc w:val="both"/>
        <w:rPr>
          <w:rFonts w:eastAsia="Times New Roman" w:cs="Arial"/>
          <w:szCs w:val="20"/>
        </w:rPr>
      </w:pPr>
      <w:r>
        <w:rPr>
          <w:rFonts w:eastAsia="Times New Roman" w:cs="Arial"/>
          <w:szCs w:val="20"/>
          <w:lang w:val="en-GB"/>
        </w:rPr>
        <w:t xml:space="preserve">In RAN1#122bis, it is agreed that for NW side data collection, a number of S=1 is taken as baseline, and using the number of S&gt;1 can be further studied by companies. We advocate that when S&gt;1, </w:t>
      </w:r>
      <w:r>
        <w:rPr>
          <w:rFonts w:eastAsia="Times New Roman" w:cs="Arial"/>
          <w:szCs w:val="20"/>
        </w:rPr>
        <w:t>certain strategies can be employed to further reduce the signaling overhead caused by data collection, including dataset selection and dataset distillation, which aim to reduce the number of real CSI samples to collect while preserving most of the statistical information needed for training.</w:t>
      </w:r>
    </w:p>
    <w:p w14:paraId="772B529D" w14:textId="77777777" w:rsidR="00D52159" w:rsidRDefault="004A7016">
      <w:pPr>
        <w:spacing w:before="100" w:beforeAutospacing="1" w:after="100" w:afterAutospacing="1"/>
        <w:jc w:val="both"/>
        <w:rPr>
          <w:rFonts w:eastAsia="Times New Roman" w:cs="Arial"/>
          <w:szCs w:val="20"/>
        </w:rPr>
      </w:pPr>
      <w:r>
        <w:rPr>
          <w:rFonts w:eastAsia="Times New Roman" w:cs="Arial"/>
          <w:b/>
          <w:bCs/>
          <w:szCs w:val="20"/>
        </w:rPr>
        <w:t>Dataset Selection</w:t>
      </w:r>
      <w:r>
        <w:rPr>
          <w:rFonts w:eastAsia="Times New Roman" w:cs="Arial"/>
          <w:szCs w:val="20"/>
        </w:rPr>
        <w:t>. In this approach, one assumes a large pool of candidate CSI samples (perhaps pre</w:t>
      </w:r>
      <w:r>
        <w:rPr>
          <w:rFonts w:ascii="Times New Roman" w:eastAsia="Times New Roman" w:hAnsi="Times New Roman" w:cs="Times New Roman"/>
          <w:szCs w:val="20"/>
        </w:rPr>
        <w:t>‐</w:t>
      </w:r>
      <w:r>
        <w:rPr>
          <w:rFonts w:eastAsia="Times New Roman" w:cs="Arial"/>
          <w:szCs w:val="20"/>
        </w:rPr>
        <w:t xml:space="preserve">collected or buffered) and seeks to choose a subset that is maximally informative. The rationale is that many CSI samples are redundant or highly correlated (e.g. similar spatial/angular patterns), so discarding them causes little loss in generalization. In the CSI domain, one could cluster samples in transformed domains (e.g. angular-delay domain, beamspace representation) so that each cluster center represents a common propagation pattern. Then the centroids or a handful of representatives per cluster become the training subset. </w:t>
      </w:r>
      <w:r>
        <w:t xml:space="preserve">Another selection strategy is </w:t>
      </w:r>
      <w:r>
        <w:rPr>
          <w:rStyle w:val="aff2"/>
          <w:i w:val="0"/>
          <w:iCs w:val="0"/>
        </w:rPr>
        <w:t>importance sampling</w:t>
      </w:r>
      <w:r>
        <w:t>, where one estimates, for each candidate CSI sample, how much impact it has on model updates (via sensitivity or gradient norm), and selects those with large influence.</w:t>
      </w:r>
    </w:p>
    <w:p w14:paraId="540D4B3E" w14:textId="77777777" w:rsidR="00D52159" w:rsidRDefault="004A7016">
      <w:pPr>
        <w:spacing w:before="100" w:beforeAutospacing="1" w:after="100" w:afterAutospacing="1"/>
        <w:jc w:val="both"/>
        <w:rPr>
          <w:rFonts w:eastAsia="Times New Roman" w:cs="Arial"/>
          <w:szCs w:val="20"/>
        </w:rPr>
      </w:pPr>
      <w:r>
        <w:rPr>
          <w:rFonts w:eastAsia="Times New Roman" w:cs="Arial"/>
          <w:b/>
          <w:bCs/>
          <w:szCs w:val="20"/>
        </w:rPr>
        <w:t>Dataset Distillation</w:t>
      </w:r>
      <w:r>
        <w:rPr>
          <w:rFonts w:eastAsia="Times New Roman" w:cs="Arial"/>
          <w:szCs w:val="20"/>
        </w:rPr>
        <w:t xml:space="preserve">. Distillation takes this idea further: instead of selecting from real CSI samples, it synthesizes a small set of virtual CSI matrices that encapsulate the essential statistical information of the full dataset. The distilled set is optimized so that training (or fine-tuning) a model on it approximates the performance of training on the original, much larger dataset. In machine learning, dataset distillation is often cast as a bi-level or meta-learning optimization: the synthetic data are chosen so that a few gradient steps on </w:t>
      </w:r>
      <w:r>
        <w:rPr>
          <w:rFonts w:eastAsia="Times New Roman" w:cs="Arial"/>
          <w:szCs w:val="20"/>
        </w:rPr>
        <w:lastRenderedPageBreak/>
        <w:t xml:space="preserve">them yield model parameters that generalize well over the real data distribution. There are several classes of distillation strategies. One is gradient matching, where the aim is to make the gradient of the loss on the distilled set match that on the full set. Another is trajectory matching, which tries to match the optimization trajectory of training on full data with that on distilled data. A third is distribution matching, which ensures that the feature distributions (e.g. in hidden layers) induced by synthetic data resemble those from real data. Recent efforts also propose scalable generative distillation, where a parametric generative model is used to produce distilled samples, enabling scaling to high-dimensional data (e.g. images). In the CSI feedback context, one could distill only a few hundred synthetic channel matrices </w:t>
      </w:r>
      <m:oMath>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Pr>
          <w:rFonts w:eastAsia="Times New Roman" w:cs="Arial"/>
          <w:szCs w:val="20"/>
        </w:rPr>
        <w:t xml:space="preserve">} per environment. The training objective would be designed so that a decoder (or autoencoder) trained on </w:t>
      </w:r>
      <m:oMath>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Pr>
          <w:rFonts w:eastAsia="Times New Roman" w:cs="Arial"/>
          <w:szCs w:val="20"/>
        </w:rPr>
        <w:t xml:space="preserve"> shows comparable generalization to one trained on tens or hundreds of thousands of real CSI samples. Because the distilled set is small, the overhead for transmitting these synthetic matrices (or their compact representation) is minimal. Moreover, retraining or fine-tuning becomes far faster, allowing more agile adaptation.</w:t>
      </w:r>
    </w:p>
    <w:p w14:paraId="1D0C6D41"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In summary, dataset selection and dataset distillation offer realistic and powerful means to reduce signaling and training overhead in CSI feedback systems. Selection trades off redundancy vs. representativeness within real samples, while distillation distills knowledge into an ultra</w:t>
      </w:r>
      <w:r>
        <w:rPr>
          <w:rFonts w:ascii="Times New Roman" w:eastAsia="Times New Roman" w:hAnsi="Times New Roman" w:cs="Times New Roman"/>
          <w:szCs w:val="20"/>
        </w:rPr>
        <w:t>‐</w:t>
      </w:r>
      <w:r>
        <w:rPr>
          <w:rFonts w:eastAsia="Times New Roman" w:cs="Arial"/>
          <w:szCs w:val="20"/>
        </w:rPr>
        <w:t>compact synthetic set. These techniques can dramatically lower the cost of data collection while maintaining high reconstruction fidelity in training two-side CSI compression models.</w:t>
      </w:r>
    </w:p>
    <w:p w14:paraId="00C82764"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 xml:space="preserve">Proposal 1-4: Study how to reduce data collection signaling overhead for training two-side CSI compression model when S&gt;1. </w:t>
      </w:r>
    </w:p>
    <w:p w14:paraId="199BD377"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1-5: Study the dataset selection and dataset distillation-based method to further reduce the data collection signaling overhead.</w:t>
      </w:r>
    </w:p>
    <w:p w14:paraId="0A0C2F30" w14:textId="77777777" w:rsidR="00D52159" w:rsidRDefault="004A7016">
      <w:pPr>
        <w:pStyle w:val="31"/>
        <w:ind w:left="0" w:firstLine="0"/>
      </w:pPr>
      <w:r>
        <w:t>2.1.2 Discussion on Mitigating Data Collection Requirements with Data-free CSI compression Model Training</w:t>
      </w:r>
    </w:p>
    <w:p w14:paraId="107AF0D6" w14:textId="19D135EF" w:rsidR="00D52159" w:rsidRDefault="004A7016">
      <w:pPr>
        <w:spacing w:before="100" w:beforeAutospacing="1" w:after="100" w:afterAutospacing="1"/>
        <w:jc w:val="both"/>
      </w:pPr>
      <w:r>
        <w:rPr>
          <w:rFonts w:eastAsia="Times New Roman" w:cs="Arial"/>
          <w:szCs w:val="20"/>
        </w:rPr>
        <w:t xml:space="preserve">In previous discussion, the two-side CSI compression model requires data collection for model training/fine-tuning, which incurs additional signaling overhead. In </w:t>
      </w:r>
      <w:r>
        <w:rPr>
          <w:rFonts w:eastAsia="Times New Roman" w:cs="Arial"/>
          <w:szCs w:val="20"/>
        </w:rPr>
        <w:fldChar w:fldCharType="begin"/>
      </w:r>
      <w:r>
        <w:rPr>
          <w:rFonts w:eastAsia="Times New Roman" w:cs="Arial"/>
          <w:szCs w:val="20"/>
        </w:rPr>
        <w:instrText xml:space="preserve"> REF _Ref213239800 \r \h </w:instrText>
      </w:r>
      <w:r>
        <w:rPr>
          <w:rFonts w:eastAsia="Times New Roman" w:cs="Arial"/>
          <w:szCs w:val="20"/>
        </w:rPr>
      </w:r>
      <w:r>
        <w:rPr>
          <w:rFonts w:eastAsia="Times New Roman" w:cs="Arial"/>
          <w:szCs w:val="20"/>
        </w:rPr>
        <w:fldChar w:fldCharType="separate"/>
      </w:r>
      <w:r w:rsidR="002268A9">
        <w:rPr>
          <w:rFonts w:eastAsia="Times New Roman" w:cs="Arial"/>
          <w:szCs w:val="20"/>
        </w:rPr>
        <w:t>[5]</w:t>
      </w:r>
      <w:r>
        <w:rPr>
          <w:rFonts w:eastAsia="Times New Roman" w:cs="Arial"/>
          <w:szCs w:val="20"/>
        </w:rPr>
        <w:fldChar w:fldCharType="end"/>
      </w:r>
      <w:r>
        <w:rPr>
          <w:rFonts w:eastAsia="Times New Roman" w:cs="Arial"/>
          <w:szCs w:val="20"/>
        </w:rPr>
        <w:t xml:space="preserve">, a novel CSI compression model training scheme is proposed to avoid signaling overhead of CSI data collection. </w:t>
      </w:r>
      <w:r>
        <w:t xml:space="preserve">To be specific, this work introduces a </w:t>
      </w:r>
      <w:r>
        <w:rPr>
          <w:rStyle w:val="aff"/>
          <w:b w:val="0"/>
          <w:bCs w:val="0"/>
        </w:rPr>
        <w:t>CSI-free unsupervised online learning framework</w:t>
      </w:r>
      <w:r>
        <w:t xml:space="preserve"> that allows the BS to adapt its decoder network to new channel statistics without requiring additional CSI transmission. The core idea is deceptively simple yet powerful: instead of using the ground-truth CSI as a training label, the BS exploits only the codewords already fed back by the UE. By comparing the codewords reconstructed from its own decoder output with the original received codewords, the BS obtains a self-supervised signal that guides online adaptation. In this way, online fine-tuning is achieved without imposing any new communication overhead.</w:t>
      </w:r>
    </w:p>
    <w:p w14:paraId="5775F9E6"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In a conventional two-side model-based CSI compression, the CSI matrix, denoted here as </w:t>
      </w:r>
      <m:oMath>
        <m:r>
          <m:rPr>
            <m:sty m:val="b"/>
          </m:rPr>
          <w:rPr>
            <w:rFonts w:ascii="Cambria Math" w:eastAsia="Times New Roman" w:hAnsi="Cambria Math" w:cs="Arial"/>
            <w:szCs w:val="20"/>
          </w:rPr>
          <m:t>H</m:t>
        </m:r>
      </m:oMath>
      <w:r>
        <w:rPr>
          <w:rFonts w:eastAsia="Times New Roman" w:cs="Arial"/>
          <w:szCs w:val="20"/>
        </w:rPr>
        <w:t xml:space="preserve">, is compressed at the UE by an encoder network into a compact codeword vector </w:t>
      </w:r>
      <m:oMath>
        <m:r>
          <m:rPr>
            <m:sty m:val="b"/>
          </m:rPr>
          <w:rPr>
            <w:rFonts w:ascii="Cambria Math" w:eastAsia="Times New Roman" w:hAnsi="Cambria Math" w:cs="Arial"/>
            <w:szCs w:val="20"/>
          </w:rPr>
          <m:t>s</m:t>
        </m:r>
      </m:oMath>
      <w:r>
        <w:rPr>
          <w:rFonts w:eastAsia="Times New Roman" w:cs="Arial"/>
          <w:szCs w:val="20"/>
        </w:rPr>
        <w:t>. This vector is transmitted to the BS, which then applies a decoder network to reconstruct the CSI as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Pr>
          <w:rFonts w:eastAsia="Times New Roman" w:cs="Arial"/>
          <w:szCs w:val="20"/>
        </w:rPr>
        <w:t xml:space="preserve">). The encoder and decoder can be jointly trained, with the objective of minimizing the mean-squared error (MSE) between </w:t>
      </w:r>
      <m:oMath>
        <m:r>
          <m:rPr>
            <m:sty m:val="b"/>
          </m:rPr>
          <w:rPr>
            <w:rFonts w:ascii="Cambria Math" w:eastAsia="Times New Roman" w:hAnsi="Cambria Math" w:cs="Arial"/>
            <w:szCs w:val="20"/>
          </w:rPr>
          <m:t>H</m:t>
        </m:r>
      </m:oMath>
      <w:r>
        <w:rPr>
          <w:rFonts w:eastAsia="Times New Roman" w:cs="Arial"/>
          <w:szCs w:val="20"/>
        </w:rPr>
        <w:t xml:space="preserve"> and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Pr>
          <w:rFonts w:eastAsia="Times New Roman" w:cs="Arial"/>
          <w:szCs w:val="20"/>
        </w:rPr>
        <w:t xml:space="preserve">. Formally, if we denote the encoder as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oMath>
      <w:r>
        <w:rPr>
          <w:rFonts w:eastAsia="Times New Roman" w:cs="Arial"/>
          <w:szCs w:val="20"/>
        </w:rPr>
        <w:t xml:space="preserve"> and the decoder as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oMath>
      <w:r>
        <w:rPr>
          <w:rFonts w:eastAsia="Times New Roman" w:cs="Arial"/>
          <w:szCs w:val="20"/>
        </w:rPr>
        <w:t>, the conventional loss function is expressed as</w:t>
      </w:r>
      <w:r>
        <w:rPr>
          <w:rFonts w:eastAsia="Times New Roman" w:cs="Arial"/>
          <w:szCs w:val="20"/>
        </w:rPr>
        <w:br/>
      </w:r>
      <m:oMathPara>
        <m:oMath>
          <m:r>
            <m:rPr>
              <m:scr m:val="script"/>
              <m:sty m:val="p"/>
            </m:rPr>
            <w:rPr>
              <w:rFonts w:ascii="Cambria Math" w:eastAsia="Times New Roman" w:hAnsi="Cambria Math" w:cs="Arial"/>
              <w:szCs w:val="20"/>
            </w:rPr>
            <m:t>L</m:t>
          </m:r>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f>
            <m:fPr>
              <m:ctrlPr>
                <w:rPr>
                  <w:rFonts w:ascii="Cambria Math" w:eastAsia="Times New Roman" w:hAnsi="Cambria Math" w:cs="Arial"/>
                  <w:szCs w:val="20"/>
                </w:rPr>
              </m:ctrlPr>
            </m:fPr>
            <m:num>
              <m:r>
                <m:rPr>
                  <m:sty m:val="p"/>
                </m:rPr>
                <w:rPr>
                  <w:rFonts w:ascii="Cambria Math" w:eastAsia="Times New Roman" w:hAnsi="Cambria Math" w:cs="Arial"/>
                  <w:szCs w:val="20"/>
                </w:rPr>
                <m:t>1</m:t>
              </m:r>
            </m:num>
            <m:den>
              <m:r>
                <w:rPr>
                  <w:rFonts w:ascii="Cambria Math" w:eastAsia="Times New Roman" w:hAnsi="Cambria Math" w:cs="Arial"/>
                  <w:szCs w:val="20"/>
                </w:rPr>
                <m:t>T</m:t>
              </m:r>
            </m:den>
          </m:f>
          <m:nary>
            <m:naryPr>
              <m:chr m:val="∑"/>
              <m:ctrlPr>
                <w:rPr>
                  <w:rFonts w:ascii="Cambria Math" w:eastAsia="Times New Roman" w:hAnsi="Cambria Math" w:cs="Arial"/>
                  <w:szCs w:val="20"/>
                </w:rPr>
              </m:ctrlPr>
            </m:naryPr>
            <m:sub>
              <m:r>
                <w:rPr>
                  <w:rFonts w:ascii="Cambria Math" w:eastAsia="Times New Roman" w:hAnsi="Cambria Math" w:cs="Arial"/>
                  <w:szCs w:val="20"/>
                </w:rPr>
                <m:t>t</m:t>
              </m:r>
              <m:r>
                <m:rPr>
                  <m:sty m:val="p"/>
                </m:rPr>
                <w:rPr>
                  <w:rFonts w:ascii="Cambria Math" w:eastAsia="Times New Roman" w:hAnsi="Cambria Math" w:cs="Arial"/>
                  <w:szCs w:val="20"/>
                </w:rPr>
                <m:t>=1</m:t>
              </m:r>
            </m:sub>
            <m:sup>
              <m:r>
                <w:rPr>
                  <w:rFonts w:ascii="Cambria Math" w:eastAsia="Times New Roman" w:hAnsi="Cambria Math" w:cs="Arial"/>
                  <w:szCs w:val="20"/>
                </w:rPr>
                <m:t>T</m:t>
              </m:r>
            </m:sup>
            <m:e>
              <m:r>
                <m:rPr>
                  <m:lit/>
                  <m:sty m:val="p"/>
                </m:rPr>
                <w:rPr>
                  <w:rFonts w:ascii="Cambria Math" w:eastAsia="Times New Roman" w:hAnsi="Cambria Math" w:cs="Arial"/>
                  <w:szCs w:val="20"/>
                </w:rPr>
                <m:t>||</m:t>
              </m:r>
            </m:e>
          </m:nary>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sSubSup>
            <m:sSubSupPr>
              <m:ctrlPr>
                <w:rPr>
                  <w:rFonts w:ascii="Cambria Math" w:eastAsia="Times New Roman" w:hAnsi="Cambria Math" w:cs="Arial"/>
                  <w:szCs w:val="20"/>
                </w:rPr>
              </m:ctrlPr>
            </m:sSubSupPr>
            <m:e>
              <m:r>
                <m:rPr>
                  <m:sty m:val="p"/>
                </m:rPr>
                <w:rPr>
                  <w:rFonts w:ascii="Cambria Math" w:eastAsia="Times New Roman" w:hAnsi="Cambria Math" w:cs="Arial"/>
                  <w:szCs w:val="20"/>
                </w:rPr>
                <m:t>||</m:t>
              </m:r>
            </m:e>
            <m:sub>
              <m:r>
                <m:rPr>
                  <m:sty m:val="p"/>
                </m:rPr>
                <w:rPr>
                  <w:rFonts w:ascii="Cambria Math" w:eastAsia="Times New Roman" w:hAnsi="Cambria Math" w:cs="Arial"/>
                  <w:szCs w:val="20"/>
                </w:rPr>
                <m:t>2</m:t>
              </m:r>
            </m:sub>
            <m:sup>
              <m:r>
                <m:rPr>
                  <m:sty m:val="p"/>
                </m:rPr>
                <w:rPr>
                  <w:rFonts w:ascii="Cambria Math" w:eastAsia="Times New Roman" w:hAnsi="Cambria Math" w:cs="Arial"/>
                  <w:szCs w:val="20"/>
                </w:rPr>
                <m:t>2</m:t>
              </m:r>
            </m:sup>
          </m:sSubSup>
          <m:r>
            <m:rPr>
              <m:sty m:val="p"/>
            </m:rPr>
            <w:rPr>
              <w:rFonts w:ascii="Cambria Math" w:eastAsia="Times New Roman" w:hAnsi="Cambria Math" w:cs="Arial"/>
              <w:szCs w:val="20"/>
            </w:rPr>
            <m:t>,</m:t>
          </m:r>
        </m:oMath>
      </m:oMathPara>
    </w:p>
    <w:p w14:paraId="6400DEE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where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Pr>
          <w:rFonts w:eastAsia="Times New Roman" w:cs="Arial"/>
          <w:szCs w:val="20"/>
        </w:rPr>
        <w:t xml:space="preserve"> denotes the CSI sample at the </w:t>
      </w:r>
      <m:oMath>
        <m:r>
          <w:rPr>
            <w:rFonts w:ascii="Cambria Math" w:eastAsia="Times New Roman" w:hAnsi="Cambria Math" w:cs="Arial"/>
            <w:szCs w:val="20"/>
          </w:rPr>
          <m:t>t</m:t>
        </m:r>
      </m:oMath>
      <w:r>
        <w:rPr>
          <w:rFonts w:eastAsia="Times New Roman" w:cs="Arial"/>
          <w:szCs w:val="20"/>
        </w:rPr>
        <w:t xml:space="preserve">-th training instance. This formulation requires that the BS has access to intact CSI matrices as ground truth, which is unrealistic for online adaptation. Moreover, the cost of continuously collecting new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Pr>
          <w:rFonts w:eastAsia="Times New Roman" w:cs="Arial"/>
          <w:szCs w:val="20"/>
        </w:rPr>
        <w:t xml:space="preserve"> samples across environments quickly becomes prohibitive. Therefore, the central question becomes: how can the decoder adapt to new channel statistics without requiring intact CSI as labels? To overcome the above limitation, the proposed method introduces an unsupervised online learning framework that makes use of only the received codewords. The key observation is that the BS, although lacking access to ground-truth CSI matrices, always has access to the codeword </w:t>
      </w:r>
      <m:oMath>
        <m:r>
          <m:rPr>
            <m:sty m:val="b"/>
          </m:rPr>
          <w:rPr>
            <w:rFonts w:ascii="Cambria Math" w:eastAsia="Times New Roman" w:hAnsi="Cambria Math" w:cs="Arial"/>
            <w:szCs w:val="20"/>
          </w:rPr>
          <m:t>s</m:t>
        </m:r>
      </m:oMath>
      <w:r>
        <w:rPr>
          <w:rFonts w:eastAsia="Times New Roman" w:cs="Arial"/>
          <w:szCs w:val="20"/>
        </w:rPr>
        <w:t xml:space="preserve"> fed back by the UE. The decoder output is expressed as</w:t>
      </w:r>
      <w:r>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oMath>
      </m:oMathPara>
    </w:p>
    <w:p w14:paraId="1075480D"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Since the encoder function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oMath>
      <w:r>
        <w:rPr>
          <w:rFonts w:eastAsia="Times New Roman" w:cs="Arial"/>
          <w:szCs w:val="20"/>
        </w:rPr>
        <w:t xml:space="preserve"> is already known to the BS, the reconstructed CSI can be re-compressed into a new codeword:</w:t>
      </w:r>
      <w:r>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s</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r>
            <w:rPr>
              <w:rFonts w:ascii="Cambria Math" w:eastAsia="Times New Roman" w:hAnsi="Cambria Math" w:cs="Arial"/>
              <w:szCs w:val="20"/>
            </w:rPr>
            <m:t>.</m:t>
          </m:r>
        </m:oMath>
      </m:oMathPara>
    </w:p>
    <w:p w14:paraId="7E59CA4C"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This re-encoded codeword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s</m:t>
            </m:r>
          </m:e>
        </m:acc>
      </m:oMath>
      <w:r>
        <w:rPr>
          <w:rFonts w:eastAsia="Times New Roman" w:cs="Arial"/>
          <w:szCs w:val="20"/>
        </w:rPr>
        <w:t xml:space="preserve"> is then compared with the originally received </w:t>
      </w:r>
      <m:oMath>
        <m:r>
          <m:rPr>
            <m:sty m:val="b"/>
          </m:rPr>
          <w:rPr>
            <w:rFonts w:ascii="Cambria Math" w:eastAsia="Times New Roman" w:hAnsi="Cambria Math" w:cs="Arial"/>
            <w:szCs w:val="20"/>
          </w:rPr>
          <m:t>s</m:t>
        </m:r>
      </m:oMath>
      <w:r>
        <w:rPr>
          <w:rFonts w:eastAsia="Times New Roman" w:cs="Arial"/>
          <w:szCs w:val="20"/>
        </w:rPr>
        <w:t>. Their difference provides a natural self-supervised loss:</w:t>
      </w:r>
      <w:r>
        <w:rPr>
          <w:rFonts w:eastAsia="Times New Roman" w:cs="Arial"/>
          <w:szCs w:val="20"/>
        </w:rPr>
        <w:br/>
      </w:r>
      <m:oMathPara>
        <m:oMath>
          <m:r>
            <m:rPr>
              <m:scr m:val="script"/>
            </m:rPr>
            <w:rPr>
              <w:rFonts w:ascii="Cambria Math" w:eastAsia="Times New Roman" w:hAnsi="Cambria Math" w:cs="Arial"/>
              <w:szCs w:val="20"/>
            </w:rPr>
            <m:t>L</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ctrlPr>
                <w:rPr>
                  <w:rFonts w:ascii="Cambria Math" w:eastAsia="Times New Roman" w:hAnsi="Cambria Math" w:cs="Arial"/>
                  <w:i/>
                  <w:szCs w:val="20"/>
                </w:rPr>
              </m:ctrlPr>
            </m:e>
          </m:nary>
        </m:oMath>
      </m:oMathPara>
    </w:p>
    <w:p w14:paraId="55B2D2EC"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Unlike conventional supervised learning, this loss requires no ground-truth CSI labels. Only the decoder parameters are updated, while the encoder remains fixed. This training objective enforces a self-consistency constraint: the reconstructed CSI must be such that, when passed through the encoder again, it yields codewords close to the originals. Intuitively, if the decoder fails to adapt to new channel statistics, its reconstructions will encode into codewords far from the inputs. Conversely, if the decoder learns the new statistics correctly, the loop will converge, and the mismatch will diminish. Thus, the decoder gradually aligns its reconstruction behavior with the statistical properties of the current environment—without ever observing the ground-truth </w:t>
      </w:r>
      <m:oMath>
        <m:r>
          <m:rPr>
            <m:sty m:val="b"/>
          </m:rPr>
          <w:rPr>
            <w:rFonts w:ascii="Cambria Math" w:eastAsia="Times New Roman" w:hAnsi="Cambria Math" w:cs="Arial"/>
            <w:szCs w:val="20"/>
          </w:rPr>
          <m:t>H</m:t>
        </m:r>
      </m:oMath>
      <w:r>
        <w:rPr>
          <w:rFonts w:eastAsia="Times New Roman" w:cs="Arial"/>
          <w:szCs w:val="20"/>
        </w:rPr>
        <w:t>. This mechanism transforms deployment into a continuous adaptation process where every newly received codeword contributes to refining the model.</w:t>
      </w:r>
    </w:p>
    <w:p w14:paraId="485297C1"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drawing>
          <wp:inline distT="0" distB="0" distL="0" distR="0" wp14:anchorId="120D3CCD" wp14:editId="20E242D1">
            <wp:extent cx="4474845" cy="13589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4504641" cy="1367890"/>
                    </a:xfrm>
                    <a:prstGeom prst="rect">
                      <a:avLst/>
                    </a:prstGeom>
                  </pic:spPr>
                </pic:pic>
              </a:graphicData>
            </a:graphic>
          </wp:inline>
        </w:drawing>
      </w:r>
    </w:p>
    <w:p w14:paraId="23948FCC"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1-1 Illustration of CSI-free unsupervised CSI compression method</w:t>
      </w:r>
    </w:p>
    <w:p w14:paraId="155D3FE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While the basic unsupervised loop is effective, further accuracy and robustness can be obtained by introducing additional refinement networks. Two complementary strategies are proposed: series refinement and parallel refinement. In the series structure, the decoder reconstruction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oMath>
      <w:r>
        <w:rPr>
          <w:rFonts w:eastAsia="Times New Roman" w:cs="Arial"/>
          <w:szCs w:val="20"/>
        </w:rPr>
        <w:t xml:space="preserve"> is regarded as a coarse estimate. An additional refinement network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oMath>
      <w:r>
        <w:rPr>
          <w:rFonts w:eastAsia="Times New Roman" w:cs="Arial"/>
          <w:szCs w:val="20"/>
        </w:rPr>
        <w:t xml:space="preserve"> is applied in series:</w:t>
      </w:r>
      <w:r>
        <w:rPr>
          <w:rFonts w:eastAsia="Times New Roman" w:cs="Arial"/>
          <w:szCs w:val="20"/>
        </w:rPr>
        <w:br/>
      </w:r>
      <m:oMathPara>
        <m:oMath>
          <m:sSup>
            <m:sSupPr>
              <m:ctrlPr>
                <w:rPr>
                  <w:rFonts w:ascii="Cambria Math" w:eastAsia="Times New Roman" w:hAnsi="Cambria Math" w:cs="Arial"/>
                  <w:i/>
                  <w:szCs w:val="20"/>
                </w:rPr>
              </m:ctrlPr>
            </m:sSupPr>
            <m:e>
              <w:bookmarkStart w:id="1" w:name="_Hlk210168392"/>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w:bookmarkEnd w:id="1"/>
            </m:sup>
          </m:sSup>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r>
            <w:rPr>
              <w:rFonts w:ascii="Cambria Math" w:eastAsia="Times New Roman" w:hAnsi="Cambria Math" w:cs="Arial"/>
              <w:szCs w:val="20"/>
            </w:rPr>
            <m:t>.</m:t>
          </m:r>
        </m:oMath>
      </m:oMathPara>
    </w:p>
    <w:p w14:paraId="356A577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The updated CSI </w:t>
      </w:r>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oMath>
      <w:r>
        <w:rPr>
          <w:rFonts w:eastAsia="Times New Roman" w:cs="Arial"/>
          <w:szCs w:val="20"/>
        </w:rPr>
        <w:t xml:space="preserve"> is then re-encoded, and the codeword-based loss is defined as</w:t>
      </w:r>
      <w:r>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w:rPr>
                      <w:rFonts w:ascii="Cambria Math" w:eastAsia="Times New Roman" w:hAnsi="Cambria Math" w:cs="Arial"/>
                      <w:szCs w:val="20"/>
                    </w:rPr>
                    <m:t>se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w:rPr>
              <w:rFonts w:ascii="Cambria Math" w:eastAsia="Times New Roman" w:hAnsi="Cambria Math" w:cs="Arial"/>
              <w:szCs w:val="20"/>
            </w:rPr>
            <m:t>+λ||</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e>
          </m:d>
          <m:r>
            <w:rPr>
              <w:rFonts w:ascii="Cambria Math" w:eastAsia="Times New Roman" w:hAnsi="Cambria Math" w:cs="Arial"/>
              <w:szCs w:val="20"/>
            </w:rPr>
            <m:t>-f</m:t>
          </m:r>
          <m:r>
            <m:rPr>
              <m:nor/>
            </m:rPr>
            <w:rPr>
              <w:rFonts w:ascii="Cambria Math" w:eastAsia="Times New Roman" w:hAnsi="Cambria Math" w:cs="Arial"/>
              <w:szCs w:val="20"/>
            </w:rPr>
            <m:t>de</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oMath>
      </m:oMathPara>
    </w:p>
    <w:p w14:paraId="4BAB41EF"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Here, the regularization term weighted by </w:t>
      </w:r>
      <m:oMath>
        <m:r>
          <m:rPr>
            <m:sty m:val="p"/>
          </m:rPr>
          <w:rPr>
            <w:rFonts w:ascii="Cambria Math" w:eastAsia="Times New Roman" w:hAnsi="Cambria Math" w:cs="Arial"/>
            <w:szCs w:val="20"/>
          </w:rPr>
          <m:t>λ</m:t>
        </m:r>
      </m:oMath>
      <w:r>
        <w:rPr>
          <w:rFonts w:eastAsia="Times New Roman" w:cs="Arial"/>
          <w:szCs w:val="20"/>
        </w:rPr>
        <w:t xml:space="preserve"> ensures that the refined CSI remains close to the original decoder output. This design reflects the fact that, even under distribution shift, the decoder output is not completely useless—it provides a rough baseline that the refinement block can improve upon. The series structure is particularly beneficial when the offline-trained decoder is relatively weak, for example, due to limited training data. In such cases, the decoder may leave significant residual errors, which the series block can directly correct. The parallel structure adopts a different philosophy. Instead of refining the decoder output exclusively, it introduces an auxiliary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oMath>
      <w:r>
        <w:rPr>
          <w:rFonts w:eastAsia="Times New Roman" w:cs="Arial"/>
          <w:szCs w:val="20"/>
        </w:rPr>
        <w:t xml:space="preserve"> that directly extracts additional information from the codeword:</w:t>
      </w:r>
      <w:r>
        <w:rPr>
          <w:rFonts w:eastAsia="Times New Roman" w:cs="Arial"/>
          <w:szCs w:val="20"/>
        </w:rPr>
        <w:br/>
      </w:r>
      <m:oMathPara>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oMath>
      </m:oMathPara>
    </w:p>
    <w:p w14:paraId="040D3A68"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The corresponding loss is</w:t>
      </w:r>
      <w:r>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m:rPr>
              <m:sty m:val="p"/>
            </m:rPr>
            <w:rPr>
              <w:rFonts w:ascii="Cambria Math" w:eastAsia="Times New Roman" w:hAnsi="Cambria Math" w:cs="Arial"/>
              <w:szCs w:val="20"/>
            </w:rPr>
            <m:t>+λ</m:t>
          </m:r>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r>
            <m:rPr>
              <m:sty m:val="p"/>
            </m:rPr>
            <w:rPr>
              <w:rFonts w:ascii="Cambria Math" w:eastAsia="Times New Roman" w:hAnsi="Cambria Math" w:cs="Arial"/>
              <w:szCs w:val="20"/>
            </w:rPr>
            <w:br/>
          </m:r>
        </m:oMath>
      </m:oMathPara>
      <w:r>
        <w:rPr>
          <w:rFonts w:eastAsia="Times New Roman" w:cs="Arial"/>
          <w:szCs w:val="20"/>
        </w:rPr>
        <w:t>In this setup, the parallel block supplements the decoder output with residual information directly inferred from the input codeword. This design is especially powerful when the decoder is already well-trained, since the parallel block does not disrupt its baseline reconstruction but instead contributes complementary corrections.</w:t>
      </w:r>
    </w:p>
    <w:p w14:paraId="0A864D53"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lastRenderedPageBreak/>
        <w:drawing>
          <wp:inline distT="0" distB="0" distL="0" distR="0" wp14:anchorId="232A0433" wp14:editId="1DEFDBD1">
            <wp:extent cx="4640580" cy="134048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1"/>
                    <a:srcRect b="61824"/>
                    <a:stretch>
                      <a:fillRect/>
                    </a:stretch>
                  </pic:blipFill>
                  <pic:spPr>
                    <a:xfrm>
                      <a:off x="0" y="0"/>
                      <a:ext cx="4661536" cy="1346815"/>
                    </a:xfrm>
                    <a:prstGeom prst="rect">
                      <a:avLst/>
                    </a:prstGeom>
                    <a:ln>
                      <a:noFill/>
                    </a:ln>
                  </pic:spPr>
                </pic:pic>
              </a:graphicData>
            </a:graphic>
          </wp:inline>
        </w:drawing>
      </w:r>
    </w:p>
    <w:p w14:paraId="5D511CB4"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1-2 Illustration of CSI-free unsupervised CSI compression method with series block-based enhancement</w:t>
      </w:r>
    </w:p>
    <w:p w14:paraId="0BC6FE09" w14:textId="77777777" w:rsidR="00D52159" w:rsidRDefault="00D52159">
      <w:pPr>
        <w:spacing w:before="100" w:beforeAutospacing="1" w:after="100" w:afterAutospacing="1"/>
        <w:jc w:val="center"/>
        <w:rPr>
          <w:rFonts w:eastAsia="Times New Roman" w:cs="Arial"/>
          <w:szCs w:val="20"/>
        </w:rPr>
      </w:pPr>
    </w:p>
    <w:p w14:paraId="6C0C4E2C"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drawing>
          <wp:inline distT="0" distB="0" distL="0" distR="0" wp14:anchorId="15D098C0" wp14:editId="7E80BD96">
            <wp:extent cx="4519930" cy="1777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srcRect t="48045"/>
                    <a:stretch>
                      <a:fillRect/>
                    </a:stretch>
                  </pic:blipFill>
                  <pic:spPr>
                    <a:xfrm>
                      <a:off x="0" y="0"/>
                      <a:ext cx="4534539" cy="1782999"/>
                    </a:xfrm>
                    <a:prstGeom prst="rect">
                      <a:avLst/>
                    </a:prstGeom>
                    <a:ln>
                      <a:noFill/>
                    </a:ln>
                  </pic:spPr>
                </pic:pic>
              </a:graphicData>
            </a:graphic>
          </wp:inline>
        </w:drawing>
      </w:r>
    </w:p>
    <w:p w14:paraId="2F1FE2F3"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1-3 Illustration of CSI-free unsupervised CSI compression method with parallel block-based enhancement</w:t>
      </w:r>
    </w:p>
    <w:p w14:paraId="75524C95"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To evaluate the effectiveness of the proposed method, CSI datasets were generated using the QuaDRiGa simulator under the 3GPP TR 38.901 specification. Two distinct environments were considered, referred to as Env 1 and Env 2, in order to emulate a shift in channel statistics. In Env 1, the autoencoder was trained offline with the conventional supervised loss, providing high reconstruction accuracy when tested within the same environment. However, when the trained model was directly applied to Env 2, a clear performance degradation was observed, confirming that even modest statistical differences between environments can significantly impair feedback accuracy. The proposed unsupervised online learning strategy was then applied in Env 2, where only the codewords were available to the BS. By using the codeword-based self-consistency loss, the decoder was fine-tuned without requiring ground-truth CSI. Simulation results show that this adaptation mechanism effectively restored much of the lost performance. For instance, with compression ratio 1/4, the NMSE degraded from approximately −10.5 dB in Env 1 to −6.3 dB in Env 2 when no adaptation was applied. After unsupervised online fine-tuning, the accuracy improved to around −9 dB, representing a substantial recovery. Both the series and parallel refinement structures exhibited evident performance gains, with the series design being slightly more effective when the baseline decoder was weaker, and the parallel design showing advantages when the baseline was stronger. In summary, the results clearly demonstrate that the proposed method can compensate for environment-induced distribution shifts and recover feedback accuracy close to the offline-trained optimum, while incurring no additional communication overhead.</w:t>
      </w:r>
    </w:p>
    <w:p w14:paraId="7150D4D4"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1-6: Further discuss the possibility of alleviating data collection requirements by introducing CSI-free unsupervised CSI compression model training scheme.</w:t>
      </w:r>
    </w:p>
    <w:p w14:paraId="4501CE03"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1-7: Study whether CSI-free unsupervised CSI compression model training scheme can co-exist with ordinary CSI compression model training scheme.</w:t>
      </w:r>
    </w:p>
    <w:p w14:paraId="714932D0" w14:textId="77777777" w:rsidR="00D52159" w:rsidRDefault="004A7016">
      <w:pPr>
        <w:pStyle w:val="21"/>
      </w:pPr>
      <w:r>
        <w:t xml:space="preserve">2.2 </w:t>
      </w:r>
      <w:r>
        <w:tab/>
        <w:t>Performance monitoring</w:t>
      </w:r>
    </w:p>
    <w:p w14:paraId="202F3AB8" w14:textId="77777777" w:rsidR="00D52159" w:rsidRDefault="004A7016">
      <w:pPr>
        <w:spacing w:before="100" w:beforeAutospacing="1" w:after="100" w:afterAutospacing="1"/>
        <w:rPr>
          <w:rFonts w:eastAsia="Times New Roman" w:cs="Arial"/>
          <w:szCs w:val="20"/>
        </w:rPr>
      </w:pPr>
      <w:bookmarkStart w:id="2" w:name="OLE_LINK3"/>
      <w:r>
        <w:rPr>
          <w:rFonts w:eastAsia="Times New Roman" w:cs="Arial"/>
          <w:szCs w:val="20"/>
        </w:rPr>
        <w:t>In Rel-19 RAN1 discussions, the following agreements were made related performance monitoring and error cause identification for CSI compression use case:</w:t>
      </w:r>
    </w:p>
    <w:tbl>
      <w:tblPr>
        <w:tblStyle w:val="afe"/>
        <w:tblW w:w="0" w:type="auto"/>
        <w:tblLook w:val="04A0" w:firstRow="1" w:lastRow="0" w:firstColumn="1" w:lastColumn="0" w:noHBand="0" w:noVBand="1"/>
      </w:tblPr>
      <w:tblGrid>
        <w:gridCol w:w="9629"/>
      </w:tblGrid>
      <w:tr w:rsidR="00D52159" w14:paraId="42FF1A42" w14:textId="77777777">
        <w:tc>
          <w:tcPr>
            <w:tcW w:w="9629" w:type="dxa"/>
          </w:tcPr>
          <w:p w14:paraId="4EEC60B6" w14:textId="77777777" w:rsidR="00D52159" w:rsidRDefault="004A7016">
            <w:pPr>
              <w:rPr>
                <w:rFonts w:ascii="Times New Roman" w:hAnsi="Times New Roman"/>
                <w:sz w:val="20"/>
                <w:szCs w:val="20"/>
                <w:highlight w:val="green"/>
              </w:rPr>
            </w:pPr>
            <w:r>
              <w:rPr>
                <w:rFonts w:ascii="Times New Roman" w:hAnsi="Times New Roman"/>
                <w:sz w:val="20"/>
                <w:szCs w:val="20"/>
                <w:highlight w:val="green"/>
              </w:rPr>
              <w:lastRenderedPageBreak/>
              <w:t>Agreement</w:t>
            </w:r>
          </w:p>
          <w:p w14:paraId="5D4704FA" w14:textId="77777777" w:rsidR="00D52159" w:rsidRDefault="004A7016">
            <w:pPr>
              <w:rPr>
                <w:rFonts w:ascii="Times New Roman" w:hAnsi="Times New Roman"/>
                <w:sz w:val="20"/>
                <w:szCs w:val="20"/>
                <w:lang w:val="en-GB"/>
              </w:rPr>
            </w:pPr>
            <w:r>
              <w:rPr>
                <w:rFonts w:ascii="Times New Roman" w:hAnsi="Times New Roman"/>
                <w:sz w:val="20"/>
                <w:szCs w:val="20"/>
                <w:lang w:val="en-GB"/>
              </w:rPr>
              <w:t xml:space="preserve">Further study following monitoring options in Rel-19, including the necessity and feasibility, </w:t>
            </w:r>
          </w:p>
          <w:p w14:paraId="0896C304" w14:textId="77777777" w:rsidR="00D52159" w:rsidRDefault="004A7016">
            <w:pPr>
              <w:pStyle w:val="aff6"/>
              <w:numPr>
                <w:ilvl w:val="0"/>
                <w:numId w:val="20"/>
              </w:numPr>
              <w:spacing w:after="180"/>
              <w:contextualSpacing/>
              <w:jc w:val="both"/>
              <w:rPr>
                <w:rFonts w:ascii="Times New Roman" w:hAnsi="Times New Roman"/>
                <w:sz w:val="20"/>
                <w:szCs w:val="20"/>
                <w:lang w:val="en-GB" w:eastAsia="zh-CN"/>
              </w:rPr>
            </w:pPr>
            <w:r>
              <w:rPr>
                <w:rFonts w:ascii="Times New Roman" w:hAnsi="Times New Roman"/>
                <w:sz w:val="20"/>
                <w:szCs w:val="20"/>
                <w:lang w:val="en-GB"/>
              </w:rPr>
              <w:t>NW-side monitoring, considering overhead, latency, complexity, monitoring accuracy, UE capability</w:t>
            </w:r>
          </w:p>
          <w:p w14:paraId="1AC41BEA"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target CSI reported by the UE via legacy eT2 codebook or eT2-like high-resolution codebook (Case 1)</w:t>
            </w:r>
          </w:p>
          <w:p w14:paraId="706FA0F8" w14:textId="77777777" w:rsidR="00D52159" w:rsidRDefault="004A7016">
            <w:pPr>
              <w:pStyle w:val="aff6"/>
              <w:numPr>
                <w:ilvl w:val="1"/>
                <w:numId w:val="20"/>
              </w:numPr>
              <w:spacing w:line="252" w:lineRule="auto"/>
              <w:contextualSpacing/>
              <w:rPr>
                <w:rFonts w:ascii="Times New Roman" w:hAnsi="Times New Roman"/>
                <w:sz w:val="20"/>
                <w:szCs w:val="20"/>
                <w:lang w:val="en-GB"/>
              </w:rPr>
            </w:pPr>
            <w:r>
              <w:rPr>
                <w:rFonts w:ascii="Times New Roman" w:hAnsi="Times New Roman"/>
                <w:sz w:val="20"/>
                <w:szCs w:val="20"/>
                <w:lang w:val="en-GB"/>
              </w:rPr>
              <w:t>SRS-based monitoring</w:t>
            </w:r>
          </w:p>
          <w:p w14:paraId="057F3672" w14:textId="77777777" w:rsidR="00D52159" w:rsidRDefault="004A7016">
            <w:pPr>
              <w:pStyle w:val="aff6"/>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UE-side monitoring, considering overhead, latency, complexity, monitoring accuracy, UE capability</w:t>
            </w:r>
          </w:p>
          <w:p w14:paraId="7C5859B3"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at the UE (Case 2-1)</w:t>
            </w:r>
          </w:p>
          <w:p w14:paraId="64762142" w14:textId="77777777" w:rsidR="00D52159" w:rsidRDefault="004A7016">
            <w:pPr>
              <w:pStyle w:val="aff6"/>
              <w:numPr>
                <w:ilvl w:val="2"/>
                <w:numId w:val="20"/>
              </w:numPr>
              <w:contextualSpacing/>
              <w:jc w:val="both"/>
              <w:rPr>
                <w:rFonts w:ascii="Times New Roman" w:hAnsi="Times New Roman"/>
                <w:sz w:val="20"/>
                <w:szCs w:val="20"/>
                <w:lang w:val="en-GB"/>
              </w:rPr>
            </w:pPr>
            <w:r>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22E6DD49"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Via direct estimation of intermediate KPI (e.g., SGCS) without reconstructing a target CSI (Case 2-2)</w:t>
            </w:r>
          </w:p>
          <w:p w14:paraId="0DC3FA1C"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Via estimation of monitoring output other than intermediate KPI without reconstructing a target CSI</w:t>
            </w:r>
          </w:p>
          <w:p w14:paraId="325ECDAD"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 xml:space="preserve">Based on precoded RS (e.g., CSI-RS, DMRS) transmitted from NW based on the output of the CSI reconstruction model </w:t>
            </w:r>
          </w:p>
          <w:p w14:paraId="7A0546F4"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indicated by the NW via legacy eT2 codebook or eT2-like high-resolution codebook</w:t>
            </w:r>
          </w:p>
          <w:p w14:paraId="377FE811" w14:textId="77777777" w:rsidR="00D52159" w:rsidRDefault="004A7016">
            <w:pPr>
              <w:rPr>
                <w:rFonts w:ascii="Times New Roman" w:hAnsi="Times New Roman"/>
                <w:sz w:val="20"/>
                <w:szCs w:val="20"/>
                <w:lang w:val="en-GB"/>
              </w:rPr>
            </w:pPr>
            <w:r>
              <w:rPr>
                <w:rFonts w:ascii="Times New Roman" w:hAnsi="Times New Roman"/>
                <w:sz w:val="20"/>
                <w:szCs w:val="20"/>
                <w:lang w:val="en-GB"/>
              </w:rPr>
              <w:t>Regarding monitoring metrics:</w:t>
            </w:r>
          </w:p>
          <w:p w14:paraId="40F69D88" w14:textId="77777777" w:rsidR="00D52159" w:rsidRDefault="004A7016">
            <w:pPr>
              <w:pStyle w:val="aff6"/>
              <w:numPr>
                <w:ilvl w:val="0"/>
                <w:numId w:val="21"/>
              </w:numPr>
              <w:spacing w:after="180"/>
              <w:contextualSpacing/>
              <w:jc w:val="both"/>
              <w:rPr>
                <w:rFonts w:ascii="Times New Roman" w:hAnsi="Times New Roman"/>
                <w:sz w:val="20"/>
                <w:szCs w:val="20"/>
                <w:lang w:val="en-GB"/>
              </w:rPr>
            </w:pPr>
            <w:r>
              <w:rPr>
                <w:rFonts w:ascii="Times New Roman" w:hAnsi="Times New Roman"/>
                <w:sz w:val="20"/>
                <w:szCs w:val="20"/>
                <w:lang w:val="en-GB"/>
              </w:rPr>
              <w:t>Monitoring accuracy also includes generalization considerations, if applicable.</w:t>
            </w:r>
          </w:p>
          <w:p w14:paraId="50063D93"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Complexity also includes LCM complexity, if applicable.</w:t>
            </w:r>
          </w:p>
          <w:p w14:paraId="1A752212"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Monitoring overhead, latency, complexity, and accuracy analysis may have to consider using at N&gt;1 CSI feedback occasions.</w:t>
            </w:r>
          </w:p>
          <w:p w14:paraId="1AA8D512"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Testability of UE reported metrics</w:t>
            </w:r>
          </w:p>
          <w:p w14:paraId="5A02E6C8" w14:textId="77777777" w:rsidR="00D52159" w:rsidRDefault="004A7016">
            <w:pPr>
              <w:rPr>
                <w:rFonts w:ascii="Times New Roman" w:hAnsi="Times New Roman"/>
                <w:sz w:val="20"/>
                <w:szCs w:val="20"/>
                <w:lang w:val="en-GB"/>
              </w:rPr>
            </w:pPr>
            <w:r>
              <w:rPr>
                <w:rFonts w:ascii="Times New Roman" w:hAnsi="Times New Roman"/>
                <w:sz w:val="20"/>
                <w:szCs w:val="20"/>
                <w:lang w:val="en-GB"/>
              </w:rPr>
              <w:t>Discussion may include the following aspects:</w:t>
            </w:r>
          </w:p>
          <w:p w14:paraId="3C5C7F4B" w14:textId="77777777" w:rsidR="00D52159" w:rsidRDefault="004A7016">
            <w:pPr>
              <w:pStyle w:val="aff6"/>
              <w:numPr>
                <w:ilvl w:val="0"/>
                <w:numId w:val="21"/>
              </w:numPr>
              <w:spacing w:after="180"/>
              <w:contextualSpacing/>
              <w:jc w:val="both"/>
              <w:rPr>
                <w:rFonts w:ascii="Times New Roman" w:hAnsi="Times New Roman"/>
                <w:sz w:val="20"/>
                <w:szCs w:val="20"/>
                <w:lang w:val="en-GB"/>
              </w:rPr>
            </w:pPr>
            <w:r>
              <w:rPr>
                <w:rFonts w:ascii="Times New Roman" w:hAnsi="Times New Roman"/>
                <w:sz w:val="20"/>
                <w:szCs w:val="20"/>
                <w:lang w:val="en-GB"/>
              </w:rPr>
              <w:t>Consideration of Options 1-5 and their sub-options for alleviating / resolving the issues related to inter-vendor training collaboration</w:t>
            </w:r>
          </w:p>
          <w:p w14:paraId="438C24A8"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Temporal domain aspects of CSI compression</w:t>
            </w:r>
          </w:p>
          <w:p w14:paraId="726714A6"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How the above monitoring approaches or combination of them may help identifying the cause (e.g., NW side, UE side, data drift) of the performance degradation</w:t>
            </w:r>
          </w:p>
          <w:p w14:paraId="7790196A" w14:textId="77777777" w:rsidR="00D52159" w:rsidRDefault="004A7016">
            <w:pPr>
              <w:rPr>
                <w:rFonts w:ascii="Times New Roman" w:hAnsi="Times New Roman"/>
                <w:sz w:val="20"/>
                <w:szCs w:val="20"/>
                <w:lang w:val="en-GB"/>
              </w:rPr>
            </w:pPr>
            <w:r>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6E2BF41C" w14:textId="77777777" w:rsidR="00D52159" w:rsidRDefault="004A7016">
            <w:pPr>
              <w:rPr>
                <w:rFonts w:ascii="Times New Roman" w:hAnsi="Times New Roman"/>
                <w:sz w:val="20"/>
                <w:szCs w:val="20"/>
                <w:lang w:val="en-GB"/>
              </w:rPr>
            </w:pPr>
            <w:r>
              <w:rPr>
                <w:rFonts w:ascii="Times New Roman" w:hAnsi="Times New Roman"/>
                <w:sz w:val="20"/>
                <w:szCs w:val="20"/>
                <w:lang w:val="en-GB"/>
              </w:rPr>
              <w:t>Note: implementation-based monitoring solutions can be considered in assessing the necessity of the above monitoring approaches.</w:t>
            </w:r>
          </w:p>
          <w:p w14:paraId="2740D913" w14:textId="77777777" w:rsidR="00D52159" w:rsidRDefault="004A7016">
            <w:pPr>
              <w:rPr>
                <w:rFonts w:ascii="Times New Roman" w:hAnsi="Times New Roman"/>
                <w:sz w:val="20"/>
                <w:szCs w:val="20"/>
                <w:highlight w:val="green"/>
                <w:lang w:val="en-GB"/>
              </w:rPr>
            </w:pPr>
            <w:r>
              <w:rPr>
                <w:rFonts w:ascii="Times New Roman" w:hAnsi="Times New Roman"/>
                <w:sz w:val="20"/>
                <w:szCs w:val="20"/>
                <w:highlight w:val="green"/>
                <w:lang w:val="en-GB"/>
              </w:rPr>
              <w:t>Agreement</w:t>
            </w:r>
          </w:p>
          <w:p w14:paraId="7DD46DF6" w14:textId="77777777" w:rsidR="00D52159" w:rsidRDefault="004A7016">
            <w:pPr>
              <w:rPr>
                <w:rFonts w:ascii="Times New Roman" w:hAnsi="Times New Roman"/>
                <w:sz w:val="20"/>
                <w:szCs w:val="20"/>
                <w:lang w:val="en-GB"/>
              </w:rPr>
            </w:pPr>
            <w:r>
              <w:rPr>
                <w:rFonts w:ascii="Times New Roman" w:hAnsi="Times New Roman"/>
                <w:sz w:val="20"/>
                <w:szCs w:val="20"/>
                <w:lang w:val="en-GB"/>
              </w:rPr>
              <w:t>For option 1 / 3 / 4 / 5 and their sub-options, study mechanisms (e.g., post-deployment performance monitoring) for identifying the cause (e.g., NW side, UE side, data drift) of the performance degradation to guarantee good performance in the field.</w:t>
            </w:r>
          </w:p>
          <w:p w14:paraId="598B822F" w14:textId="77777777" w:rsidR="00D52159" w:rsidRDefault="004A7016">
            <w:pPr>
              <w:rPr>
                <w:rFonts w:ascii="Times New Roman" w:hAnsi="Times New Roman"/>
                <w:sz w:val="20"/>
                <w:szCs w:val="20"/>
                <w:lang w:val="en-GB"/>
              </w:rPr>
            </w:pPr>
            <w:r>
              <w:rPr>
                <w:rFonts w:ascii="Times New Roman" w:hAnsi="Times New Roman"/>
                <w:sz w:val="20"/>
                <w:szCs w:val="20"/>
                <w:lang w:val="en-GB"/>
              </w:rPr>
              <w:t>Conclusion</w:t>
            </w:r>
          </w:p>
          <w:p w14:paraId="580E1CD0" w14:textId="77777777" w:rsidR="00D52159" w:rsidRDefault="004A7016">
            <w:pPr>
              <w:rPr>
                <w:rFonts w:ascii="Times New Roman" w:hAnsi="Times New Roman"/>
                <w:sz w:val="20"/>
                <w:szCs w:val="20"/>
                <w:lang w:val="en-GB"/>
              </w:rPr>
            </w:pPr>
            <w:r>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30744C4D"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Data distribution mismatch that is identified by either NW side or UE side</w:t>
            </w:r>
          </w:p>
          <w:p w14:paraId="789FFFA9"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Via target CSI and CSI feedback pair report, e.g., with the understanding that NW side runs inference using the NW side reference CSI generation part and compare with the inference using UE side CSI generation part.</w:t>
            </w:r>
          </w:p>
          <w:p w14:paraId="2D1FE07F"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this conclusion does not preclude other methods.</w:t>
            </w:r>
          </w:p>
          <w:p w14:paraId="3AF42368"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triggering of root cause detection may be after detecting performance degradation</w:t>
            </w:r>
          </w:p>
        </w:tc>
      </w:tr>
    </w:tbl>
    <w:p w14:paraId="4F9F28C6" w14:textId="77777777" w:rsidR="00D52159" w:rsidRDefault="004A7016">
      <w:pPr>
        <w:pStyle w:val="Proposal"/>
        <w:numPr>
          <w:ilvl w:val="0"/>
          <w:numId w:val="0"/>
        </w:numPr>
        <w:spacing w:line="259" w:lineRule="auto"/>
        <w:rPr>
          <w:rFonts w:eastAsia="Times New Roman" w:cs="Arial"/>
          <w:b w:val="0"/>
          <w:bCs w:val="0"/>
          <w:szCs w:val="20"/>
          <w:lang w:eastAsia="en-US"/>
        </w:rPr>
      </w:pPr>
      <w:r>
        <w:rPr>
          <w:rFonts w:eastAsia="Times New Roman" w:cs="Arial"/>
          <w:b w:val="0"/>
          <w:bCs w:val="0"/>
          <w:szCs w:val="20"/>
          <w:lang w:eastAsia="en-US"/>
        </w:rPr>
        <w:t xml:space="preserve">Based on the documents </w:t>
      </w:r>
      <w:r>
        <w:rPr>
          <w:rFonts w:eastAsia="Times New Roman" w:cs="Arial" w:hint="eastAsia"/>
          <w:b w:val="0"/>
          <w:bCs w:val="0"/>
          <w:szCs w:val="20"/>
          <w:lang w:eastAsia="en-US"/>
        </w:rPr>
        <w:t>from</w:t>
      </w:r>
      <w:r>
        <w:rPr>
          <w:rFonts w:eastAsia="Times New Roman" w:cs="Arial"/>
          <w:b w:val="0"/>
          <w:bCs w:val="0"/>
          <w:szCs w:val="20"/>
          <w:lang w:eastAsia="en-US"/>
        </w:rPr>
        <w:t xml:space="preserve"> previous meetings, pain points exist in current performance monitoring. First, NW-side monitoring, although having undergone more research and achieving initial feasibility recognition, has obvious limitations, which is the frequent reporting of high-resolution ground-truth CSI will offset the overhead reduction advantage brought by AI/ML, and it relies on UE support for high-resolution codebooks. This limits the compatibility of NW-side monitoring with a wide range of UEs. Second, UE-side monitoring (including Case 2-1 based on proxy decoder and Case 2-2 based on SGCS estimator) has the advantages of low overhead and good compatibility, but it faces reliability concerns (the accuracy of UE local calculation results cannot be verified) and insufficient research, and lacks standardized requirements for proxy model deployment and SGCS accuracy validation mechanisms. </w:t>
      </w:r>
    </w:p>
    <w:p w14:paraId="27EC02C2" w14:textId="77777777" w:rsidR="00D52159" w:rsidRDefault="004A7016">
      <w:pPr>
        <w:pStyle w:val="31"/>
        <w:rPr>
          <w:lang w:eastAsia="zh-CN"/>
        </w:rPr>
      </w:pPr>
      <w:r>
        <w:t>2.</w:t>
      </w:r>
      <w:r>
        <w:rPr>
          <w:rFonts w:hint="eastAsia"/>
          <w:lang w:eastAsia="zh-CN"/>
        </w:rPr>
        <w:t>2</w:t>
      </w:r>
      <w:r>
        <w:t xml:space="preserve">.1 </w:t>
      </w:r>
      <w:r>
        <w:rPr>
          <w:rFonts w:eastAsia="Times New Roman" w:cs="Arial"/>
          <w:lang w:eastAsia="en-US"/>
        </w:rPr>
        <w:t>NW</w:t>
      </w:r>
      <w:r>
        <w:rPr>
          <w:rFonts w:eastAsia="Times New Roman" w:cs="Arial" w:hint="eastAsia"/>
          <w:lang w:eastAsia="en-US"/>
        </w:rPr>
        <w:t>-side performance monitoring</w:t>
      </w:r>
    </w:p>
    <w:p w14:paraId="24328340" w14:textId="77777777" w:rsidR="00D52159" w:rsidRDefault="004A7016">
      <w:pPr>
        <w:shd w:val="clear" w:color="auto" w:fill="FFFFFF"/>
        <w:spacing w:after="120" w:line="259" w:lineRule="auto"/>
        <w:rPr>
          <w:rFonts w:eastAsia="Times New Roman" w:cs="Arial"/>
          <w:szCs w:val="20"/>
        </w:rPr>
      </w:pPr>
      <w:r>
        <w:rPr>
          <w:rFonts w:eastAsia="Times New Roman" w:cs="Arial"/>
          <w:szCs w:val="20"/>
        </w:rPr>
        <w:t xml:space="preserve">Before expanding to UE-side alternatives, key drawbacks of NW-side monitoring—specifically overhead related to feedback and increased UE complexity—must be addressed first. A unified high-resolution target CSI format should be adopted for both NW-side training data collection and performance monitoring. This </w:t>
      </w:r>
      <w:r>
        <w:rPr>
          <w:rFonts w:eastAsia="Times New Roman" w:cs="Arial"/>
          <w:szCs w:val="20"/>
        </w:rPr>
        <w:lastRenderedPageBreak/>
        <w:t>format must support adjustable resolution to reduce GT CSI reporting overhead; examples of such adjustability include variable coefficients for enhanced Type II codebooks and scalable bits per element for element-wise scalar quantization.</w:t>
      </w:r>
    </w:p>
    <w:p w14:paraId="40E1FF9F" w14:textId="77777777" w:rsidR="00D52159" w:rsidRDefault="004A7016">
      <w:pPr>
        <w:shd w:val="clear" w:color="auto" w:fill="FFFFFF"/>
        <w:spacing w:after="120" w:line="259" w:lineRule="auto"/>
        <w:rPr>
          <w:rFonts w:eastAsia="等线" w:cs="Arial"/>
          <w:szCs w:val="20"/>
          <w:lang w:eastAsia="zh-CN"/>
        </w:rPr>
      </w:pPr>
      <w:r>
        <w:rPr>
          <w:rFonts w:eastAsia="等线" w:cs="Arial"/>
          <w:szCs w:val="20"/>
          <w:lang w:eastAsia="zh-CN"/>
        </w:rPr>
        <w:t>For the transmission of NW-side monitoring data, L1 signaling should be supported, as it enables faster feedback, which is critical for timely detection of performance degradation and accurate root-cause analysis.</w:t>
      </w:r>
    </w:p>
    <w:p w14:paraId="39185AA4" w14:textId="77777777" w:rsidR="00D52159" w:rsidRDefault="004A7016">
      <w:pPr>
        <w:shd w:val="clear" w:color="auto" w:fill="FFFFFF"/>
        <w:spacing w:after="120" w:line="259" w:lineRule="auto"/>
        <w:rPr>
          <w:rFonts w:eastAsia="等线" w:cs="Arial"/>
          <w:szCs w:val="20"/>
          <w:lang w:eastAsia="zh-CN"/>
        </w:rPr>
      </w:pPr>
      <w:r>
        <w:rPr>
          <w:rFonts w:eastAsia="等线" w:cs="Arial"/>
          <w:szCs w:val="20"/>
          <w:lang w:eastAsia="zh-CN"/>
        </w:rPr>
        <w:t>To enhance flexibility in network deployment, two configurations for target CSI reporting shall be defined:</w:t>
      </w:r>
    </w:p>
    <w:p w14:paraId="765A2449" w14:textId="77777777" w:rsidR="00D52159" w:rsidRDefault="004A7016">
      <w:pPr>
        <w:shd w:val="clear" w:color="auto" w:fill="FFFFFF"/>
        <w:spacing w:after="120" w:line="259" w:lineRule="auto"/>
        <w:rPr>
          <w:rFonts w:eastAsia="等线" w:cs="Arial"/>
          <w:szCs w:val="20"/>
          <w:lang w:eastAsia="zh-CN"/>
        </w:rPr>
      </w:pPr>
      <w:r>
        <w:rPr>
          <w:rFonts w:eastAsia="等线" w:cs="Arial" w:hint="eastAsia"/>
          <w:szCs w:val="20"/>
          <w:lang w:eastAsia="zh-CN"/>
        </w:rPr>
        <w:t>•</w:t>
      </w:r>
      <w:r>
        <w:rPr>
          <w:rFonts w:eastAsia="等线" w:cs="Arial"/>
          <w:szCs w:val="20"/>
          <w:lang w:eastAsia="zh-CN"/>
        </w:rPr>
        <w:tab/>
        <w:t>Option 1 (Co-located Reporting): Embed target CSI and AI/ML inference results within the same CSI report configuration/resource. A new reportQuantity field (or a combined PMI signal) shall be introduced to instruct the UE to report both inference-related data (AI-CSI) and legacy codebook-based target CSI.</w:t>
      </w:r>
    </w:p>
    <w:p w14:paraId="7B2EF522" w14:textId="77777777" w:rsidR="00D52159" w:rsidRDefault="004A7016">
      <w:pPr>
        <w:shd w:val="clear" w:color="auto" w:fill="FFFFFF"/>
        <w:spacing w:after="120" w:line="259" w:lineRule="auto"/>
        <w:rPr>
          <w:rFonts w:eastAsia="等线" w:cs="Arial"/>
          <w:szCs w:val="20"/>
          <w:lang w:eastAsia="zh-CN"/>
        </w:rPr>
      </w:pPr>
      <w:r>
        <w:rPr>
          <w:rFonts w:eastAsia="等线" w:cs="Arial" w:hint="eastAsia"/>
          <w:szCs w:val="20"/>
          <w:lang w:eastAsia="zh-CN"/>
        </w:rPr>
        <w:t>•</w:t>
      </w:r>
      <w:r>
        <w:rPr>
          <w:rFonts w:eastAsia="等线" w:cs="Arial"/>
          <w:szCs w:val="20"/>
          <w:lang w:eastAsia="zh-CN"/>
        </w:rPr>
        <w:tab/>
        <w:t>Option 2 (Dedicated Reporting): Allocate a dedicated CSI report configuration/resource for target CSI. This dedicated resource shall be linked to the same CSI-RS resource used for AI/ML inference, enabling clear separation of monitoring and inference data streams.</w:t>
      </w:r>
    </w:p>
    <w:p w14:paraId="537F19DA" w14:textId="77777777" w:rsidR="00D52159" w:rsidRDefault="004A7016">
      <w:pPr>
        <w:shd w:val="clear" w:color="auto" w:fill="FFFFFF"/>
        <w:spacing w:after="120" w:line="259" w:lineRule="auto"/>
        <w:rPr>
          <w:rFonts w:eastAsia="等线" w:cs="Arial"/>
          <w:szCs w:val="20"/>
          <w:lang w:eastAsia="zh-CN"/>
        </w:rPr>
      </w:pPr>
      <w:r>
        <w:rPr>
          <w:rFonts w:eastAsia="等线" w:cs="Arial"/>
          <w:szCs w:val="20"/>
          <w:lang w:eastAsia="zh-CN"/>
        </w:rPr>
        <w:t>For both configurations, the NW must explicitly configure the codebook type and parameters required for target CSI calculation (e.g., eType II or eType II-like codebooks). Additionally, the UE should be supported to report paired target CSI and regular CSI feedback via high-layer signaling. This pairing shall reuse the mechanism already designed for NW-side training data collection to avoid redundant development work. Critically, this pairing allows the NW to compare reference CSI (generated by the NW) and UE-generated CSI—a key step in identifying root causes of performance issues, such as data drift or mismatches between UE-side and NW-side models.</w:t>
      </w:r>
    </w:p>
    <w:p w14:paraId="4E0FADD1" w14:textId="77777777" w:rsidR="00D52159" w:rsidRDefault="004A7016">
      <w:pPr>
        <w:pStyle w:val="a6"/>
        <w:rPr>
          <w:b/>
          <w:bCs/>
        </w:rPr>
      </w:pPr>
      <w:r>
        <w:rPr>
          <w:b/>
          <w:bCs/>
        </w:rPr>
        <w:t>Proposal 2-1: Define two target CSI reporting configurations (Co-located Reporting with combined AI-CSI/legacy CSI, Dedicated Reporting with separate resources linked to inference CSI-RS) for Rel-20 to enhance network deployment flexibility.</w:t>
      </w:r>
    </w:p>
    <w:p w14:paraId="4A8BFACD" w14:textId="77777777" w:rsidR="00D52159" w:rsidRDefault="004A7016">
      <w:pPr>
        <w:pStyle w:val="a6"/>
        <w:rPr>
          <w:b/>
          <w:bCs/>
        </w:rPr>
      </w:pPr>
      <w:r>
        <w:rPr>
          <w:b/>
          <w:bCs/>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p w14:paraId="77215612" w14:textId="77777777" w:rsidR="00D52159" w:rsidRDefault="004A7016">
      <w:pPr>
        <w:pStyle w:val="31"/>
        <w:rPr>
          <w:lang w:eastAsia="zh-CN"/>
        </w:rPr>
      </w:pPr>
      <w:r>
        <w:t>2.</w:t>
      </w:r>
      <w:r>
        <w:rPr>
          <w:rFonts w:hint="eastAsia"/>
          <w:lang w:eastAsia="zh-CN"/>
        </w:rPr>
        <w:t>2</w:t>
      </w:r>
      <w:r>
        <w:t xml:space="preserve">.2 </w:t>
      </w:r>
      <w:r>
        <w:rPr>
          <w:rFonts w:eastAsia="Times New Roman" w:cs="Arial" w:hint="eastAsia"/>
          <w:lang w:eastAsia="en-US"/>
        </w:rPr>
        <w:t>UE-side performance monitoring</w:t>
      </w:r>
    </w:p>
    <w:p w14:paraId="54EFFB4E" w14:textId="77777777" w:rsidR="00D52159" w:rsidRDefault="004A7016">
      <w:pPr>
        <w:pStyle w:val="Proposal"/>
        <w:numPr>
          <w:ilvl w:val="0"/>
          <w:numId w:val="0"/>
        </w:numPr>
        <w:spacing w:line="259" w:lineRule="auto"/>
        <w:rPr>
          <w:rFonts w:eastAsia="Times New Roman" w:cs="Arial"/>
          <w:b w:val="0"/>
          <w:bCs w:val="0"/>
          <w:szCs w:val="20"/>
          <w:lang w:eastAsia="en-US"/>
        </w:rPr>
      </w:pPr>
      <w:r>
        <w:rPr>
          <w:rFonts w:eastAsia="等线" w:hint="eastAsia"/>
          <w:b w:val="0"/>
          <w:bCs w:val="0"/>
        </w:rPr>
        <w:t>In this part, we</w:t>
      </w:r>
      <w:r>
        <w:rPr>
          <w:rFonts w:eastAsia="Times New Roman" w:cs="Arial" w:hint="eastAsia"/>
          <w:b w:val="0"/>
          <w:bCs w:val="0"/>
          <w:szCs w:val="20"/>
          <w:lang w:eastAsia="en-US"/>
        </w:rPr>
        <w:t xml:space="preserve"> provide our view on UE-side performance monitoring via a proxy model </w:t>
      </w:r>
      <w:r>
        <w:rPr>
          <w:rFonts w:eastAsia="Times New Roman" w:cs="Arial"/>
          <w:b w:val="0"/>
          <w:bCs w:val="0"/>
          <w:szCs w:val="20"/>
          <w:lang w:eastAsia="en-US"/>
        </w:rPr>
        <w:t>(Case 2-1)</w:t>
      </w:r>
      <w:r>
        <w:rPr>
          <w:rFonts w:eastAsia="Times New Roman" w:cs="Arial" w:hint="eastAsia"/>
          <w:b w:val="0"/>
          <w:bCs w:val="0"/>
          <w:szCs w:val="20"/>
          <w:lang w:eastAsia="en-US"/>
        </w:rPr>
        <w:t>.</w:t>
      </w:r>
      <w:r>
        <w:rPr>
          <w:rFonts w:eastAsia="Times New Roman" w:cs="Arial"/>
          <w:b w:val="0"/>
          <w:bCs w:val="0"/>
          <w:szCs w:val="20"/>
          <w:lang w:eastAsia="en-US"/>
        </w:rPr>
        <w:t xml:space="preserve"> </w:t>
      </w:r>
    </w:p>
    <w:p w14:paraId="1588C877" w14:textId="77777777" w:rsidR="00D52159" w:rsidRDefault="004A7016">
      <w:pPr>
        <w:pStyle w:val="a6"/>
        <w:rPr>
          <w:rFonts w:eastAsia="等线" w:cs="Arial"/>
          <w:szCs w:val="20"/>
        </w:rPr>
      </w:pPr>
      <w:r>
        <w:rPr>
          <w:rFonts w:eastAsia="等线" w:cs="Arial"/>
          <w:szCs w:val="20"/>
        </w:rPr>
        <w:t>In AI/ML-driven CSI compression, there is notable variability in the accuracy of individual CSI samples. As demonstrated in our evaluation in Fig. 2-1, when using a comparable overhead to that of the Type II codebook, 8% of CSI samples exhibit an SGCS below 0.5, signifying severe reconstruction errors, while 22% fall below 0.7, failing to meet basic transmission quality standards. If these low-quality samples go undetected, they can result in unforeseen declines in downlink throughput and increases in BLER, as average metrics tend to obscure such individual instances of failure.</w:t>
      </w:r>
    </w:p>
    <w:p w14:paraId="3B7F2AA3" w14:textId="77777777" w:rsidR="00D52159" w:rsidRDefault="004A7016">
      <w:pPr>
        <w:pStyle w:val="a6"/>
        <w:rPr>
          <w:rFonts w:eastAsia="等线" w:cs="Arial"/>
          <w:szCs w:val="20"/>
        </w:rPr>
      </w:pPr>
      <w:r>
        <w:rPr>
          <w:rFonts w:eastAsia="等线" w:cs="Arial"/>
          <w:szCs w:val="20"/>
        </w:rPr>
        <w:t xml:space="preserve">Table </w:t>
      </w:r>
      <w:r>
        <w:rPr>
          <w:rFonts w:eastAsia="等线" w:cs="Arial" w:hint="eastAsia"/>
          <w:szCs w:val="20"/>
        </w:rPr>
        <w:t>2-1</w:t>
      </w:r>
      <w:r>
        <w:rPr>
          <w:rFonts w:eastAsia="等线" w:cs="Arial"/>
          <w:szCs w:val="20"/>
        </w:rPr>
        <w:t xml:space="preserve"> provides a comparative analysis of performance metrics (such as standard deviation, variance, and coefficient of variation) between AI-based CSI feedback and the Type II codebook. Although the average SGCS performance of AI-based and Type II codebook-based feedback methods is similar, the standard deviation, variance, and coefficient of variation for AI-based CSI feedback are markedly higher. Specifically, the standard deviation of AI-based feedback is 30% greater, its variance is 70% higher, and its coefficient of variation is 30% more than those of the Type II codebook. These results underscore the performance instability inherent in AI-based CSI feedback.</w:t>
      </w:r>
    </w:p>
    <w:p w14:paraId="18938BE7" w14:textId="77777777" w:rsidR="00D52159" w:rsidRDefault="004A7016">
      <w:pPr>
        <w:pStyle w:val="a6"/>
        <w:rPr>
          <w:rFonts w:eastAsia="等线" w:cs="Arial"/>
          <w:szCs w:val="20"/>
        </w:rPr>
      </w:pPr>
      <w:r>
        <w:rPr>
          <w:rFonts w:eastAsia="等线" w:cs="Arial"/>
          <w:szCs w:val="20"/>
        </w:rPr>
        <w:t>Additionally, the UE is required to generate CQI based on both the original CSI and the implicit CSI produced at the UE. By reconstructing CSI through a proxy model, the issue of CQI determination can be addressed with performance monitoring, offering an advantage over methods that do not reconstruct the target CSI.</w:t>
      </w:r>
    </w:p>
    <w:p w14:paraId="6F6AEAD7" w14:textId="77777777" w:rsidR="00D52159" w:rsidRDefault="004A7016">
      <w:pPr>
        <w:pStyle w:val="a6"/>
        <w:rPr>
          <w:rFonts w:eastAsia="等线" w:cs="Arial"/>
          <w:szCs w:val="20"/>
        </w:rPr>
      </w:pPr>
      <w:r>
        <w:rPr>
          <w:rFonts w:eastAsia="等线" w:cs="Arial"/>
          <w:szCs w:val="20"/>
        </w:rPr>
        <w:t xml:space="preserve">Considering these factors, we believe that a real-time performance monitoring approach capable of assessing the performance of each individual CSI sample is essential. Consequently, we direct our attention towards performance monitoring via a proxy model at the UE. </w:t>
      </w:r>
    </w:p>
    <w:p w14:paraId="73C036B5"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lastRenderedPageBreak/>
        <w:drawing>
          <wp:inline distT="0" distB="0" distL="0" distR="0" wp14:anchorId="2BF61A68" wp14:editId="1B5FC573">
            <wp:extent cx="2401570" cy="1898650"/>
            <wp:effectExtent l="0" t="0" r="0" b="6350"/>
            <wp:docPr id="12491595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954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24" cy="1898904"/>
                    </a:xfrm>
                    <a:prstGeom prst="rect">
                      <a:avLst/>
                    </a:prstGeom>
                  </pic:spPr>
                </pic:pic>
              </a:graphicData>
            </a:graphic>
          </wp:inline>
        </w:drawing>
      </w:r>
    </w:p>
    <w:p w14:paraId="2FFFC0A8" w14:textId="738E8E53" w:rsidR="00D52159" w:rsidRDefault="004A7016">
      <w:pPr>
        <w:pStyle w:val="Proposal"/>
        <w:numPr>
          <w:ilvl w:val="0"/>
          <w:numId w:val="0"/>
        </w:numPr>
        <w:spacing w:line="259" w:lineRule="auto"/>
        <w:ind w:left="1304" w:hanging="1304"/>
        <w:jc w:val="center"/>
        <w:rPr>
          <w:rFonts w:eastAsia="等线"/>
          <w:b w:val="0"/>
          <w:bCs w:val="0"/>
        </w:rPr>
      </w:pPr>
      <w:r>
        <w:rPr>
          <w:rFonts w:eastAsia="等线" w:hint="eastAsia"/>
          <w:b w:val="0"/>
          <w:bCs w:val="0"/>
        </w:rPr>
        <w:t xml:space="preserve">Fig. 2-1: </w:t>
      </w:r>
      <w:r>
        <w:rPr>
          <w:rFonts w:eastAsia="等线"/>
          <w:b w:val="0"/>
          <w:bCs w:val="0"/>
        </w:rPr>
        <w:t>SGCS for 50 distinct CSI samples using the AI-based feedback method</w:t>
      </w:r>
      <w:r>
        <w:rPr>
          <w:rFonts w:eastAsia="等线" w:hint="eastAsia"/>
          <w:b w:val="0"/>
          <w:bCs w:val="0"/>
        </w:rPr>
        <w:t xml:space="preserve"> </w:t>
      </w:r>
      <w:r>
        <w:rPr>
          <w:rFonts w:eastAsia="等线"/>
          <w:b w:val="0"/>
          <w:bCs w:val="0"/>
        </w:rPr>
        <w:fldChar w:fldCharType="begin"/>
      </w:r>
      <w:r>
        <w:rPr>
          <w:rFonts w:eastAsia="等线"/>
          <w:b w:val="0"/>
          <w:bCs w:val="0"/>
        </w:rPr>
        <w:instrText xml:space="preserve"> </w:instrText>
      </w:r>
      <w:r>
        <w:rPr>
          <w:rFonts w:eastAsia="等线" w:hint="eastAsia"/>
          <w:b w:val="0"/>
          <w:bCs w:val="0"/>
        </w:rPr>
        <w:instrText>REF _Ref213247316 \r \h</w:instrText>
      </w:r>
      <w:r>
        <w:rPr>
          <w:rFonts w:eastAsia="等线"/>
          <w:b w:val="0"/>
          <w:bCs w:val="0"/>
        </w:rPr>
        <w:instrText xml:space="preserve"> </w:instrText>
      </w:r>
      <w:r>
        <w:rPr>
          <w:rFonts w:eastAsia="等线"/>
          <w:b w:val="0"/>
          <w:bCs w:val="0"/>
        </w:rPr>
      </w:r>
      <w:r>
        <w:rPr>
          <w:rFonts w:eastAsia="等线"/>
          <w:b w:val="0"/>
          <w:bCs w:val="0"/>
        </w:rPr>
        <w:fldChar w:fldCharType="separate"/>
      </w:r>
      <w:r w:rsidR="002268A9">
        <w:rPr>
          <w:rFonts w:eastAsia="等线"/>
          <w:b w:val="0"/>
          <w:bCs w:val="0"/>
        </w:rPr>
        <w:t>[6]</w:t>
      </w:r>
      <w:r>
        <w:rPr>
          <w:rFonts w:eastAsia="等线"/>
          <w:b w:val="0"/>
          <w:bCs w:val="0"/>
        </w:rPr>
        <w:fldChar w:fldCharType="end"/>
      </w:r>
      <w:r>
        <w:rPr>
          <w:rFonts w:eastAsia="等线"/>
          <w:b w:val="0"/>
          <w:bCs w:val="0"/>
        </w:rPr>
        <w:t>.</w:t>
      </w:r>
    </w:p>
    <w:p w14:paraId="018EAD19" w14:textId="77777777" w:rsidR="00D52159" w:rsidRDefault="004A7016">
      <w:pPr>
        <w:pStyle w:val="a6"/>
        <w:jc w:val="center"/>
        <w:rPr>
          <w:rFonts w:eastAsia="Times New Roman" w:cs="Arial"/>
          <w:szCs w:val="20"/>
          <w:lang w:eastAsia="en-US"/>
        </w:rPr>
      </w:pPr>
      <w:r>
        <w:rPr>
          <w:rFonts w:eastAsia="Times New Roman" w:cs="Arial"/>
          <w:noProof/>
          <w:szCs w:val="20"/>
          <w:lang w:eastAsia="en-US"/>
        </w:rPr>
        <w:drawing>
          <wp:inline distT="0" distB="0" distL="0" distR="0" wp14:anchorId="4426930F" wp14:editId="16E48ED4">
            <wp:extent cx="5784850" cy="563880"/>
            <wp:effectExtent l="0" t="0" r="6350" b="7620"/>
            <wp:docPr id="21471705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70538"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5104" cy="563880"/>
                    </a:xfrm>
                    <a:prstGeom prst="rect">
                      <a:avLst/>
                    </a:prstGeom>
                  </pic:spPr>
                </pic:pic>
              </a:graphicData>
            </a:graphic>
          </wp:inline>
        </w:drawing>
      </w:r>
    </w:p>
    <w:p w14:paraId="5993572C" w14:textId="22322B78" w:rsidR="00D52159" w:rsidRDefault="004A7016">
      <w:pPr>
        <w:pStyle w:val="a6"/>
        <w:jc w:val="center"/>
        <w:rPr>
          <w:rFonts w:eastAsia="Times New Roman" w:cs="Arial"/>
          <w:szCs w:val="20"/>
          <w:lang w:eastAsia="en-US"/>
        </w:rPr>
      </w:pPr>
      <w:r>
        <w:rPr>
          <w:rFonts w:eastAsia="等线" w:hint="eastAsia"/>
        </w:rPr>
        <w:t xml:space="preserve">Table 2-1: </w:t>
      </w:r>
      <w:r>
        <w:rPr>
          <w:rFonts w:eastAsia="等线"/>
        </w:rPr>
        <w:t>Comparison of Feedback Performance between AI based CSI Feedback and Type II Codebook</w:t>
      </w:r>
      <w:r>
        <w:rPr>
          <w:rFonts w:eastAsia="等线" w:hint="eastAsia"/>
        </w:rPr>
        <w:t xml:space="preserve"> </w:t>
      </w:r>
      <w:r>
        <w:rPr>
          <w:rFonts w:eastAsia="等线"/>
        </w:rPr>
        <w:fldChar w:fldCharType="begin"/>
      </w:r>
      <w:r>
        <w:rPr>
          <w:rFonts w:eastAsia="等线"/>
        </w:rPr>
        <w:instrText xml:space="preserve"> </w:instrText>
      </w:r>
      <w:r>
        <w:rPr>
          <w:rFonts w:eastAsia="等线" w:hint="eastAsia"/>
        </w:rPr>
        <w:instrText>REF _Ref213247316 \r \h</w:instrText>
      </w:r>
      <w:r>
        <w:rPr>
          <w:rFonts w:eastAsia="等线"/>
        </w:rPr>
        <w:instrText xml:space="preserve"> </w:instrText>
      </w:r>
      <w:r>
        <w:rPr>
          <w:rFonts w:eastAsia="等线"/>
        </w:rPr>
      </w:r>
      <w:r>
        <w:rPr>
          <w:rFonts w:eastAsia="等线"/>
        </w:rPr>
        <w:fldChar w:fldCharType="separate"/>
      </w:r>
      <w:r w:rsidR="002268A9">
        <w:rPr>
          <w:rFonts w:eastAsia="等线"/>
        </w:rPr>
        <w:t>[6]</w:t>
      </w:r>
      <w:r>
        <w:rPr>
          <w:rFonts w:eastAsia="等线"/>
        </w:rPr>
        <w:fldChar w:fldCharType="end"/>
      </w:r>
      <w:r>
        <w:rPr>
          <w:rFonts w:eastAsia="等线" w:hint="eastAsia"/>
        </w:rPr>
        <w:t>.</w:t>
      </w:r>
    </w:p>
    <w:p w14:paraId="04840A95" w14:textId="77777777" w:rsidR="00D52159" w:rsidRDefault="004A7016">
      <w:pPr>
        <w:pStyle w:val="a6"/>
        <w:rPr>
          <w:rFonts w:eastAsia="Times New Roman" w:cs="Arial"/>
          <w:szCs w:val="20"/>
          <w:lang w:eastAsia="en-US"/>
        </w:rPr>
      </w:pPr>
      <w:r>
        <w:rPr>
          <w:rFonts w:eastAsia="Times New Roman" w:cs="Arial"/>
          <w:szCs w:val="20"/>
          <w:lang w:eastAsia="en-US"/>
        </w:rPr>
        <w:t>As depicted in Fig</w:t>
      </w:r>
      <w:r>
        <w:rPr>
          <w:rFonts w:eastAsia="等线" w:cs="Arial" w:hint="eastAsia"/>
          <w:szCs w:val="20"/>
        </w:rPr>
        <w:t>.</w:t>
      </w:r>
      <w:r>
        <w:rPr>
          <w:rFonts w:eastAsia="Times New Roman" w:cs="Arial"/>
          <w:szCs w:val="20"/>
          <w:lang w:eastAsia="en-US"/>
        </w:rPr>
        <w:t xml:space="preserve"> </w:t>
      </w:r>
      <w:r>
        <w:rPr>
          <w:rFonts w:eastAsia="等线" w:cs="Arial" w:hint="eastAsia"/>
          <w:szCs w:val="20"/>
        </w:rPr>
        <w:t>2-2</w:t>
      </w:r>
      <w:r>
        <w:rPr>
          <w:rFonts w:eastAsia="Times New Roman" w:cs="Arial"/>
          <w:szCs w:val="20"/>
          <w:lang w:eastAsia="en-US"/>
        </w:rPr>
        <w:t>, th</w:t>
      </w:r>
      <w:r>
        <w:rPr>
          <w:rFonts w:eastAsia="等线" w:cs="Arial" w:hint="eastAsia"/>
          <w:szCs w:val="20"/>
        </w:rPr>
        <w:t>e</w:t>
      </w:r>
      <w:r>
        <w:rPr>
          <w:rFonts w:eastAsia="Times New Roman" w:cs="Arial"/>
          <w:szCs w:val="20"/>
          <w:lang w:eastAsia="en-US"/>
        </w:rPr>
        <w:t xml:space="preserve"> proposed </w:t>
      </w:r>
      <w:r>
        <w:rPr>
          <w:rFonts w:eastAsia="等线" w:cs="Arial" w:hint="eastAsia"/>
          <w:szCs w:val="20"/>
        </w:rPr>
        <w:t xml:space="preserve">performance monitoring </w:t>
      </w:r>
      <w:r>
        <w:rPr>
          <w:rFonts w:eastAsia="Times New Roman" w:cs="Arial"/>
          <w:szCs w:val="20"/>
          <w:lang w:eastAsia="en-US"/>
        </w:rPr>
        <w:t>framework is designed to mitigate significant performance degradation due to low-quality CSI feedback and to ensure reliable downlink transmission. The framework includes the following key steps</w:t>
      </w:r>
      <w:r>
        <w:rPr>
          <w:rFonts w:eastAsia="等线" w:cs="Arial" w:hint="eastAsia"/>
          <w:szCs w:val="20"/>
        </w:rPr>
        <w:t>:</w:t>
      </w:r>
    </w:p>
    <w:p w14:paraId="58969BAB" w14:textId="77777777" w:rsidR="00D52159" w:rsidRDefault="004A7016">
      <w:pPr>
        <w:pStyle w:val="a6"/>
        <w:rPr>
          <w:rFonts w:eastAsia="等线" w:cs="Arial"/>
          <w:szCs w:val="20"/>
        </w:rPr>
      </w:pPr>
      <w:r>
        <w:rPr>
          <w:rFonts w:eastAsia="Times New Roman" w:cs="Arial"/>
          <w:szCs w:val="20"/>
          <w:lang w:eastAsia="en-US"/>
        </w:rPr>
        <w:t xml:space="preserve">First, the UE compresses and quantizes the downlink CSI using the default encoder. Then, the output of the default encoder is sent to the performance monitoring-enabled feedback module, which feeds back the codeword and signaling bitstreams to the BS according to the feedback performance predicted at the UE. Specifically, if the feedback accuracy meets the system requirement (e.g., SGCS threshold), the original codeword is transmitted to the BS. If </w:t>
      </w:r>
      <w:r>
        <w:rPr>
          <w:rFonts w:eastAsia="等线" w:cs="Arial" w:hint="eastAsia"/>
          <w:szCs w:val="20"/>
        </w:rPr>
        <w:t>not</w:t>
      </w:r>
      <w:r>
        <w:rPr>
          <w:rFonts w:eastAsia="等线" w:cs="Arial"/>
          <w:szCs w:val="20"/>
        </w:rPr>
        <w:t>, alternative strategies are employed, and signaling, indicating which type of compression (encoder) method is adopted, is also generated. A signaling design example is given in Fig</w:t>
      </w:r>
      <w:r>
        <w:rPr>
          <w:rFonts w:eastAsia="等线" w:cs="Arial" w:hint="eastAsia"/>
          <w:szCs w:val="20"/>
        </w:rPr>
        <w:t>. 2-2</w:t>
      </w:r>
      <w:r>
        <w:rPr>
          <w:rFonts w:eastAsia="等线" w:cs="Arial"/>
          <w:szCs w:val="20"/>
        </w:rPr>
        <w:t>. Once the BS receives the feedback bitstreams, including the codeword and signaling, a performance monitoring-enabled reconstruction process is employed, in which the corresponding reconstruction (decoder) method is selected according to the signaling bitstream, and then the downlink CSI is recovered based on the codeword.</w:t>
      </w:r>
    </w:p>
    <w:p w14:paraId="24DEC909" w14:textId="77777777" w:rsidR="00D52159" w:rsidRDefault="004A7016">
      <w:pPr>
        <w:pStyle w:val="a6"/>
        <w:rPr>
          <w:rFonts w:eastAsia="等线" w:cs="Arial"/>
          <w:szCs w:val="20"/>
        </w:rPr>
      </w:pPr>
      <w:r>
        <w:rPr>
          <w:rFonts w:eastAsia="等线" w:cs="Arial"/>
          <w:szCs w:val="20"/>
        </w:rPr>
        <w:t xml:space="preserve">The alternative strategies mentioned before might involve the following two scenarios: </w:t>
      </w:r>
    </w:p>
    <w:p w14:paraId="11D336EA" w14:textId="77777777" w:rsidR="00D52159" w:rsidRDefault="004A7016">
      <w:pPr>
        <w:pStyle w:val="a6"/>
        <w:rPr>
          <w:rFonts w:eastAsia="等线" w:cs="Arial"/>
          <w:szCs w:val="20"/>
        </w:rPr>
      </w:pPr>
      <w:r>
        <w:rPr>
          <w:rFonts w:eastAsia="等线" w:cs="Arial"/>
          <w:szCs w:val="20"/>
        </w:rPr>
        <w:t xml:space="preserve">• More feedback bits are needed: </w:t>
      </w:r>
      <w:r>
        <w:rPr>
          <w:rFonts w:eastAsia="等线" w:cs="Arial" w:hint="eastAsia"/>
          <w:szCs w:val="20"/>
        </w:rPr>
        <w:t>D</w:t>
      </w:r>
      <w:r>
        <w:rPr>
          <w:rFonts w:eastAsia="等线" w:cs="Arial"/>
          <w:szCs w:val="20"/>
        </w:rPr>
        <w:t>ue to the instabilities of AI-based CSI feedback, the accuracy of some CSI samples may be significantly lower than others. Thus, allocating more feedback bits to enhance their accuracy becomes necessary.</w:t>
      </w:r>
    </w:p>
    <w:p w14:paraId="6EEE5DE9" w14:textId="77777777" w:rsidR="00D52159" w:rsidRDefault="004A7016">
      <w:pPr>
        <w:pStyle w:val="a6"/>
        <w:rPr>
          <w:rFonts w:eastAsia="等线" w:cs="Arial"/>
          <w:szCs w:val="20"/>
        </w:rPr>
      </w:pPr>
      <w:r>
        <w:rPr>
          <w:rFonts w:eastAsia="等线" w:cs="Arial" w:hint="eastAsia"/>
          <w:szCs w:val="20"/>
        </w:rPr>
        <w:t>•</w:t>
      </w:r>
      <w:r>
        <w:rPr>
          <w:rFonts w:eastAsia="等线" w:cs="Arial"/>
          <w:szCs w:val="20"/>
        </w:rPr>
        <w:t xml:space="preserve">The feedback NN model is mismatched: </w:t>
      </w:r>
      <w:r>
        <w:rPr>
          <w:rFonts w:eastAsia="等线" w:cs="Arial" w:hint="eastAsia"/>
          <w:szCs w:val="20"/>
        </w:rPr>
        <w:t>F</w:t>
      </w:r>
      <w:r>
        <w:rPr>
          <w:rFonts w:eastAsia="等线" w:cs="Arial"/>
          <w:szCs w:val="20"/>
        </w:rPr>
        <w:t>eedback accuracy will considerably decrease if there is a mismatch between the training and practical CSI distributions. If the UE has stored an NN model that matches the real-world environment, it switches to the appropriate feedback model, then transmits the NN model’s ID to the BS. The BS reconstructs the downlink CSI using the designated decoder based on the received feedback codeword. If the environment is entirely new, the UE stores the CSI samples and transmits them to the BS for online training during idle periods. In this case, conventional feedback algorithms, e.g., Type II codebook, are used for feedback of the downlink CSI.</w:t>
      </w:r>
    </w:p>
    <w:p w14:paraId="4995A89B" w14:textId="381AED8E" w:rsidR="00D52159" w:rsidRDefault="004A7016">
      <w:pPr>
        <w:pStyle w:val="a6"/>
        <w:rPr>
          <w:rFonts w:eastAsia="等线" w:cs="Arial"/>
          <w:szCs w:val="20"/>
        </w:rPr>
      </w:pPr>
      <w:r>
        <w:rPr>
          <w:rFonts w:eastAsia="等线" w:cs="Arial"/>
          <w:szCs w:val="20"/>
        </w:rPr>
        <w:t>This framework supports highly reliable CSI feedback, ensuring high-quality downlink transmission. However</w:t>
      </w:r>
      <w:r>
        <w:rPr>
          <w:rFonts w:eastAsia="等线" w:cs="Arial" w:hint="eastAsia"/>
          <w:szCs w:val="20"/>
        </w:rPr>
        <w:t xml:space="preserve">, </w:t>
      </w:r>
      <w:r>
        <w:rPr>
          <w:rFonts w:eastAsia="等线" w:cs="Arial"/>
          <w:szCs w:val="20"/>
        </w:rPr>
        <w:t>predicting feedback accuracy at the UE, i.e., performance monitoring, remains a major challenge. The natural approach is to use the same decoder as the BS to reconstruct the downlink CSI from the codeword before feedback transmission.</w:t>
      </w:r>
    </w:p>
    <w:p w14:paraId="46A90EBD" w14:textId="77777777" w:rsidR="004A7016" w:rsidRDefault="004A7016" w:rsidP="004A7016">
      <w:pPr>
        <w:pStyle w:val="a6"/>
        <w:rPr>
          <w:rFonts w:eastAsia="等线" w:cs="Arial"/>
          <w:szCs w:val="20"/>
        </w:rPr>
      </w:pPr>
      <w:r>
        <w:rPr>
          <w:rFonts w:eastAsia="等线" w:cs="Arial"/>
          <w:szCs w:val="20"/>
        </w:rPr>
        <w:t>Fig</w:t>
      </w:r>
      <w:r>
        <w:rPr>
          <w:rFonts w:eastAsia="等线" w:cs="Arial" w:hint="eastAsia"/>
          <w:szCs w:val="20"/>
        </w:rPr>
        <w:t>. 2-3</w:t>
      </w:r>
      <w:r>
        <w:rPr>
          <w:rFonts w:eastAsia="等线" w:cs="Arial"/>
          <w:szCs w:val="20"/>
        </w:rPr>
        <w:t xml:space="preserve"> illustrates the training collaboration between the UE and BS manufacturers. The training of the proxy NN model involves the following steps:</w:t>
      </w:r>
    </w:p>
    <w:p w14:paraId="5EA73B9B" w14:textId="77777777" w:rsidR="004A7016" w:rsidRDefault="004A7016" w:rsidP="004A7016">
      <w:pPr>
        <w:pStyle w:val="a6"/>
        <w:rPr>
          <w:rFonts w:eastAsia="等线" w:cs="Arial"/>
          <w:szCs w:val="20"/>
        </w:rPr>
      </w:pPr>
      <w:r>
        <w:rPr>
          <w:rFonts w:eastAsia="等线" w:cs="Arial"/>
          <w:szCs w:val="20"/>
        </w:rPr>
        <w:t>• The UE collects CSI and generates the corresponding codewords using the pre-trained encoder.</w:t>
      </w:r>
    </w:p>
    <w:p w14:paraId="50A68612" w14:textId="77777777" w:rsidR="004A7016" w:rsidRDefault="004A7016" w:rsidP="004A7016">
      <w:pPr>
        <w:pStyle w:val="a6"/>
        <w:jc w:val="left"/>
        <w:rPr>
          <w:rFonts w:eastAsia="等线" w:cs="Arial"/>
          <w:szCs w:val="20"/>
        </w:rPr>
      </w:pPr>
      <w:r>
        <w:rPr>
          <w:rFonts w:eastAsia="等线" w:cs="Arial" w:hint="eastAsia"/>
          <w:szCs w:val="20"/>
        </w:rPr>
        <w:t>•</w:t>
      </w:r>
      <w:r>
        <w:rPr>
          <w:rFonts w:eastAsia="等线" w:cs="Arial"/>
          <w:szCs w:val="20"/>
        </w:rPr>
        <w:t xml:space="preserve"> The UE transmits the codewords to the BS via the uplink channel during idle time.</w:t>
      </w:r>
    </w:p>
    <w:p w14:paraId="1F72356F" w14:textId="77777777" w:rsidR="004A7016" w:rsidRDefault="004A7016" w:rsidP="004A7016">
      <w:pPr>
        <w:pStyle w:val="a6"/>
        <w:rPr>
          <w:rFonts w:eastAsia="等线"/>
        </w:rPr>
      </w:pPr>
      <w:r>
        <w:rPr>
          <w:rFonts w:eastAsia="等线" w:cs="Arial" w:hint="eastAsia"/>
          <w:szCs w:val="20"/>
        </w:rPr>
        <w:t>•</w:t>
      </w:r>
      <w:r>
        <w:rPr>
          <w:rFonts w:eastAsia="等线" w:cs="Arial"/>
          <w:szCs w:val="20"/>
        </w:rPr>
        <w:t xml:space="preserve"> </w:t>
      </w:r>
      <w:r>
        <w:rPr>
          <w:rFonts w:eastAsia="等线"/>
        </w:rPr>
        <w:t>The BS generates the reconstructed CSI</w:t>
      </w:r>
      <w:r>
        <w:rPr>
          <w:rFonts w:eastAsia="等线" w:hint="eastAsia"/>
        </w:rPr>
        <w:t xml:space="preserve"> </w:t>
      </w:r>
      <w:r>
        <w:rPr>
          <w:rFonts w:eastAsia="等线"/>
        </w:rPr>
        <w:t>using the pre-trained decoder once it receives the codewords transmitted by the UE.</w:t>
      </w:r>
    </w:p>
    <w:p w14:paraId="7B78B571" w14:textId="77777777" w:rsidR="004A7016" w:rsidRDefault="004A7016" w:rsidP="004A7016">
      <w:pPr>
        <w:pStyle w:val="a6"/>
        <w:rPr>
          <w:rFonts w:eastAsia="等线"/>
        </w:rPr>
      </w:pPr>
      <w:r>
        <w:rPr>
          <w:rFonts w:eastAsia="等线" w:hint="eastAsia"/>
        </w:rPr>
        <w:lastRenderedPageBreak/>
        <w:t>•</w:t>
      </w:r>
      <w:r>
        <w:rPr>
          <w:rFonts w:eastAsia="等线"/>
        </w:rPr>
        <w:t xml:space="preserve"> The BS then transmits the reconstructed CSI to the UE </w:t>
      </w:r>
      <w:r>
        <w:rPr>
          <w:rFonts w:eastAsia="等线" w:hint="eastAsia"/>
        </w:rPr>
        <w:t>vendor</w:t>
      </w:r>
      <w:r>
        <w:rPr>
          <w:rFonts w:eastAsia="等线"/>
        </w:rPr>
        <w:t>.</w:t>
      </w:r>
    </w:p>
    <w:p w14:paraId="60D5B340" w14:textId="77777777" w:rsidR="004A7016" w:rsidRDefault="004A7016" w:rsidP="004A7016">
      <w:pPr>
        <w:pStyle w:val="a6"/>
        <w:rPr>
          <w:rFonts w:eastAsia="等线"/>
        </w:rPr>
      </w:pPr>
      <w:r>
        <w:rPr>
          <w:rFonts w:eastAsia="等线" w:hint="eastAsia"/>
        </w:rPr>
        <w:t>•</w:t>
      </w:r>
      <w:r>
        <w:rPr>
          <w:rFonts w:eastAsia="等线"/>
        </w:rPr>
        <w:t xml:space="preserve"> Finally, if the reconstructed CSI is sent to</w:t>
      </w:r>
      <w:r>
        <w:rPr>
          <w:rFonts w:eastAsia="等线" w:hint="eastAsia"/>
        </w:rPr>
        <w:t xml:space="preserve"> </w:t>
      </w:r>
      <w:r>
        <w:rPr>
          <w:rFonts w:eastAsia="等线"/>
        </w:rPr>
        <w:t xml:space="preserve">the UE </w:t>
      </w:r>
      <w:r>
        <w:rPr>
          <w:rFonts w:eastAsia="等线" w:hint="eastAsia"/>
        </w:rPr>
        <w:t>vendor</w:t>
      </w:r>
      <w:r>
        <w:rPr>
          <w:rFonts w:eastAsia="等线"/>
        </w:rPr>
        <w:t xml:space="preserve">, the UE </w:t>
      </w:r>
      <w:r>
        <w:rPr>
          <w:rFonts w:eastAsia="等线" w:hint="eastAsia"/>
        </w:rPr>
        <w:t>vendor</w:t>
      </w:r>
      <w:r>
        <w:rPr>
          <w:rFonts w:eastAsia="等线"/>
        </w:rPr>
        <w:t xml:space="preserve"> trains a proxy</w:t>
      </w:r>
      <w:r>
        <w:rPr>
          <w:rFonts w:eastAsia="等线" w:hint="eastAsia"/>
        </w:rPr>
        <w:t xml:space="preserve"> </w:t>
      </w:r>
      <w:r>
        <w:rPr>
          <w:rFonts w:eastAsia="等线"/>
        </w:rPr>
        <w:t xml:space="preserve">NN model using </w:t>
      </w:r>
      <w:r>
        <w:rPr>
          <w:rFonts w:eastAsia="等线" w:hint="eastAsia"/>
        </w:rPr>
        <w:t>codeword</w:t>
      </w:r>
      <w:r>
        <w:rPr>
          <w:rFonts w:eastAsia="等线"/>
        </w:rPr>
        <w:t xml:space="preserve"> and reconstructed CSI on</w:t>
      </w:r>
      <w:r>
        <w:rPr>
          <w:rFonts w:eastAsia="等线" w:hint="eastAsia"/>
        </w:rPr>
        <w:t xml:space="preserve"> </w:t>
      </w:r>
      <w:r>
        <w:rPr>
          <w:rFonts w:eastAsia="等线"/>
        </w:rPr>
        <w:t xml:space="preserve">edge or central servers and then transmits the NN parameters to the UEs. </w:t>
      </w:r>
    </w:p>
    <w:p w14:paraId="7C182DFC" w14:textId="6FD266DF" w:rsidR="004A7016" w:rsidRPr="004A7016" w:rsidRDefault="004A7016">
      <w:pPr>
        <w:pStyle w:val="a6"/>
        <w:rPr>
          <w:rFonts w:eastAsia="等线"/>
        </w:rPr>
      </w:pPr>
      <w:r>
        <w:rPr>
          <w:rFonts w:eastAsia="等线"/>
        </w:rPr>
        <w:t>If the reconstructed CSI is sent directly to the UE, the UE trains the proxy NN</w:t>
      </w:r>
      <w:r>
        <w:rPr>
          <w:rFonts w:eastAsia="等线" w:hint="eastAsia"/>
        </w:rPr>
        <w:t xml:space="preserve"> </w:t>
      </w:r>
      <w:r>
        <w:rPr>
          <w:rFonts w:eastAsia="等线"/>
        </w:rPr>
        <w:t>model using novel lightweight online training strategies</w:t>
      </w:r>
      <w:r>
        <w:rPr>
          <w:rFonts w:eastAsia="等线" w:hint="eastAsia"/>
        </w:rPr>
        <w:t xml:space="preserve"> </w:t>
      </w:r>
      <w:r>
        <w:rPr>
          <w:rFonts w:eastAsia="等线"/>
        </w:rPr>
        <w:t>based on the available computational power at the UE.</w:t>
      </w:r>
    </w:p>
    <w:p w14:paraId="0D7230FB" w14:textId="77777777" w:rsidR="00D52159" w:rsidRDefault="004A7016">
      <w:pPr>
        <w:pStyle w:val="a6"/>
        <w:jc w:val="center"/>
        <w:rPr>
          <w:rFonts w:eastAsia="等线" w:cs="Arial"/>
          <w:szCs w:val="20"/>
        </w:rPr>
      </w:pPr>
      <w:r>
        <w:rPr>
          <w:rFonts w:eastAsia="等线" w:cs="Arial"/>
          <w:noProof/>
          <w:szCs w:val="20"/>
        </w:rPr>
        <w:drawing>
          <wp:inline distT="0" distB="0" distL="0" distR="0" wp14:anchorId="59480F77" wp14:editId="3C8627C4">
            <wp:extent cx="4654550" cy="2767965"/>
            <wp:effectExtent l="0" t="0" r="0" b="0"/>
            <wp:docPr id="17658070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807021"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60951" cy="2771536"/>
                    </a:xfrm>
                    <a:prstGeom prst="rect">
                      <a:avLst/>
                    </a:prstGeom>
                  </pic:spPr>
                </pic:pic>
              </a:graphicData>
            </a:graphic>
          </wp:inline>
        </w:drawing>
      </w:r>
    </w:p>
    <w:p w14:paraId="70CDCB85" w14:textId="0011C383" w:rsidR="00D52159" w:rsidRDefault="004A7016">
      <w:pPr>
        <w:pStyle w:val="a6"/>
        <w:jc w:val="center"/>
        <w:rPr>
          <w:rFonts w:eastAsia="等线"/>
        </w:rPr>
      </w:pPr>
      <w:r>
        <w:rPr>
          <w:rFonts w:eastAsia="等线" w:hint="eastAsia"/>
        </w:rPr>
        <w:t xml:space="preserve">Fig. 2-2: </w:t>
      </w:r>
      <w:r>
        <w:rPr>
          <w:rFonts w:eastAsia="等线"/>
        </w:rPr>
        <w:t>The proposed performance monitoring-enabled framework for reliable AI-based CSI feedback in practical scenarios</w:t>
      </w:r>
      <w:r>
        <w:rPr>
          <w:rFonts w:eastAsia="等线" w:hint="eastAsia"/>
        </w:rPr>
        <w:t xml:space="preserve"> </w:t>
      </w:r>
      <w:r>
        <w:rPr>
          <w:rFonts w:eastAsia="等线"/>
        </w:rPr>
        <w:fldChar w:fldCharType="begin"/>
      </w:r>
      <w:r>
        <w:rPr>
          <w:rFonts w:eastAsia="等线"/>
        </w:rPr>
        <w:instrText xml:space="preserve"> </w:instrText>
      </w:r>
      <w:r>
        <w:rPr>
          <w:rFonts w:eastAsia="等线" w:hint="eastAsia"/>
        </w:rPr>
        <w:instrText>REF _Ref213247316 \r \h</w:instrText>
      </w:r>
      <w:r>
        <w:rPr>
          <w:rFonts w:eastAsia="等线"/>
        </w:rPr>
        <w:instrText xml:space="preserve"> </w:instrText>
      </w:r>
      <w:r>
        <w:rPr>
          <w:rFonts w:eastAsia="等线"/>
        </w:rPr>
      </w:r>
      <w:r>
        <w:rPr>
          <w:rFonts w:eastAsia="等线"/>
        </w:rPr>
        <w:fldChar w:fldCharType="separate"/>
      </w:r>
      <w:r w:rsidR="002268A9">
        <w:rPr>
          <w:rFonts w:eastAsia="等线"/>
        </w:rPr>
        <w:t>[6]</w:t>
      </w:r>
      <w:r>
        <w:rPr>
          <w:rFonts w:eastAsia="等线"/>
        </w:rPr>
        <w:fldChar w:fldCharType="end"/>
      </w:r>
      <w:r>
        <w:rPr>
          <w:rFonts w:eastAsia="等线" w:hint="eastAsia"/>
        </w:rPr>
        <w:t>.</w:t>
      </w:r>
    </w:p>
    <w:p w14:paraId="33736F8D" w14:textId="77777777" w:rsidR="00D52159" w:rsidRDefault="004A7016">
      <w:pPr>
        <w:pStyle w:val="a6"/>
        <w:jc w:val="center"/>
        <w:rPr>
          <w:rFonts w:eastAsia="等线" w:cs="Arial"/>
          <w:szCs w:val="20"/>
        </w:rPr>
      </w:pPr>
      <w:r>
        <w:rPr>
          <w:rFonts w:eastAsia="等线" w:cs="Arial" w:hint="eastAsia"/>
          <w:noProof/>
          <w:szCs w:val="20"/>
        </w:rPr>
        <w:drawing>
          <wp:inline distT="0" distB="0" distL="0" distR="0" wp14:anchorId="01B05463" wp14:editId="64A206B2">
            <wp:extent cx="2773680" cy="1155065"/>
            <wp:effectExtent l="0" t="0" r="7620" b="6985"/>
            <wp:docPr id="1133568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6864"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3680" cy="1155192"/>
                    </a:xfrm>
                    <a:prstGeom prst="rect">
                      <a:avLst/>
                    </a:prstGeom>
                  </pic:spPr>
                </pic:pic>
              </a:graphicData>
            </a:graphic>
          </wp:inline>
        </w:drawing>
      </w:r>
    </w:p>
    <w:p w14:paraId="6E8B3D0D" w14:textId="77777777" w:rsidR="00D52159" w:rsidRDefault="004A7016">
      <w:pPr>
        <w:pStyle w:val="a6"/>
        <w:jc w:val="center"/>
        <w:rPr>
          <w:rFonts w:eastAsia="等线" w:cs="Arial"/>
          <w:szCs w:val="20"/>
        </w:rPr>
      </w:pPr>
      <w:r>
        <w:rPr>
          <w:rFonts w:eastAsia="等线" w:hint="eastAsia"/>
        </w:rPr>
        <w:t xml:space="preserve">Fig. 2-3: </w:t>
      </w:r>
      <w:r>
        <w:rPr>
          <w:rFonts w:eastAsia="等线"/>
        </w:rPr>
        <w:t>Illustration of the training collaboration between UE and BS</w:t>
      </w:r>
    </w:p>
    <w:p w14:paraId="6EB20AD7" w14:textId="77777777" w:rsidR="00D52159" w:rsidRDefault="004A7016">
      <w:pPr>
        <w:pStyle w:val="a6"/>
        <w:rPr>
          <w:rFonts w:eastAsia="等线" w:cs="Arial"/>
          <w:szCs w:val="20"/>
        </w:rPr>
      </w:pPr>
      <w:r>
        <w:rPr>
          <w:rFonts w:eastAsia="等线" w:cs="Arial" w:hint="eastAsia"/>
          <w:szCs w:val="20"/>
        </w:rPr>
        <w:t>W</w:t>
      </w:r>
      <w:r>
        <w:rPr>
          <w:rFonts w:eastAsia="Times New Roman" w:cs="Arial"/>
          <w:szCs w:val="20"/>
          <w:lang w:eastAsia="en-US"/>
        </w:rPr>
        <w:t xml:space="preserve">e adopt a Transformer-based NN architecture </w:t>
      </w:r>
      <w:r>
        <w:rPr>
          <w:rFonts w:eastAsia="等线" w:cs="Arial" w:hint="eastAsia"/>
          <w:szCs w:val="20"/>
        </w:rPr>
        <w:t>for evaluation</w:t>
      </w:r>
      <w:r>
        <w:rPr>
          <w:rFonts w:eastAsia="Times New Roman" w:cs="Arial"/>
          <w:szCs w:val="20"/>
          <w:lang w:eastAsia="en-US"/>
        </w:rPr>
        <w:t>, as illustrated in Fig</w:t>
      </w:r>
      <w:r>
        <w:rPr>
          <w:rFonts w:eastAsia="等线" w:cs="Arial" w:hint="eastAsia"/>
          <w:szCs w:val="20"/>
        </w:rPr>
        <w:t>. 2-4</w:t>
      </w:r>
      <w:r>
        <w:rPr>
          <w:rFonts w:eastAsia="Times New Roman" w:cs="Arial"/>
          <w:szCs w:val="20"/>
          <w:lang w:eastAsia="en-US"/>
        </w:rPr>
        <w:t xml:space="preserve"> serving as the baseline feedback NN architecture.</w:t>
      </w:r>
      <w:r>
        <w:rPr>
          <w:rFonts w:eastAsia="等线" w:cs="Arial" w:hint="eastAsia"/>
          <w:szCs w:val="20"/>
        </w:rPr>
        <w:t xml:space="preserve"> One and </w:t>
      </w:r>
      <w:r>
        <w:rPr>
          <w:rFonts w:eastAsia="等线" w:cs="Arial"/>
          <w:szCs w:val="20"/>
        </w:rPr>
        <w:t>six</w:t>
      </w:r>
      <w:r>
        <w:rPr>
          <w:rFonts w:eastAsia="等线" w:cs="Arial" w:hint="eastAsia"/>
          <w:szCs w:val="20"/>
        </w:rPr>
        <w:t xml:space="preserve"> </w:t>
      </w:r>
      <w:r>
        <w:rPr>
          <w:rFonts w:eastAsia="等线" w:cs="Arial"/>
          <w:szCs w:val="20"/>
        </w:rPr>
        <w:t>sequential Transformer blocks</w:t>
      </w:r>
      <w:r>
        <w:rPr>
          <w:rFonts w:eastAsia="等线" w:cs="Arial" w:hint="eastAsia"/>
          <w:szCs w:val="20"/>
        </w:rPr>
        <w:t xml:space="preserve"> are used in the encoder and decoder, respectively. For the proxy model, the decoder </w:t>
      </w:r>
      <w:r>
        <w:rPr>
          <w:rFonts w:eastAsia="等线" w:cs="Arial"/>
          <w:szCs w:val="20"/>
        </w:rPr>
        <w:t>structure</w:t>
      </w:r>
      <w:r>
        <w:rPr>
          <w:rFonts w:eastAsia="等线" w:cs="Arial" w:hint="eastAsia"/>
          <w:szCs w:val="20"/>
        </w:rPr>
        <w:t xml:space="preserve"> with one </w:t>
      </w:r>
      <w:r>
        <w:rPr>
          <w:rFonts w:eastAsia="等线" w:cs="Arial"/>
          <w:szCs w:val="20"/>
        </w:rPr>
        <w:t>Transformer block</w:t>
      </w:r>
      <w:r>
        <w:rPr>
          <w:rFonts w:eastAsia="等线" w:cs="Arial" w:hint="eastAsia"/>
          <w:szCs w:val="20"/>
        </w:rPr>
        <w:t xml:space="preserve"> is considered.</w:t>
      </w:r>
    </w:p>
    <w:p w14:paraId="3F56C255"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36E7C55D" wp14:editId="154406BB">
            <wp:extent cx="1903509" cy="2803585"/>
            <wp:effectExtent l="0" t="0" r="1905" b="0"/>
            <wp:docPr id="21205307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30775"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11054" cy="2814697"/>
                    </a:xfrm>
                    <a:prstGeom prst="rect">
                      <a:avLst/>
                    </a:prstGeom>
                  </pic:spPr>
                </pic:pic>
              </a:graphicData>
            </a:graphic>
          </wp:inline>
        </w:drawing>
      </w:r>
    </w:p>
    <w:p w14:paraId="7E6A03D4"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rPr>
        <w:lastRenderedPageBreak/>
        <w:t>Fig. 2-</w:t>
      </w:r>
      <w:r>
        <w:rPr>
          <w:rFonts w:eastAsia="等线" w:hint="eastAsia"/>
          <w:b w:val="0"/>
          <w:bCs w:val="0"/>
        </w:rPr>
        <w:t>4</w:t>
      </w:r>
      <w:r>
        <w:rPr>
          <w:rFonts w:eastAsia="等线"/>
          <w:b w:val="0"/>
          <w:bCs w:val="0"/>
        </w:rPr>
        <w:t>:</w:t>
      </w:r>
      <w:r>
        <w:rPr>
          <w:rFonts w:eastAsia="等线" w:hint="eastAsia"/>
          <w:b w:val="0"/>
          <w:bCs w:val="0"/>
        </w:rPr>
        <w:t xml:space="preserve"> </w:t>
      </w:r>
      <w:r>
        <w:rPr>
          <w:rFonts w:eastAsia="等线"/>
          <w:b w:val="0"/>
          <w:bCs w:val="0"/>
        </w:rPr>
        <w:t>Illustration of the baseline Transformer-based feedback NN architecture</w:t>
      </w:r>
      <w:r>
        <w:rPr>
          <w:rFonts w:eastAsia="等线" w:hint="eastAsia"/>
          <w:b w:val="0"/>
          <w:bCs w:val="0"/>
        </w:rPr>
        <w:t>.</w:t>
      </w:r>
    </w:p>
    <w:p w14:paraId="4421CAC2"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22990CDB" wp14:editId="648F0440">
            <wp:extent cx="2286000" cy="2172335"/>
            <wp:effectExtent l="0" t="0" r="0" b="0"/>
            <wp:docPr id="18038752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75220" name="图片 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1328" cy="2177794"/>
                    </a:xfrm>
                    <a:prstGeom prst="rect">
                      <a:avLst/>
                    </a:prstGeom>
                  </pic:spPr>
                </pic:pic>
              </a:graphicData>
            </a:graphic>
          </wp:inline>
        </w:drawing>
      </w:r>
    </w:p>
    <w:p w14:paraId="5F6C604C"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rPr>
        <w:t>Table 2-</w:t>
      </w:r>
      <w:r>
        <w:rPr>
          <w:rFonts w:eastAsia="等线" w:hint="eastAsia"/>
          <w:b w:val="0"/>
          <w:bCs w:val="0"/>
        </w:rPr>
        <w:t>2</w:t>
      </w:r>
      <w:r>
        <w:rPr>
          <w:rFonts w:eastAsia="等线"/>
          <w:b w:val="0"/>
          <w:bCs w:val="0"/>
        </w:rPr>
        <w:t xml:space="preserve">: </w:t>
      </w:r>
      <w:r>
        <w:rPr>
          <w:rFonts w:eastAsia="等线" w:hint="eastAsia"/>
          <w:b w:val="0"/>
          <w:bCs w:val="0"/>
        </w:rPr>
        <w:t>Data generation settings</w:t>
      </w:r>
    </w:p>
    <w:p w14:paraId="5BB72C0F" w14:textId="77777777" w:rsidR="00D52159" w:rsidRDefault="004A7016">
      <w:pPr>
        <w:pStyle w:val="a6"/>
        <w:rPr>
          <w:rFonts w:eastAsia="等线"/>
        </w:rPr>
      </w:pPr>
      <w:r>
        <w:rPr>
          <w:rFonts w:eastAsia="等线"/>
        </w:rPr>
        <w:t>The lightweight proxy decoder achieves high accuracy in predicting the network (NW)’s actual reconstructed SGCS values. Fig. 2-5 illustrates the cumulative distribution function (CDF) of SGCS prediction errors for feedback bit allocations of 64 and 196. For individual CSI samples, over 95% exhibit prediction errors below 0.05, with more than 60% showing negative errors. This indicates the proxy decoder effectively captures the NW’s decoding behavior, even for challenging samples requiring advanced decoding logic.</w:t>
      </w:r>
    </w:p>
    <w:p w14:paraId="1D221D3C" w14:textId="77777777" w:rsidR="00D52159" w:rsidRDefault="004A7016">
      <w:pPr>
        <w:pStyle w:val="a6"/>
        <w:rPr>
          <w:rFonts w:eastAsia="等线"/>
        </w:rPr>
      </w:pPr>
      <w:r>
        <w:rPr>
          <w:rFonts w:eastAsia="等线"/>
        </w:rPr>
        <w:t xml:space="preserve">Table 2-3 presents the classification precision and recall of the proxy decoder with 112 feedback bits. Across all SGCS thresholds, the decoder achieves precision values exceeding 0.96. However, precision decreases as the SGCS threshold increases, reflecting the heightened difficulty of classification when more CSI reconstructions fail to meet accuracy requirements. Recall is particularly critical for monitoring AI-based CSI feedback performance, as the primary goal is to detect low-quality feedback samples and ensure reliable communication. At low SGCS thresholds (where most CSI samples meet accuracy requirements), identifying poor reconstructions becomes challenging. Nevertheless, the </w:t>
      </w:r>
      <w:r>
        <w:rPr>
          <w:rFonts w:eastAsia="等线" w:hint="eastAsia"/>
        </w:rPr>
        <w:t>proxy</w:t>
      </w:r>
      <w:r>
        <w:rPr>
          <w:rFonts w:eastAsia="等线"/>
        </w:rPr>
        <w:t xml:space="preserve"> successfully detects over 85% of low-quality samples even under these conditions, significantly mitigating transmission risks. When the SGCS threshold rises to 0.7, the method identifies nearly 95% of inadequate CSI reconstructions. Compared to the baseline, the proposed approach consistently demonstrates superior performance, especially at lower thresholds.</w:t>
      </w:r>
    </w:p>
    <w:p w14:paraId="40C83BD9" w14:textId="77777777" w:rsidR="00D52159" w:rsidRDefault="004A7016">
      <w:pPr>
        <w:pStyle w:val="a6"/>
        <w:jc w:val="center"/>
        <w:rPr>
          <w:rFonts w:eastAsia="等线"/>
        </w:rPr>
      </w:pPr>
      <w:r>
        <w:rPr>
          <w:rFonts w:eastAsia="等线"/>
          <w:noProof/>
        </w:rPr>
        <w:drawing>
          <wp:inline distT="0" distB="0" distL="0" distR="0" wp14:anchorId="5DA2EB28" wp14:editId="4E244A8D">
            <wp:extent cx="2395220" cy="1929130"/>
            <wp:effectExtent l="0" t="0" r="5080" b="0"/>
            <wp:docPr id="9411511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151167"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95728" cy="1929384"/>
                    </a:xfrm>
                    <a:prstGeom prst="rect">
                      <a:avLst/>
                    </a:prstGeom>
                  </pic:spPr>
                </pic:pic>
              </a:graphicData>
            </a:graphic>
          </wp:inline>
        </w:drawing>
      </w:r>
    </w:p>
    <w:p w14:paraId="5CACBE62" w14:textId="77777777" w:rsidR="00D52159" w:rsidRDefault="004A7016">
      <w:pPr>
        <w:pStyle w:val="a6"/>
        <w:jc w:val="center"/>
        <w:rPr>
          <w:rFonts w:eastAsia="等线"/>
        </w:rPr>
      </w:pPr>
      <w:r>
        <w:rPr>
          <w:rFonts w:eastAsia="等线"/>
        </w:rPr>
        <w:t>Fig. 2-</w:t>
      </w:r>
      <w:r>
        <w:rPr>
          <w:rFonts w:eastAsia="等线" w:hint="eastAsia"/>
        </w:rPr>
        <w:t>5</w:t>
      </w:r>
      <w:r>
        <w:rPr>
          <w:rFonts w:eastAsia="等线"/>
        </w:rPr>
        <w:t>:</w:t>
      </w:r>
      <w:r>
        <w:rPr>
          <w:rFonts w:eastAsia="等线" w:hint="eastAsia"/>
        </w:rPr>
        <w:t xml:space="preserve"> </w:t>
      </w:r>
      <w:r>
        <w:rPr>
          <w:rFonts w:eastAsia="等线"/>
        </w:rPr>
        <w:t>CDF values of the SGCS prediction error for feedback bit numbers set at 64 and 196.</w:t>
      </w:r>
    </w:p>
    <w:tbl>
      <w:tblPr>
        <w:tblStyle w:val="afe"/>
        <w:tblW w:w="0" w:type="auto"/>
        <w:tblLook w:val="04A0" w:firstRow="1" w:lastRow="0" w:firstColumn="1" w:lastColumn="0" w:noHBand="0" w:noVBand="1"/>
      </w:tblPr>
      <w:tblGrid>
        <w:gridCol w:w="1604"/>
        <w:gridCol w:w="1605"/>
        <w:gridCol w:w="1605"/>
        <w:gridCol w:w="1605"/>
        <w:gridCol w:w="1605"/>
        <w:gridCol w:w="1605"/>
      </w:tblGrid>
      <w:tr w:rsidR="00D52159" w14:paraId="59175433" w14:textId="77777777">
        <w:tc>
          <w:tcPr>
            <w:tcW w:w="1604" w:type="dxa"/>
          </w:tcPr>
          <w:p w14:paraId="6A10AB89" w14:textId="77777777" w:rsidR="00D52159" w:rsidRDefault="004A7016">
            <w:pPr>
              <w:pStyle w:val="a6"/>
              <w:rPr>
                <w:rFonts w:eastAsia="等线"/>
              </w:rPr>
            </w:pPr>
            <w:r>
              <w:rPr>
                <w:rFonts w:eastAsia="等线"/>
              </w:rPr>
              <w:t>SGCS threshold</w:t>
            </w:r>
          </w:p>
        </w:tc>
        <w:tc>
          <w:tcPr>
            <w:tcW w:w="1605" w:type="dxa"/>
          </w:tcPr>
          <w:p w14:paraId="1C91A33A" w14:textId="77777777" w:rsidR="00D52159" w:rsidRDefault="004A7016">
            <w:pPr>
              <w:pStyle w:val="a6"/>
              <w:rPr>
                <w:rFonts w:eastAsia="等线"/>
              </w:rPr>
            </w:pPr>
            <w:r>
              <w:rPr>
                <w:rFonts w:eastAsia="等线" w:hint="eastAsia"/>
              </w:rPr>
              <w:t>0.5</w:t>
            </w:r>
          </w:p>
        </w:tc>
        <w:tc>
          <w:tcPr>
            <w:tcW w:w="1605" w:type="dxa"/>
          </w:tcPr>
          <w:p w14:paraId="1A2FB699" w14:textId="77777777" w:rsidR="00D52159" w:rsidRDefault="004A7016">
            <w:pPr>
              <w:pStyle w:val="a6"/>
              <w:rPr>
                <w:rFonts w:eastAsia="等线"/>
              </w:rPr>
            </w:pPr>
            <w:r>
              <w:rPr>
                <w:rFonts w:eastAsia="等线" w:hint="eastAsia"/>
              </w:rPr>
              <w:t>0.55</w:t>
            </w:r>
          </w:p>
        </w:tc>
        <w:tc>
          <w:tcPr>
            <w:tcW w:w="1605" w:type="dxa"/>
          </w:tcPr>
          <w:p w14:paraId="337CCCD8" w14:textId="77777777" w:rsidR="00D52159" w:rsidRDefault="004A7016">
            <w:pPr>
              <w:pStyle w:val="a6"/>
              <w:rPr>
                <w:rFonts w:eastAsia="等线"/>
              </w:rPr>
            </w:pPr>
            <w:r>
              <w:rPr>
                <w:rFonts w:eastAsia="等线" w:hint="eastAsia"/>
              </w:rPr>
              <w:t>0.6</w:t>
            </w:r>
          </w:p>
        </w:tc>
        <w:tc>
          <w:tcPr>
            <w:tcW w:w="1605" w:type="dxa"/>
          </w:tcPr>
          <w:p w14:paraId="55CB5C53" w14:textId="77777777" w:rsidR="00D52159" w:rsidRDefault="004A7016">
            <w:pPr>
              <w:pStyle w:val="a6"/>
              <w:rPr>
                <w:rFonts w:eastAsia="等线"/>
              </w:rPr>
            </w:pPr>
            <w:r>
              <w:rPr>
                <w:rFonts w:eastAsia="等线" w:hint="eastAsia"/>
              </w:rPr>
              <w:t>0.65</w:t>
            </w:r>
          </w:p>
        </w:tc>
        <w:tc>
          <w:tcPr>
            <w:tcW w:w="1605" w:type="dxa"/>
          </w:tcPr>
          <w:p w14:paraId="75A1BE88" w14:textId="77777777" w:rsidR="00D52159" w:rsidRDefault="004A7016">
            <w:pPr>
              <w:pStyle w:val="a6"/>
              <w:rPr>
                <w:rFonts w:eastAsia="等线"/>
              </w:rPr>
            </w:pPr>
            <w:r>
              <w:rPr>
                <w:rFonts w:eastAsia="等线" w:hint="eastAsia"/>
              </w:rPr>
              <w:t>0.7</w:t>
            </w:r>
          </w:p>
        </w:tc>
      </w:tr>
      <w:tr w:rsidR="00D52159" w14:paraId="483D6CBA" w14:textId="77777777">
        <w:tc>
          <w:tcPr>
            <w:tcW w:w="1604" w:type="dxa"/>
          </w:tcPr>
          <w:p w14:paraId="6F061ED6" w14:textId="77777777" w:rsidR="00D52159" w:rsidRDefault="004A7016">
            <w:pPr>
              <w:pStyle w:val="a6"/>
              <w:rPr>
                <w:rFonts w:eastAsia="等线"/>
              </w:rPr>
            </w:pPr>
            <w:r>
              <w:rPr>
                <w:rFonts w:eastAsia="等线" w:hint="eastAsia"/>
              </w:rPr>
              <w:t>Precision</w:t>
            </w:r>
          </w:p>
        </w:tc>
        <w:tc>
          <w:tcPr>
            <w:tcW w:w="1605" w:type="dxa"/>
          </w:tcPr>
          <w:p w14:paraId="58D9F0AD" w14:textId="77777777" w:rsidR="00D52159" w:rsidRDefault="004A7016">
            <w:pPr>
              <w:pStyle w:val="a6"/>
              <w:rPr>
                <w:rFonts w:eastAsia="等线"/>
              </w:rPr>
            </w:pPr>
            <w:r>
              <w:rPr>
                <w:rFonts w:eastAsia="等线" w:hint="eastAsia"/>
              </w:rPr>
              <w:t>0.99</w:t>
            </w:r>
          </w:p>
        </w:tc>
        <w:tc>
          <w:tcPr>
            <w:tcW w:w="1605" w:type="dxa"/>
          </w:tcPr>
          <w:p w14:paraId="3BF2FD48" w14:textId="77777777" w:rsidR="00D52159" w:rsidRDefault="004A7016">
            <w:pPr>
              <w:pStyle w:val="a6"/>
              <w:rPr>
                <w:rFonts w:eastAsia="等线"/>
              </w:rPr>
            </w:pPr>
            <w:r>
              <w:rPr>
                <w:rFonts w:eastAsia="等线" w:hint="eastAsia"/>
              </w:rPr>
              <w:t>0.99</w:t>
            </w:r>
          </w:p>
        </w:tc>
        <w:tc>
          <w:tcPr>
            <w:tcW w:w="1605" w:type="dxa"/>
          </w:tcPr>
          <w:p w14:paraId="73EB843A" w14:textId="77777777" w:rsidR="00D52159" w:rsidRDefault="004A7016">
            <w:pPr>
              <w:pStyle w:val="a6"/>
              <w:rPr>
                <w:rFonts w:eastAsia="等线"/>
              </w:rPr>
            </w:pPr>
            <w:r>
              <w:rPr>
                <w:rFonts w:eastAsia="等线" w:hint="eastAsia"/>
              </w:rPr>
              <w:t>0.99</w:t>
            </w:r>
          </w:p>
        </w:tc>
        <w:tc>
          <w:tcPr>
            <w:tcW w:w="1605" w:type="dxa"/>
          </w:tcPr>
          <w:p w14:paraId="2D3C9371" w14:textId="77777777" w:rsidR="00D52159" w:rsidRDefault="004A7016">
            <w:pPr>
              <w:pStyle w:val="a6"/>
              <w:rPr>
                <w:rFonts w:eastAsia="等线"/>
              </w:rPr>
            </w:pPr>
            <w:r>
              <w:rPr>
                <w:rFonts w:eastAsia="等线" w:hint="eastAsia"/>
              </w:rPr>
              <w:t>0.98</w:t>
            </w:r>
          </w:p>
        </w:tc>
        <w:tc>
          <w:tcPr>
            <w:tcW w:w="1605" w:type="dxa"/>
          </w:tcPr>
          <w:p w14:paraId="07F11EF6" w14:textId="77777777" w:rsidR="00D52159" w:rsidRDefault="004A7016">
            <w:pPr>
              <w:pStyle w:val="a6"/>
              <w:rPr>
                <w:rFonts w:eastAsia="等线"/>
              </w:rPr>
            </w:pPr>
            <w:r>
              <w:rPr>
                <w:rFonts w:eastAsia="等线" w:hint="eastAsia"/>
              </w:rPr>
              <w:t>0.97</w:t>
            </w:r>
          </w:p>
        </w:tc>
      </w:tr>
      <w:tr w:rsidR="00D52159" w14:paraId="3AA5133F" w14:textId="77777777">
        <w:tc>
          <w:tcPr>
            <w:tcW w:w="1604" w:type="dxa"/>
          </w:tcPr>
          <w:p w14:paraId="7780FF99" w14:textId="77777777" w:rsidR="00D52159" w:rsidRDefault="004A7016">
            <w:pPr>
              <w:pStyle w:val="a6"/>
              <w:rPr>
                <w:rFonts w:eastAsia="等线"/>
              </w:rPr>
            </w:pPr>
            <w:r>
              <w:rPr>
                <w:rFonts w:eastAsia="等线" w:hint="eastAsia"/>
              </w:rPr>
              <w:t>Recall</w:t>
            </w:r>
          </w:p>
        </w:tc>
        <w:tc>
          <w:tcPr>
            <w:tcW w:w="1605" w:type="dxa"/>
          </w:tcPr>
          <w:p w14:paraId="2ADA7D3B" w14:textId="77777777" w:rsidR="00D52159" w:rsidRDefault="004A7016">
            <w:pPr>
              <w:pStyle w:val="a6"/>
              <w:rPr>
                <w:rFonts w:eastAsia="等线"/>
              </w:rPr>
            </w:pPr>
            <w:r>
              <w:rPr>
                <w:rFonts w:eastAsia="等线" w:hint="eastAsia"/>
              </w:rPr>
              <w:t>0.85</w:t>
            </w:r>
          </w:p>
        </w:tc>
        <w:tc>
          <w:tcPr>
            <w:tcW w:w="1605" w:type="dxa"/>
          </w:tcPr>
          <w:p w14:paraId="1B030299" w14:textId="77777777" w:rsidR="00D52159" w:rsidRDefault="004A7016">
            <w:pPr>
              <w:pStyle w:val="a6"/>
              <w:rPr>
                <w:rFonts w:eastAsia="等线"/>
              </w:rPr>
            </w:pPr>
            <w:r>
              <w:rPr>
                <w:rFonts w:eastAsia="等线" w:hint="eastAsia"/>
              </w:rPr>
              <w:t>0.90</w:t>
            </w:r>
          </w:p>
        </w:tc>
        <w:tc>
          <w:tcPr>
            <w:tcW w:w="1605" w:type="dxa"/>
          </w:tcPr>
          <w:p w14:paraId="5D8769F8" w14:textId="77777777" w:rsidR="00D52159" w:rsidRDefault="004A7016">
            <w:pPr>
              <w:pStyle w:val="a6"/>
              <w:rPr>
                <w:rFonts w:eastAsia="等线"/>
              </w:rPr>
            </w:pPr>
            <w:r>
              <w:rPr>
                <w:rFonts w:eastAsia="等线" w:hint="eastAsia"/>
              </w:rPr>
              <w:t>0.92</w:t>
            </w:r>
          </w:p>
        </w:tc>
        <w:tc>
          <w:tcPr>
            <w:tcW w:w="1605" w:type="dxa"/>
          </w:tcPr>
          <w:p w14:paraId="2EF92663" w14:textId="77777777" w:rsidR="00D52159" w:rsidRDefault="004A7016">
            <w:pPr>
              <w:pStyle w:val="a6"/>
              <w:rPr>
                <w:rFonts w:eastAsia="等线"/>
              </w:rPr>
            </w:pPr>
            <w:r>
              <w:rPr>
                <w:rFonts w:eastAsia="等线" w:hint="eastAsia"/>
              </w:rPr>
              <w:t>0.93</w:t>
            </w:r>
          </w:p>
        </w:tc>
        <w:tc>
          <w:tcPr>
            <w:tcW w:w="1605" w:type="dxa"/>
          </w:tcPr>
          <w:p w14:paraId="27426EE5" w14:textId="77777777" w:rsidR="00D52159" w:rsidRDefault="004A7016">
            <w:pPr>
              <w:pStyle w:val="a6"/>
              <w:rPr>
                <w:rFonts w:eastAsia="等线"/>
              </w:rPr>
            </w:pPr>
            <w:r>
              <w:rPr>
                <w:rFonts w:eastAsia="等线" w:hint="eastAsia"/>
              </w:rPr>
              <w:t>0.95</w:t>
            </w:r>
          </w:p>
        </w:tc>
      </w:tr>
    </w:tbl>
    <w:p w14:paraId="69E0195F" w14:textId="77777777" w:rsidR="00D52159" w:rsidRDefault="004A7016">
      <w:pPr>
        <w:pStyle w:val="a6"/>
        <w:jc w:val="center"/>
        <w:rPr>
          <w:rFonts w:eastAsia="等线"/>
        </w:rPr>
      </w:pPr>
      <w:r>
        <w:rPr>
          <w:rFonts w:eastAsia="等线"/>
        </w:rPr>
        <w:t>Table 2</w:t>
      </w:r>
      <w:r>
        <w:rPr>
          <w:rFonts w:eastAsia="等线" w:hint="eastAsia"/>
        </w:rPr>
        <w:t>-3</w:t>
      </w:r>
      <w:r>
        <w:rPr>
          <w:rFonts w:eastAsia="等线"/>
        </w:rPr>
        <w:t xml:space="preserve">: Classification </w:t>
      </w:r>
      <w:r>
        <w:rPr>
          <w:rFonts w:eastAsia="等线" w:hint="eastAsia"/>
        </w:rPr>
        <w:t xml:space="preserve">precision and </w:t>
      </w:r>
      <w:r>
        <w:rPr>
          <w:rFonts w:eastAsia="等线"/>
        </w:rPr>
        <w:t>recall of the proxy decoder</w:t>
      </w:r>
    </w:p>
    <w:p w14:paraId="553A4846" w14:textId="77777777" w:rsidR="00D52159" w:rsidRDefault="00D52159">
      <w:pPr>
        <w:pStyle w:val="a6"/>
      </w:pPr>
    </w:p>
    <w:p w14:paraId="37F37B73" w14:textId="77777777" w:rsidR="00D52159" w:rsidRDefault="004A7016">
      <w:pPr>
        <w:pStyle w:val="a6"/>
      </w:pPr>
      <w:r>
        <w:lastRenderedPageBreak/>
        <w:t>Based on the above findings and aligned with 3GPP Rel-20 work item objectives, the following enhancements for performance monitoring are proposed:</w:t>
      </w:r>
    </w:p>
    <w:p w14:paraId="12D3B256" w14:textId="77777777" w:rsidR="00D52159" w:rsidRDefault="004A7016">
      <w:pPr>
        <w:pStyle w:val="a6"/>
        <w:rPr>
          <w:b/>
          <w:bCs/>
        </w:rPr>
      </w:pPr>
      <w:r>
        <w:rPr>
          <w:b/>
          <w:bCs/>
        </w:rPr>
        <w:t>Proposal 2-3: Specify UE-side performance monitoring based on a lightweight proxy decoder, with requirements including architecture, training, and performance metrics.</w:t>
      </w:r>
    </w:p>
    <w:p w14:paraId="5E6D52A0" w14:textId="77777777" w:rsidR="00D52159" w:rsidRDefault="004A7016">
      <w:pPr>
        <w:pStyle w:val="a6"/>
        <w:rPr>
          <w:b/>
          <w:bCs/>
        </w:rPr>
      </w:pPr>
      <w:r>
        <w:rPr>
          <w:b/>
          <w:bCs/>
        </w:rPr>
        <w:t xml:space="preserve">Proposal 2-4: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2307A59C" w14:textId="77777777" w:rsidR="00D52159" w:rsidRDefault="004A7016">
      <w:pPr>
        <w:pStyle w:val="a6"/>
        <w:rPr>
          <w:b/>
          <w:bCs/>
        </w:rPr>
      </w:pPr>
      <w:r>
        <w:rPr>
          <w:b/>
          <w:bCs/>
        </w:rPr>
        <w:t>Proposal 2-5: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77691135" w14:textId="77777777" w:rsidR="00D52159" w:rsidRDefault="004A7016">
      <w:pPr>
        <w:pStyle w:val="21"/>
      </w:pPr>
      <w:r>
        <w:t>2.3 Model Pairing</w:t>
      </w:r>
    </w:p>
    <w:p w14:paraId="14C61FA8" w14:textId="77777777" w:rsidR="00D52159" w:rsidRDefault="004A7016">
      <w:r>
        <w:t xml:space="preserve">In Rel-19 RAN1 discussions, the following agreements were made related </w:t>
      </w:r>
      <w:r>
        <w:rPr>
          <w:rFonts w:eastAsia="宋体" w:hint="eastAsia"/>
          <w:lang w:eastAsia="zh-CN"/>
        </w:rPr>
        <w:t>Model Pairing</w:t>
      </w:r>
      <w:r>
        <w:t xml:space="preserve"> and </w:t>
      </w:r>
      <w:r>
        <w:rPr>
          <w:lang w:val="en-GB"/>
        </w:rPr>
        <w:t xml:space="preserve">inter-vendor </w:t>
      </w:r>
      <w:bookmarkStart w:id="3" w:name="OLE_LINK2"/>
      <w:r>
        <w:rPr>
          <w:lang w:val="en-GB"/>
        </w:rPr>
        <w:t>collaboration</w:t>
      </w:r>
      <w:bookmarkEnd w:id="3"/>
      <w:r>
        <w:t xml:space="preserve"> for CSI compression use case:</w:t>
      </w:r>
    </w:p>
    <w:p w14:paraId="0FB93E2F" w14:textId="77777777" w:rsidR="00D52159" w:rsidRDefault="00D52159"/>
    <w:tbl>
      <w:tblPr>
        <w:tblStyle w:val="afe"/>
        <w:tblW w:w="0" w:type="auto"/>
        <w:tblLook w:val="04A0" w:firstRow="1" w:lastRow="0" w:firstColumn="1" w:lastColumn="0" w:noHBand="0" w:noVBand="1"/>
      </w:tblPr>
      <w:tblGrid>
        <w:gridCol w:w="9628"/>
      </w:tblGrid>
      <w:tr w:rsidR="00D52159" w14:paraId="112F4FD5" w14:textId="77777777">
        <w:tc>
          <w:tcPr>
            <w:tcW w:w="9628" w:type="dxa"/>
          </w:tcPr>
          <w:p w14:paraId="509355DC" w14:textId="77777777" w:rsidR="00D52159" w:rsidRDefault="004A7016">
            <w:pPr>
              <w:overflowPunct w:val="0"/>
              <w:autoSpaceDE w:val="0"/>
              <w:autoSpaceDN w:val="0"/>
              <w:adjustRightInd w:val="0"/>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
                <w:color w:val="0000FF"/>
                <w:szCs w:val="20"/>
                <w:lang w:eastAsia="en-GB"/>
              </w:rPr>
              <w:t>CSI feedback enhancement</w:t>
            </w:r>
            <w:r>
              <w:rPr>
                <w:rFonts w:ascii="Times New Roman" w:eastAsia="Times New Roman" w:hAnsi="Times New Roman" w:cs="Times New Roman"/>
                <w:bCs/>
                <w:szCs w:val="20"/>
                <w:lang w:eastAsia="en-GB"/>
              </w:rPr>
              <w:t>, encompassing (two-sided model) [RAN1, RAN2]:</w:t>
            </w:r>
          </w:p>
          <w:p w14:paraId="3F51A905" w14:textId="77777777" w:rsidR="00D52159" w:rsidRDefault="004A7016">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CSI spatial/frequency compression without temporal aspects (“Case 0”), </w:t>
            </w:r>
          </w:p>
          <w:p w14:paraId="3ACE0553" w14:textId="77777777" w:rsidR="00D52159" w:rsidRDefault="004A7016">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Specify necessary signalling/mechanism(s) as per the identified potential specification impacts in FS_NR_AIML_Air , including:</w:t>
            </w:r>
          </w:p>
          <w:p w14:paraId="0CAF1932"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highlight w:val="yellow"/>
                <w:lang w:eastAsia="en-GB"/>
              </w:rPr>
              <w:t>Model pairing procedure including ID and applicability reporting</w:t>
            </w:r>
          </w:p>
          <w:p w14:paraId="3466570D"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52656ED"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NW and UE side data collection for training,</w:t>
            </w:r>
          </w:p>
          <w:p w14:paraId="3AE1ADB2" w14:textId="77777777" w:rsidR="00D52159" w:rsidRDefault="004A7016">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Target CSI format</w:t>
            </w:r>
          </w:p>
          <w:p w14:paraId="7ED15935" w14:textId="77777777" w:rsidR="00D52159" w:rsidRDefault="004A7016">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Note The framework defined in BM and CSI prediction use cases could be reused</w:t>
            </w:r>
          </w:p>
          <w:p w14:paraId="40583466"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Specify performance monitoring </w:t>
            </w:r>
          </w:p>
          <w:p w14:paraId="12DF077F" w14:textId="77777777" w:rsidR="00D52159" w:rsidRDefault="00D52159">
            <w:pPr>
              <w:overflowPunct w:val="0"/>
              <w:autoSpaceDE w:val="0"/>
              <w:autoSpaceDN w:val="0"/>
              <w:adjustRightInd w:val="0"/>
              <w:contextualSpacing/>
              <w:textAlignment w:val="baseline"/>
              <w:rPr>
                <w:rFonts w:ascii="Times New Roman" w:eastAsia="MS Mincho" w:hAnsi="Times New Roman" w:cs="Arial"/>
                <w:bCs/>
                <w:kern w:val="2"/>
                <w:szCs w:val="24"/>
                <w:lang w:eastAsia="zh-CN"/>
                <w14:ligatures w14:val="standardContextual"/>
              </w:rPr>
            </w:pPr>
          </w:p>
        </w:tc>
      </w:tr>
    </w:tbl>
    <w:p w14:paraId="5F1656CC" w14:textId="77777777" w:rsidR="00D52159" w:rsidRDefault="004A7016">
      <w:pPr>
        <w:rPr>
          <w:lang w:eastAsia="zh-CN"/>
        </w:rPr>
      </w:pPr>
      <w:r>
        <w:rPr>
          <w:lang w:eastAsia="zh-CN"/>
        </w:rPr>
        <w:t>In this part, w</w:t>
      </w:r>
      <w:r>
        <w:rPr>
          <w:rFonts w:hint="eastAsia"/>
          <w:lang w:eastAsia="zh-CN"/>
        </w:rPr>
        <w:t>e discuss the issue</w:t>
      </w:r>
      <w:r>
        <w:rPr>
          <w:lang w:eastAsia="zh-CN"/>
        </w:rPr>
        <w:t>s</w:t>
      </w:r>
      <w:r>
        <w:rPr>
          <w:rFonts w:hint="eastAsia"/>
          <w:lang w:eastAsia="zh-CN"/>
        </w:rPr>
        <w:t xml:space="preserve"> in model pairing and inter-vendor collaboration.</w:t>
      </w:r>
    </w:p>
    <w:p w14:paraId="770CC7B1" w14:textId="77777777" w:rsidR="00D52159" w:rsidRDefault="00D52159">
      <w:pPr>
        <w:pStyle w:val="a6"/>
        <w:jc w:val="left"/>
        <w:rPr>
          <w:rFonts w:eastAsia="等线"/>
        </w:rPr>
      </w:pPr>
    </w:p>
    <w:p w14:paraId="4055CD9B" w14:textId="77777777" w:rsidR="00D52159" w:rsidRDefault="004A7016">
      <w:pPr>
        <w:pStyle w:val="31"/>
        <w:rPr>
          <w:lang w:eastAsia="zh-CN"/>
        </w:rPr>
      </w:pPr>
      <w:r>
        <w:t>2.</w:t>
      </w:r>
      <w:r>
        <w:rPr>
          <w:lang w:eastAsia="zh-CN"/>
        </w:rPr>
        <w:t>3</w:t>
      </w:r>
      <w:r>
        <w:t>.</w:t>
      </w:r>
      <w:r>
        <w:rPr>
          <w:lang w:eastAsia="zh-CN"/>
        </w:rPr>
        <w:t xml:space="preserve">1 </w:t>
      </w:r>
      <w:r>
        <w:rPr>
          <w:rFonts w:cs="Arial" w:hint="eastAsia"/>
          <w:lang w:val="en-US" w:eastAsia="zh-CN"/>
        </w:rPr>
        <w:t>Justification</w:t>
      </w:r>
    </w:p>
    <w:p w14:paraId="36BD9A56" w14:textId="77777777" w:rsidR="00D52159" w:rsidRDefault="004A7016">
      <w:pPr>
        <w:jc w:val="both"/>
        <w:rPr>
          <w:szCs w:val="20"/>
          <w:lang w:eastAsia="zh-CN"/>
        </w:rPr>
      </w:pPr>
      <w:r>
        <w:rPr>
          <w:szCs w:val="20"/>
          <w:lang w:eastAsia="zh-CN"/>
        </w:rPr>
        <w:t>In the ongoing deliberations on AI/ML-based CSI feedback, a broad consensus has emerged that the complete autoencoder stack should not be standardized. Consequently, raw-model exchanges or joint-training practices that require white-box parameter sharing are viewed with marked reluctance across the ecosystem, and no common pairing ID is available to enable secure inter-vendor collaboration.</w:t>
      </w:r>
    </w:p>
    <w:p w14:paraId="22D6A5B8" w14:textId="77777777" w:rsidR="00D52159" w:rsidRDefault="004A7016">
      <w:pPr>
        <w:jc w:val="both"/>
        <w:rPr>
          <w:szCs w:val="20"/>
          <w:lang w:eastAsia="zh-CN"/>
        </w:rPr>
      </w:pPr>
      <w:r>
        <w:rPr>
          <w:szCs w:val="20"/>
          <w:lang w:eastAsia="zh-CN"/>
        </w:rPr>
        <w:t>Compounding the dilemma is the asymmetry of commercial hardware resources. UE chipsets operate under stringent silicon area, power-envelope and real-time constraints, leaving only a slender budget for on-device AI inference. In an end-to-end CSI compression auto-encoder this means the encoder must be ultra-lightweight (resident in every handset) while the decoder can legitimately be larger and more accurate (hosted in the network). A secure pairing ID must therefore differentiate between these two vendor-specific network segments.</w:t>
      </w:r>
    </w:p>
    <w:p w14:paraId="1FA03A78" w14:textId="77777777" w:rsidR="00D52159" w:rsidRDefault="004A7016">
      <w:pPr>
        <w:jc w:val="both"/>
        <w:rPr>
          <w:szCs w:val="20"/>
          <w:lang w:eastAsia="zh-CN"/>
        </w:rPr>
      </w:pPr>
      <w:r>
        <w:rPr>
          <w:szCs w:val="20"/>
          <w:lang w:eastAsia="zh-CN"/>
        </w:rPr>
        <w:t>To reconcile these conflicting demands, we advance the concept of an inter-vendor training framework, where only a distilled, highly compact representation of encoder know-how is exchanged through a standardized pairing ID, enabling UE-gNB collaboration without exposing either vendor’s network.</w:t>
      </w:r>
    </w:p>
    <w:p w14:paraId="60EFD107" w14:textId="77777777" w:rsidR="00D52159" w:rsidRDefault="00D52159">
      <w:pPr>
        <w:pStyle w:val="a6"/>
        <w:jc w:val="left"/>
        <w:rPr>
          <w:rFonts w:eastAsia="等线"/>
        </w:rPr>
      </w:pPr>
    </w:p>
    <w:p w14:paraId="6B32E5AA" w14:textId="77777777" w:rsidR="00D52159" w:rsidRDefault="004A7016">
      <w:pPr>
        <w:pStyle w:val="31"/>
        <w:rPr>
          <w:lang w:eastAsia="zh-CN"/>
        </w:rPr>
      </w:pPr>
      <w:r>
        <w:t>2.</w:t>
      </w:r>
      <w:r>
        <w:rPr>
          <w:lang w:eastAsia="zh-CN"/>
        </w:rPr>
        <w:t>3</w:t>
      </w:r>
      <w:r>
        <w:t>.</w:t>
      </w:r>
      <w:r>
        <w:rPr>
          <w:lang w:eastAsia="zh-CN"/>
        </w:rPr>
        <w:t xml:space="preserve">2 </w:t>
      </w:r>
      <w:r>
        <w:rPr>
          <w:rFonts w:cs="Arial"/>
          <w:lang w:val="en-US" w:eastAsia="zh-CN"/>
        </w:rPr>
        <w:t>Method Description</w:t>
      </w:r>
    </w:p>
    <w:p w14:paraId="1AA188B8" w14:textId="77777777" w:rsidR="00D52159" w:rsidRDefault="00D52159">
      <w:pPr>
        <w:jc w:val="both"/>
        <w:rPr>
          <w:rFonts w:eastAsia="Calibri" w:hAnsi="Cambria Math" w:cs="Arial"/>
          <w:szCs w:val="20"/>
          <w:lang w:eastAsia="zh-CN"/>
        </w:rPr>
      </w:pPr>
    </w:p>
    <w:p w14:paraId="4206CC4A" w14:textId="77777777" w:rsidR="00D52159" w:rsidRDefault="004A7016">
      <w:pPr>
        <w:jc w:val="both"/>
        <w:rPr>
          <w:rFonts w:eastAsia="Calibri" w:hAnsi="Cambria Math" w:cs="Arial"/>
          <w:szCs w:val="20"/>
          <w:lang w:eastAsia="zh-CN"/>
        </w:rPr>
      </w:pPr>
      <w:r>
        <w:rPr>
          <w:rFonts w:eastAsia="Calibri" w:hAnsi="Cambria Math" w:cs="Arial" w:hint="eastAsia"/>
          <w:b/>
          <w:bCs/>
          <w:szCs w:val="20"/>
          <w:lang w:eastAsia="zh-CN"/>
        </w:rPr>
        <w:t xml:space="preserve">Intellectual property protected encoder KD </w:t>
      </w:r>
    </w:p>
    <w:p w14:paraId="19D81DBC" w14:textId="77777777" w:rsidR="00D52159" w:rsidRDefault="004A7016">
      <w:pPr>
        <w:jc w:val="both"/>
        <w:rPr>
          <w:rFonts w:eastAsia="Calibri" w:hAnsi="Cambria Math" w:cs="Arial"/>
          <w:szCs w:val="20"/>
          <w:lang w:eastAsia="zh-CN"/>
        </w:rPr>
      </w:pPr>
      <w:r>
        <w:rPr>
          <w:rFonts w:eastAsia="Calibri" w:hAnsi="Cambria Math" w:cs="Arial"/>
          <w:szCs w:val="20"/>
          <w:lang w:eastAsia="zh-CN"/>
        </w:rPr>
        <w:t xml:space="preserve">As illustrated in 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the scheme operates under the following steps:</w:t>
      </w:r>
    </w:p>
    <w:p w14:paraId="12F96986"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lastRenderedPageBreak/>
        <w:drawing>
          <wp:inline distT="0" distB="0" distL="114300" distR="114300" wp14:anchorId="614CE813" wp14:editId="5E700D79">
            <wp:extent cx="3048635" cy="2509520"/>
            <wp:effectExtent l="0" t="0" r="18415" b="5080"/>
            <wp:docPr id="7" name="图片 7" descr="467b24c1-1e2d-4283-87a6-edf215b751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b24c1-1e2d-4283-87a6-edf215b751e8"/>
                    <pic:cNvPicPr>
                      <a:picLocks noChangeAspect="1"/>
                    </pic:cNvPicPr>
                  </pic:nvPicPr>
                  <pic:blipFill>
                    <a:blip r:embed="rId19"/>
                    <a:stretch>
                      <a:fillRect/>
                    </a:stretch>
                  </pic:blipFill>
                  <pic:spPr>
                    <a:xfrm>
                      <a:off x="0" y="0"/>
                      <a:ext cx="3048635" cy="2509520"/>
                    </a:xfrm>
                    <a:prstGeom prst="rect">
                      <a:avLst/>
                    </a:prstGeom>
                  </pic:spPr>
                </pic:pic>
              </a:graphicData>
            </a:graphic>
          </wp:inline>
        </w:drawing>
      </w:r>
    </w:p>
    <w:p w14:paraId="05520450"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drawing>
          <wp:inline distT="0" distB="0" distL="114300" distR="114300" wp14:anchorId="0BC1BC5E" wp14:editId="22641AB9">
            <wp:extent cx="3093720" cy="1612900"/>
            <wp:effectExtent l="0" t="0" r="11430" b="6350"/>
            <wp:docPr id="8" name="图片 8" descr="b1dd1170-c872-474f-800e-1aa82f98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1dd1170-c872-474f-800e-1aa82f982716"/>
                    <pic:cNvPicPr>
                      <a:picLocks noChangeAspect="1"/>
                    </pic:cNvPicPr>
                  </pic:nvPicPr>
                  <pic:blipFill>
                    <a:blip r:embed="rId20"/>
                    <a:stretch>
                      <a:fillRect/>
                    </a:stretch>
                  </pic:blipFill>
                  <pic:spPr>
                    <a:xfrm>
                      <a:off x="0" y="0"/>
                      <a:ext cx="3093720" cy="1612900"/>
                    </a:xfrm>
                    <a:prstGeom prst="rect">
                      <a:avLst/>
                    </a:prstGeom>
                  </pic:spPr>
                </pic:pic>
              </a:graphicData>
            </a:graphic>
          </wp:inline>
        </w:drawing>
      </w:r>
    </w:p>
    <w:p w14:paraId="367C213E" w14:textId="67C03798" w:rsidR="00D52159" w:rsidRDefault="004A7016">
      <w:pPr>
        <w:jc w:val="center"/>
        <w:rPr>
          <w:rFonts w:eastAsia="Calibri" w:hAnsi="Cambria Math" w:cs="Arial"/>
          <w:szCs w:val="20"/>
          <w:lang w:eastAsia="zh-CN"/>
        </w:rPr>
      </w:pPr>
      <w:bookmarkStart w:id="4" w:name="OLE_LINK1"/>
      <w:r>
        <w:rPr>
          <w:rFonts w:eastAsia="Calibri" w:hAnsi="Cambria Math" w:cs="Arial"/>
          <w:szCs w:val="20"/>
          <w:lang w:eastAsia="zh-CN"/>
        </w:rPr>
        <w:t xml:space="preserve">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xml:space="preserve"> Framework of </w:t>
      </w:r>
      <w:r>
        <w:rPr>
          <w:szCs w:val="20"/>
          <w:lang w:eastAsia="zh-CN"/>
        </w:rPr>
        <w:t>Inter-vendor Training</w:t>
      </w:r>
      <w:r>
        <w:rPr>
          <w:rFonts w:eastAsia="Calibri" w:hAnsi="Cambria Math" w:cs="Arial"/>
          <w:szCs w:val="20"/>
          <w:lang w:eastAsia="zh-CN"/>
        </w:rPr>
        <w:t xml:space="preserve"> with ID Pairing Sharing</w:t>
      </w:r>
      <w:bookmarkEnd w:id="4"/>
      <w:r>
        <w:rPr>
          <w:rFonts w:eastAsia="Calibri" w:hAnsi="Cambria Math" w:cs="Arial" w:hint="eastAsia"/>
          <w:szCs w:val="20"/>
          <w:lang w:eastAsia="zh-CN"/>
        </w:rPr>
        <w:t xml:space="preserve"> </w:t>
      </w:r>
      <w:r>
        <w:rPr>
          <w:rFonts w:eastAsia="Calibri" w:hAnsi="Cambria Math" w:cs="Arial"/>
          <w:szCs w:val="20"/>
          <w:lang w:eastAsia="zh-CN"/>
        </w:rPr>
        <w:fldChar w:fldCharType="begin"/>
      </w:r>
      <w:r>
        <w:rPr>
          <w:rFonts w:eastAsia="Calibri" w:hAnsi="Cambria Math" w:cs="Arial"/>
          <w:szCs w:val="20"/>
          <w:lang w:eastAsia="zh-CN"/>
        </w:rPr>
        <w:instrText xml:space="preserve"> </w:instrText>
      </w:r>
      <w:r>
        <w:rPr>
          <w:rFonts w:eastAsia="Calibri" w:hAnsi="Cambria Math" w:cs="Arial" w:hint="eastAsia"/>
          <w:szCs w:val="20"/>
          <w:lang w:eastAsia="zh-CN"/>
        </w:rPr>
        <w:instrText>REF _Ref213247357 \r \h</w:instrText>
      </w:r>
      <w:r>
        <w:rPr>
          <w:rFonts w:eastAsia="Calibri" w:hAnsi="Cambria Math" w:cs="Arial"/>
          <w:szCs w:val="20"/>
          <w:lang w:eastAsia="zh-CN"/>
        </w:rPr>
        <w:instrText xml:space="preserve"> </w:instrText>
      </w:r>
      <w:r>
        <w:rPr>
          <w:rFonts w:eastAsia="Calibri" w:hAnsi="Cambria Math" w:cs="Arial"/>
          <w:szCs w:val="20"/>
          <w:lang w:eastAsia="zh-CN"/>
        </w:rPr>
      </w:r>
      <w:r>
        <w:rPr>
          <w:rFonts w:eastAsia="Calibri" w:hAnsi="Cambria Math" w:cs="Arial"/>
          <w:szCs w:val="20"/>
          <w:lang w:eastAsia="zh-CN"/>
        </w:rPr>
        <w:fldChar w:fldCharType="separate"/>
      </w:r>
      <w:r w:rsidR="002268A9">
        <w:rPr>
          <w:rFonts w:eastAsia="Calibri" w:hAnsi="Cambria Math" w:cs="Arial"/>
          <w:szCs w:val="20"/>
          <w:lang w:eastAsia="zh-CN"/>
        </w:rPr>
        <w:t>[7]</w:t>
      </w:r>
      <w:r>
        <w:rPr>
          <w:rFonts w:eastAsia="Calibri" w:hAnsi="Cambria Math" w:cs="Arial"/>
          <w:szCs w:val="20"/>
          <w:lang w:eastAsia="zh-CN"/>
        </w:rPr>
        <w:fldChar w:fldCharType="end"/>
      </w:r>
    </w:p>
    <w:p w14:paraId="5314197F" w14:textId="77777777" w:rsidR="00D52159" w:rsidRDefault="00D52159">
      <w:pPr>
        <w:jc w:val="both"/>
        <w:rPr>
          <w:rFonts w:eastAsia="Calibri" w:hAnsi="Cambria Math" w:cs="Arial"/>
          <w:szCs w:val="20"/>
          <w:lang w:eastAsia="zh-CN"/>
        </w:rPr>
      </w:pPr>
    </w:p>
    <w:p w14:paraId="4522EC09"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1: Teacher pre-training </w:t>
      </w:r>
      <w:r>
        <w:rPr>
          <w:rFonts w:eastAsia="Calibri" w:hAnsi="Cambria Math" w:cs="Arial"/>
          <w:szCs w:val="20"/>
          <w:lang w:eastAsia="zh-CN"/>
        </w:rPr>
        <w:t>–</w:t>
      </w:r>
      <w:r>
        <w:rPr>
          <w:rFonts w:eastAsia="Calibri" w:hAnsi="Cambria Math" w:cs="Arial"/>
          <w:szCs w:val="20"/>
          <w:lang w:eastAsia="zh-CN"/>
        </w:rPr>
        <w:t xml:space="preserve"> the BS vendor trains its proprietary teacher auto-encoder locally and allocate encoder ID. </w:t>
      </w:r>
    </w:p>
    <w:p w14:paraId="67C5F95F"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2: Encoder distillation </w:t>
      </w:r>
      <w:r>
        <w:rPr>
          <w:rFonts w:eastAsia="Calibri" w:hAnsi="Cambria Math" w:cs="Arial"/>
          <w:szCs w:val="20"/>
          <w:lang w:eastAsia="zh-CN"/>
        </w:rPr>
        <w:t>–</w:t>
      </w:r>
      <w:r>
        <w:rPr>
          <w:rFonts w:eastAsia="Calibri" w:hAnsi="Cambria Math" w:cs="Arial"/>
          <w:szCs w:val="20"/>
          <w:lang w:eastAsia="zh-CN"/>
        </w:rPr>
        <w:t xml:space="preserve"> the BS uses its teacher encoder to generate a large set of {CSI, codeword} pairs. This dataset is delivered to the UE with the encoder ID. The UE then trains its own lightweight student encoder on these samples, minimizing the loss. </w:t>
      </w:r>
    </w:p>
    <w:p w14:paraId="30FCA521"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3: Decoder fine-tuning </w:t>
      </w:r>
      <w:r>
        <w:rPr>
          <w:rFonts w:eastAsia="Calibri" w:hAnsi="Cambria Math" w:cs="Arial"/>
          <w:szCs w:val="20"/>
          <w:lang w:eastAsia="zh-CN"/>
        </w:rPr>
        <w:t>–</w:t>
      </w:r>
      <w:r>
        <w:rPr>
          <w:rFonts w:eastAsia="Calibri" w:hAnsi="Cambria Math" w:cs="Arial"/>
          <w:szCs w:val="20"/>
          <w:lang w:eastAsia="zh-CN"/>
        </w:rPr>
        <w:t xml:space="preserve"> after the student encoder is ready, the UE generates a fresh {CSI, codeword} set and uploads these data to the BS with the decoder ID. The BS vendor fine-tunes its proprietary decoder on this data and pairs the encoder and decoder ID.</w:t>
      </w:r>
    </w:p>
    <w:p w14:paraId="6757A0E1" w14:textId="77777777" w:rsidR="00D52159" w:rsidRDefault="00D52159">
      <w:pPr>
        <w:jc w:val="both"/>
        <w:rPr>
          <w:rFonts w:eastAsia="Calibri" w:hAnsi="Cambria Math" w:cs="Arial"/>
          <w:szCs w:val="20"/>
          <w:lang w:eastAsia="zh-CN"/>
        </w:rPr>
      </w:pPr>
    </w:p>
    <w:p w14:paraId="27C3B2EE" w14:textId="77777777" w:rsidR="00D52159" w:rsidRDefault="004A7016">
      <w:pPr>
        <w:jc w:val="both"/>
        <w:rPr>
          <w:rFonts w:eastAsia="Calibri" w:hAnsi="Cambria Math" w:cs="Arial"/>
          <w:szCs w:val="20"/>
          <w:lang w:eastAsia="zh-CN"/>
        </w:rPr>
      </w:pPr>
      <w:r>
        <w:rPr>
          <w:rFonts w:eastAsia="Calibri" w:hAnsi="Cambria Math" w:cs="Arial"/>
          <w:szCs w:val="20"/>
          <w:lang w:eastAsia="zh-CN"/>
        </w:rPr>
        <w:t>Compared with the end-to-end fine-tuning scheme, Step 3 updates only the decoder pairing ID, which is usually the heavier network. Because a small, targeted adjustment of the decoder typically introduces negligible accuracy loss, the overall performance improvement is preserved. The same procedure is equally applicable when the UE encoder is deeper than the BS encoder: the protocol simply becomes a generic encoder</w:t>
      </w:r>
      <w:r>
        <w:rPr>
          <w:rFonts w:eastAsia="Calibri" w:hAnsi="Cambria Math" w:cs="Arial"/>
          <w:szCs w:val="20"/>
          <w:lang w:eastAsia="zh-CN"/>
        </w:rPr>
        <w:t>–</w:t>
      </w:r>
      <w:r>
        <w:rPr>
          <w:rFonts w:eastAsia="Calibri" w:hAnsi="Cambria Math" w:cs="Arial"/>
          <w:szCs w:val="20"/>
          <w:lang w:eastAsia="zh-CN"/>
        </w:rPr>
        <w:t>decoder decoupled training framework that does not mandate any fixed complexity ratio between the two pairing IDs.</w:t>
      </w:r>
    </w:p>
    <w:p w14:paraId="19B40A1D" w14:textId="77777777" w:rsidR="00D52159" w:rsidRDefault="004A7016">
      <w:pPr>
        <w:jc w:val="both"/>
        <w:rPr>
          <w:rFonts w:eastAsia="Calibri" w:hAnsi="Cambria Math" w:cs="Arial"/>
          <w:szCs w:val="20"/>
          <w:lang w:eastAsia="zh-CN"/>
        </w:rPr>
      </w:pPr>
      <w:r>
        <w:rPr>
          <w:rFonts w:eastAsia="Calibri" w:hAnsi="Cambria Math" w:cs="Arial"/>
          <w:szCs w:val="20"/>
          <w:lang w:eastAsia="zh-CN"/>
        </w:rPr>
        <w:t>Steps 1 and 2 can be realized with NR Rel-18 Type-III training (dataset delivery), while Step 3 can be implemented either through light-weight online FP/BP exchanges or by BS-side fine-tuning followed by secure encoder-parameter push, depending on operator policies and UE pairing capabilities.</w:t>
      </w:r>
    </w:p>
    <w:p w14:paraId="2AF4B01C" w14:textId="77777777" w:rsidR="00D52159" w:rsidRDefault="00D52159">
      <w:pPr>
        <w:jc w:val="both"/>
        <w:rPr>
          <w:rFonts w:eastAsia="Calibri" w:hAnsi="Cambria Math" w:cs="Arial"/>
          <w:szCs w:val="20"/>
          <w:lang w:eastAsia="zh-CN"/>
        </w:rPr>
      </w:pPr>
    </w:p>
    <w:p w14:paraId="0814F725" w14:textId="77777777" w:rsidR="00D52159" w:rsidRDefault="004A7016">
      <w:pPr>
        <w:jc w:val="both"/>
        <w:rPr>
          <w:rFonts w:eastAsia="Calibri" w:hAnsi="Cambria Math" w:cs="Arial"/>
          <w:szCs w:val="20"/>
          <w:lang w:eastAsia="zh-CN"/>
        </w:rPr>
      </w:pPr>
      <w:r>
        <w:rPr>
          <w:rFonts w:eastAsia="Calibri" w:hAnsi="Cambria Math" w:cs="Arial"/>
          <w:szCs w:val="20"/>
          <w:lang w:eastAsia="zh-CN"/>
        </w:rPr>
        <w:t>However, the above Step 3 fails to address concerns about CSI-data intellectual-property rights and user-privacy leakage (since the CSI-codeword pairs are transmitted to the gNB). To mitigate this, the training data can be encrypted before being sent to the gNB; the gNB then uses the encrypted CSI-codeword pairs to fine-tune its decoder. The encrypted dataset still carries the same model-pairing ID for consistency.</w:t>
      </w:r>
      <w:r>
        <w:rPr>
          <w:rFonts w:eastAsia="Calibri" w:hAnsi="Cambria Math" w:cs="Arial" w:hint="eastAsia"/>
          <w:szCs w:val="20"/>
          <w:lang w:eastAsia="zh-CN"/>
        </w:rPr>
        <w:t xml:space="preserve"> Fig. 3-2 illustrates the data-preserved framework:</w:t>
      </w:r>
    </w:p>
    <w:p w14:paraId="2759F92B" w14:textId="77777777" w:rsidR="00D52159" w:rsidRDefault="00D52159">
      <w:pPr>
        <w:jc w:val="both"/>
        <w:rPr>
          <w:rFonts w:eastAsia="Calibri" w:hAnsi="Cambria Math" w:cs="Arial"/>
          <w:szCs w:val="20"/>
          <w:lang w:eastAsia="zh-CN"/>
        </w:rPr>
      </w:pPr>
    </w:p>
    <w:p w14:paraId="41B8BF56"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lastRenderedPageBreak/>
        <w:drawing>
          <wp:inline distT="0" distB="0" distL="114300" distR="114300" wp14:anchorId="7561E400" wp14:editId="4774C810">
            <wp:extent cx="3599815" cy="194119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3599815" cy="1941195"/>
                    </a:xfrm>
                    <a:prstGeom prst="rect">
                      <a:avLst/>
                    </a:prstGeom>
                    <a:noFill/>
                    <a:ln>
                      <a:noFill/>
                    </a:ln>
                  </pic:spPr>
                </pic:pic>
              </a:graphicData>
            </a:graphic>
          </wp:inline>
        </w:drawing>
      </w:r>
    </w:p>
    <w:p w14:paraId="6791227A" w14:textId="77777777" w:rsidR="00D52159" w:rsidRDefault="004A7016">
      <w:pPr>
        <w:jc w:val="center"/>
        <w:rPr>
          <w:rFonts w:eastAsia="Calibri" w:hAnsi="Cambria Math" w:cs="Arial"/>
          <w:szCs w:val="20"/>
          <w:lang w:eastAsia="zh-CN"/>
        </w:rPr>
      </w:pPr>
      <w:r>
        <w:rPr>
          <w:rFonts w:eastAsia="Calibri" w:hAnsi="Cambria Math" w:cs="Arial"/>
          <w:szCs w:val="20"/>
          <w:lang w:eastAsia="zh-CN"/>
        </w:rPr>
        <w:t xml:space="preserve">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xml:space="preserve"> </w:t>
      </w:r>
      <w:r>
        <w:rPr>
          <w:rFonts w:eastAsia="Calibri" w:hAnsi="Cambria Math" w:cs="Arial" w:hint="eastAsia"/>
          <w:szCs w:val="20"/>
          <w:lang w:eastAsia="zh-CN"/>
        </w:rPr>
        <w:t>Step 3 for data-protected version</w:t>
      </w:r>
    </w:p>
    <w:p w14:paraId="45E4932A" w14:textId="77777777" w:rsidR="00D52159" w:rsidRDefault="00D52159">
      <w:pPr>
        <w:jc w:val="both"/>
        <w:rPr>
          <w:rFonts w:eastAsia="Calibri" w:hAnsi="Cambria Math" w:cs="Arial"/>
          <w:szCs w:val="20"/>
          <w:lang w:eastAsia="zh-CN"/>
        </w:rPr>
      </w:pPr>
    </w:p>
    <w:p w14:paraId="6CEE7ADC" w14:textId="77777777" w:rsidR="00D52159" w:rsidRDefault="004A7016">
      <w:pPr>
        <w:jc w:val="both"/>
        <w:rPr>
          <w:b/>
          <w:bCs/>
        </w:rPr>
      </w:pPr>
      <w:r>
        <w:rPr>
          <w:b/>
          <w:bCs/>
          <w:lang w:eastAsia="zh-CN"/>
        </w:rPr>
        <w:t>Proposal 3-1: Specify a two-tier standardized pairing ID system along with ID registration, management, and UE-side applicability reporting mechanisms to enable secure inter-vendor collaboration while addressing hardware resource asymmetry.</w:t>
      </w:r>
      <w:bookmarkEnd w:id="2"/>
    </w:p>
    <w:p w14:paraId="7C913F63" w14:textId="77777777" w:rsidR="00D52159" w:rsidRDefault="004A7016">
      <w:pPr>
        <w:pStyle w:val="1"/>
        <w:ind w:left="0" w:firstLine="0"/>
      </w:pPr>
      <w:r>
        <w:t>Conclusion</w:t>
      </w:r>
    </w:p>
    <w:p w14:paraId="6B39A769" w14:textId="77777777" w:rsidR="00D52159" w:rsidRDefault="004A7016">
      <w:pPr>
        <w:pStyle w:val="a6"/>
      </w:pPr>
      <w:r>
        <w:t>Based on previous discussion, we propose the following:</w:t>
      </w:r>
    </w:p>
    <w:p w14:paraId="1DD84E06" w14:textId="77777777" w:rsidR="00D52159" w:rsidRDefault="004A7016">
      <w:pPr>
        <w:spacing w:before="100" w:beforeAutospacing="1" w:after="100" w:afterAutospacing="1"/>
        <w:jc w:val="both"/>
        <w:rPr>
          <w:rFonts w:eastAsia="Times New Roman" w:cs="Arial"/>
          <w:b/>
          <w:bCs/>
          <w:szCs w:val="20"/>
        </w:rPr>
      </w:pPr>
      <w:bookmarkStart w:id="5" w:name="_In-sequence_SDU_delivery"/>
      <w:bookmarkEnd w:id="5"/>
      <w:r>
        <w:rPr>
          <w:rFonts w:eastAsia="Times New Roman" w:cs="Arial"/>
          <w:b/>
          <w:bCs/>
          <w:szCs w:val="20"/>
        </w:rPr>
        <w:t xml:space="preserve">Proposal 1-1: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real and imaginary parts of target CSI samples, set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2</m:t>
            </m:r>
          </m:sub>
        </m:sSub>
      </m:oMath>
      <w:r>
        <w:rPr>
          <w:rFonts w:eastAsia="Times New Roman" w:cs="Arial"/>
          <w:b/>
          <w:bCs/>
          <w:szCs w:val="20"/>
        </w:rPr>
        <w:t xml:space="preserve"> and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1,min</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2,min</m:t>
            </m:r>
          </m:sub>
        </m:sSub>
      </m:oMath>
      <w:r>
        <w:rPr>
          <w:rFonts w:eastAsia="Times New Roman" w:cs="Arial"/>
          <w:b/>
          <w:bCs/>
          <w:szCs w:val="20"/>
        </w:rPr>
        <w:t xml:space="preserve">,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1,max</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2,max</m:t>
            </m:r>
          </m:sub>
        </m:sSub>
      </m:oMath>
      <w:r>
        <w:rPr>
          <w:rFonts w:eastAsia="Times New Roman" w:cs="Arial"/>
          <w:b/>
          <w:bCs/>
          <w:szCs w:val="20"/>
        </w:rPr>
        <w:t xml:space="preserve"> as a baseline.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amplitude and phase parts, the bit allocation and range design require further study due to their asymmetric statistical properties and encoding mechanisms.</w:t>
      </w:r>
    </w:p>
    <w:p w14:paraId="0E35FECB"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1-2: If a down-selection is to be made between using real–imaginary and amplitude–phase inputs for the two-side CSI feedback model, it should be further studied whether and how the chosen model-input modality affects the content and quantization format of network-side data collection.</w:t>
      </w:r>
    </w:p>
    <w:p w14:paraId="487C7794"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1-3: Further study magnitude-aware adaptive phase quantization, where phase precision is coarsened for low-magnitude coefficients and refined for high-magnitude coefficients, to achieve better payload-efficiency without notable performance loss.</w:t>
      </w:r>
    </w:p>
    <w:p w14:paraId="6A044DB1"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 xml:space="preserve">Proposal 1-4: Study how to reduce data collection requirements for training two-side CSI compression model. </w:t>
      </w:r>
    </w:p>
    <w:p w14:paraId="422572D7"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1-5: Study the dataset selection and dataset distillation-based method to further reduce the data collection signaling overhead.</w:t>
      </w:r>
    </w:p>
    <w:p w14:paraId="31B37F64" w14:textId="77777777"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1-6: Further discuss the possibility of alleviating data collection requirements by introducing CSI-free unsupervised CSI compression model training scheme.</w:t>
      </w:r>
    </w:p>
    <w:p w14:paraId="4E2AFEA3" w14:textId="77777777" w:rsidR="00D52159" w:rsidRDefault="004A7016" w:rsidP="00AA7BCA">
      <w:pPr>
        <w:spacing w:before="100" w:beforeAutospacing="1" w:after="120"/>
        <w:jc w:val="both"/>
        <w:rPr>
          <w:rFonts w:eastAsia="Times New Roman" w:cs="Arial"/>
          <w:b/>
          <w:bCs/>
          <w:szCs w:val="20"/>
        </w:rPr>
      </w:pPr>
      <w:r>
        <w:rPr>
          <w:rFonts w:eastAsia="Times New Roman" w:cs="Arial"/>
          <w:b/>
          <w:bCs/>
          <w:szCs w:val="20"/>
        </w:rPr>
        <w:t>Proposal 1-7: Study whether CSI-free unsupervised CSI compression model training scheme can co-exist with ordinary CSI compression model training scheme.</w:t>
      </w:r>
    </w:p>
    <w:p w14:paraId="42E1903E" w14:textId="77777777" w:rsidR="00D52159" w:rsidRDefault="004A7016">
      <w:pPr>
        <w:pStyle w:val="a6"/>
        <w:rPr>
          <w:b/>
          <w:bCs/>
        </w:rPr>
      </w:pPr>
      <w:r>
        <w:rPr>
          <w:b/>
          <w:bCs/>
        </w:rPr>
        <w:t>Proposal 2-1: Define two target CSI reporting configurations (Co-located Reporting with combined AI-CSI/legacy CSI, Dedicated Reporting with separate resources linked to inference CSI-RS) for Rel-20 to enhance network deployment flexibility.</w:t>
      </w:r>
    </w:p>
    <w:p w14:paraId="626771BD" w14:textId="77777777" w:rsidR="00D52159" w:rsidRDefault="004A7016">
      <w:pPr>
        <w:pStyle w:val="a6"/>
        <w:rPr>
          <w:b/>
          <w:bCs/>
        </w:rPr>
      </w:pPr>
      <w:r>
        <w:rPr>
          <w:b/>
          <w:bCs/>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p w14:paraId="358349FC" w14:textId="77777777" w:rsidR="00D52159" w:rsidRDefault="004A7016">
      <w:pPr>
        <w:pStyle w:val="a6"/>
        <w:rPr>
          <w:b/>
          <w:bCs/>
        </w:rPr>
      </w:pPr>
      <w:r>
        <w:rPr>
          <w:b/>
          <w:bCs/>
        </w:rPr>
        <w:t>Proposal 2-3: Specify UE-side performance monitoring based on a lightweight proxy decoder, with requirements including architecture, training, and performance metrics.</w:t>
      </w:r>
    </w:p>
    <w:p w14:paraId="08BA18B9" w14:textId="77777777" w:rsidR="00D52159" w:rsidRDefault="004A7016">
      <w:pPr>
        <w:pStyle w:val="a6"/>
        <w:rPr>
          <w:b/>
          <w:bCs/>
        </w:rPr>
      </w:pPr>
      <w:r>
        <w:rPr>
          <w:b/>
          <w:bCs/>
        </w:rPr>
        <w:lastRenderedPageBreak/>
        <w:t xml:space="preserve">Proposal 2-4: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66533251" w14:textId="77777777" w:rsidR="00D52159" w:rsidRDefault="004A7016">
      <w:pPr>
        <w:pStyle w:val="a6"/>
        <w:rPr>
          <w:b/>
          <w:bCs/>
        </w:rPr>
      </w:pPr>
      <w:r>
        <w:rPr>
          <w:b/>
          <w:bCs/>
        </w:rPr>
        <w:t>Proposal 2-5: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12F3AFED" w14:textId="77777777" w:rsidR="00D52159" w:rsidRDefault="004A7016">
      <w:pPr>
        <w:jc w:val="both"/>
        <w:rPr>
          <w:b/>
          <w:bCs/>
        </w:rPr>
      </w:pPr>
      <w:r>
        <w:rPr>
          <w:b/>
          <w:bCs/>
          <w:lang w:eastAsia="zh-CN"/>
        </w:rPr>
        <w:t>Proposal 3-1: Specify a two-tier standardized pairing ID system along with ID registration, management, and UE-side applicability reporting mechanisms to enable secure inter-vendor collaboration while addressing hardware resource asymmetry.</w:t>
      </w:r>
    </w:p>
    <w:p w14:paraId="29B0C7BA" w14:textId="77777777" w:rsidR="00D52159" w:rsidRDefault="00D52159">
      <w:pPr>
        <w:pStyle w:val="a6"/>
        <w:rPr>
          <w:b/>
          <w:bCs/>
        </w:rPr>
      </w:pPr>
    </w:p>
    <w:p w14:paraId="7DEAFFFC" w14:textId="77777777" w:rsidR="00D52159" w:rsidRDefault="004A7016">
      <w:pPr>
        <w:pStyle w:val="1"/>
      </w:pPr>
      <w:r>
        <w:t>References</w:t>
      </w:r>
    </w:p>
    <w:p w14:paraId="3B6B6972" w14:textId="77777777" w:rsidR="00D52159" w:rsidRDefault="004A7016">
      <w:pPr>
        <w:pStyle w:val="Reference"/>
      </w:pPr>
      <w:bookmarkStart w:id="6" w:name="_Ref174151459"/>
      <w:bookmarkStart w:id="7" w:name="_Ref189809556"/>
      <w:r>
        <w:t>RP-251870, “</w:t>
      </w:r>
      <w:r>
        <w:rPr>
          <w:lang w:val="en-GB"/>
        </w:rPr>
        <w:t>New WI: Artificial Intelligence (AI)/Machine Learning (ML) for NR air interface enhancements</w:t>
      </w:r>
      <w:r>
        <w:t>”, Qualcomm (Moderator), RAN#108, Prague, Czech Republic, June 9-13, 2025.</w:t>
      </w:r>
      <w:bookmarkEnd w:id="6"/>
      <w:bookmarkEnd w:id="7"/>
    </w:p>
    <w:p w14:paraId="22B920D8" w14:textId="77777777" w:rsidR="00D52159" w:rsidRDefault="004A7016">
      <w:pPr>
        <w:pStyle w:val="Reference"/>
      </w:pPr>
      <w:bookmarkStart w:id="8" w:name="_Ref203656136"/>
      <w:bookmarkStart w:id="9" w:name="_Ref203578925"/>
      <w:r>
        <w:rPr>
          <w:rFonts w:cs="Arial"/>
          <w:szCs w:val="20"/>
        </w:rPr>
        <w:t>R1-2505019, “</w:t>
      </w:r>
      <w:r>
        <w:t>Text proposal to capture the output of Rel-19 study of Agenda Item 9.1.4.1 into TR 38.843”, Qualcomm (Moderator), RAN1#121, Malta, May 18-22, 2025</w:t>
      </w:r>
      <w:r>
        <w:rPr>
          <w:rFonts w:cs="Arial"/>
          <w:szCs w:val="20"/>
        </w:rPr>
        <w:t>.</w:t>
      </w:r>
      <w:bookmarkEnd w:id="8"/>
      <w:bookmarkEnd w:id="9"/>
      <w:r>
        <w:rPr>
          <w:rFonts w:cs="Arial"/>
          <w:szCs w:val="20"/>
        </w:rPr>
        <w:t xml:space="preserve"> </w:t>
      </w:r>
    </w:p>
    <w:p w14:paraId="332DBD8F" w14:textId="77777777" w:rsidR="00D52159" w:rsidRDefault="004A7016">
      <w:pPr>
        <w:pStyle w:val="Reference"/>
      </w:pPr>
      <w:bookmarkStart w:id="10" w:name="_Ref213239466"/>
      <w:r>
        <w:t>R1-2508032, “</w:t>
      </w:r>
      <w:bookmarkStart w:id="11" w:name="_Hlk211245291"/>
      <w:r>
        <w:t>FL summary#5 for other aspects of CSI compression</w:t>
      </w:r>
      <w:bookmarkEnd w:id="11"/>
      <w:r>
        <w:t>”, Huawei (Moderator), RAN1#122bis, Prague, Czech Republic, October 13-17, 2025.</w:t>
      </w:r>
      <w:bookmarkEnd w:id="10"/>
      <w:r>
        <w:t xml:space="preserve"> </w:t>
      </w:r>
    </w:p>
    <w:p w14:paraId="7CCDEE89" w14:textId="77777777" w:rsidR="00D52159" w:rsidRDefault="004A7016">
      <w:pPr>
        <w:pStyle w:val="Reference"/>
      </w:pPr>
      <w:bookmarkStart w:id="12" w:name="_Ref213239648"/>
      <w:r>
        <w:t>J. Guo, C. -K. Wen and S. Jin, "CAnet: Uplink-Aided Downlink Channel Acquisition in FDD Massive MIMO Using Deep Learning," in IEEE Transactions on Communications, vol. 70, no. 1, pp. 199-214, Jan. 2022.</w:t>
      </w:r>
      <w:bookmarkEnd w:id="12"/>
    </w:p>
    <w:p w14:paraId="03450AF0" w14:textId="77777777" w:rsidR="00D52159" w:rsidRDefault="004A7016">
      <w:pPr>
        <w:pStyle w:val="Reference"/>
      </w:pPr>
      <w:bookmarkStart w:id="13" w:name="_Ref213239800"/>
      <w:r>
        <w:rPr>
          <w:rFonts w:cs="Arial"/>
          <w:szCs w:val="20"/>
        </w:rPr>
        <w:t>Y. Cui, J. Guo, C. -K. Wen, S. Jin and S. Han, "Unsupervised Online Learning in Deep Learning-Based Massive MIMO CSI Feedback," in IEEE Communications Letters, vol. 26, no. 9, pp. 2086-2090, Sept. 2022.</w:t>
      </w:r>
      <w:bookmarkEnd w:id="13"/>
    </w:p>
    <w:p w14:paraId="0AC154C2" w14:textId="77777777" w:rsidR="00D52159" w:rsidRDefault="004A7016">
      <w:pPr>
        <w:pStyle w:val="Reference"/>
        <w:rPr>
          <w:rFonts w:cs="Arial"/>
          <w:szCs w:val="20"/>
        </w:rPr>
      </w:pPr>
      <w:bookmarkStart w:id="14" w:name="_Ref213247316"/>
      <w:r>
        <w:rPr>
          <w:rFonts w:cs="Arial"/>
          <w:szCs w:val="20"/>
        </w:rPr>
        <w:t>J. Guo, S. Ma, C. -K. Wen and S. Jin, "Performance Monitoring-Enabled Reliable AI-Based CSI Feedback," in IEEE Transactions on Wireless Communications, vol. 24, no. 1, pp. 197-212, Jan. 2025.</w:t>
      </w:r>
      <w:bookmarkEnd w:id="14"/>
    </w:p>
    <w:p w14:paraId="35DD5977" w14:textId="77777777" w:rsidR="00D52159" w:rsidRDefault="004A7016">
      <w:pPr>
        <w:pStyle w:val="Reference"/>
        <w:rPr>
          <w:rFonts w:cs="Arial"/>
          <w:szCs w:val="20"/>
        </w:rPr>
      </w:pPr>
      <w:bookmarkStart w:id="15" w:name="_Ref213247357"/>
      <w:r>
        <w:rPr>
          <w:rFonts w:cs="Arial"/>
          <w:szCs w:val="20"/>
        </w:rPr>
        <w:t>Y. Cui, J. Guo, Z. Cao, H. Tang, C. -K. Wen, S. Jin, X. Wang, X. Hou, "Lightweight Neural Network With Knowledge Distillation for CSI Feedback," in IEEE Transactions on Communications, vol. 72, no. 8, pp. 4917-4929, Aug. 2024.</w:t>
      </w:r>
      <w:bookmarkEnd w:id="15"/>
    </w:p>
    <w:p w14:paraId="07BE038A" w14:textId="77777777" w:rsidR="00D52159" w:rsidRDefault="00D52159">
      <w:pPr>
        <w:pStyle w:val="Reference"/>
        <w:numPr>
          <w:ilvl w:val="0"/>
          <w:numId w:val="0"/>
        </w:numPr>
        <w:ind w:left="567"/>
      </w:pPr>
    </w:p>
    <w:sectPr w:rsidR="00D52159">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DD2CCD"/>
    <w:multiLevelType w:val="singleLevel"/>
    <w:tmpl w:val="CFDD2CC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1"/>
  </w:num>
  <w:num w:numId="3">
    <w:abstractNumId w:val="3"/>
  </w:num>
  <w:num w:numId="4">
    <w:abstractNumId w:val="7"/>
  </w:num>
  <w:num w:numId="5">
    <w:abstractNumId w:val="6"/>
  </w:num>
  <w:num w:numId="6">
    <w:abstractNumId w:val="16"/>
  </w:num>
  <w:num w:numId="7">
    <w:abstractNumId w:val="1"/>
  </w:num>
  <w:num w:numId="8">
    <w:abstractNumId w:val="19"/>
  </w:num>
  <w:num w:numId="9">
    <w:abstractNumId w:val="13"/>
  </w:num>
  <w:num w:numId="10">
    <w:abstractNumId w:val="12"/>
  </w:num>
  <w:num w:numId="11">
    <w:abstractNumId w:val="14"/>
  </w:num>
  <w:num w:numId="12">
    <w:abstractNumId w:val="15"/>
  </w:num>
  <w:num w:numId="13">
    <w:abstractNumId w:val="9"/>
  </w:num>
  <w:num w:numId="14">
    <w:abstractNumId w:val="21"/>
  </w:num>
  <w:num w:numId="15">
    <w:abstractNumId w:val="8"/>
  </w:num>
  <w:num w:numId="16">
    <w:abstractNumId w:val="17"/>
  </w:num>
  <w:num w:numId="17">
    <w:abstractNumId w:val="10"/>
  </w:num>
  <w:num w:numId="18">
    <w:abstractNumId w:val="4"/>
  </w:num>
  <w:num w:numId="19">
    <w:abstractNumId w:val="20"/>
  </w:num>
  <w:num w:numId="20">
    <w:abstractNumId w:val="2"/>
  </w:num>
  <w:num w:numId="21">
    <w:abstractNumId w:val="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101A"/>
    <w:rsid w:val="000114F2"/>
    <w:rsid w:val="00011B28"/>
    <w:rsid w:val="00011E06"/>
    <w:rsid w:val="00011E1D"/>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403F"/>
    <w:rsid w:val="000440C6"/>
    <w:rsid w:val="000444AF"/>
    <w:rsid w:val="000444EF"/>
    <w:rsid w:val="00045248"/>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197B"/>
    <w:rsid w:val="000A1B7B"/>
    <w:rsid w:val="000A1DA5"/>
    <w:rsid w:val="000A207D"/>
    <w:rsid w:val="000A2C56"/>
    <w:rsid w:val="000A3D2F"/>
    <w:rsid w:val="000A4352"/>
    <w:rsid w:val="000A466A"/>
    <w:rsid w:val="000A5072"/>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959"/>
    <w:rsid w:val="000F6967"/>
    <w:rsid w:val="000F6DF3"/>
    <w:rsid w:val="000F7140"/>
    <w:rsid w:val="000F73A8"/>
    <w:rsid w:val="000F78C2"/>
    <w:rsid w:val="000F796B"/>
    <w:rsid w:val="001005FF"/>
    <w:rsid w:val="00100EA4"/>
    <w:rsid w:val="00100EF1"/>
    <w:rsid w:val="00101A9E"/>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DB"/>
    <w:rsid w:val="001153EA"/>
    <w:rsid w:val="001154A8"/>
    <w:rsid w:val="0011557B"/>
    <w:rsid w:val="00115643"/>
    <w:rsid w:val="00116699"/>
    <w:rsid w:val="00116765"/>
    <w:rsid w:val="00116A66"/>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8E8"/>
    <w:rsid w:val="00194956"/>
    <w:rsid w:val="00194B14"/>
    <w:rsid w:val="00194DEB"/>
    <w:rsid w:val="00195B3E"/>
    <w:rsid w:val="00195EC4"/>
    <w:rsid w:val="00197673"/>
    <w:rsid w:val="001979A0"/>
    <w:rsid w:val="00197CE7"/>
    <w:rsid w:val="00197DF9"/>
    <w:rsid w:val="001A030F"/>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2260"/>
    <w:rsid w:val="001D2378"/>
    <w:rsid w:val="001D24BE"/>
    <w:rsid w:val="001D2916"/>
    <w:rsid w:val="001D392F"/>
    <w:rsid w:val="001D43B2"/>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F2C"/>
    <w:rsid w:val="001F54C5"/>
    <w:rsid w:val="001F662C"/>
    <w:rsid w:val="001F688F"/>
    <w:rsid w:val="001F6FC7"/>
    <w:rsid w:val="001F7074"/>
    <w:rsid w:val="001F7503"/>
    <w:rsid w:val="001F7A96"/>
    <w:rsid w:val="00200490"/>
    <w:rsid w:val="002007C0"/>
    <w:rsid w:val="002008DF"/>
    <w:rsid w:val="00200FCE"/>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41E6"/>
    <w:rsid w:val="002C4240"/>
    <w:rsid w:val="002C4C67"/>
    <w:rsid w:val="002C538B"/>
    <w:rsid w:val="002C55C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C4F"/>
    <w:rsid w:val="002E1E77"/>
    <w:rsid w:val="002E2841"/>
    <w:rsid w:val="002E2CA8"/>
    <w:rsid w:val="002E392A"/>
    <w:rsid w:val="002E3A77"/>
    <w:rsid w:val="002E4361"/>
    <w:rsid w:val="002E4A5E"/>
    <w:rsid w:val="002E4B80"/>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745"/>
    <w:rsid w:val="00303F5F"/>
    <w:rsid w:val="00304A33"/>
    <w:rsid w:val="0030501F"/>
    <w:rsid w:val="003059C5"/>
    <w:rsid w:val="00305B03"/>
    <w:rsid w:val="00305D97"/>
    <w:rsid w:val="00306172"/>
    <w:rsid w:val="00306A8D"/>
    <w:rsid w:val="00306BC1"/>
    <w:rsid w:val="00306C2C"/>
    <w:rsid w:val="00306E89"/>
    <w:rsid w:val="00306EEB"/>
    <w:rsid w:val="0030756D"/>
    <w:rsid w:val="00307667"/>
    <w:rsid w:val="00307BA1"/>
    <w:rsid w:val="00307C0B"/>
    <w:rsid w:val="00307F0B"/>
    <w:rsid w:val="00310797"/>
    <w:rsid w:val="0031087C"/>
    <w:rsid w:val="00310A9F"/>
    <w:rsid w:val="00311702"/>
    <w:rsid w:val="003117CE"/>
    <w:rsid w:val="00311E82"/>
    <w:rsid w:val="00311EE2"/>
    <w:rsid w:val="00312F3F"/>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7006"/>
    <w:rsid w:val="003671AA"/>
    <w:rsid w:val="00367C3F"/>
    <w:rsid w:val="00367D13"/>
    <w:rsid w:val="0037082A"/>
    <w:rsid w:val="003708BE"/>
    <w:rsid w:val="003709C1"/>
    <w:rsid w:val="00370E47"/>
    <w:rsid w:val="00371782"/>
    <w:rsid w:val="00371D43"/>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C2F"/>
    <w:rsid w:val="00385BF0"/>
    <w:rsid w:val="00386639"/>
    <w:rsid w:val="0038690D"/>
    <w:rsid w:val="00386BC3"/>
    <w:rsid w:val="0038753D"/>
    <w:rsid w:val="00387A9B"/>
    <w:rsid w:val="00387DDE"/>
    <w:rsid w:val="0039003F"/>
    <w:rsid w:val="003909A6"/>
    <w:rsid w:val="00390A2B"/>
    <w:rsid w:val="00390B21"/>
    <w:rsid w:val="00390DAB"/>
    <w:rsid w:val="00390FBC"/>
    <w:rsid w:val="003917EC"/>
    <w:rsid w:val="003926E1"/>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AE5"/>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619C"/>
    <w:rsid w:val="003F6590"/>
    <w:rsid w:val="003F6BBE"/>
    <w:rsid w:val="003F6F40"/>
    <w:rsid w:val="003F7306"/>
    <w:rsid w:val="003F7CD8"/>
    <w:rsid w:val="004000E8"/>
    <w:rsid w:val="00400216"/>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13A7"/>
    <w:rsid w:val="004618D6"/>
    <w:rsid w:val="00461B18"/>
    <w:rsid w:val="00462314"/>
    <w:rsid w:val="00462C60"/>
    <w:rsid w:val="00463377"/>
    <w:rsid w:val="00463C22"/>
    <w:rsid w:val="00463F0A"/>
    <w:rsid w:val="00464689"/>
    <w:rsid w:val="004648C4"/>
    <w:rsid w:val="004651FE"/>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D4F"/>
    <w:rsid w:val="004C4DAF"/>
    <w:rsid w:val="004C5C19"/>
    <w:rsid w:val="004C5EB3"/>
    <w:rsid w:val="004C6059"/>
    <w:rsid w:val="004C60C5"/>
    <w:rsid w:val="004C6B18"/>
    <w:rsid w:val="004C6F97"/>
    <w:rsid w:val="004C704B"/>
    <w:rsid w:val="004C732E"/>
    <w:rsid w:val="004C7BC3"/>
    <w:rsid w:val="004C7CA6"/>
    <w:rsid w:val="004D0A90"/>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513"/>
    <w:rsid w:val="00526C6F"/>
    <w:rsid w:val="00526EA4"/>
    <w:rsid w:val="00526EA8"/>
    <w:rsid w:val="00527A76"/>
    <w:rsid w:val="00527ACB"/>
    <w:rsid w:val="00527C8F"/>
    <w:rsid w:val="00527EFC"/>
    <w:rsid w:val="00527F48"/>
    <w:rsid w:val="005304BF"/>
    <w:rsid w:val="005308D0"/>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DAC"/>
    <w:rsid w:val="00551E58"/>
    <w:rsid w:val="00551F19"/>
    <w:rsid w:val="005522A3"/>
    <w:rsid w:val="005522E6"/>
    <w:rsid w:val="00552511"/>
    <w:rsid w:val="00552939"/>
    <w:rsid w:val="00553BDB"/>
    <w:rsid w:val="00553CDF"/>
    <w:rsid w:val="00553F07"/>
    <w:rsid w:val="005540C6"/>
    <w:rsid w:val="00554DD7"/>
    <w:rsid w:val="00554E19"/>
    <w:rsid w:val="00555318"/>
    <w:rsid w:val="00555427"/>
    <w:rsid w:val="0055605D"/>
    <w:rsid w:val="00556699"/>
    <w:rsid w:val="00557474"/>
    <w:rsid w:val="00557AE5"/>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B42"/>
    <w:rsid w:val="00590B87"/>
    <w:rsid w:val="0059142C"/>
    <w:rsid w:val="0059176C"/>
    <w:rsid w:val="00591941"/>
    <w:rsid w:val="00591B22"/>
    <w:rsid w:val="00591D37"/>
    <w:rsid w:val="005923B7"/>
    <w:rsid w:val="005928DA"/>
    <w:rsid w:val="005935A4"/>
    <w:rsid w:val="00593BA9"/>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82E"/>
    <w:rsid w:val="005E09E1"/>
    <w:rsid w:val="005E0DC7"/>
    <w:rsid w:val="005E17D9"/>
    <w:rsid w:val="005E1D35"/>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CBE"/>
    <w:rsid w:val="006100E7"/>
    <w:rsid w:val="0061156E"/>
    <w:rsid w:val="006117A4"/>
    <w:rsid w:val="00611B83"/>
    <w:rsid w:val="00611F88"/>
    <w:rsid w:val="00612E2A"/>
    <w:rsid w:val="00613005"/>
    <w:rsid w:val="00613257"/>
    <w:rsid w:val="006136D0"/>
    <w:rsid w:val="00614213"/>
    <w:rsid w:val="00615361"/>
    <w:rsid w:val="0061545B"/>
    <w:rsid w:val="00615A2F"/>
    <w:rsid w:val="00615C25"/>
    <w:rsid w:val="00615CE9"/>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2445"/>
    <w:rsid w:val="006525BC"/>
    <w:rsid w:val="00652C42"/>
    <w:rsid w:val="00653321"/>
    <w:rsid w:val="006533B8"/>
    <w:rsid w:val="0065385E"/>
    <w:rsid w:val="0065390D"/>
    <w:rsid w:val="0065408F"/>
    <w:rsid w:val="006542D4"/>
    <w:rsid w:val="006547A9"/>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FCB"/>
    <w:rsid w:val="0066011D"/>
    <w:rsid w:val="006607C0"/>
    <w:rsid w:val="006608DC"/>
    <w:rsid w:val="00660F68"/>
    <w:rsid w:val="006613A6"/>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543"/>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D2D"/>
    <w:rsid w:val="00730039"/>
    <w:rsid w:val="00730519"/>
    <w:rsid w:val="00730658"/>
    <w:rsid w:val="007317B3"/>
    <w:rsid w:val="0073193E"/>
    <w:rsid w:val="00731A19"/>
    <w:rsid w:val="0073259D"/>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7173"/>
    <w:rsid w:val="00797483"/>
    <w:rsid w:val="007975E9"/>
    <w:rsid w:val="00797670"/>
    <w:rsid w:val="00797C54"/>
    <w:rsid w:val="00797DFB"/>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69"/>
    <w:rsid w:val="007D04E5"/>
    <w:rsid w:val="007D0689"/>
    <w:rsid w:val="007D09B0"/>
    <w:rsid w:val="007D0E66"/>
    <w:rsid w:val="007D1074"/>
    <w:rsid w:val="007D228C"/>
    <w:rsid w:val="007D2CC2"/>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FD3"/>
    <w:rsid w:val="0085608F"/>
    <w:rsid w:val="008567A5"/>
    <w:rsid w:val="00856911"/>
    <w:rsid w:val="00856AE3"/>
    <w:rsid w:val="00856CF0"/>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B0E"/>
    <w:rsid w:val="0086500F"/>
    <w:rsid w:val="0086628D"/>
    <w:rsid w:val="008664AF"/>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A"/>
    <w:rsid w:val="008B0483"/>
    <w:rsid w:val="008B0534"/>
    <w:rsid w:val="008B10A1"/>
    <w:rsid w:val="008B120C"/>
    <w:rsid w:val="008B14D6"/>
    <w:rsid w:val="008B1CE9"/>
    <w:rsid w:val="008B2BC2"/>
    <w:rsid w:val="008B2F79"/>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B5C"/>
    <w:rsid w:val="008C060E"/>
    <w:rsid w:val="008C0B8C"/>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F1"/>
    <w:rsid w:val="008D39D8"/>
    <w:rsid w:val="008D3C16"/>
    <w:rsid w:val="008D3CD6"/>
    <w:rsid w:val="008D3E14"/>
    <w:rsid w:val="008D4C94"/>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E6F"/>
    <w:rsid w:val="009141C3"/>
    <w:rsid w:val="00914AD8"/>
    <w:rsid w:val="00914BAE"/>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3EC"/>
    <w:rsid w:val="009466EA"/>
    <w:rsid w:val="00946945"/>
    <w:rsid w:val="009469FC"/>
    <w:rsid w:val="00946E99"/>
    <w:rsid w:val="00947179"/>
    <w:rsid w:val="00947405"/>
    <w:rsid w:val="00947713"/>
    <w:rsid w:val="00947A4D"/>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456"/>
    <w:rsid w:val="009E27DF"/>
    <w:rsid w:val="009E27F5"/>
    <w:rsid w:val="009E3155"/>
    <w:rsid w:val="009E33C3"/>
    <w:rsid w:val="009E35DB"/>
    <w:rsid w:val="009E396E"/>
    <w:rsid w:val="009E43BD"/>
    <w:rsid w:val="009E45D2"/>
    <w:rsid w:val="009E47A3"/>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2D1"/>
    <w:rsid w:val="00A307D0"/>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6139"/>
    <w:rsid w:val="00AA6521"/>
    <w:rsid w:val="00AA67CB"/>
    <w:rsid w:val="00AA7580"/>
    <w:rsid w:val="00AA764F"/>
    <w:rsid w:val="00AA7BCA"/>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3EBA"/>
    <w:rsid w:val="00AB4A2F"/>
    <w:rsid w:val="00AB4AB8"/>
    <w:rsid w:val="00AB4C4B"/>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22A1"/>
    <w:rsid w:val="00AC2632"/>
    <w:rsid w:val="00AC2AD9"/>
    <w:rsid w:val="00AC2E6B"/>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6DF0"/>
    <w:rsid w:val="00B070B3"/>
    <w:rsid w:val="00B075C2"/>
    <w:rsid w:val="00B076C8"/>
    <w:rsid w:val="00B07997"/>
    <w:rsid w:val="00B10726"/>
    <w:rsid w:val="00B11521"/>
    <w:rsid w:val="00B129D0"/>
    <w:rsid w:val="00B12E14"/>
    <w:rsid w:val="00B12F05"/>
    <w:rsid w:val="00B14361"/>
    <w:rsid w:val="00B14FA1"/>
    <w:rsid w:val="00B15339"/>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2253"/>
    <w:rsid w:val="00B629C4"/>
    <w:rsid w:val="00B62A7E"/>
    <w:rsid w:val="00B62B0A"/>
    <w:rsid w:val="00B62BCA"/>
    <w:rsid w:val="00B62C49"/>
    <w:rsid w:val="00B636DA"/>
    <w:rsid w:val="00B638F7"/>
    <w:rsid w:val="00B63FF8"/>
    <w:rsid w:val="00B645F6"/>
    <w:rsid w:val="00B648B4"/>
    <w:rsid w:val="00B64C21"/>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A25"/>
    <w:rsid w:val="00BB4237"/>
    <w:rsid w:val="00BB4B8A"/>
    <w:rsid w:val="00BB4FC2"/>
    <w:rsid w:val="00BB500C"/>
    <w:rsid w:val="00BB51E9"/>
    <w:rsid w:val="00BB5222"/>
    <w:rsid w:val="00BB5BCF"/>
    <w:rsid w:val="00BB68F5"/>
    <w:rsid w:val="00BB6A7C"/>
    <w:rsid w:val="00BB6D95"/>
    <w:rsid w:val="00BB7EF0"/>
    <w:rsid w:val="00BC0233"/>
    <w:rsid w:val="00BC03B0"/>
    <w:rsid w:val="00BC041E"/>
    <w:rsid w:val="00BC0551"/>
    <w:rsid w:val="00BC06F5"/>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7522"/>
    <w:rsid w:val="00BC7685"/>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A63"/>
    <w:rsid w:val="00C22C3C"/>
    <w:rsid w:val="00C22DD5"/>
    <w:rsid w:val="00C22E00"/>
    <w:rsid w:val="00C2310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F9F"/>
    <w:rsid w:val="00C44667"/>
    <w:rsid w:val="00C44B87"/>
    <w:rsid w:val="00C451DB"/>
    <w:rsid w:val="00C452A5"/>
    <w:rsid w:val="00C452B7"/>
    <w:rsid w:val="00C45432"/>
    <w:rsid w:val="00C4554C"/>
    <w:rsid w:val="00C45572"/>
    <w:rsid w:val="00C456FD"/>
    <w:rsid w:val="00C46790"/>
    <w:rsid w:val="00C46A6B"/>
    <w:rsid w:val="00C47219"/>
    <w:rsid w:val="00C473A5"/>
    <w:rsid w:val="00C50533"/>
    <w:rsid w:val="00C5073C"/>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0A6"/>
    <w:rsid w:val="00C57330"/>
    <w:rsid w:val="00C60783"/>
    <w:rsid w:val="00C60E10"/>
    <w:rsid w:val="00C60EA9"/>
    <w:rsid w:val="00C610A7"/>
    <w:rsid w:val="00C6122A"/>
    <w:rsid w:val="00C61309"/>
    <w:rsid w:val="00C61536"/>
    <w:rsid w:val="00C61C7A"/>
    <w:rsid w:val="00C61CBA"/>
    <w:rsid w:val="00C6262C"/>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CBE"/>
    <w:rsid w:val="00C97520"/>
    <w:rsid w:val="00CA026E"/>
    <w:rsid w:val="00CA07AC"/>
    <w:rsid w:val="00CA0AD6"/>
    <w:rsid w:val="00CA132F"/>
    <w:rsid w:val="00CA18D1"/>
    <w:rsid w:val="00CA1A55"/>
    <w:rsid w:val="00CA1ED8"/>
    <w:rsid w:val="00CA2779"/>
    <w:rsid w:val="00CA2923"/>
    <w:rsid w:val="00CA42E7"/>
    <w:rsid w:val="00CA6289"/>
    <w:rsid w:val="00CA6500"/>
    <w:rsid w:val="00CA6C77"/>
    <w:rsid w:val="00CA72F4"/>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8B1"/>
    <w:rsid w:val="00CC2E8C"/>
    <w:rsid w:val="00CC3292"/>
    <w:rsid w:val="00CC3EA0"/>
    <w:rsid w:val="00CC413E"/>
    <w:rsid w:val="00CC47A6"/>
    <w:rsid w:val="00CC53E0"/>
    <w:rsid w:val="00CC5477"/>
    <w:rsid w:val="00CC57F6"/>
    <w:rsid w:val="00CC5B5A"/>
    <w:rsid w:val="00CC64E1"/>
    <w:rsid w:val="00CC64E2"/>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DF4"/>
    <w:rsid w:val="00D07571"/>
    <w:rsid w:val="00D07CA7"/>
    <w:rsid w:val="00D07D48"/>
    <w:rsid w:val="00D10249"/>
    <w:rsid w:val="00D10B4A"/>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8021F"/>
    <w:rsid w:val="00D80383"/>
    <w:rsid w:val="00D80897"/>
    <w:rsid w:val="00D80A8A"/>
    <w:rsid w:val="00D8200C"/>
    <w:rsid w:val="00D8210B"/>
    <w:rsid w:val="00D823C6"/>
    <w:rsid w:val="00D82CCF"/>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D5C"/>
    <w:rsid w:val="00D950B0"/>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605"/>
    <w:rsid w:val="00DC28D5"/>
    <w:rsid w:val="00DC28FE"/>
    <w:rsid w:val="00DC2950"/>
    <w:rsid w:val="00DC2D36"/>
    <w:rsid w:val="00DC3238"/>
    <w:rsid w:val="00DC327E"/>
    <w:rsid w:val="00DC32FE"/>
    <w:rsid w:val="00DC4701"/>
    <w:rsid w:val="00DC4BD8"/>
    <w:rsid w:val="00DC53EF"/>
    <w:rsid w:val="00DC5AA0"/>
    <w:rsid w:val="00DC5CD9"/>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6C2"/>
    <w:rsid w:val="00DE0BBB"/>
    <w:rsid w:val="00DE129C"/>
    <w:rsid w:val="00DE1DFE"/>
    <w:rsid w:val="00DE2295"/>
    <w:rsid w:val="00DE26F2"/>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B50"/>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23A"/>
    <w:rsid w:val="00E37541"/>
    <w:rsid w:val="00E37860"/>
    <w:rsid w:val="00E378B1"/>
    <w:rsid w:val="00E410BB"/>
    <w:rsid w:val="00E4126A"/>
    <w:rsid w:val="00E41483"/>
    <w:rsid w:val="00E424E9"/>
    <w:rsid w:val="00E42C10"/>
    <w:rsid w:val="00E42CF2"/>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4AD"/>
    <w:rsid w:val="00E75733"/>
    <w:rsid w:val="00E758EC"/>
    <w:rsid w:val="00E76328"/>
    <w:rsid w:val="00E7696B"/>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4754"/>
    <w:rsid w:val="00EB4AAD"/>
    <w:rsid w:val="00EB4C84"/>
    <w:rsid w:val="00EB4EA2"/>
    <w:rsid w:val="00EB511C"/>
    <w:rsid w:val="00EB52A7"/>
    <w:rsid w:val="00EB5C7C"/>
    <w:rsid w:val="00EB6DF3"/>
    <w:rsid w:val="00EB6EDF"/>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21E6"/>
    <w:rsid w:val="00ED2AA2"/>
    <w:rsid w:val="00ED2E06"/>
    <w:rsid w:val="00ED3207"/>
    <w:rsid w:val="00ED3B96"/>
    <w:rsid w:val="00ED3DE0"/>
    <w:rsid w:val="00ED4103"/>
    <w:rsid w:val="00ED468A"/>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6F90"/>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266"/>
    <w:rsid w:val="00F35362"/>
    <w:rsid w:val="00F35BB6"/>
    <w:rsid w:val="00F3744A"/>
    <w:rsid w:val="00F3766D"/>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5F7"/>
    <w:rsid w:val="00F64C2B"/>
    <w:rsid w:val="00F64FE7"/>
    <w:rsid w:val="00F65036"/>
    <w:rsid w:val="00F651BE"/>
    <w:rsid w:val="00F65826"/>
    <w:rsid w:val="00F658AF"/>
    <w:rsid w:val="00F658CE"/>
    <w:rsid w:val="00F6652C"/>
    <w:rsid w:val="00F665C6"/>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597"/>
    <w:rsid w:val="00F855E4"/>
    <w:rsid w:val="00F859D8"/>
    <w:rsid w:val="00F85CA1"/>
    <w:rsid w:val="00F863EB"/>
    <w:rsid w:val="00F868F5"/>
    <w:rsid w:val="00F86AC7"/>
    <w:rsid w:val="00F8765B"/>
    <w:rsid w:val="00F87A4C"/>
    <w:rsid w:val="00F87D2E"/>
    <w:rsid w:val="00F90099"/>
    <w:rsid w:val="00F9056A"/>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6A"/>
    <w:rsid w:val="00FB745E"/>
    <w:rsid w:val="00FB785D"/>
    <w:rsid w:val="00FB7CAE"/>
    <w:rsid w:val="00FB7EF0"/>
    <w:rsid w:val="00FC02B2"/>
    <w:rsid w:val="00FC030C"/>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4749C9"/>
    <w:rsid w:val="0B3A1FDF"/>
    <w:rsid w:val="0B5631DA"/>
    <w:rsid w:val="0C055D0A"/>
    <w:rsid w:val="0D8270E7"/>
    <w:rsid w:val="0F1419CD"/>
    <w:rsid w:val="0F9395AB"/>
    <w:rsid w:val="0FD5AFBE"/>
    <w:rsid w:val="0FE81A2D"/>
    <w:rsid w:val="106420A8"/>
    <w:rsid w:val="12726A59"/>
    <w:rsid w:val="13369F19"/>
    <w:rsid w:val="13EE6C95"/>
    <w:rsid w:val="141CDDA4"/>
    <w:rsid w:val="148C1946"/>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2E747DA"/>
    <w:rsid w:val="4346D512"/>
    <w:rsid w:val="43C317F8"/>
    <w:rsid w:val="44A93595"/>
    <w:rsid w:val="44AE9D2B"/>
    <w:rsid w:val="45FD57B5"/>
    <w:rsid w:val="4786C05B"/>
    <w:rsid w:val="4AF65365"/>
    <w:rsid w:val="4B2B780B"/>
    <w:rsid w:val="4CE5E33B"/>
    <w:rsid w:val="4CEB034B"/>
    <w:rsid w:val="4ECEDAEB"/>
    <w:rsid w:val="4F4585BD"/>
    <w:rsid w:val="4FF95B81"/>
    <w:rsid w:val="503628FD"/>
    <w:rsid w:val="50CE790A"/>
    <w:rsid w:val="50E3198C"/>
    <w:rsid w:val="512E98E7"/>
    <w:rsid w:val="51BA9FB3"/>
    <w:rsid w:val="5244B776"/>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89C223"/>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106A6EB"/>
  <w15:docId w15:val="{4E8CA1FA-2D98-455C-822C-31A1D3C19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6"/>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5"/>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basedOn w:val="a1"/>
    <w:link w:val="aff7"/>
    <w:uiPriority w:val="34"/>
    <w:qFormat/>
    <w:pPr>
      <w:ind w:left="720"/>
    </w:pPr>
    <w:rPr>
      <w:rFonts w:eastAsia="Calibri"/>
      <w:sz w:val="22"/>
      <w:lang w:val="zh-CN"/>
    </w:rPr>
  </w:style>
  <w:style w:type="character" w:customStyle="1" w:styleId="aff7">
    <w:name w:val="列表段落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ProposalChar">
    <w:name w:val="Proposal Char"/>
    <w:basedOn w:val="a2"/>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ui-provider">
    <w:name w:val="ui-provider"/>
    <w:basedOn w:val="a2"/>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2"/>
    <w:qFormat/>
  </w:style>
  <w:style w:type="character" w:customStyle="1" w:styleId="eop">
    <w:name w:val="eop"/>
    <w:basedOn w:val="a2"/>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2"/>
    <w:uiPriority w:val="99"/>
    <w:semiHidden/>
    <w:qFormat/>
    <w:rPr>
      <w:color w:val="808080"/>
    </w:rPr>
  </w:style>
  <w:style w:type="paragraph" w:customStyle="1" w:styleId="FirstParagraph">
    <w:name w:val="First Paragraph"/>
    <w:basedOn w:val="a6"/>
    <w:next w:val="a6"/>
    <w:qFormat/>
    <w:pPr>
      <w:spacing w:before="180" w:after="180"/>
      <w:jc w:val="left"/>
    </w:pPr>
    <w:rPr>
      <w:rFonts w:asciiTheme="minorHAnsi" w:hAnsi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5.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6691</Words>
  <Characters>39684</Characters>
  <Application>Microsoft Office Word</Application>
  <DocSecurity>0</DocSecurity>
  <Lines>592</Lines>
  <Paragraphs>257</Paragraphs>
  <ScaleCrop>false</ScaleCrop>
  <Company/>
  <LinksUpToDate>false</LinksUpToDate>
  <CharactersWithSpaces>46118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Jiajia Guo</cp:lastModifiedBy>
  <cp:revision>67</cp:revision>
  <dcterms:created xsi:type="dcterms:W3CDTF">2025-08-15T23:24:00Z</dcterms:created>
  <dcterms:modified xsi:type="dcterms:W3CDTF">2025-11-06T16:36:00Z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2052-12.1.0.18276</vt:lpwstr>
  </property>
  <property fmtid="{D5CDD505-2E9C-101B-9397-08002B2CF9AE}" pid="6" name="ICV">
    <vt:lpwstr>A2B9F23EC4D144C0A6124BA7C7264A2A_13</vt:lpwstr>
  </property>
</Properties>
</file>