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06D1B" w14:textId="4C35A577" w:rsidR="00EC5934" w:rsidRPr="00EC5934" w:rsidRDefault="00EC5934" w:rsidP="00EC5934">
      <w:pPr>
        <w:tabs>
          <w:tab w:val="center" w:pos="4536"/>
          <w:tab w:val="right" w:pos="9070"/>
        </w:tabs>
        <w:ind w:right="2"/>
        <w:rPr>
          <w:rFonts w:ascii="Arial" w:eastAsia="Batang" w:hAnsi="Arial" w:cs="Arial"/>
          <w:b/>
          <w:bCs/>
          <w:sz w:val="24"/>
          <w:lang w:val="en-GB"/>
        </w:rPr>
      </w:pPr>
      <w:bookmarkStart w:id="0" w:name="_Hlk145670493"/>
      <w:r w:rsidRPr="00EC5934">
        <w:rPr>
          <w:rFonts w:ascii="Arial" w:eastAsia="Batang" w:hAnsi="Arial" w:cs="Arial"/>
          <w:b/>
          <w:bCs/>
          <w:sz w:val="24"/>
          <w:lang w:val="en-GB"/>
        </w:rPr>
        <w:t>3GPP TSG RAN WG1 #120</w:t>
      </w:r>
      <w:r w:rsidRPr="00EC5934">
        <w:rPr>
          <w:rFonts w:ascii="Arial" w:eastAsia="Batang" w:hAnsi="Arial" w:cs="Arial"/>
          <w:b/>
          <w:bCs/>
          <w:sz w:val="24"/>
          <w:lang w:val="en-GB"/>
        </w:rPr>
        <w:tab/>
      </w:r>
      <w:r w:rsidRPr="00EC5934">
        <w:rPr>
          <w:rFonts w:ascii="Arial" w:eastAsia="Batang" w:hAnsi="Arial" w:cs="Arial"/>
          <w:b/>
          <w:bCs/>
          <w:sz w:val="24"/>
          <w:lang w:val="en-GB"/>
        </w:rPr>
        <w:tab/>
      </w:r>
      <w:r w:rsidR="00CF2E0D" w:rsidRPr="00CF2E0D">
        <w:rPr>
          <w:rFonts w:ascii="Arial" w:eastAsia="Batang" w:hAnsi="Arial" w:cs="Arial"/>
          <w:b/>
          <w:bCs/>
          <w:sz w:val="24"/>
          <w:lang w:val="en-GB"/>
        </w:rPr>
        <w:t>R1-2500603</w:t>
      </w:r>
    </w:p>
    <w:p w14:paraId="2996646D" w14:textId="77777777" w:rsidR="00EC5934" w:rsidRPr="00EC5934" w:rsidRDefault="00EC5934" w:rsidP="00EC5934">
      <w:pPr>
        <w:tabs>
          <w:tab w:val="center" w:pos="4536"/>
          <w:tab w:val="right" w:pos="9072"/>
        </w:tabs>
        <w:rPr>
          <w:rFonts w:ascii="Arial" w:eastAsia="MS Mincho" w:hAnsi="Arial" w:cs="Arial"/>
          <w:b/>
          <w:bCs/>
          <w:sz w:val="24"/>
          <w:lang w:val="en-GB" w:eastAsia="ja-JP"/>
        </w:rPr>
      </w:pPr>
      <w:r w:rsidRPr="00EC5934">
        <w:rPr>
          <w:rFonts w:ascii="Arial" w:eastAsia="MS Mincho" w:hAnsi="Arial" w:cs="Arial"/>
          <w:b/>
          <w:bCs/>
          <w:sz w:val="24"/>
          <w:lang w:val="en-GB" w:eastAsia="ja-JP"/>
        </w:rPr>
        <w:t xml:space="preserve">Athens, Greece, </w:t>
      </w:r>
      <w:r w:rsidRPr="00EC5934">
        <w:rPr>
          <w:rFonts w:ascii="Malgun Gothic" w:eastAsia="Malgun Gothic" w:hAnsi="Malgun Gothic" w:cs="Malgun Gothic" w:hint="eastAsia"/>
          <w:b/>
          <w:bCs/>
          <w:sz w:val="24"/>
          <w:lang w:val="en-GB" w:eastAsia="ko-KR"/>
        </w:rPr>
        <w:t xml:space="preserve">February </w:t>
      </w:r>
      <w:r w:rsidRPr="00EC5934">
        <w:rPr>
          <w:rFonts w:ascii="Arial" w:eastAsia="MS Mincho" w:hAnsi="Arial" w:cs="Arial"/>
          <w:b/>
          <w:bCs/>
          <w:sz w:val="24"/>
          <w:lang w:val="en-GB" w:eastAsia="ja-JP"/>
        </w:rPr>
        <w:t>17</w:t>
      </w:r>
      <w:r w:rsidRPr="00EC5934">
        <w:rPr>
          <w:rFonts w:ascii="Malgun Gothic" w:eastAsia="Malgun Gothic" w:hAnsi="Malgun Gothic" w:cs="Malgun Gothic" w:hint="eastAsia"/>
          <w:b/>
          <w:bCs/>
          <w:sz w:val="24"/>
          <w:vertAlign w:val="superscript"/>
          <w:lang w:val="en-GB" w:eastAsia="ko-KR"/>
        </w:rPr>
        <w:t>th</w:t>
      </w:r>
      <w:r w:rsidRPr="00EC5934">
        <w:rPr>
          <w:rFonts w:ascii="Arial" w:eastAsia="MS Mincho" w:hAnsi="Arial" w:cs="Arial"/>
          <w:b/>
          <w:bCs/>
          <w:sz w:val="24"/>
          <w:lang w:val="en-GB" w:eastAsia="ja-JP"/>
        </w:rPr>
        <w:t xml:space="preserve"> </w:t>
      </w:r>
      <w:r w:rsidRPr="00EC5934">
        <w:rPr>
          <w:rFonts w:ascii="Arial" w:eastAsia="Batang" w:hAnsi="Arial" w:cs="Arial"/>
          <w:b/>
          <w:bCs/>
          <w:sz w:val="24"/>
          <w:lang w:val="en-GB"/>
        </w:rPr>
        <w:t>– 21</w:t>
      </w:r>
      <w:r w:rsidRPr="00EC5934">
        <w:rPr>
          <w:rFonts w:ascii="Arial" w:eastAsia="Batang" w:hAnsi="Arial" w:cs="Arial"/>
          <w:b/>
          <w:bCs/>
          <w:sz w:val="24"/>
          <w:vertAlign w:val="superscript"/>
          <w:lang w:val="en-GB"/>
        </w:rPr>
        <w:t>st</w:t>
      </w:r>
      <w:r w:rsidRPr="00EC5934">
        <w:rPr>
          <w:rFonts w:ascii="Arial" w:eastAsia="MS Mincho" w:hAnsi="Arial" w:cs="Arial"/>
          <w:b/>
          <w:bCs/>
          <w:sz w:val="24"/>
          <w:lang w:val="en-GB" w:eastAsia="ja-JP"/>
        </w:rPr>
        <w:t>, 2025</w:t>
      </w:r>
      <w:bookmarkEnd w:id="0"/>
    </w:p>
    <w:p w14:paraId="525A0C87" w14:textId="7F2D6C44" w:rsidR="00A61B39" w:rsidRPr="0079327A" w:rsidRDefault="00A61B39" w:rsidP="00A61B39">
      <w:pPr>
        <w:tabs>
          <w:tab w:val="center" w:pos="4536"/>
          <w:tab w:val="right" w:pos="9072"/>
        </w:tabs>
        <w:rPr>
          <w:rFonts w:ascii="Arial" w:eastAsia="MS Mincho" w:hAnsi="Arial" w:cs="Arial"/>
          <w:b/>
          <w:bCs/>
          <w:sz w:val="28"/>
          <w:lang w:eastAsia="ja-JP"/>
        </w:rPr>
      </w:pP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4610C289"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460932">
        <w:rPr>
          <w:rFonts w:ascii="Arial" w:eastAsiaTheme="minorEastAsia" w:hAnsi="Arial" w:cs="Arial"/>
          <w:b/>
          <w:bCs/>
          <w:sz w:val="24"/>
          <w:szCs w:val="24"/>
          <w:lang w:val="en-GB" w:eastAsia="zh-CN"/>
        </w:rPr>
        <w:t>6</w:t>
      </w:r>
      <w:r>
        <w:rPr>
          <w:rFonts w:ascii="Arial" w:eastAsiaTheme="minorEastAsia" w:hAnsi="Arial" w:cs="Arial"/>
          <w:b/>
          <w:bCs/>
          <w:sz w:val="24"/>
          <w:szCs w:val="24"/>
          <w:lang w:val="en-GB" w:eastAsia="zh-CN"/>
        </w:rPr>
        <w:t>.</w:t>
      </w:r>
      <w:r w:rsidR="004A013D">
        <w:rPr>
          <w:rFonts w:ascii="Arial" w:eastAsiaTheme="minorEastAsia" w:hAnsi="Arial" w:cs="Arial" w:hint="eastAsia"/>
          <w:b/>
          <w:bCs/>
          <w:sz w:val="24"/>
          <w:szCs w:val="24"/>
          <w:lang w:val="en-GB" w:eastAsia="zh-CN"/>
        </w:rPr>
        <w:t>2</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bookmarkStart w:id="5" w:name="_GoBack"/>
      <w:bookmarkEnd w:id="5"/>
    </w:p>
    <w:p w14:paraId="1BE44B56" w14:textId="5728991D"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 xml:space="preserve">Discussion on LP-WUS </w:t>
      </w:r>
      <w:r w:rsidR="00C65B46">
        <w:rPr>
          <w:rFonts w:ascii="Arial" w:hAnsi="Arial" w:cs="Arial"/>
          <w:b/>
          <w:bCs/>
          <w:sz w:val="24"/>
          <w:szCs w:val="24"/>
          <w:lang w:val="en-GB"/>
        </w:rPr>
        <w:t xml:space="preserve">operation in </w:t>
      </w:r>
      <w:r w:rsidR="002B1B71">
        <w:rPr>
          <w:rFonts w:ascii="Arial" w:hAnsi="Arial" w:cs="Arial"/>
          <w:b/>
          <w:bCs/>
          <w:sz w:val="24"/>
          <w:szCs w:val="24"/>
          <w:lang w:val="en-GB"/>
        </w:rPr>
        <w:t xml:space="preserve">RRC </w:t>
      </w:r>
      <w:r w:rsidR="000E506B">
        <w:rPr>
          <w:rFonts w:ascii="Arial" w:hAnsi="Arial" w:cs="Arial"/>
          <w:b/>
          <w:bCs/>
          <w:sz w:val="24"/>
          <w:szCs w:val="24"/>
          <w:lang w:val="en-GB"/>
        </w:rPr>
        <w:t>IDLE/INACTIVE mode</w:t>
      </w:r>
    </w:p>
    <w:bookmarkEnd w:id="3"/>
    <w:bookmarkEnd w:id="4"/>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65688BD7" w14:textId="09F78856" w:rsidR="00BF0783" w:rsidRDefault="00BF0783" w:rsidP="00BF0783">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the RAN1#11</w:t>
      </w:r>
      <w:r w:rsidR="00101157">
        <w:rPr>
          <w:rFonts w:eastAsiaTheme="minorEastAsia" w:hint="eastAsia"/>
          <w:sz w:val="22"/>
          <w:lang w:eastAsia="zh-CN"/>
        </w:rPr>
        <w:t>9</w:t>
      </w:r>
      <w:r>
        <w:rPr>
          <w:rFonts w:eastAsiaTheme="minorEastAsia"/>
          <w:sz w:val="22"/>
        </w:rPr>
        <w:t xml:space="preserve">, the following agreements </w:t>
      </w:r>
      <w:r w:rsidR="0030333A">
        <w:rPr>
          <w:rFonts w:eastAsiaTheme="minorEastAsia"/>
          <w:sz w:val="22"/>
        </w:rPr>
        <w:t xml:space="preserve">and conclusion </w:t>
      </w:r>
      <w:r>
        <w:rPr>
          <w:rFonts w:eastAsiaTheme="minorEastAsia"/>
          <w:sz w:val="22"/>
        </w:rPr>
        <w:t xml:space="preserve">on LP-WUS operation in RRC-IDLE/INACTIVE mode were </w:t>
      </w:r>
      <w:r w:rsidR="00DF3918">
        <w:rPr>
          <w:rFonts w:eastAsiaTheme="minorEastAsia"/>
          <w:sz w:val="22"/>
        </w:rPr>
        <w:t>achieved</w:t>
      </w:r>
      <w:r>
        <w:rPr>
          <w:rFonts w:eastAsiaTheme="minorEastAsia"/>
          <w:sz w:val="22"/>
        </w:rPr>
        <w:t>:</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27664551" w14:textId="77777777" w:rsidR="00101157" w:rsidRPr="00101157" w:rsidRDefault="00101157" w:rsidP="00101157">
            <w:pPr>
              <w:rPr>
                <w:rFonts w:ascii="Times" w:eastAsia="Batang" w:hAnsi="Times"/>
                <w:lang w:val="en-GB" w:bidi="ar"/>
              </w:rPr>
            </w:pPr>
            <w:r w:rsidRPr="00101157">
              <w:rPr>
                <w:rFonts w:ascii="Times" w:eastAsia="Batang" w:hAnsi="Times"/>
                <w:highlight w:val="green"/>
                <w:lang w:val="en-GB" w:bidi="ar"/>
              </w:rPr>
              <w:t>Agreement</w:t>
            </w:r>
          </w:p>
          <w:p w14:paraId="197E031A" w14:textId="77777777" w:rsidR="00101157" w:rsidRPr="00101157" w:rsidRDefault="00101157" w:rsidP="00101157">
            <w:pPr>
              <w:rPr>
                <w:rFonts w:eastAsia="Batang"/>
                <w:lang w:val="en-GB"/>
              </w:rPr>
            </w:pPr>
            <w:r w:rsidRPr="00101157">
              <w:rPr>
                <w:rFonts w:eastAsia="Batang"/>
                <w:lang w:val="en-GB"/>
              </w:rPr>
              <w:t xml:space="preserve">Confirm the following working assumption with the addition of the note at the bottom: </w:t>
            </w:r>
          </w:p>
          <w:p w14:paraId="1249CBA6" w14:textId="77777777" w:rsidR="00101157" w:rsidRPr="00101157" w:rsidRDefault="00101157" w:rsidP="00101157">
            <w:pPr>
              <w:ind w:left="720"/>
              <w:rPr>
                <w:rFonts w:eastAsia="Batang"/>
                <w:sz w:val="18"/>
                <w:szCs w:val="18"/>
                <w:highlight w:val="darkYellow"/>
                <w:lang w:val="en-GB" w:eastAsia="ko-KR"/>
              </w:rPr>
            </w:pPr>
            <w:r w:rsidRPr="00101157">
              <w:rPr>
                <w:rFonts w:eastAsia="Batang"/>
                <w:sz w:val="18"/>
                <w:szCs w:val="18"/>
                <w:highlight w:val="darkYellow"/>
                <w:lang w:val="en-GB" w:eastAsia="ko-KR"/>
              </w:rPr>
              <w:t>Working Assumption</w:t>
            </w:r>
          </w:p>
          <w:p w14:paraId="3416528F" w14:textId="77777777" w:rsidR="00101157" w:rsidRPr="00101157" w:rsidRDefault="00101157" w:rsidP="00101157">
            <w:pPr>
              <w:ind w:left="720"/>
              <w:rPr>
                <w:rFonts w:eastAsia="Batang"/>
                <w:sz w:val="18"/>
                <w:szCs w:val="18"/>
                <w:lang w:val="en-GB" w:eastAsia="ko-KR"/>
              </w:rPr>
            </w:pPr>
            <w:r w:rsidRPr="00101157">
              <w:rPr>
                <w:rFonts w:eastAsia="Batang"/>
                <w:sz w:val="18"/>
                <w:szCs w:val="18"/>
                <w:lang w:val="en-GB" w:eastAsia="ko-KR"/>
              </w:rPr>
              <w:t>From RAN1 perspective, for the entry/exit conditions for LP-WUS monitoring in IDLE/inactive mode,</w:t>
            </w:r>
          </w:p>
          <w:p w14:paraId="5769F4B7" w14:textId="77777777" w:rsidR="00101157" w:rsidRPr="00101157" w:rsidRDefault="00101157" w:rsidP="00101157">
            <w:pPr>
              <w:numPr>
                <w:ilvl w:val="0"/>
                <w:numId w:val="39"/>
              </w:numPr>
              <w:overflowPunct w:val="0"/>
              <w:autoSpaceDE w:val="0"/>
              <w:autoSpaceDN w:val="0"/>
              <w:adjustRightInd w:val="0"/>
              <w:spacing w:after="180"/>
              <w:ind w:left="1440"/>
              <w:contextualSpacing/>
              <w:textAlignment w:val="baseline"/>
              <w:rPr>
                <w:rFonts w:eastAsia="宋体"/>
                <w:sz w:val="18"/>
                <w:szCs w:val="18"/>
                <w:lang w:val="en-GB" w:eastAsia="ko-KR"/>
              </w:rPr>
            </w:pPr>
            <w:r w:rsidRPr="00101157">
              <w:rPr>
                <w:rFonts w:eastAsia="宋体"/>
                <w:sz w:val="18"/>
                <w:szCs w:val="18"/>
                <w:lang w:val="en-GB" w:eastAsia="ko-KR"/>
              </w:rPr>
              <w:t>The UE may start LP-WUS monitoring if</w:t>
            </w:r>
          </w:p>
          <w:p w14:paraId="16DDF63C" w14:textId="77777777" w:rsidR="00101157" w:rsidRPr="00101157" w:rsidRDefault="00101157" w:rsidP="00101157">
            <w:pPr>
              <w:numPr>
                <w:ilvl w:val="1"/>
                <w:numId w:val="39"/>
              </w:numPr>
              <w:overflowPunct w:val="0"/>
              <w:autoSpaceDE w:val="0"/>
              <w:autoSpaceDN w:val="0"/>
              <w:adjustRightInd w:val="0"/>
              <w:spacing w:after="180"/>
              <w:ind w:left="2160"/>
              <w:contextualSpacing/>
              <w:textAlignment w:val="baseline"/>
              <w:rPr>
                <w:rFonts w:eastAsia="宋体"/>
                <w:sz w:val="18"/>
                <w:szCs w:val="18"/>
                <w:lang w:val="en-GB" w:eastAsia="ko-KR"/>
              </w:rPr>
            </w:pPr>
            <w:r w:rsidRPr="00101157">
              <w:rPr>
                <w:rFonts w:eastAsia="宋体"/>
                <w:sz w:val="18"/>
                <w:szCs w:val="18"/>
                <w:lang w:val="en-GB" w:eastAsia="ko-KR"/>
              </w:rPr>
              <w:t>the serving cell measurement performed by the MR is above entry threshold(s), if configured by the gNB</w:t>
            </w:r>
          </w:p>
          <w:p w14:paraId="5C3C28E6" w14:textId="77777777" w:rsidR="00101157" w:rsidRPr="00101157" w:rsidRDefault="00101157" w:rsidP="00101157">
            <w:pPr>
              <w:numPr>
                <w:ilvl w:val="1"/>
                <w:numId w:val="39"/>
              </w:numPr>
              <w:overflowPunct w:val="0"/>
              <w:autoSpaceDE w:val="0"/>
              <w:autoSpaceDN w:val="0"/>
              <w:adjustRightInd w:val="0"/>
              <w:spacing w:after="180"/>
              <w:ind w:left="2160"/>
              <w:contextualSpacing/>
              <w:textAlignment w:val="baseline"/>
              <w:rPr>
                <w:rFonts w:eastAsia="宋体"/>
                <w:sz w:val="18"/>
                <w:szCs w:val="18"/>
                <w:lang w:val="en-GB" w:eastAsia="ko-KR"/>
              </w:rPr>
            </w:pPr>
            <w:r w:rsidRPr="00101157">
              <w:rPr>
                <w:rFonts w:eastAsia="宋体"/>
                <w:sz w:val="18"/>
                <w:szCs w:val="18"/>
                <w:lang w:val="en-GB" w:eastAsia="ko-KR"/>
              </w:rPr>
              <w:t>FFS other conditions, and if any, whether all or one or some of the conditions need to be satisfied</w:t>
            </w:r>
          </w:p>
          <w:p w14:paraId="0AF9D5E0" w14:textId="77777777" w:rsidR="00101157" w:rsidRPr="00101157" w:rsidRDefault="00101157" w:rsidP="00101157">
            <w:pPr>
              <w:numPr>
                <w:ilvl w:val="0"/>
                <w:numId w:val="39"/>
              </w:numPr>
              <w:overflowPunct w:val="0"/>
              <w:autoSpaceDE w:val="0"/>
              <w:autoSpaceDN w:val="0"/>
              <w:adjustRightInd w:val="0"/>
              <w:spacing w:after="180"/>
              <w:ind w:left="1440"/>
              <w:contextualSpacing/>
              <w:textAlignment w:val="baseline"/>
              <w:rPr>
                <w:rFonts w:eastAsia="宋体"/>
                <w:sz w:val="18"/>
                <w:szCs w:val="18"/>
                <w:lang w:val="en-GB" w:eastAsia="ko-KR"/>
              </w:rPr>
            </w:pPr>
            <w:r w:rsidRPr="00101157">
              <w:rPr>
                <w:rFonts w:eastAsia="宋体"/>
                <w:sz w:val="18"/>
                <w:szCs w:val="18"/>
                <w:lang w:val="en-GB" w:eastAsia="ko-KR"/>
              </w:rPr>
              <w:t>If UE starts LP-WUS monitoring, it may stop the legacy PO monitoring before UE receives LP-WUS indicating wake-up</w:t>
            </w:r>
          </w:p>
          <w:p w14:paraId="2D8EAF71" w14:textId="77777777" w:rsidR="00101157" w:rsidRPr="00101157" w:rsidRDefault="00101157" w:rsidP="00101157">
            <w:pPr>
              <w:numPr>
                <w:ilvl w:val="0"/>
                <w:numId w:val="39"/>
              </w:numPr>
              <w:overflowPunct w:val="0"/>
              <w:autoSpaceDE w:val="0"/>
              <w:autoSpaceDN w:val="0"/>
              <w:adjustRightInd w:val="0"/>
              <w:spacing w:after="180"/>
              <w:ind w:left="1440"/>
              <w:contextualSpacing/>
              <w:textAlignment w:val="baseline"/>
              <w:rPr>
                <w:rFonts w:eastAsia="宋体"/>
                <w:sz w:val="18"/>
                <w:szCs w:val="18"/>
                <w:lang w:val="en-GB" w:eastAsia="ko-KR"/>
              </w:rPr>
            </w:pPr>
            <w:r w:rsidRPr="00101157">
              <w:rPr>
                <w:rFonts w:eastAsia="宋体"/>
                <w:sz w:val="18"/>
                <w:szCs w:val="18"/>
                <w:lang w:val="en-GB" w:eastAsia="ko-KR"/>
              </w:rPr>
              <w:t>The UE monitors the legacy PO (and may monitor PEI) and may stop LP-WUS monitoring if</w:t>
            </w:r>
          </w:p>
          <w:p w14:paraId="55ED5D50" w14:textId="77777777" w:rsidR="00101157" w:rsidRPr="00101157" w:rsidRDefault="00101157" w:rsidP="00101157">
            <w:pPr>
              <w:numPr>
                <w:ilvl w:val="1"/>
                <w:numId w:val="39"/>
              </w:numPr>
              <w:overflowPunct w:val="0"/>
              <w:autoSpaceDE w:val="0"/>
              <w:autoSpaceDN w:val="0"/>
              <w:adjustRightInd w:val="0"/>
              <w:spacing w:after="180"/>
              <w:ind w:left="2160"/>
              <w:contextualSpacing/>
              <w:textAlignment w:val="baseline"/>
              <w:rPr>
                <w:rFonts w:eastAsia="宋体"/>
                <w:sz w:val="18"/>
                <w:szCs w:val="18"/>
                <w:lang w:val="en-GB" w:eastAsia="ko-KR"/>
              </w:rPr>
            </w:pPr>
            <w:r w:rsidRPr="00101157">
              <w:rPr>
                <w:rFonts w:eastAsia="宋体"/>
                <w:sz w:val="18"/>
                <w:szCs w:val="18"/>
                <w:lang w:val="en-GB" w:eastAsia="ko-KR"/>
              </w:rPr>
              <w:t>the serving cell measurement performed by the LR is below exit threshold(s), if configured by the gNB</w:t>
            </w:r>
          </w:p>
          <w:p w14:paraId="0E21A90C" w14:textId="77777777" w:rsidR="00101157" w:rsidRPr="00101157" w:rsidRDefault="00101157" w:rsidP="00101157">
            <w:pPr>
              <w:numPr>
                <w:ilvl w:val="1"/>
                <w:numId w:val="39"/>
              </w:numPr>
              <w:overflowPunct w:val="0"/>
              <w:autoSpaceDE w:val="0"/>
              <w:autoSpaceDN w:val="0"/>
              <w:adjustRightInd w:val="0"/>
              <w:spacing w:after="180"/>
              <w:ind w:left="2160"/>
              <w:contextualSpacing/>
              <w:textAlignment w:val="baseline"/>
              <w:rPr>
                <w:rFonts w:eastAsia="宋体"/>
                <w:sz w:val="18"/>
                <w:szCs w:val="18"/>
                <w:lang w:val="en-GB" w:eastAsia="ko-KR"/>
              </w:rPr>
            </w:pPr>
            <w:r w:rsidRPr="00101157">
              <w:rPr>
                <w:rFonts w:eastAsia="宋体"/>
                <w:sz w:val="18"/>
                <w:szCs w:val="18"/>
                <w:lang w:val="en-GB" w:eastAsia="ko-KR"/>
              </w:rPr>
              <w:t>FFS other conditions, and if any, whether all or one or some of the conditions need to be satisfied</w:t>
            </w:r>
          </w:p>
          <w:p w14:paraId="3C5EE2D0" w14:textId="77777777" w:rsidR="00101157" w:rsidRPr="00101157" w:rsidRDefault="00101157" w:rsidP="00101157">
            <w:pPr>
              <w:numPr>
                <w:ilvl w:val="0"/>
                <w:numId w:val="39"/>
              </w:numPr>
              <w:overflowPunct w:val="0"/>
              <w:autoSpaceDE w:val="0"/>
              <w:autoSpaceDN w:val="0"/>
              <w:adjustRightInd w:val="0"/>
              <w:spacing w:after="180"/>
              <w:ind w:left="1440"/>
              <w:contextualSpacing/>
              <w:textAlignment w:val="baseline"/>
              <w:rPr>
                <w:rFonts w:eastAsia="宋体"/>
                <w:sz w:val="18"/>
                <w:szCs w:val="18"/>
                <w:lang w:val="en-GB" w:eastAsia="ko-KR"/>
              </w:rPr>
            </w:pPr>
            <w:r w:rsidRPr="00101157">
              <w:rPr>
                <w:rFonts w:eastAsia="宋体"/>
                <w:sz w:val="18"/>
                <w:szCs w:val="18"/>
                <w:lang w:val="en-GB" w:eastAsia="ko-KR"/>
              </w:rPr>
              <w:t>FFS the serving cell measurement metrics</w:t>
            </w:r>
          </w:p>
          <w:p w14:paraId="1F301AE8" w14:textId="77777777" w:rsidR="00101157" w:rsidRPr="00101157" w:rsidRDefault="00101157" w:rsidP="00101157">
            <w:pPr>
              <w:numPr>
                <w:ilvl w:val="0"/>
                <w:numId w:val="39"/>
              </w:numPr>
              <w:overflowPunct w:val="0"/>
              <w:autoSpaceDE w:val="0"/>
              <w:autoSpaceDN w:val="0"/>
              <w:adjustRightInd w:val="0"/>
              <w:spacing w:after="180"/>
              <w:ind w:left="1440"/>
              <w:contextualSpacing/>
              <w:textAlignment w:val="baseline"/>
              <w:rPr>
                <w:rFonts w:eastAsia="宋体"/>
                <w:sz w:val="18"/>
                <w:szCs w:val="18"/>
                <w:lang w:val="en-GB" w:eastAsia="ko-KR"/>
              </w:rPr>
            </w:pPr>
            <w:r w:rsidRPr="00101157">
              <w:rPr>
                <w:rFonts w:eastAsia="宋体"/>
                <w:sz w:val="18"/>
                <w:szCs w:val="18"/>
                <w:lang w:val="en-GB" w:eastAsia="ko-KR"/>
              </w:rPr>
              <w:t>The entry/exit thresholds can be configured separately for different types of LR</w:t>
            </w:r>
          </w:p>
          <w:p w14:paraId="13850BDA" w14:textId="77777777" w:rsidR="00101157" w:rsidRPr="00101157" w:rsidRDefault="00101157" w:rsidP="00101157">
            <w:pPr>
              <w:numPr>
                <w:ilvl w:val="0"/>
                <w:numId w:val="39"/>
              </w:numPr>
              <w:overflowPunct w:val="0"/>
              <w:autoSpaceDE w:val="0"/>
              <w:autoSpaceDN w:val="0"/>
              <w:adjustRightInd w:val="0"/>
              <w:spacing w:after="180"/>
              <w:ind w:left="1440"/>
              <w:contextualSpacing/>
              <w:textAlignment w:val="baseline"/>
              <w:rPr>
                <w:rFonts w:eastAsia="宋体"/>
                <w:sz w:val="18"/>
                <w:szCs w:val="18"/>
                <w:lang w:val="en-GB" w:eastAsia="ko-KR"/>
              </w:rPr>
            </w:pPr>
            <w:r w:rsidRPr="00101157">
              <w:rPr>
                <w:rFonts w:eastAsia="宋体"/>
                <w:sz w:val="18"/>
                <w:szCs w:val="18"/>
                <w:lang w:val="en-GB" w:eastAsia="ko-KR"/>
              </w:rPr>
              <w:t xml:space="preserve">It is left to RAN2 discussion whether the threshold(s) are always configured by the gNB. </w:t>
            </w:r>
          </w:p>
          <w:p w14:paraId="72246E4D" w14:textId="77777777" w:rsidR="00101157" w:rsidRPr="00101157" w:rsidRDefault="00101157" w:rsidP="00101157">
            <w:pPr>
              <w:numPr>
                <w:ilvl w:val="0"/>
                <w:numId w:val="39"/>
              </w:numPr>
              <w:overflowPunct w:val="0"/>
              <w:autoSpaceDE w:val="0"/>
              <w:autoSpaceDN w:val="0"/>
              <w:adjustRightInd w:val="0"/>
              <w:spacing w:after="180"/>
              <w:ind w:left="1440"/>
              <w:contextualSpacing/>
              <w:textAlignment w:val="baseline"/>
              <w:rPr>
                <w:rFonts w:eastAsia="宋体"/>
                <w:sz w:val="18"/>
                <w:szCs w:val="18"/>
                <w:lang w:val="en-GB" w:eastAsia="ko-KR"/>
              </w:rPr>
            </w:pPr>
            <w:r w:rsidRPr="00101157">
              <w:rPr>
                <w:rFonts w:eastAsia="宋体"/>
                <w:sz w:val="18"/>
                <w:szCs w:val="18"/>
                <w:lang w:val="en-GB" w:eastAsia="ko-KR"/>
              </w:rPr>
              <w:t>Note: This may be revisited based on the RAN2/RAN4 discussion.</w:t>
            </w:r>
          </w:p>
          <w:p w14:paraId="7AA88471" w14:textId="77777777" w:rsidR="00101157" w:rsidRPr="00101157" w:rsidRDefault="00101157" w:rsidP="00101157">
            <w:pPr>
              <w:ind w:left="720"/>
              <w:rPr>
                <w:rFonts w:eastAsia="Batang"/>
                <w:color w:val="FF0000"/>
                <w:sz w:val="18"/>
                <w:szCs w:val="18"/>
                <w:lang w:val="en-GB"/>
              </w:rPr>
            </w:pPr>
            <w:r w:rsidRPr="00101157">
              <w:rPr>
                <w:rFonts w:eastAsia="Batang"/>
                <w:color w:val="FF0000"/>
                <w:sz w:val="18"/>
                <w:szCs w:val="18"/>
                <w:lang w:val="en-GB"/>
              </w:rPr>
              <w:t>Note: this does not intend to impact any agreements and working assumptions made in RAN1/RAN2 after the working assumption.</w:t>
            </w:r>
          </w:p>
          <w:p w14:paraId="2DEDE8A6" w14:textId="77777777" w:rsidR="00101157" w:rsidRPr="00101157" w:rsidRDefault="00101157" w:rsidP="00101157">
            <w:pPr>
              <w:rPr>
                <w:rFonts w:eastAsia="Batang"/>
                <w:lang w:val="en-GB" w:eastAsia="zh-CN" w:bidi="ar"/>
              </w:rPr>
            </w:pPr>
          </w:p>
          <w:p w14:paraId="1B02FD0D" w14:textId="77777777" w:rsidR="00101157" w:rsidRPr="00101157" w:rsidRDefault="00101157" w:rsidP="00101157">
            <w:pPr>
              <w:rPr>
                <w:rFonts w:ascii="Times" w:eastAsia="Batang" w:hAnsi="Times"/>
                <w:lang w:val="en-GB" w:bidi="ar"/>
              </w:rPr>
            </w:pPr>
            <w:r w:rsidRPr="00101157">
              <w:rPr>
                <w:rFonts w:ascii="Times" w:eastAsia="Batang" w:hAnsi="Times"/>
                <w:highlight w:val="green"/>
                <w:lang w:val="en-GB" w:bidi="ar"/>
              </w:rPr>
              <w:t>Agreement</w:t>
            </w:r>
          </w:p>
          <w:p w14:paraId="5CB29FE8" w14:textId="77777777" w:rsidR="00101157" w:rsidRPr="00101157" w:rsidRDefault="00101157" w:rsidP="00101157">
            <w:pPr>
              <w:rPr>
                <w:rFonts w:eastAsia="Batang"/>
                <w:szCs w:val="20"/>
                <w:lang w:val="en-GB"/>
              </w:rPr>
            </w:pPr>
            <w:r w:rsidRPr="00101157">
              <w:rPr>
                <w:rFonts w:eastAsia="Batang"/>
                <w:szCs w:val="20"/>
                <w:lang w:val="en-GB"/>
              </w:rPr>
              <w:t>At least support the case that the number of beams for LP-WUS/LP-SS is the same as the number of SSB beams.</w:t>
            </w:r>
          </w:p>
          <w:p w14:paraId="4BAD6C5C" w14:textId="77777777" w:rsidR="00101157" w:rsidRPr="00101157" w:rsidRDefault="00101157" w:rsidP="00101157">
            <w:pPr>
              <w:rPr>
                <w:rFonts w:eastAsia="Batang"/>
                <w:lang w:val="en-GB" w:eastAsia="zh-CN" w:bidi="ar"/>
              </w:rPr>
            </w:pPr>
          </w:p>
          <w:p w14:paraId="5722E089" w14:textId="77777777" w:rsidR="00101157" w:rsidRPr="00101157" w:rsidRDefault="00101157" w:rsidP="00101157">
            <w:pPr>
              <w:rPr>
                <w:rFonts w:eastAsia="Batang"/>
                <w:b/>
                <w:bCs/>
                <w:szCs w:val="20"/>
                <w:lang w:val="en-GB"/>
              </w:rPr>
            </w:pPr>
            <w:r w:rsidRPr="00101157">
              <w:rPr>
                <w:rFonts w:eastAsia="Batang"/>
                <w:b/>
                <w:bCs/>
                <w:szCs w:val="20"/>
                <w:lang w:val="en-GB"/>
              </w:rPr>
              <w:t>Conclusion</w:t>
            </w:r>
          </w:p>
          <w:p w14:paraId="700CBCCF" w14:textId="77777777" w:rsidR="00101157" w:rsidRPr="00101157" w:rsidRDefault="00101157" w:rsidP="00101157">
            <w:pPr>
              <w:rPr>
                <w:rFonts w:eastAsia="Batang"/>
                <w:lang w:val="en-GB"/>
              </w:rPr>
            </w:pPr>
            <w:r w:rsidRPr="00101157">
              <w:rPr>
                <w:rFonts w:eastAsia="Batang"/>
                <w:lang w:val="en-GB"/>
              </w:rPr>
              <w:t>Do not support one-to-multiple mapping between the LP-WUS/LP-SS beams and the SSB beams.</w:t>
            </w:r>
          </w:p>
          <w:p w14:paraId="33B4579F" w14:textId="77777777" w:rsidR="00101157" w:rsidRPr="00101157" w:rsidRDefault="00101157" w:rsidP="00101157">
            <w:pPr>
              <w:rPr>
                <w:rFonts w:eastAsia="Batang"/>
                <w:szCs w:val="20"/>
                <w:lang w:val="en-GB"/>
              </w:rPr>
            </w:pPr>
          </w:p>
          <w:p w14:paraId="28924382" w14:textId="77777777" w:rsidR="00101157" w:rsidRPr="00101157" w:rsidRDefault="00101157" w:rsidP="00101157">
            <w:pPr>
              <w:rPr>
                <w:rFonts w:eastAsia="Batang"/>
                <w:b/>
                <w:bCs/>
                <w:szCs w:val="20"/>
                <w:lang w:val="en-GB"/>
              </w:rPr>
            </w:pPr>
            <w:r w:rsidRPr="00101157">
              <w:rPr>
                <w:rFonts w:eastAsia="Batang"/>
                <w:b/>
                <w:bCs/>
                <w:szCs w:val="20"/>
                <w:lang w:val="en-GB"/>
              </w:rPr>
              <w:t>Conclusion</w:t>
            </w:r>
          </w:p>
          <w:p w14:paraId="0E34966A" w14:textId="77777777" w:rsidR="00101157" w:rsidRPr="00101157" w:rsidRDefault="00101157" w:rsidP="00101157">
            <w:pPr>
              <w:rPr>
                <w:rFonts w:eastAsia="Batang"/>
                <w:lang w:val="en-GB"/>
              </w:rPr>
            </w:pPr>
            <w:r w:rsidRPr="00101157">
              <w:rPr>
                <w:rFonts w:eastAsia="Batang"/>
                <w:lang w:val="en-GB"/>
              </w:rPr>
              <w:t>No additional RAN1 specification impact specific to support multiple-to-one mapping between the LP-WUS/LP-SS beams and the SSB beams.</w:t>
            </w:r>
          </w:p>
          <w:p w14:paraId="3D3DA7F1" w14:textId="77777777" w:rsidR="00101157" w:rsidRDefault="00101157" w:rsidP="00101157">
            <w:pPr>
              <w:rPr>
                <w:rFonts w:eastAsia="Batang"/>
                <w:highlight w:val="green"/>
                <w:lang w:val="en-GB" w:bidi="ar"/>
              </w:rPr>
            </w:pPr>
          </w:p>
          <w:p w14:paraId="3B9834C8" w14:textId="29C6732F" w:rsidR="00101157" w:rsidRPr="00101157" w:rsidRDefault="00101157" w:rsidP="00101157">
            <w:pPr>
              <w:rPr>
                <w:rFonts w:eastAsia="Batang"/>
                <w:lang w:val="en-GB" w:bidi="ar"/>
              </w:rPr>
            </w:pPr>
            <w:r w:rsidRPr="00101157">
              <w:rPr>
                <w:rFonts w:eastAsia="Batang"/>
                <w:highlight w:val="green"/>
                <w:lang w:val="en-GB" w:bidi="ar"/>
              </w:rPr>
              <w:t>Agreement</w:t>
            </w:r>
          </w:p>
          <w:p w14:paraId="592DB944" w14:textId="77777777" w:rsidR="00101157" w:rsidRPr="00101157" w:rsidRDefault="00101157" w:rsidP="00101157">
            <w:pPr>
              <w:jc w:val="both"/>
              <w:rPr>
                <w:rFonts w:eastAsia="Batang"/>
                <w:lang w:val="en-GB" w:eastAsia="x-none"/>
              </w:rPr>
            </w:pPr>
            <w:r w:rsidRPr="00101157">
              <w:rPr>
                <w:rFonts w:eastAsia="Batang"/>
                <w:lang w:val="en-GB" w:eastAsia="x-none"/>
              </w:rPr>
              <w:t>For the offset value(s) between an LO and a reference PO/PF, down-select between</w:t>
            </w:r>
          </w:p>
          <w:p w14:paraId="4A295306" w14:textId="77777777" w:rsidR="00101157" w:rsidRPr="00101157" w:rsidRDefault="00101157" w:rsidP="00101157">
            <w:pPr>
              <w:numPr>
                <w:ilvl w:val="0"/>
                <w:numId w:val="40"/>
              </w:numPr>
              <w:jc w:val="both"/>
              <w:rPr>
                <w:rFonts w:eastAsia="Batang"/>
                <w:lang w:val="en-GB" w:eastAsia="zh-CN"/>
              </w:rPr>
            </w:pPr>
            <w:r w:rsidRPr="00101157">
              <w:rPr>
                <w:rFonts w:eastAsia="Batang"/>
                <w:lang w:val="en-GB" w:eastAsia="zh-CN"/>
              </w:rPr>
              <w:t>Option 1-1</w:t>
            </w:r>
          </w:p>
          <w:p w14:paraId="2E62E78B" w14:textId="77777777" w:rsidR="00101157" w:rsidRPr="00101157" w:rsidRDefault="00101157" w:rsidP="00101157">
            <w:pPr>
              <w:numPr>
                <w:ilvl w:val="0"/>
                <w:numId w:val="40"/>
              </w:numPr>
              <w:jc w:val="both"/>
              <w:rPr>
                <w:rFonts w:eastAsia="Batang"/>
                <w:lang w:val="en-GB" w:eastAsia="zh-CN"/>
              </w:rPr>
            </w:pPr>
            <w:r w:rsidRPr="00101157">
              <w:rPr>
                <w:rFonts w:eastAsia="Batang"/>
                <w:lang w:val="en-GB" w:eastAsia="zh-CN"/>
              </w:rPr>
              <w:t>Configurability between Option 1-1 and Option 1-2</w:t>
            </w:r>
          </w:p>
          <w:p w14:paraId="23599B96" w14:textId="77777777" w:rsidR="00101157" w:rsidRPr="00101157" w:rsidRDefault="00101157" w:rsidP="00101157">
            <w:pPr>
              <w:numPr>
                <w:ilvl w:val="0"/>
                <w:numId w:val="40"/>
              </w:numPr>
              <w:jc w:val="both"/>
              <w:rPr>
                <w:rFonts w:eastAsia="Batang"/>
                <w:lang w:val="en-GB" w:eastAsia="zh-CN"/>
              </w:rPr>
            </w:pPr>
            <w:r w:rsidRPr="00101157">
              <w:rPr>
                <w:rFonts w:eastAsia="Batang"/>
                <w:lang w:val="en-GB" w:eastAsia="zh-CN"/>
              </w:rPr>
              <w:t>Option 2B-1</w:t>
            </w:r>
          </w:p>
          <w:p w14:paraId="3FB28609" w14:textId="77777777" w:rsidR="00101157" w:rsidRPr="00101157" w:rsidRDefault="00101157" w:rsidP="00101157">
            <w:pPr>
              <w:rPr>
                <w:rFonts w:eastAsia="Batang"/>
                <w:lang w:val="en-GB" w:eastAsia="zh-CN" w:bidi="ar"/>
              </w:rPr>
            </w:pPr>
          </w:p>
          <w:p w14:paraId="3ECCD81E" w14:textId="77777777" w:rsidR="00101157" w:rsidRPr="00101157" w:rsidRDefault="00101157" w:rsidP="00101157">
            <w:pPr>
              <w:rPr>
                <w:rFonts w:eastAsia="Batang"/>
                <w:lang w:val="en-GB" w:bidi="ar"/>
              </w:rPr>
            </w:pPr>
            <w:r w:rsidRPr="00101157">
              <w:rPr>
                <w:rFonts w:eastAsia="Batang"/>
                <w:highlight w:val="green"/>
                <w:lang w:val="en-GB" w:bidi="ar"/>
              </w:rPr>
              <w:t>Agreement</w:t>
            </w:r>
          </w:p>
          <w:p w14:paraId="538BD05D" w14:textId="77777777" w:rsidR="00101157" w:rsidRPr="00101157" w:rsidRDefault="00101157" w:rsidP="00101157">
            <w:pPr>
              <w:rPr>
                <w:rFonts w:eastAsia="Batang"/>
                <w:lang w:val="en-GB" w:eastAsia="zh-CN" w:bidi="ar"/>
              </w:rPr>
            </w:pPr>
            <w:r w:rsidRPr="00101157">
              <w:rPr>
                <w:rFonts w:eastAsia="Batang"/>
                <w:lang w:val="en-GB" w:eastAsia="zh-CN" w:bidi="ar"/>
              </w:rPr>
              <w:t>At least for the 1:1 LO to PO mapping,</w:t>
            </w:r>
          </w:p>
          <w:p w14:paraId="35C554FB" w14:textId="77777777" w:rsidR="00101157" w:rsidRPr="00101157" w:rsidRDefault="00101157" w:rsidP="00101157">
            <w:pPr>
              <w:numPr>
                <w:ilvl w:val="0"/>
                <w:numId w:val="41"/>
              </w:numPr>
              <w:rPr>
                <w:rFonts w:eastAsia="Batang"/>
                <w:lang w:val="en-GB" w:eastAsia="zh-CN" w:bidi="ar"/>
              </w:rPr>
            </w:pPr>
            <w:r w:rsidRPr="00101157">
              <w:rPr>
                <w:rFonts w:eastAsia="Batang"/>
                <w:lang w:val="en-GB" w:eastAsia="zh-CN" w:bidi="ar"/>
              </w:rPr>
              <w:t>The maximum value of M for Option A or Option B with G=1 (if either of them is supported) is 4.</w:t>
            </w:r>
          </w:p>
          <w:p w14:paraId="6E59E8D0" w14:textId="77777777" w:rsidR="00101157" w:rsidRPr="00101157" w:rsidRDefault="00101157" w:rsidP="00101157">
            <w:pPr>
              <w:rPr>
                <w:rFonts w:eastAsia="Batang"/>
                <w:lang w:val="en-GB" w:eastAsia="zh-CN" w:bidi="ar"/>
              </w:rPr>
            </w:pPr>
          </w:p>
          <w:p w14:paraId="0A456648" w14:textId="77777777" w:rsidR="00101157" w:rsidRPr="00101157" w:rsidRDefault="00101157" w:rsidP="00101157">
            <w:pPr>
              <w:rPr>
                <w:rFonts w:eastAsia="Batang"/>
                <w:b/>
                <w:bCs/>
                <w:lang w:val="en-GB" w:eastAsia="zh-CN" w:bidi="ar"/>
              </w:rPr>
            </w:pPr>
            <w:r w:rsidRPr="00101157">
              <w:rPr>
                <w:rFonts w:eastAsia="Batang"/>
                <w:b/>
                <w:bCs/>
                <w:lang w:val="en-GB" w:eastAsia="zh-CN" w:bidi="ar"/>
              </w:rPr>
              <w:lastRenderedPageBreak/>
              <w:t>Conclusion</w:t>
            </w:r>
          </w:p>
          <w:p w14:paraId="23718F3B" w14:textId="77777777" w:rsidR="00101157" w:rsidRPr="00101157" w:rsidRDefault="00101157" w:rsidP="00101157">
            <w:pPr>
              <w:rPr>
                <w:rFonts w:eastAsia="Batang"/>
                <w:lang w:val="en-GB" w:eastAsia="zh-CN" w:bidi="ar"/>
              </w:rPr>
            </w:pPr>
            <w:r w:rsidRPr="00101157">
              <w:rPr>
                <w:rFonts w:eastAsia="Batang"/>
                <w:lang w:val="en-GB" w:eastAsia="zh-CN" w:bidi="ar"/>
              </w:rPr>
              <w:t>There is no RAN1 consensus to support additional codepoints indicating wake-up at least for 1:1 LO to PO mapping.</w:t>
            </w:r>
          </w:p>
          <w:p w14:paraId="541A13D8" w14:textId="77777777" w:rsidR="00101157" w:rsidRPr="00101157" w:rsidRDefault="00101157" w:rsidP="00101157">
            <w:pPr>
              <w:rPr>
                <w:rFonts w:ascii="Times" w:eastAsia="Batang" w:hAnsi="Times"/>
                <w:lang w:val="en-GB" w:eastAsia="zh-CN" w:bidi="ar"/>
              </w:rPr>
            </w:pPr>
          </w:p>
          <w:p w14:paraId="07781C9D" w14:textId="77777777" w:rsidR="00101157" w:rsidRPr="00101157" w:rsidRDefault="00101157" w:rsidP="00101157">
            <w:pPr>
              <w:rPr>
                <w:rFonts w:eastAsia="Batang"/>
                <w:lang w:val="en-GB" w:bidi="ar"/>
              </w:rPr>
            </w:pPr>
            <w:r w:rsidRPr="00101157">
              <w:rPr>
                <w:rFonts w:eastAsia="Batang"/>
                <w:highlight w:val="green"/>
                <w:lang w:val="en-GB" w:bidi="ar"/>
              </w:rPr>
              <w:t>Agreement</w:t>
            </w:r>
          </w:p>
          <w:p w14:paraId="25EE7007" w14:textId="77777777" w:rsidR="00101157" w:rsidRPr="00101157" w:rsidRDefault="00101157" w:rsidP="00101157">
            <w:pPr>
              <w:rPr>
                <w:rFonts w:ascii="Times" w:eastAsia="Batang" w:hAnsi="Times"/>
                <w:lang w:val="en-GB"/>
              </w:rPr>
            </w:pPr>
            <w:r w:rsidRPr="00101157">
              <w:rPr>
                <w:rFonts w:ascii="Times" w:eastAsia="Batang" w:hAnsi="Times"/>
                <w:lang w:val="en-GB"/>
              </w:rPr>
              <w:t>Each LP-WUS or LP-SS is QCLed with an SSB with [select one from ‘typeA’, ‘typeC’], and when applicable, ‘typeD’ with the same SSB.</w:t>
            </w:r>
          </w:p>
          <w:p w14:paraId="5F5D48D8" w14:textId="77777777" w:rsidR="00101157" w:rsidRPr="00101157" w:rsidRDefault="00101157" w:rsidP="00101157">
            <w:pPr>
              <w:rPr>
                <w:rFonts w:ascii="Times" w:eastAsia="Batang" w:hAnsi="Times"/>
                <w:lang w:val="en-GB" w:eastAsia="zh-CN" w:bidi="ar"/>
              </w:rPr>
            </w:pPr>
          </w:p>
          <w:p w14:paraId="691E4166" w14:textId="77777777" w:rsidR="00101157" w:rsidRPr="00101157" w:rsidRDefault="00101157" w:rsidP="00101157">
            <w:pPr>
              <w:rPr>
                <w:rFonts w:ascii="Times" w:eastAsia="Batang" w:hAnsi="Times"/>
                <w:lang w:val="en-GB"/>
              </w:rPr>
            </w:pPr>
            <w:r w:rsidRPr="00101157">
              <w:rPr>
                <w:rFonts w:ascii="Times" w:eastAsia="Batang" w:hAnsi="Times"/>
                <w:highlight w:val="darkYellow"/>
                <w:lang w:val="en-GB"/>
              </w:rPr>
              <w:t>Working Assumption</w:t>
            </w:r>
          </w:p>
          <w:p w14:paraId="48BFCEA8" w14:textId="77777777" w:rsidR="00101157" w:rsidRPr="00101157" w:rsidRDefault="00101157" w:rsidP="00101157">
            <w:pPr>
              <w:jc w:val="both"/>
              <w:rPr>
                <w:rFonts w:ascii="Times" w:eastAsia="Batang" w:hAnsi="Times"/>
                <w:lang w:val="en-GB" w:eastAsia="zh-CN"/>
              </w:rPr>
            </w:pPr>
            <w:r w:rsidRPr="00101157">
              <w:rPr>
                <w:rFonts w:ascii="Times" w:eastAsia="Batang" w:hAnsi="Times"/>
                <w:lang w:val="en-GB" w:eastAsia="zh-CN"/>
              </w:rPr>
              <w:t>If LP-WUS design support 32 subgroups within one MO, do not support Option 3 for LO to PO mapping or Option B for MO configuration.</w:t>
            </w:r>
          </w:p>
          <w:p w14:paraId="0167CC64" w14:textId="77777777" w:rsidR="00101157" w:rsidRPr="00101157" w:rsidRDefault="00101157" w:rsidP="00101157">
            <w:pPr>
              <w:rPr>
                <w:rFonts w:ascii="Times" w:eastAsia="Batang" w:hAnsi="Times"/>
                <w:lang w:val="en-GB" w:eastAsia="zh-CN" w:bidi="ar"/>
              </w:rPr>
            </w:pPr>
          </w:p>
          <w:p w14:paraId="0618C524" w14:textId="77777777" w:rsidR="00101157" w:rsidRPr="00101157" w:rsidRDefault="00101157" w:rsidP="00101157">
            <w:pPr>
              <w:rPr>
                <w:rFonts w:ascii="Times" w:eastAsia="Batang" w:hAnsi="Times"/>
                <w:b/>
                <w:bCs/>
                <w:lang w:val="en-GB"/>
              </w:rPr>
            </w:pPr>
            <w:r w:rsidRPr="00101157">
              <w:rPr>
                <w:rFonts w:ascii="Times" w:eastAsia="Batang" w:hAnsi="Times"/>
                <w:b/>
                <w:bCs/>
                <w:lang w:val="en-GB"/>
              </w:rPr>
              <w:t>Conclusion</w:t>
            </w:r>
          </w:p>
          <w:p w14:paraId="7F4F9B04" w14:textId="77777777" w:rsidR="00101157" w:rsidRPr="00101157" w:rsidRDefault="00101157" w:rsidP="00101157">
            <w:pPr>
              <w:rPr>
                <w:rFonts w:ascii="Times" w:eastAsia="Batang" w:hAnsi="Times"/>
                <w:lang w:val="en-GB"/>
              </w:rPr>
            </w:pPr>
            <w:r w:rsidRPr="00101157">
              <w:rPr>
                <w:rFonts w:ascii="Times" w:eastAsia="Batang" w:hAnsi="Times"/>
                <w:lang w:val="en-GB"/>
              </w:rPr>
              <w:t>From RAN1 perspective, there is no consensus on the following proposal:</w:t>
            </w:r>
          </w:p>
          <w:p w14:paraId="2BFAE2D8" w14:textId="77777777" w:rsidR="00101157" w:rsidRPr="00101157" w:rsidRDefault="00101157" w:rsidP="00101157">
            <w:pPr>
              <w:rPr>
                <w:rFonts w:ascii="Times" w:eastAsia="Batang" w:hAnsi="Times"/>
                <w:lang w:val="en-GB"/>
              </w:rPr>
            </w:pPr>
            <w:r w:rsidRPr="00101157">
              <w:rPr>
                <w:rFonts w:ascii="Times" w:eastAsia="Batang" w:hAnsi="Times"/>
                <w:lang w:val="en-GB"/>
              </w:rPr>
              <w:t>UE monitors the legacy PO (and may monitor PEI) and may stop LP-WUS monitoring if</w:t>
            </w:r>
            <w:r w:rsidRPr="00101157">
              <w:rPr>
                <w:rFonts w:ascii="Times" w:eastAsia="Batang" w:hAnsi="Times"/>
                <w:lang w:val="en-GB"/>
              </w:rPr>
              <w:tab/>
              <w:t>the UE has not received LP-WUS for a long time.</w:t>
            </w:r>
          </w:p>
          <w:p w14:paraId="4A5FFCD6" w14:textId="34F22997" w:rsidR="00B060DB" w:rsidRPr="00101157" w:rsidRDefault="00B060DB" w:rsidP="0030333A">
            <w:pPr>
              <w:overflowPunct w:val="0"/>
              <w:autoSpaceDE w:val="0"/>
              <w:autoSpaceDN w:val="0"/>
              <w:adjustRightInd w:val="0"/>
              <w:spacing w:beforeLines="50" w:before="120"/>
              <w:textAlignment w:val="baseline"/>
              <w:rPr>
                <w:rFonts w:ascii="Times" w:eastAsia="MS Mincho" w:hAnsi="Times"/>
                <w:lang w:val="en-GB" w:eastAsia="en-GB"/>
              </w:rPr>
            </w:pPr>
          </w:p>
        </w:tc>
      </w:tr>
    </w:tbl>
    <w:p w14:paraId="6C159CEB" w14:textId="77777777" w:rsidR="00B060DB" w:rsidRPr="004B383E" w:rsidRDefault="00B060DB" w:rsidP="00B060DB">
      <w:pPr>
        <w:spacing w:line="300" w:lineRule="exact"/>
        <w:jc w:val="both"/>
        <w:rPr>
          <w:rFonts w:eastAsiaTheme="minorEastAsia"/>
          <w:sz w:val="22"/>
        </w:rPr>
      </w:pPr>
    </w:p>
    <w:p w14:paraId="1431DA96" w14:textId="736DD17C" w:rsidR="00B060DB" w:rsidRPr="004F742F" w:rsidRDefault="00B060DB" w:rsidP="00B060DB">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sidR="00E360F4">
        <w:rPr>
          <w:rFonts w:eastAsiaTheme="minorEastAsia" w:hint="eastAsia"/>
          <w:sz w:val="22"/>
          <w:szCs w:val="22"/>
          <w:lang w:eastAsia="zh-CN"/>
        </w:rPr>
        <w:t>LP-</w:t>
      </w:r>
      <w:r w:rsidR="00E360F4">
        <w:rPr>
          <w:rFonts w:eastAsiaTheme="minorEastAsia"/>
          <w:sz w:val="22"/>
          <w:szCs w:val="22"/>
        </w:rPr>
        <w:t xml:space="preserve">WUS </w:t>
      </w:r>
      <w:r w:rsidR="00EB426A">
        <w:rPr>
          <w:rFonts w:eastAsiaTheme="minorEastAsia"/>
          <w:sz w:val="22"/>
          <w:szCs w:val="22"/>
        </w:rPr>
        <w:t>operations in RRC IDLE/INACTIVE mode</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29D8A09C" w14:textId="27A137CE" w:rsidR="005A4289" w:rsidRDefault="00A01403" w:rsidP="00F91F0F">
      <w:pPr>
        <w:pStyle w:val="a0"/>
        <w:rPr>
          <w:rFonts w:eastAsiaTheme="minorEastAsia"/>
          <w:lang w:eastAsia="zh-CN"/>
        </w:rPr>
      </w:pPr>
      <w:r>
        <w:rPr>
          <w:rFonts w:eastAsiaTheme="minorEastAsia"/>
          <w:lang w:eastAsia="zh-CN"/>
        </w:rPr>
        <w:t>The LP-WUS configuration should at least comprise the resource configuration information for the LP-WUS</w:t>
      </w:r>
      <w:r w:rsidR="00BF5806">
        <w:rPr>
          <w:rFonts w:eastAsiaTheme="minorEastAsia"/>
          <w:lang w:eastAsia="zh-CN"/>
        </w:rPr>
        <w:t xml:space="preserve">. </w:t>
      </w:r>
      <w:r w:rsidR="00AC5A2C">
        <w:rPr>
          <w:rFonts w:eastAsiaTheme="minorEastAsia"/>
          <w:lang w:eastAsia="zh-CN"/>
        </w:rPr>
        <w:t>As indicated in the WID, duty-cycle based LP-WUS monitoring is supported, so</w:t>
      </w:r>
      <w:r w:rsidR="00E810BC">
        <w:rPr>
          <w:rFonts w:eastAsiaTheme="minorEastAsia"/>
          <w:lang w:eastAsia="zh-CN"/>
        </w:rPr>
        <w:t xml:space="preserve"> a periodicity</w:t>
      </w:r>
      <w:r w:rsidR="00864100">
        <w:rPr>
          <w:rFonts w:eastAsiaTheme="minorEastAsia"/>
          <w:lang w:eastAsia="zh-CN"/>
        </w:rPr>
        <w:t xml:space="preserve"> and offset</w:t>
      </w:r>
      <w:r w:rsidR="00E810BC">
        <w:rPr>
          <w:rFonts w:eastAsiaTheme="minorEastAsia"/>
          <w:lang w:eastAsia="zh-CN"/>
        </w:rPr>
        <w:t xml:space="preserve"> of LO </w:t>
      </w:r>
      <w:r w:rsidR="00267206">
        <w:rPr>
          <w:rFonts w:eastAsiaTheme="minorEastAsia"/>
          <w:lang w:eastAsia="zh-CN"/>
        </w:rPr>
        <w:t>can</w:t>
      </w:r>
      <w:r w:rsidR="00E810BC">
        <w:rPr>
          <w:rFonts w:eastAsiaTheme="minorEastAsia"/>
          <w:lang w:eastAsia="zh-CN"/>
        </w:rPr>
        <w:t xml:space="preserve"> be </w:t>
      </w:r>
      <w:r w:rsidR="00267206">
        <w:rPr>
          <w:rFonts w:eastAsiaTheme="minorEastAsia"/>
          <w:lang w:eastAsia="zh-CN"/>
        </w:rPr>
        <w:t>comprised in the LP-WUS configuration</w:t>
      </w:r>
      <w:r>
        <w:rPr>
          <w:rFonts w:eastAsiaTheme="minorEastAsia"/>
          <w:lang w:eastAsia="zh-CN"/>
        </w:rPr>
        <w:t>.</w:t>
      </w:r>
      <w:r w:rsidR="008276F0">
        <w:rPr>
          <w:rFonts w:eastAsiaTheme="minorEastAsia"/>
          <w:lang w:eastAsia="zh-CN"/>
        </w:rPr>
        <w:t xml:space="preserve"> </w:t>
      </w:r>
      <w:r w:rsidR="00267206">
        <w:rPr>
          <w:rFonts w:eastAsiaTheme="minorEastAsia"/>
          <w:lang w:eastAsia="zh-CN"/>
        </w:rPr>
        <w:t>In addition, i</w:t>
      </w:r>
      <w:r w:rsidR="008276F0">
        <w:rPr>
          <w:rFonts w:eastAsiaTheme="minorEastAsia"/>
          <w:lang w:eastAsia="zh-CN"/>
        </w:rPr>
        <w:t>n order to improve the flexibility of LP-WUS resource configuration and to increase the number of supported UE subgroups, it is beneficial to support more than one LP-WUS frequency bands in a carrier.</w:t>
      </w:r>
    </w:p>
    <w:p w14:paraId="754E2AB5" w14:textId="04BC2628" w:rsidR="00B45860" w:rsidRDefault="00B45860" w:rsidP="00B45860">
      <w:pPr>
        <w:pStyle w:val="a0"/>
        <w:jc w:val="center"/>
        <w:rPr>
          <w:rFonts w:eastAsiaTheme="minorEastAsia"/>
          <w:lang w:eastAsia="zh-CN"/>
        </w:rPr>
      </w:pPr>
      <w:r w:rsidRPr="007A1844">
        <w:rPr>
          <w:rFonts w:eastAsiaTheme="minorEastAsia"/>
          <w:lang w:eastAsia="zh-CN"/>
        </w:rPr>
        <w:object w:dxaOrig="8830" w:dyaOrig="4011" w14:anchorId="502BF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151.65pt" o:ole="">
            <v:imagedata r:id="rId8" o:title=""/>
          </v:shape>
          <o:OLEObject Type="Embed" ProgID="Visio.Drawing.15" ShapeID="_x0000_i1025" DrawAspect="Content" ObjectID="_1800343677" r:id="rId9"/>
        </w:object>
      </w:r>
    </w:p>
    <w:p w14:paraId="41107358" w14:textId="66840D08" w:rsidR="00192398" w:rsidRDefault="00192398" w:rsidP="00B45860">
      <w:pPr>
        <w:pStyle w:val="a0"/>
        <w:jc w:val="center"/>
        <w:rPr>
          <w:rFonts w:eastAsiaTheme="minorEastAsia"/>
          <w:lang w:eastAsia="zh-CN"/>
        </w:rPr>
      </w:pPr>
      <w:r>
        <w:rPr>
          <w:rFonts w:eastAsiaTheme="minorEastAsia"/>
          <w:lang w:eastAsia="zh-CN"/>
        </w:rPr>
        <w:t>Fig.1 an example of LP-WUS resources</w:t>
      </w:r>
    </w:p>
    <w:p w14:paraId="091DCB72" w14:textId="6228DF49" w:rsidR="005D0BA3" w:rsidRPr="000E443C" w:rsidRDefault="005D0BA3" w:rsidP="005D0BA3">
      <w:pPr>
        <w:pStyle w:val="a0"/>
        <w:rPr>
          <w:rFonts w:eastAsiaTheme="minorEastAsia"/>
          <w:b/>
          <w:lang w:eastAsia="zh-CN"/>
        </w:rPr>
      </w:pPr>
      <w:r w:rsidRPr="000E443C">
        <w:rPr>
          <w:rFonts w:eastAsiaTheme="minorEastAsia"/>
          <w:b/>
          <w:lang w:eastAsia="zh-CN"/>
        </w:rPr>
        <w:t xml:space="preserve">Proposal </w:t>
      </w:r>
      <w:r w:rsidR="00755057" w:rsidRPr="000E443C">
        <w:rPr>
          <w:rFonts w:eastAsiaTheme="minorEastAsia"/>
          <w:b/>
          <w:lang w:eastAsia="zh-CN"/>
        </w:rPr>
        <w:t>1</w:t>
      </w:r>
      <w:r w:rsidRPr="000E443C">
        <w:rPr>
          <w:rFonts w:eastAsiaTheme="minorEastAsia"/>
          <w:b/>
          <w:lang w:eastAsia="zh-CN"/>
        </w:rPr>
        <w:t xml:space="preserve">: </w:t>
      </w:r>
      <w:r w:rsidR="002375AC" w:rsidRPr="000E443C">
        <w:rPr>
          <w:rFonts w:eastAsiaTheme="minorEastAsia"/>
          <w:b/>
          <w:lang w:eastAsia="zh-CN"/>
        </w:rPr>
        <w:t>for RRC-ID</w:t>
      </w:r>
      <w:r w:rsidR="001C6E54" w:rsidRPr="000E443C">
        <w:rPr>
          <w:rFonts w:eastAsiaTheme="minorEastAsia"/>
          <w:b/>
          <w:lang w:eastAsia="zh-CN"/>
        </w:rPr>
        <w:t>L</w:t>
      </w:r>
      <w:r w:rsidR="002375AC" w:rsidRPr="000E443C">
        <w:rPr>
          <w:rFonts w:eastAsiaTheme="minorEastAsia"/>
          <w:b/>
          <w:lang w:eastAsia="zh-CN"/>
        </w:rPr>
        <w:t xml:space="preserve">E/INACTIVE, </w:t>
      </w:r>
      <w:r w:rsidRPr="000E443C">
        <w:rPr>
          <w:rFonts w:eastAsiaTheme="minorEastAsia"/>
          <w:b/>
          <w:lang w:eastAsia="zh-CN"/>
        </w:rPr>
        <w:t xml:space="preserve">the LP-WUS configuration </w:t>
      </w:r>
      <w:r w:rsidR="001B2692" w:rsidRPr="000E443C">
        <w:rPr>
          <w:rFonts w:eastAsiaTheme="minorEastAsia"/>
          <w:b/>
          <w:lang w:eastAsia="zh-CN"/>
        </w:rPr>
        <w:t>indicates</w:t>
      </w:r>
      <w:r w:rsidRPr="000E443C">
        <w:rPr>
          <w:rFonts w:eastAsiaTheme="minorEastAsia"/>
          <w:b/>
          <w:lang w:eastAsia="zh-CN"/>
        </w:rPr>
        <w:t xml:space="preserve"> </w:t>
      </w:r>
      <w:r w:rsidR="001B2692" w:rsidRPr="000E443C">
        <w:rPr>
          <w:rFonts w:eastAsiaTheme="minorEastAsia"/>
          <w:b/>
          <w:lang w:eastAsia="zh-CN"/>
        </w:rPr>
        <w:t xml:space="preserve">one or more LP-WUS frequency bands in a carrier, and for each LP-WUS frequency band, a </w:t>
      </w:r>
      <w:r w:rsidRPr="000E443C">
        <w:rPr>
          <w:rFonts w:eastAsiaTheme="minorEastAsia"/>
          <w:b/>
          <w:lang w:eastAsia="zh-CN"/>
        </w:rPr>
        <w:t>periodicity</w:t>
      </w:r>
      <w:r w:rsidR="001B2692" w:rsidRPr="000E443C">
        <w:rPr>
          <w:rFonts w:eastAsiaTheme="minorEastAsia"/>
          <w:b/>
          <w:lang w:eastAsia="zh-CN"/>
        </w:rPr>
        <w:t xml:space="preserve"> and</w:t>
      </w:r>
      <w:r w:rsidRPr="000E443C">
        <w:rPr>
          <w:rFonts w:eastAsiaTheme="minorEastAsia"/>
          <w:b/>
          <w:lang w:eastAsia="zh-CN"/>
        </w:rPr>
        <w:t xml:space="preserve"> </w:t>
      </w:r>
      <w:r w:rsidR="001B2692" w:rsidRPr="000E443C">
        <w:rPr>
          <w:rFonts w:eastAsiaTheme="minorEastAsia"/>
          <w:b/>
          <w:lang w:eastAsia="zh-CN"/>
        </w:rPr>
        <w:t xml:space="preserve">an </w:t>
      </w:r>
      <w:r w:rsidRPr="000E443C">
        <w:rPr>
          <w:rFonts w:eastAsiaTheme="minorEastAsia"/>
          <w:b/>
          <w:lang w:eastAsia="zh-CN"/>
        </w:rPr>
        <w:t>offset</w:t>
      </w:r>
      <w:r w:rsidR="001B2692" w:rsidRPr="000E443C">
        <w:rPr>
          <w:rFonts w:eastAsiaTheme="minorEastAsia"/>
          <w:b/>
          <w:lang w:eastAsia="zh-CN"/>
        </w:rPr>
        <w:t xml:space="preserve"> </w:t>
      </w:r>
      <w:r w:rsidRPr="000E443C">
        <w:rPr>
          <w:rFonts w:eastAsiaTheme="minorEastAsia"/>
          <w:b/>
          <w:lang w:eastAsia="zh-CN"/>
        </w:rPr>
        <w:t>of LO</w:t>
      </w:r>
      <w:r w:rsidR="000720DC" w:rsidRPr="000E443C">
        <w:rPr>
          <w:rFonts w:eastAsiaTheme="minorEastAsia"/>
          <w:b/>
          <w:lang w:eastAsia="zh-CN"/>
        </w:rPr>
        <w:t>s</w:t>
      </w:r>
      <w:r w:rsidR="001B2692" w:rsidRPr="000E443C">
        <w:rPr>
          <w:rFonts w:eastAsiaTheme="minorEastAsia"/>
          <w:b/>
          <w:lang w:eastAsia="zh-CN"/>
        </w:rPr>
        <w:t xml:space="preserve"> </w:t>
      </w:r>
      <w:r w:rsidR="00D8587A" w:rsidRPr="000E443C">
        <w:rPr>
          <w:rFonts w:eastAsiaTheme="minorEastAsia"/>
          <w:b/>
          <w:lang w:eastAsia="zh-CN"/>
        </w:rPr>
        <w:t>are</w:t>
      </w:r>
      <w:r w:rsidR="001B2692" w:rsidRPr="000E443C">
        <w:rPr>
          <w:rFonts w:eastAsiaTheme="minorEastAsia"/>
          <w:b/>
          <w:lang w:eastAsia="zh-CN"/>
        </w:rPr>
        <w:t xml:space="preserve"> </w:t>
      </w:r>
      <w:r w:rsidR="00251BDB" w:rsidRPr="000E443C">
        <w:rPr>
          <w:rFonts w:eastAsiaTheme="minorEastAsia"/>
          <w:b/>
          <w:lang w:eastAsia="zh-CN"/>
        </w:rPr>
        <w:t xml:space="preserve">comprised in the </w:t>
      </w:r>
      <w:r w:rsidR="001A787C" w:rsidRPr="000E443C">
        <w:rPr>
          <w:rFonts w:eastAsiaTheme="minorEastAsia"/>
          <w:b/>
          <w:lang w:eastAsia="zh-CN"/>
        </w:rPr>
        <w:t>configuration</w:t>
      </w:r>
      <w:r w:rsidRPr="000E443C">
        <w:rPr>
          <w:rFonts w:eastAsiaTheme="minorEastAsia"/>
          <w:b/>
          <w:lang w:eastAsia="zh-CN"/>
        </w:rPr>
        <w:t>.</w:t>
      </w:r>
    </w:p>
    <w:p w14:paraId="10535CE6" w14:textId="29BDDE8A" w:rsidR="005D0BA3" w:rsidRDefault="005D0BA3" w:rsidP="00F91F0F">
      <w:pPr>
        <w:pStyle w:val="a0"/>
        <w:rPr>
          <w:rFonts w:eastAsiaTheme="minorEastAsia"/>
          <w:lang w:eastAsia="zh-CN"/>
        </w:rPr>
      </w:pPr>
    </w:p>
    <w:p w14:paraId="740F25E0" w14:textId="3571E5AF" w:rsidR="00E1546A" w:rsidRDefault="00770BDA" w:rsidP="007E0095">
      <w:pPr>
        <w:pStyle w:val="a0"/>
        <w:jc w:val="center"/>
        <w:rPr>
          <w:rFonts w:eastAsiaTheme="minorEastAsia"/>
          <w:lang w:eastAsia="zh-CN"/>
        </w:rPr>
      </w:pPr>
      <w:r w:rsidRPr="00E1546A">
        <w:rPr>
          <w:rFonts w:eastAsiaTheme="minorEastAsia"/>
          <w:lang w:eastAsia="zh-CN"/>
        </w:rPr>
        <w:object w:dxaOrig="8401" w:dyaOrig="3481" w14:anchorId="0F05D880">
          <v:shape id="_x0000_i1026" type="#_x0000_t75" style="width:307.35pt;height:128pt" o:ole="">
            <v:imagedata r:id="rId10" o:title=""/>
          </v:shape>
          <o:OLEObject Type="Embed" ProgID="Visio.Drawing.15" ShapeID="_x0000_i1026" DrawAspect="Content" ObjectID="_1800343678" r:id="rId11"/>
        </w:object>
      </w:r>
    </w:p>
    <w:p w14:paraId="37243880" w14:textId="48AA3D29" w:rsidR="00CA4308" w:rsidRDefault="00CA4308" w:rsidP="00CA4308">
      <w:pPr>
        <w:pStyle w:val="a0"/>
        <w:jc w:val="center"/>
        <w:rPr>
          <w:rFonts w:eastAsiaTheme="minorEastAsia"/>
          <w:lang w:eastAsia="zh-CN"/>
        </w:rPr>
      </w:pPr>
      <w:r>
        <w:rPr>
          <w:rFonts w:eastAsiaTheme="minorEastAsia"/>
          <w:lang w:eastAsia="zh-CN"/>
        </w:rPr>
        <w:t>Fig.2 an example of association between LOs and POs</w:t>
      </w:r>
    </w:p>
    <w:p w14:paraId="70A8AED7" w14:textId="0382CFE7" w:rsidR="00195F49" w:rsidRPr="00195F49" w:rsidRDefault="00195F49" w:rsidP="00195F49">
      <w:pPr>
        <w:pStyle w:val="a0"/>
        <w:rPr>
          <w:rFonts w:eastAsiaTheme="minorEastAsia"/>
          <w:lang w:eastAsia="zh-CN"/>
        </w:rPr>
      </w:pPr>
      <w:r>
        <w:rPr>
          <w:rFonts w:eastAsiaTheme="minorEastAsia"/>
          <w:lang w:eastAsia="zh-CN"/>
        </w:rPr>
        <w:lastRenderedPageBreak/>
        <w:t>In g</w:t>
      </w:r>
      <w:r w:rsidRPr="00195F49">
        <w:rPr>
          <w:rFonts w:eastAsiaTheme="minorEastAsia"/>
          <w:lang w:eastAsia="zh-CN"/>
        </w:rPr>
        <w:t xml:space="preserve">eneral, the wake-up indication </w:t>
      </w:r>
      <w:r w:rsidR="00A01403">
        <w:rPr>
          <w:rFonts w:eastAsiaTheme="minorEastAsia"/>
          <w:lang w:eastAsia="zh-CN"/>
        </w:rPr>
        <w:t>should</w:t>
      </w:r>
      <w:r w:rsidRPr="00195F49">
        <w:rPr>
          <w:rFonts w:eastAsiaTheme="minorEastAsia"/>
          <w:lang w:eastAsia="zh-CN"/>
        </w:rPr>
        <w:t xml:space="preserve"> be UE subgroup based in order to control the overhead, </w:t>
      </w:r>
      <w:r w:rsidR="00314D1B">
        <w:rPr>
          <w:rFonts w:eastAsiaTheme="minorEastAsia"/>
          <w:lang w:eastAsia="zh-CN"/>
        </w:rPr>
        <w:t>this means</w:t>
      </w:r>
      <w:r w:rsidRPr="00195F49">
        <w:rPr>
          <w:rFonts w:eastAsiaTheme="minorEastAsia"/>
          <w:lang w:eastAsia="zh-CN"/>
        </w:rPr>
        <w:t xml:space="preserve"> a wake-up indication may </w:t>
      </w:r>
      <w:r w:rsidR="00314D1B">
        <w:rPr>
          <w:rFonts w:eastAsiaTheme="minorEastAsia"/>
          <w:lang w:eastAsia="zh-CN"/>
        </w:rPr>
        <w:t xml:space="preserve">cause </w:t>
      </w:r>
      <w:r w:rsidRPr="00195F49">
        <w:rPr>
          <w:rFonts w:eastAsiaTheme="minorEastAsia"/>
          <w:lang w:eastAsia="zh-CN"/>
        </w:rPr>
        <w:t xml:space="preserve">a subgroup of UEs </w:t>
      </w:r>
      <w:r w:rsidR="00EB1E69">
        <w:rPr>
          <w:rFonts w:eastAsiaTheme="minorEastAsia"/>
          <w:lang w:eastAsia="zh-CN"/>
        </w:rPr>
        <w:t>to</w:t>
      </w:r>
      <w:r w:rsidR="00867E68">
        <w:rPr>
          <w:rFonts w:eastAsiaTheme="minorEastAsia"/>
          <w:lang w:eastAsia="zh-CN"/>
        </w:rPr>
        <w:t xml:space="preserve"> wake </w:t>
      </w:r>
      <w:r w:rsidRPr="00195F49">
        <w:rPr>
          <w:rFonts w:eastAsiaTheme="minorEastAsia"/>
          <w:lang w:eastAsia="zh-CN"/>
        </w:rPr>
        <w:t>up</w:t>
      </w:r>
      <w:r w:rsidR="00ED5AAA">
        <w:rPr>
          <w:rFonts w:eastAsiaTheme="minorEastAsia"/>
          <w:lang w:eastAsia="zh-CN"/>
        </w:rPr>
        <w:t>. However, a</w:t>
      </w:r>
      <w:r w:rsidRPr="00195F49">
        <w:rPr>
          <w:rFonts w:eastAsiaTheme="minorEastAsia"/>
          <w:lang w:eastAsia="zh-CN"/>
        </w:rPr>
        <w:t xml:space="preserve"> </w:t>
      </w:r>
      <w:r w:rsidR="00ED5AAA">
        <w:rPr>
          <w:rFonts w:eastAsiaTheme="minorEastAsia"/>
          <w:lang w:eastAsia="zh-CN"/>
        </w:rPr>
        <w:t xml:space="preserve">paging </w:t>
      </w:r>
      <w:r w:rsidRPr="00195F49">
        <w:rPr>
          <w:rFonts w:eastAsiaTheme="minorEastAsia"/>
          <w:lang w:eastAsia="zh-CN"/>
        </w:rPr>
        <w:t xml:space="preserve">false alarm may </w:t>
      </w:r>
      <w:r w:rsidR="00ED5AAA">
        <w:rPr>
          <w:rFonts w:eastAsiaTheme="minorEastAsia"/>
          <w:lang w:eastAsia="zh-CN"/>
        </w:rPr>
        <w:t xml:space="preserve">still </w:t>
      </w:r>
      <w:r w:rsidRPr="00195F49">
        <w:rPr>
          <w:rFonts w:eastAsiaTheme="minorEastAsia"/>
          <w:lang w:eastAsia="zh-CN"/>
        </w:rPr>
        <w:t xml:space="preserve">occur for a UE if it belongs to a subgroup however the paging is intended to another UE in the same subgroup. In order to reduce the paging false alarm probability, it is beneficial to support </w:t>
      </w:r>
      <w:r w:rsidR="00867E68">
        <w:rPr>
          <w:rFonts w:eastAsiaTheme="minorEastAsia"/>
          <w:lang w:eastAsia="zh-CN"/>
        </w:rPr>
        <w:t xml:space="preserve">a </w:t>
      </w:r>
      <w:r w:rsidR="00ED5AAA">
        <w:rPr>
          <w:rFonts w:eastAsiaTheme="minorEastAsia"/>
          <w:lang w:eastAsia="zh-CN"/>
        </w:rPr>
        <w:t xml:space="preserve">relatively tight subgroup with </w:t>
      </w:r>
      <w:r w:rsidR="00867E68">
        <w:rPr>
          <w:rFonts w:eastAsiaTheme="minorEastAsia"/>
          <w:lang w:eastAsia="zh-CN"/>
        </w:rPr>
        <w:t xml:space="preserve">a </w:t>
      </w:r>
      <w:r w:rsidR="00ED5AAA">
        <w:rPr>
          <w:rFonts w:eastAsiaTheme="minorEastAsia"/>
          <w:lang w:eastAsia="zh-CN"/>
        </w:rPr>
        <w:t xml:space="preserve">small number of UEs, in other words, </w:t>
      </w:r>
      <w:r w:rsidRPr="00195F49">
        <w:rPr>
          <w:rFonts w:eastAsiaTheme="minorEastAsia"/>
          <w:lang w:eastAsia="zh-CN"/>
        </w:rPr>
        <w:t xml:space="preserve">a relatively large number of UE subgroups </w:t>
      </w:r>
      <w:r w:rsidR="00ED5AAA">
        <w:rPr>
          <w:rFonts w:eastAsiaTheme="minorEastAsia"/>
          <w:lang w:eastAsia="zh-CN"/>
        </w:rPr>
        <w:t>should be supported</w:t>
      </w:r>
      <w:r w:rsidRPr="00195F49">
        <w:rPr>
          <w:rFonts w:eastAsiaTheme="minorEastAsia"/>
          <w:lang w:eastAsia="zh-CN"/>
        </w:rPr>
        <w:t>.</w:t>
      </w:r>
    </w:p>
    <w:p w14:paraId="015C74E2" w14:textId="5813F552" w:rsidR="00D34AD1" w:rsidRDefault="00A96E46" w:rsidP="00195F49">
      <w:pPr>
        <w:pStyle w:val="a0"/>
        <w:rPr>
          <w:rFonts w:eastAsiaTheme="minorEastAsia"/>
          <w:lang w:eastAsia="zh-CN"/>
        </w:rPr>
      </w:pPr>
      <w:r>
        <w:rPr>
          <w:rFonts w:eastAsiaTheme="minorEastAsia"/>
          <w:lang w:eastAsia="zh-CN"/>
        </w:rPr>
        <w:t xml:space="preserve">On the other hand, </w:t>
      </w:r>
      <w:r w:rsidR="00195F49" w:rsidRPr="00195F49">
        <w:rPr>
          <w:rFonts w:eastAsiaTheme="minorEastAsia"/>
          <w:lang w:eastAsia="zh-CN"/>
        </w:rPr>
        <w:t>in order to improve the coverage, the LP-WUS may have a relatively small payload size, e.g., several bits to tens of bits. Therefore, the number of subgroups in</w:t>
      </w:r>
      <w:r>
        <w:rPr>
          <w:rFonts w:eastAsiaTheme="minorEastAsia"/>
          <w:lang w:eastAsia="zh-CN"/>
        </w:rPr>
        <w:t xml:space="preserve">dicated in </w:t>
      </w:r>
      <w:r w:rsidR="00195F49" w:rsidRPr="00195F49">
        <w:rPr>
          <w:rFonts w:eastAsiaTheme="minorEastAsia"/>
          <w:lang w:eastAsia="zh-CN"/>
        </w:rPr>
        <w:t>a single LP-WUS will be limited.</w:t>
      </w:r>
      <w:r>
        <w:rPr>
          <w:rFonts w:eastAsiaTheme="minorEastAsia"/>
          <w:lang w:eastAsia="zh-CN"/>
        </w:rPr>
        <w:t xml:space="preserve"> In our view, time/frequency resources for LP-WUS can also be used as a subgrouping method</w:t>
      </w:r>
      <w:r w:rsidR="00A27E42">
        <w:rPr>
          <w:rFonts w:eastAsiaTheme="minorEastAsia"/>
          <w:lang w:eastAsia="zh-CN"/>
        </w:rPr>
        <w:t xml:space="preserve">. Specifically, gNB may configure relatively dense LOs in </w:t>
      </w:r>
      <w:r w:rsidR="00867E68">
        <w:rPr>
          <w:rFonts w:eastAsiaTheme="minorEastAsia"/>
          <w:lang w:eastAsia="zh-CN"/>
        </w:rPr>
        <w:t xml:space="preserve">the </w:t>
      </w:r>
      <w:r w:rsidR="00A27E42">
        <w:rPr>
          <w:rFonts w:eastAsiaTheme="minorEastAsia"/>
          <w:lang w:eastAsia="zh-CN"/>
        </w:rPr>
        <w:t>time and frequency domain, and UE may select a subset of the LOs based on its UE-ID or a PF/PO index it is intended to monitor.</w:t>
      </w:r>
      <w:r>
        <w:rPr>
          <w:rFonts w:eastAsiaTheme="minorEastAsia"/>
          <w:lang w:eastAsia="zh-CN"/>
        </w:rPr>
        <w:t xml:space="preserve"> </w:t>
      </w:r>
      <w:r w:rsidR="003319E8">
        <w:rPr>
          <w:rFonts w:eastAsiaTheme="minorEastAsia"/>
          <w:lang w:eastAsia="zh-CN"/>
        </w:rPr>
        <w:t xml:space="preserve">Through this method, UEs are firstly </w:t>
      </w:r>
      <w:r w:rsidR="00D34AD1">
        <w:rPr>
          <w:rFonts w:eastAsiaTheme="minorEastAsia"/>
          <w:lang w:eastAsia="zh-CN"/>
        </w:rPr>
        <w:t>assigned into different groups for different LO subset</w:t>
      </w:r>
      <w:r w:rsidR="00867E68">
        <w:rPr>
          <w:rFonts w:eastAsiaTheme="minorEastAsia"/>
          <w:lang w:eastAsia="zh-CN"/>
        </w:rPr>
        <w:t>s</w:t>
      </w:r>
      <w:r w:rsidR="00D34AD1">
        <w:rPr>
          <w:rFonts w:eastAsiaTheme="minorEastAsia"/>
          <w:lang w:eastAsia="zh-CN"/>
        </w:rPr>
        <w:t xml:space="preserve">, and then a finer subgrouping can be applied within the </w:t>
      </w:r>
      <w:r w:rsidR="00D34AD1">
        <w:rPr>
          <w:rFonts w:eastAsiaTheme="minorEastAsia" w:hint="eastAsia"/>
          <w:lang w:eastAsia="zh-CN"/>
        </w:rPr>
        <w:t>UE</w:t>
      </w:r>
      <w:r w:rsidR="00D34AD1">
        <w:rPr>
          <w:rFonts w:eastAsiaTheme="minorEastAsia"/>
          <w:lang w:eastAsia="zh-CN"/>
        </w:rPr>
        <w:t xml:space="preserve">s in </w:t>
      </w:r>
      <w:r w:rsidR="00867E68">
        <w:rPr>
          <w:rFonts w:eastAsiaTheme="minorEastAsia"/>
          <w:lang w:eastAsia="zh-CN"/>
        </w:rPr>
        <w:t xml:space="preserve">the </w:t>
      </w:r>
      <w:r w:rsidR="00D34AD1">
        <w:rPr>
          <w:rFonts w:eastAsiaTheme="minorEastAsia"/>
          <w:lang w:eastAsia="zh-CN"/>
        </w:rPr>
        <w:t>same group, e.g., the wake-up indication in a</w:t>
      </w:r>
      <w:r w:rsidR="00867E68">
        <w:rPr>
          <w:rFonts w:eastAsiaTheme="minorEastAsia"/>
          <w:lang w:eastAsia="zh-CN"/>
        </w:rPr>
        <w:t>n</w:t>
      </w:r>
      <w:r w:rsidR="00D34AD1">
        <w:rPr>
          <w:rFonts w:eastAsiaTheme="minorEastAsia"/>
          <w:lang w:eastAsia="zh-CN"/>
        </w:rPr>
        <w:t xml:space="preserve"> LP-WUS content can be based on the subgroup.</w:t>
      </w:r>
    </w:p>
    <w:p w14:paraId="2CB83833" w14:textId="0995A179" w:rsidR="006516CC" w:rsidRDefault="006516CC" w:rsidP="006516CC">
      <w:pPr>
        <w:jc w:val="both"/>
        <w:rPr>
          <w:rStyle w:val="ui-provider"/>
          <w:szCs w:val="20"/>
        </w:rPr>
      </w:pPr>
      <w:r>
        <w:rPr>
          <w:rFonts w:eastAsiaTheme="minorEastAsia"/>
          <w:lang w:eastAsia="zh-CN"/>
        </w:rPr>
        <w:t>An open issue is whether an explicit association between an L</w:t>
      </w:r>
      <w:r w:rsidR="00AB1132">
        <w:rPr>
          <w:rFonts w:eastAsiaTheme="minorEastAsia"/>
          <w:lang w:eastAsia="zh-CN"/>
        </w:rPr>
        <w:t xml:space="preserve">O </w:t>
      </w:r>
      <w:r>
        <w:rPr>
          <w:rFonts w:eastAsiaTheme="minorEastAsia"/>
          <w:lang w:eastAsia="zh-CN"/>
        </w:rPr>
        <w:t>and a PO (e.g., by a time offset) should be defined. In our view, i</w:t>
      </w:r>
      <w:r w:rsidRPr="00F51133">
        <w:rPr>
          <w:rStyle w:val="ui-provider"/>
          <w:szCs w:val="20"/>
        </w:rPr>
        <w:t>t is true that the preparation time</w:t>
      </w:r>
      <w:r w:rsidR="00397A0A">
        <w:rPr>
          <w:rStyle w:val="ui-provider"/>
          <w:szCs w:val="20"/>
        </w:rPr>
        <w:t xml:space="preserve"> (i.e., offset)</w:t>
      </w:r>
      <w:r w:rsidRPr="00F51133">
        <w:rPr>
          <w:rStyle w:val="ui-provider"/>
          <w:szCs w:val="20"/>
        </w:rPr>
        <w:t xml:space="preserve"> </w:t>
      </w:r>
      <w:r w:rsidR="00397A0A">
        <w:rPr>
          <w:rStyle w:val="ui-provider"/>
          <w:szCs w:val="20"/>
        </w:rPr>
        <w:t>exists</w:t>
      </w:r>
      <w:r w:rsidRPr="00F51133">
        <w:rPr>
          <w:rStyle w:val="ui-provider"/>
          <w:szCs w:val="20"/>
        </w:rPr>
        <w:t xml:space="preserve">, however it does not mean gNB cannot transmit the paging message before the </w:t>
      </w:r>
      <w:r>
        <w:rPr>
          <w:rStyle w:val="ui-provider"/>
          <w:szCs w:val="20"/>
        </w:rPr>
        <w:t xml:space="preserve">end of </w:t>
      </w:r>
      <w:r w:rsidRPr="00F51133">
        <w:rPr>
          <w:rStyle w:val="ui-provider"/>
          <w:szCs w:val="20"/>
        </w:rPr>
        <w:t xml:space="preserve">preparation time, because gNB may be not aware of whether the </w:t>
      </w:r>
      <w:r>
        <w:rPr>
          <w:rStyle w:val="ui-provider"/>
          <w:szCs w:val="20"/>
        </w:rPr>
        <w:t xml:space="preserve">target </w:t>
      </w:r>
      <w:r w:rsidRPr="00F51133">
        <w:rPr>
          <w:rStyle w:val="ui-provider"/>
          <w:szCs w:val="20"/>
        </w:rPr>
        <w:t>UE is monitoring LP-WUS</w:t>
      </w:r>
      <w:r>
        <w:rPr>
          <w:rStyle w:val="ui-provider"/>
          <w:szCs w:val="20"/>
        </w:rPr>
        <w:t xml:space="preserve"> (it may depend on the MR/LR measurement results), so gNB may transmit the paging information earlier for a UE which is assumed not monitoring LP-WUS</w:t>
      </w:r>
      <w:r w:rsidRPr="00F51133">
        <w:rPr>
          <w:rStyle w:val="ui-provider"/>
          <w:szCs w:val="20"/>
        </w:rPr>
        <w:t>. In addition, considering gNB can retransmit the paging message several times</w:t>
      </w:r>
      <w:r>
        <w:rPr>
          <w:rStyle w:val="ui-provider"/>
          <w:szCs w:val="20"/>
        </w:rPr>
        <w:t xml:space="preserve"> if the target UE does not respond</w:t>
      </w:r>
      <w:r w:rsidRPr="00F51133">
        <w:rPr>
          <w:rStyle w:val="ui-provider"/>
          <w:szCs w:val="20"/>
        </w:rPr>
        <w:t xml:space="preserve">, </w:t>
      </w:r>
      <w:r>
        <w:rPr>
          <w:rStyle w:val="ui-provider"/>
          <w:szCs w:val="20"/>
        </w:rPr>
        <w:t xml:space="preserve">therefore </w:t>
      </w:r>
      <w:r w:rsidRPr="00F51133">
        <w:rPr>
          <w:rStyle w:val="ui-provider"/>
          <w:szCs w:val="20"/>
        </w:rPr>
        <w:t xml:space="preserve">the paging message will not be missed by the </w:t>
      </w:r>
      <w:r>
        <w:rPr>
          <w:rStyle w:val="ui-provider"/>
          <w:szCs w:val="20"/>
        </w:rPr>
        <w:t xml:space="preserve">target </w:t>
      </w:r>
      <w:r w:rsidRPr="00F51133">
        <w:rPr>
          <w:rStyle w:val="ui-provider"/>
          <w:szCs w:val="20"/>
        </w:rPr>
        <w:t>UE even gNB start to transmit paging message before the preparation time.</w:t>
      </w:r>
    </w:p>
    <w:p w14:paraId="43744988" w14:textId="77777777" w:rsidR="004545D2" w:rsidRDefault="004545D2" w:rsidP="006516CC">
      <w:pPr>
        <w:jc w:val="both"/>
        <w:rPr>
          <w:rStyle w:val="ui-provider"/>
          <w:szCs w:val="20"/>
        </w:rPr>
      </w:pPr>
    </w:p>
    <w:p w14:paraId="4C604672" w14:textId="04CD6F2E" w:rsidR="004545D2" w:rsidRPr="00F51133" w:rsidRDefault="004545D2" w:rsidP="006516CC">
      <w:pPr>
        <w:jc w:val="both"/>
        <w:rPr>
          <w:rFonts w:eastAsiaTheme="minorEastAsia"/>
          <w:szCs w:val="20"/>
          <w:lang w:val="en-GB"/>
        </w:rPr>
      </w:pPr>
      <w:r>
        <w:rPr>
          <w:rStyle w:val="ui-provider"/>
          <w:szCs w:val="20"/>
        </w:rPr>
        <w:t>In RAN1#117, three options for the linkage between PO and LP were agreed. In our view, both the three options can be supported, and it depends on gNB configuration. From UE perspective, it is not necessary to be aware which option is used by gNB, UE can determine its own LO based on gNB configuration, and monitor a PO which is associated with the LO.</w:t>
      </w:r>
    </w:p>
    <w:p w14:paraId="10B74107" w14:textId="159FB92D" w:rsidR="006516CC" w:rsidRPr="006516CC" w:rsidRDefault="006516CC" w:rsidP="00195F49">
      <w:pPr>
        <w:pStyle w:val="a0"/>
        <w:rPr>
          <w:rFonts w:eastAsiaTheme="minorEastAsia"/>
          <w:lang w:val="en-GB" w:eastAsia="zh-CN"/>
        </w:rPr>
      </w:pPr>
    </w:p>
    <w:p w14:paraId="124858A8" w14:textId="4E93B814" w:rsidR="00195F49" w:rsidRPr="000E443C" w:rsidRDefault="00F2743F" w:rsidP="00195F49">
      <w:pPr>
        <w:pStyle w:val="a0"/>
        <w:rPr>
          <w:rFonts w:eastAsiaTheme="minorEastAsia"/>
          <w:b/>
          <w:lang w:eastAsia="zh-CN"/>
        </w:rPr>
      </w:pPr>
      <w:r w:rsidRPr="000E443C">
        <w:rPr>
          <w:rFonts w:eastAsiaTheme="minorEastAsia"/>
          <w:b/>
          <w:lang w:eastAsia="zh-CN"/>
        </w:rPr>
        <w:t>Observation</w:t>
      </w:r>
      <w:r w:rsidR="00C16EF3" w:rsidRPr="000E443C">
        <w:rPr>
          <w:rFonts w:eastAsiaTheme="minorEastAsia"/>
          <w:b/>
          <w:lang w:eastAsia="zh-CN"/>
        </w:rPr>
        <w:t xml:space="preserve"> </w:t>
      </w:r>
      <w:r w:rsidRPr="000E443C">
        <w:rPr>
          <w:rFonts w:eastAsiaTheme="minorEastAsia"/>
          <w:b/>
          <w:lang w:eastAsia="zh-CN"/>
        </w:rPr>
        <w:t>1:</w:t>
      </w:r>
      <w:r w:rsidR="00D34AD1" w:rsidRPr="000E443C">
        <w:rPr>
          <w:rFonts w:eastAsiaTheme="minorEastAsia"/>
          <w:b/>
          <w:lang w:eastAsia="zh-CN"/>
        </w:rPr>
        <w:t xml:space="preserve"> </w:t>
      </w:r>
      <w:r w:rsidRPr="000E443C">
        <w:rPr>
          <w:rFonts w:eastAsiaTheme="minorEastAsia"/>
          <w:b/>
          <w:lang w:eastAsia="zh-CN"/>
        </w:rPr>
        <w:t>explicit association between a</w:t>
      </w:r>
      <w:r w:rsidR="000C6897" w:rsidRPr="000E443C">
        <w:rPr>
          <w:rFonts w:eastAsiaTheme="minorEastAsia"/>
          <w:b/>
          <w:lang w:eastAsia="zh-CN"/>
        </w:rPr>
        <w:t>n</w:t>
      </w:r>
      <w:r w:rsidRPr="000E443C">
        <w:rPr>
          <w:rFonts w:eastAsiaTheme="minorEastAsia"/>
          <w:b/>
          <w:lang w:eastAsia="zh-CN"/>
        </w:rPr>
        <w:t xml:space="preserve"> LO and a PO (e.g., by a time offset) is not necessary, UE can determine the association </w:t>
      </w:r>
      <w:r w:rsidR="00BE2BAE" w:rsidRPr="000E443C">
        <w:rPr>
          <w:rFonts w:eastAsiaTheme="minorEastAsia"/>
          <w:b/>
          <w:lang w:eastAsia="zh-CN"/>
        </w:rPr>
        <w:t>based on its</w:t>
      </w:r>
      <w:r w:rsidRPr="000E443C">
        <w:rPr>
          <w:rFonts w:eastAsiaTheme="minorEastAsia"/>
          <w:b/>
          <w:lang w:eastAsia="zh-CN"/>
        </w:rPr>
        <w:t xml:space="preserve"> UE-ID implicitly.</w:t>
      </w:r>
    </w:p>
    <w:p w14:paraId="6EC3353D" w14:textId="3A6DF5B4" w:rsidR="004545D2" w:rsidRPr="000E443C" w:rsidRDefault="004545D2" w:rsidP="00D34AD1">
      <w:pPr>
        <w:pStyle w:val="a0"/>
        <w:rPr>
          <w:rFonts w:eastAsiaTheme="minorEastAsia"/>
          <w:b/>
          <w:lang w:eastAsia="zh-CN"/>
        </w:rPr>
      </w:pPr>
      <w:r w:rsidRPr="000E443C">
        <w:rPr>
          <w:rFonts w:eastAsiaTheme="minorEastAsia"/>
          <w:b/>
          <w:lang w:eastAsia="zh-CN"/>
        </w:rPr>
        <w:t xml:space="preserve">Proposal 2: for the association between LO and PO, </w:t>
      </w:r>
      <w:r w:rsidR="000A52FC" w:rsidRPr="000E443C">
        <w:rPr>
          <w:rFonts w:eastAsiaTheme="minorEastAsia"/>
          <w:b/>
          <w:lang w:eastAsia="zh-CN"/>
        </w:rPr>
        <w:t>support</w:t>
      </w:r>
      <w:r w:rsidR="00651CBE">
        <w:rPr>
          <w:rFonts w:eastAsiaTheme="minorEastAsia"/>
          <w:b/>
          <w:lang w:eastAsia="zh-CN"/>
        </w:rPr>
        <w:t xml:space="preserve"> option 1, </w:t>
      </w:r>
      <w:r w:rsidR="000A52FC" w:rsidRPr="000E443C">
        <w:rPr>
          <w:rFonts w:eastAsiaTheme="minorEastAsia"/>
          <w:b/>
          <w:lang w:eastAsia="zh-CN"/>
        </w:rPr>
        <w:t>option 2 and option 3, UE determine which option is used based on gNB configuration.</w:t>
      </w:r>
    </w:p>
    <w:p w14:paraId="77229473" w14:textId="39B459FC" w:rsidR="009C3815" w:rsidRPr="00DD4A3D" w:rsidRDefault="00D34AD1" w:rsidP="009C3815">
      <w:pPr>
        <w:rPr>
          <w:rFonts w:ascii="Times" w:eastAsia="Batang" w:hAnsi="Times"/>
          <w:b/>
          <w:lang w:val="en-GB"/>
        </w:rPr>
      </w:pPr>
      <w:r w:rsidRPr="000E443C">
        <w:rPr>
          <w:rFonts w:eastAsiaTheme="minorEastAsia"/>
          <w:b/>
          <w:lang w:eastAsia="zh-CN"/>
        </w:rPr>
        <w:t xml:space="preserve">Proposal </w:t>
      </w:r>
      <w:r w:rsidR="00654E06" w:rsidRPr="000E443C">
        <w:rPr>
          <w:rFonts w:eastAsiaTheme="minorEastAsia"/>
          <w:b/>
          <w:lang w:eastAsia="zh-CN"/>
        </w:rPr>
        <w:t>3</w:t>
      </w:r>
      <w:r w:rsidRPr="000E443C">
        <w:rPr>
          <w:rFonts w:eastAsiaTheme="minorEastAsia"/>
          <w:b/>
          <w:lang w:eastAsia="zh-CN"/>
        </w:rPr>
        <w:t>:</w:t>
      </w:r>
      <w:r w:rsidR="000C6897" w:rsidRPr="000E443C">
        <w:rPr>
          <w:rFonts w:eastAsiaTheme="minorEastAsia"/>
          <w:b/>
          <w:lang w:eastAsia="zh-CN"/>
        </w:rPr>
        <w:t xml:space="preserve"> </w:t>
      </w:r>
      <w:r w:rsidR="009C3815" w:rsidRPr="00DD4A3D">
        <w:rPr>
          <w:rFonts w:ascii="Times" w:eastAsia="Batang" w:hAnsi="Times"/>
          <w:b/>
          <w:lang w:val="en-GB"/>
        </w:rPr>
        <w:t xml:space="preserve">For the offset value(s) between an LO and a reference PO/PF, </w:t>
      </w:r>
      <w:r w:rsidR="009C3815" w:rsidRPr="000E443C">
        <w:rPr>
          <w:rFonts w:ascii="Times" w:eastAsia="Batang" w:hAnsi="Times"/>
          <w:b/>
          <w:lang w:val="en-GB"/>
        </w:rPr>
        <w:t>support</w:t>
      </w:r>
      <w:r w:rsidR="00101157">
        <w:rPr>
          <w:rFonts w:ascii="Times" w:eastAsia="Batang" w:hAnsi="Times"/>
          <w:b/>
          <w:lang w:val="en-GB"/>
        </w:rPr>
        <w:t xml:space="preserve"> c</w:t>
      </w:r>
      <w:r w:rsidR="00101157" w:rsidRPr="00101157">
        <w:rPr>
          <w:rFonts w:ascii="Times" w:eastAsia="Batang" w:hAnsi="Times"/>
          <w:b/>
          <w:lang w:val="en-GB"/>
        </w:rPr>
        <w:t>onfigurability between Option 1-1 and Option 1-</w:t>
      </w:r>
      <w:r w:rsidR="00101157">
        <w:rPr>
          <w:rFonts w:ascii="Times" w:eastAsia="Batang" w:hAnsi="Times"/>
          <w:b/>
          <w:lang w:val="en-GB"/>
        </w:rPr>
        <w:t>2</w:t>
      </w:r>
      <w:r w:rsidR="009C3815" w:rsidRPr="000E443C">
        <w:rPr>
          <w:rFonts w:ascii="Times" w:eastAsia="Batang" w:hAnsi="Times"/>
          <w:b/>
          <w:lang w:val="en-GB"/>
        </w:rPr>
        <w:t>.</w:t>
      </w:r>
    </w:p>
    <w:p w14:paraId="509B9B1D" w14:textId="46D5120F" w:rsidR="00220D42" w:rsidRPr="009C3815" w:rsidRDefault="00220D42" w:rsidP="000609DF">
      <w:pPr>
        <w:pStyle w:val="a0"/>
        <w:rPr>
          <w:rFonts w:eastAsiaTheme="minorEastAsia"/>
          <w:lang w:val="en-GB"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642149FC" w:rsidR="004E2BA0" w:rsidRPr="00307608" w:rsidRDefault="004E2BA0" w:rsidP="004E2BA0">
      <w:pPr>
        <w:pStyle w:val="a0"/>
        <w:rPr>
          <w:rFonts w:eastAsia="宋体"/>
          <w:szCs w:val="20"/>
          <w:lang w:eastAsia="zh-CN"/>
        </w:rPr>
      </w:pPr>
      <w:r w:rsidRPr="00307608">
        <w:rPr>
          <w:rFonts w:eastAsia="宋体"/>
          <w:szCs w:val="20"/>
          <w:lang w:eastAsia="zh-CN"/>
        </w:rPr>
        <w:t>I</w:t>
      </w:r>
      <w:r w:rsidR="0011203A" w:rsidRPr="00307608">
        <w:rPr>
          <w:rFonts w:eastAsia="宋体"/>
          <w:szCs w:val="20"/>
          <w:lang w:eastAsia="zh-CN"/>
        </w:rPr>
        <w:t>n this contribution, we discuss</w:t>
      </w:r>
      <w:r w:rsidRPr="00307608">
        <w:rPr>
          <w:rFonts w:eastAsia="宋体"/>
          <w:szCs w:val="20"/>
          <w:lang w:eastAsia="zh-CN"/>
        </w:rPr>
        <w:t xml:space="preserve"> the</w:t>
      </w:r>
      <w:r w:rsidR="00612A84" w:rsidRPr="00307608">
        <w:rPr>
          <w:rFonts w:eastAsia="宋体"/>
          <w:szCs w:val="20"/>
          <w:lang w:eastAsia="zh-CN"/>
        </w:rPr>
        <w:t xml:space="preserve"> </w:t>
      </w:r>
      <w:r w:rsidR="007D4CBC" w:rsidRPr="00307608">
        <w:rPr>
          <w:rFonts w:eastAsiaTheme="minorEastAsia" w:hint="eastAsia"/>
          <w:szCs w:val="20"/>
          <w:lang w:eastAsia="zh-CN"/>
        </w:rPr>
        <w:t>LP-</w:t>
      </w:r>
      <w:r w:rsidR="007D4CBC" w:rsidRPr="00307608">
        <w:rPr>
          <w:rFonts w:eastAsiaTheme="minorEastAsia"/>
          <w:szCs w:val="20"/>
        </w:rPr>
        <w:t>WUS operations in RRC IDLE/INACTIVE modes</w:t>
      </w:r>
      <w:r w:rsidR="00927439" w:rsidRPr="00307608">
        <w:rPr>
          <w:rFonts w:eastAsia="宋体"/>
          <w:szCs w:val="20"/>
          <w:lang w:eastAsia="zh-CN"/>
        </w:rPr>
        <w:t xml:space="preserve">, and the following </w:t>
      </w:r>
      <w:r w:rsidR="0060691E">
        <w:rPr>
          <w:rFonts w:eastAsia="宋体"/>
          <w:szCs w:val="20"/>
          <w:lang w:eastAsia="zh-CN"/>
        </w:rPr>
        <w:t xml:space="preserve">observations and </w:t>
      </w:r>
      <w:r w:rsidR="00927439" w:rsidRPr="00307608">
        <w:rPr>
          <w:rFonts w:eastAsia="宋体"/>
          <w:szCs w:val="20"/>
          <w:lang w:eastAsia="zh-CN"/>
        </w:rPr>
        <w:t>proposals are made</w:t>
      </w:r>
      <w:r w:rsidRPr="00307608">
        <w:rPr>
          <w:rFonts w:eastAsia="宋体"/>
          <w:szCs w:val="20"/>
          <w:lang w:eastAsia="zh-CN"/>
        </w:rPr>
        <w:t>:</w:t>
      </w:r>
    </w:p>
    <w:p w14:paraId="2CEE890F" w14:textId="77777777" w:rsidR="00E40683" w:rsidRPr="00344066" w:rsidRDefault="00E40683" w:rsidP="00E40683">
      <w:pPr>
        <w:pStyle w:val="a0"/>
        <w:rPr>
          <w:rFonts w:eastAsiaTheme="minorEastAsia"/>
          <w:b/>
          <w:lang w:eastAsia="zh-CN"/>
        </w:rPr>
      </w:pPr>
      <w:r w:rsidRPr="00344066">
        <w:rPr>
          <w:rFonts w:eastAsiaTheme="minorEastAsia"/>
          <w:b/>
          <w:lang w:eastAsia="zh-CN"/>
        </w:rPr>
        <w:t>Proposal 1: for RRC-IDLE/INACTIVE, the LP-WUS configuration indicates one or more LP-WUS frequency bands in a carrier, and for each LP-WUS frequency band, a periodicity and an offset of LOs are comprised in the configuration.</w:t>
      </w:r>
    </w:p>
    <w:p w14:paraId="4DA97E16" w14:textId="256CD879" w:rsidR="0000131A" w:rsidRPr="00344066" w:rsidRDefault="0000131A" w:rsidP="0000131A">
      <w:pPr>
        <w:pStyle w:val="a0"/>
        <w:rPr>
          <w:rFonts w:eastAsiaTheme="minorEastAsia"/>
          <w:b/>
          <w:lang w:eastAsia="zh-CN"/>
        </w:rPr>
      </w:pPr>
      <w:r w:rsidRPr="00344066">
        <w:rPr>
          <w:rFonts w:eastAsiaTheme="minorEastAsia"/>
          <w:b/>
          <w:lang w:eastAsia="zh-CN"/>
        </w:rPr>
        <w:t>Observation 1: explicit association between an LO and a PO (e.g., by a time offset) is not necessary, UE can determine the association based on its UE-ID implicitly.</w:t>
      </w:r>
    </w:p>
    <w:p w14:paraId="6994EEA4" w14:textId="77777777" w:rsidR="00344066" w:rsidRPr="000E443C" w:rsidRDefault="00344066" w:rsidP="00344066">
      <w:pPr>
        <w:pStyle w:val="a0"/>
        <w:rPr>
          <w:rFonts w:eastAsiaTheme="minorEastAsia"/>
          <w:b/>
          <w:lang w:eastAsia="zh-CN"/>
        </w:rPr>
      </w:pPr>
      <w:r w:rsidRPr="000E443C">
        <w:rPr>
          <w:rFonts w:eastAsiaTheme="minorEastAsia"/>
          <w:b/>
          <w:lang w:eastAsia="zh-CN"/>
        </w:rPr>
        <w:t>Proposal 2: for the association between LO and PO, support</w:t>
      </w:r>
      <w:r>
        <w:rPr>
          <w:rFonts w:eastAsiaTheme="minorEastAsia"/>
          <w:b/>
          <w:lang w:eastAsia="zh-CN"/>
        </w:rPr>
        <w:t xml:space="preserve"> option 1, </w:t>
      </w:r>
      <w:r w:rsidRPr="000E443C">
        <w:rPr>
          <w:rFonts w:eastAsiaTheme="minorEastAsia"/>
          <w:b/>
          <w:lang w:eastAsia="zh-CN"/>
        </w:rPr>
        <w:t>option 2 and option 3, UE determine which option is used based on gNB configuration.</w:t>
      </w:r>
    </w:p>
    <w:p w14:paraId="0960F158" w14:textId="77777777" w:rsidR="00733863" w:rsidRPr="00DD4A3D" w:rsidRDefault="00733863" w:rsidP="00733863">
      <w:pPr>
        <w:rPr>
          <w:rFonts w:ascii="Times" w:eastAsia="Batang" w:hAnsi="Times"/>
          <w:b/>
          <w:lang w:val="en-GB"/>
        </w:rPr>
      </w:pPr>
      <w:r w:rsidRPr="000E443C">
        <w:rPr>
          <w:rFonts w:eastAsiaTheme="minorEastAsia"/>
          <w:b/>
          <w:lang w:eastAsia="zh-CN"/>
        </w:rPr>
        <w:t xml:space="preserve">Proposal 3: </w:t>
      </w:r>
      <w:r w:rsidRPr="00DD4A3D">
        <w:rPr>
          <w:rFonts w:ascii="Times" w:eastAsia="Batang" w:hAnsi="Times"/>
          <w:b/>
          <w:lang w:val="en-GB"/>
        </w:rPr>
        <w:t xml:space="preserve">For the offset value(s) between an LO and a reference PO/PF, </w:t>
      </w:r>
      <w:r w:rsidRPr="000E443C">
        <w:rPr>
          <w:rFonts w:ascii="Times" w:eastAsia="Batang" w:hAnsi="Times"/>
          <w:b/>
          <w:lang w:val="en-GB"/>
        </w:rPr>
        <w:t>support</w:t>
      </w:r>
      <w:r>
        <w:rPr>
          <w:rFonts w:ascii="Times" w:eastAsia="Batang" w:hAnsi="Times"/>
          <w:b/>
          <w:lang w:val="en-GB"/>
        </w:rPr>
        <w:t xml:space="preserve"> c</w:t>
      </w:r>
      <w:r w:rsidRPr="00101157">
        <w:rPr>
          <w:rFonts w:ascii="Times" w:eastAsia="Batang" w:hAnsi="Times"/>
          <w:b/>
          <w:lang w:val="en-GB"/>
        </w:rPr>
        <w:t>onfigurability between Option 1-1 and Option 1-</w:t>
      </w:r>
      <w:r>
        <w:rPr>
          <w:rFonts w:ascii="Times" w:eastAsia="Batang" w:hAnsi="Times"/>
          <w:b/>
          <w:lang w:val="en-GB"/>
        </w:rPr>
        <w:t>2</w:t>
      </w:r>
      <w:r w:rsidRPr="000E443C">
        <w:rPr>
          <w:rFonts w:ascii="Times" w:eastAsia="Batang" w:hAnsi="Times"/>
          <w:b/>
          <w:lang w:val="en-GB"/>
        </w:rPr>
        <w:t>.</w:t>
      </w:r>
    </w:p>
    <w:p w14:paraId="01A70D09" w14:textId="77777777" w:rsidR="004E2BA0" w:rsidRPr="00344066" w:rsidRDefault="004E2BA0" w:rsidP="004E2BA0">
      <w:pPr>
        <w:pStyle w:val="a0"/>
        <w:rPr>
          <w:rFonts w:eastAsia="宋体"/>
          <w:lang w:val="en-GB"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40AF4A7" w14:textId="77777777" w:rsidR="00021342" w:rsidRDefault="00021342" w:rsidP="00021342">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w:t>
      </w:r>
      <w:r>
        <w:rPr>
          <w:rFonts w:ascii="Times New Roman" w:hAnsi="Times New Roman" w:cs="Times New Roman"/>
          <w:sz w:val="20"/>
          <w:szCs w:val="20"/>
        </w:rPr>
        <w:t xml:space="preserve">34056, </w:t>
      </w:r>
      <w:r w:rsidRPr="00983896">
        <w:rPr>
          <w:rFonts w:ascii="Times New Roman" w:hAnsi="Times New Roman" w:cs="Times New Roman"/>
          <w:sz w:val="20"/>
          <w:szCs w:val="20"/>
        </w:rPr>
        <w:t>New WID: Low-power wake-up signal and receiver for NR (LP-WUS/WUR)</w:t>
      </w:r>
      <w:r>
        <w:rPr>
          <w:rFonts w:ascii="Times New Roman" w:hAnsi="Times New Roman" w:cs="Times New Roman"/>
          <w:sz w:val="20"/>
          <w:szCs w:val="20"/>
        </w:rPr>
        <w:t>, CMCC, RAN meeting #102, Dec. 11-15, 2023</w:t>
      </w:r>
    </w:p>
    <w:sectPr w:rsidR="00021342" w:rsidSect="00CB31DE">
      <w:headerReference w:type="default" r:id="rId12"/>
      <w:footerReference w:type="even" r:id="rId13"/>
      <w:footerReference w:type="default" r:id="rId14"/>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0B734" w14:textId="77777777" w:rsidR="00373E6F" w:rsidRDefault="00373E6F">
      <w:r>
        <w:separator/>
      </w:r>
    </w:p>
  </w:endnote>
  <w:endnote w:type="continuationSeparator" w:id="0">
    <w:p w14:paraId="168D1CAD" w14:textId="77777777" w:rsidR="00373E6F" w:rsidRDefault="00373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9B5C4D" w:rsidRDefault="009B5C4D"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9B5C4D" w:rsidRDefault="009B5C4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173E407B" w:rsidR="009B5C4D" w:rsidRDefault="009B5C4D" w:rsidP="00F526B7">
        <w:pPr>
          <w:pStyle w:val="af0"/>
          <w:jc w:val="center"/>
        </w:pPr>
        <w:r>
          <w:fldChar w:fldCharType="begin"/>
        </w:r>
        <w:r>
          <w:instrText>PAGE   \* MERGEFORMAT</w:instrText>
        </w:r>
        <w:r>
          <w:fldChar w:fldCharType="separate"/>
        </w:r>
        <w:r w:rsidR="00CF2E0D" w:rsidRPr="00CF2E0D">
          <w:rPr>
            <w:noProof/>
            <w:lang w:val="zh-CN" w:eastAsia="zh-CN"/>
          </w:rPr>
          <w:t>3</w:t>
        </w:r>
        <w:r>
          <w:fldChar w:fldCharType="end"/>
        </w:r>
      </w:p>
    </w:sdtContent>
  </w:sdt>
  <w:p w14:paraId="7DB18367" w14:textId="77777777" w:rsidR="009B5C4D" w:rsidRDefault="009B5C4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8C4B1" w14:textId="77777777" w:rsidR="00373E6F" w:rsidRDefault="00373E6F">
      <w:r>
        <w:separator/>
      </w:r>
    </w:p>
  </w:footnote>
  <w:footnote w:type="continuationSeparator" w:id="0">
    <w:p w14:paraId="74D3D192" w14:textId="77777777" w:rsidR="00373E6F" w:rsidRDefault="00373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9B5C4D" w:rsidRDefault="009B5C4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6E08B1"/>
    <w:multiLevelType w:val="multilevel"/>
    <w:tmpl w:val="918E8EA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3" w15:restartNumberingAfterBreak="0">
    <w:nsid w:val="40A94720"/>
    <w:multiLevelType w:val="hybridMultilevel"/>
    <w:tmpl w:val="1F369E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F66741"/>
    <w:multiLevelType w:val="hybridMultilevel"/>
    <w:tmpl w:val="03506B2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7D4C01"/>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070463A"/>
    <w:multiLevelType w:val="multilevel"/>
    <w:tmpl w:val="5F3A8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F126AC"/>
    <w:multiLevelType w:val="hybridMultilevel"/>
    <w:tmpl w:val="91808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4413891"/>
    <w:multiLevelType w:val="hybridMultilevel"/>
    <w:tmpl w:val="A0766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41"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abstractNumId w:val="40"/>
  </w:num>
  <w:num w:numId="2">
    <w:abstractNumId w:val="34"/>
  </w:num>
  <w:num w:numId="3">
    <w:abstractNumId w:val="39"/>
  </w:num>
  <w:num w:numId="4">
    <w:abstractNumId w:val="31"/>
  </w:num>
  <w:num w:numId="5">
    <w:abstractNumId w:val="25"/>
  </w:num>
  <w:num w:numId="6">
    <w:abstractNumId w:val="2"/>
  </w:num>
  <w:num w:numId="7">
    <w:abstractNumId w:val="14"/>
  </w:num>
  <w:num w:numId="8">
    <w:abstractNumId w:val="24"/>
  </w:num>
  <w:num w:numId="9">
    <w:abstractNumId w:val="30"/>
  </w:num>
  <w:num w:numId="10">
    <w:abstractNumId w:val="8"/>
  </w:num>
  <w:num w:numId="11">
    <w:abstractNumId w:val="41"/>
  </w:num>
  <w:num w:numId="12">
    <w:abstractNumId w:val="22"/>
  </w:num>
  <w:num w:numId="13">
    <w:abstractNumId w:val="37"/>
  </w:num>
  <w:num w:numId="14">
    <w:abstractNumId w:val="17"/>
  </w:num>
  <w:num w:numId="15">
    <w:abstractNumId w:val="18"/>
  </w:num>
  <w:num w:numId="16">
    <w:abstractNumId w:val="21"/>
  </w:num>
  <w:num w:numId="17">
    <w:abstractNumId w:val="0"/>
  </w:num>
  <w:num w:numId="18">
    <w:abstractNumId w:val="9"/>
  </w:num>
  <w:num w:numId="19">
    <w:abstractNumId w:val="33"/>
  </w:num>
  <w:num w:numId="20">
    <w:abstractNumId w:val="35"/>
  </w:num>
  <w:num w:numId="21">
    <w:abstractNumId w:val="28"/>
  </w:num>
  <w:num w:numId="22">
    <w:abstractNumId w:val="13"/>
  </w:num>
  <w:num w:numId="23">
    <w:abstractNumId w:val="15"/>
  </w:num>
  <w:num w:numId="24">
    <w:abstractNumId w:val="6"/>
  </w:num>
  <w:num w:numId="25">
    <w:abstractNumId w:val="36"/>
  </w:num>
  <w:num w:numId="26">
    <w:abstractNumId w:val="5"/>
  </w:num>
  <w:num w:numId="27">
    <w:abstractNumId w:val="38"/>
  </w:num>
  <w:num w:numId="28">
    <w:abstractNumId w:val="29"/>
  </w:num>
  <w:num w:numId="29">
    <w:abstractNumId w:val="19"/>
  </w:num>
  <w:num w:numId="30">
    <w:abstractNumId w:val="11"/>
  </w:num>
  <w:num w:numId="31">
    <w:abstractNumId w:val="32"/>
  </w:num>
  <w:num w:numId="32">
    <w:abstractNumId w:val="27"/>
  </w:num>
  <w:num w:numId="33">
    <w:abstractNumId w:val="16"/>
  </w:num>
  <w:num w:numId="34">
    <w:abstractNumId w:val="26"/>
  </w:num>
  <w:num w:numId="35">
    <w:abstractNumId w:val="4"/>
  </w:num>
  <w:num w:numId="36">
    <w:abstractNumId w:val="12"/>
  </w:num>
  <w:num w:numId="37">
    <w:abstractNumId w:val="3"/>
  </w:num>
  <w:num w:numId="38">
    <w:abstractNumId w:val="10"/>
  </w:num>
  <w:num w:numId="39">
    <w:abstractNumId w:val="23"/>
  </w:num>
  <w:num w:numId="40">
    <w:abstractNumId w:val="1"/>
  </w:num>
  <w:num w:numId="41">
    <w:abstractNumId w:val="7"/>
  </w:num>
  <w:num w:numId="42">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31A"/>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4FB"/>
    <w:rsid w:val="000155E7"/>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D3"/>
    <w:rsid w:val="00020F24"/>
    <w:rsid w:val="00020F26"/>
    <w:rsid w:val="000211F1"/>
    <w:rsid w:val="00021242"/>
    <w:rsid w:val="000213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41F"/>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1DEC"/>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0DC"/>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488"/>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5F"/>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F84"/>
    <w:rsid w:val="000A3974"/>
    <w:rsid w:val="000A3A2D"/>
    <w:rsid w:val="000A41BF"/>
    <w:rsid w:val="000A462F"/>
    <w:rsid w:val="000A4B8C"/>
    <w:rsid w:val="000A4E51"/>
    <w:rsid w:val="000A5164"/>
    <w:rsid w:val="000A51C7"/>
    <w:rsid w:val="000A52FC"/>
    <w:rsid w:val="000A53E3"/>
    <w:rsid w:val="000A5443"/>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760"/>
    <w:rsid w:val="000C08C7"/>
    <w:rsid w:val="000C0A6A"/>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322"/>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97"/>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3C"/>
    <w:rsid w:val="000E44CB"/>
    <w:rsid w:val="000E49EF"/>
    <w:rsid w:val="000E4B87"/>
    <w:rsid w:val="000E4CA2"/>
    <w:rsid w:val="000E4DA1"/>
    <w:rsid w:val="000E4FE3"/>
    <w:rsid w:val="000E506B"/>
    <w:rsid w:val="000E5124"/>
    <w:rsid w:val="000E5285"/>
    <w:rsid w:val="000E58F2"/>
    <w:rsid w:val="000E5ED4"/>
    <w:rsid w:val="000E5FBF"/>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B6C"/>
    <w:rsid w:val="00100FF0"/>
    <w:rsid w:val="00101157"/>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441"/>
    <w:rsid w:val="0011394A"/>
    <w:rsid w:val="001139B2"/>
    <w:rsid w:val="00113C88"/>
    <w:rsid w:val="00114047"/>
    <w:rsid w:val="0011445A"/>
    <w:rsid w:val="00114A92"/>
    <w:rsid w:val="00114BE0"/>
    <w:rsid w:val="00114D52"/>
    <w:rsid w:val="00114FA9"/>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5E5"/>
    <w:rsid w:val="00137650"/>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009"/>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820"/>
    <w:rsid w:val="00152A77"/>
    <w:rsid w:val="00152BAA"/>
    <w:rsid w:val="00152CDD"/>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27"/>
    <w:rsid w:val="0018169E"/>
    <w:rsid w:val="0018210C"/>
    <w:rsid w:val="00182158"/>
    <w:rsid w:val="0018259A"/>
    <w:rsid w:val="00182A1B"/>
    <w:rsid w:val="00182E3D"/>
    <w:rsid w:val="00182ECA"/>
    <w:rsid w:val="001838D9"/>
    <w:rsid w:val="00183D2B"/>
    <w:rsid w:val="00184125"/>
    <w:rsid w:val="00184132"/>
    <w:rsid w:val="0018446C"/>
    <w:rsid w:val="001846F0"/>
    <w:rsid w:val="001847AF"/>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398"/>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5F49"/>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12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A787C"/>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692"/>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13F"/>
    <w:rsid w:val="001B7295"/>
    <w:rsid w:val="001B7814"/>
    <w:rsid w:val="001B7DEA"/>
    <w:rsid w:val="001C01C1"/>
    <w:rsid w:val="001C025D"/>
    <w:rsid w:val="001C0514"/>
    <w:rsid w:val="001C0B42"/>
    <w:rsid w:val="001C189C"/>
    <w:rsid w:val="001C1D93"/>
    <w:rsid w:val="001C1E44"/>
    <w:rsid w:val="001C201B"/>
    <w:rsid w:val="001C20AA"/>
    <w:rsid w:val="001C2278"/>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E54"/>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0F00"/>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308"/>
    <w:rsid w:val="001F37CB"/>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D8"/>
    <w:rsid w:val="002060E7"/>
    <w:rsid w:val="002065D5"/>
    <w:rsid w:val="00206759"/>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85"/>
    <w:rsid w:val="002207B2"/>
    <w:rsid w:val="00220957"/>
    <w:rsid w:val="002209C0"/>
    <w:rsid w:val="002209DD"/>
    <w:rsid w:val="00220B65"/>
    <w:rsid w:val="00220BCC"/>
    <w:rsid w:val="00220C28"/>
    <w:rsid w:val="00220D42"/>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5AC"/>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A19"/>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998"/>
    <w:rsid w:val="00251A2E"/>
    <w:rsid w:val="00251BDB"/>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65"/>
    <w:rsid w:val="0025549B"/>
    <w:rsid w:val="00255623"/>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206"/>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534"/>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6FB"/>
    <w:rsid w:val="0028475F"/>
    <w:rsid w:val="0028525E"/>
    <w:rsid w:val="0028526F"/>
    <w:rsid w:val="00285522"/>
    <w:rsid w:val="002858DD"/>
    <w:rsid w:val="00286054"/>
    <w:rsid w:val="002869F1"/>
    <w:rsid w:val="00287570"/>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AA"/>
    <w:rsid w:val="002926FC"/>
    <w:rsid w:val="00292984"/>
    <w:rsid w:val="00292995"/>
    <w:rsid w:val="00293406"/>
    <w:rsid w:val="00293455"/>
    <w:rsid w:val="0029380E"/>
    <w:rsid w:val="00293C88"/>
    <w:rsid w:val="00293D9A"/>
    <w:rsid w:val="00293DAC"/>
    <w:rsid w:val="002943A9"/>
    <w:rsid w:val="00294569"/>
    <w:rsid w:val="00294968"/>
    <w:rsid w:val="00294C12"/>
    <w:rsid w:val="00294E0F"/>
    <w:rsid w:val="00294EDB"/>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6C9A"/>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6D1"/>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B71"/>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959"/>
    <w:rsid w:val="002D3AC1"/>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12C"/>
    <w:rsid w:val="002F03C4"/>
    <w:rsid w:val="002F0B96"/>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8CC"/>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33A"/>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608"/>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D1B"/>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9E8"/>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4B8"/>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066"/>
    <w:rsid w:val="003442BF"/>
    <w:rsid w:val="003442FA"/>
    <w:rsid w:val="003446A9"/>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86"/>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4D"/>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3E6F"/>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6CC0"/>
    <w:rsid w:val="00397062"/>
    <w:rsid w:val="0039709D"/>
    <w:rsid w:val="00397A0A"/>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471"/>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8A7"/>
    <w:rsid w:val="003B39FE"/>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138"/>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2A9"/>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760"/>
    <w:rsid w:val="003D58F7"/>
    <w:rsid w:val="003D5E7C"/>
    <w:rsid w:val="003D5ED8"/>
    <w:rsid w:val="003D6067"/>
    <w:rsid w:val="003D6242"/>
    <w:rsid w:val="003D68CA"/>
    <w:rsid w:val="003D6D49"/>
    <w:rsid w:val="003D709F"/>
    <w:rsid w:val="003D72B6"/>
    <w:rsid w:val="003D740B"/>
    <w:rsid w:val="003D78A6"/>
    <w:rsid w:val="003D7958"/>
    <w:rsid w:val="003D7BBB"/>
    <w:rsid w:val="003D7D4E"/>
    <w:rsid w:val="003D7FD7"/>
    <w:rsid w:val="003E0523"/>
    <w:rsid w:val="003E05E7"/>
    <w:rsid w:val="003E0974"/>
    <w:rsid w:val="003E0BDF"/>
    <w:rsid w:val="003E0C42"/>
    <w:rsid w:val="003E0F1E"/>
    <w:rsid w:val="003E11D8"/>
    <w:rsid w:val="003E1484"/>
    <w:rsid w:val="003E151F"/>
    <w:rsid w:val="003E1EA1"/>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6E00"/>
    <w:rsid w:val="004072B9"/>
    <w:rsid w:val="004074AB"/>
    <w:rsid w:val="004077CF"/>
    <w:rsid w:val="004079DE"/>
    <w:rsid w:val="00410205"/>
    <w:rsid w:val="0041028B"/>
    <w:rsid w:val="004105C1"/>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6B62"/>
    <w:rsid w:val="00417316"/>
    <w:rsid w:val="00417588"/>
    <w:rsid w:val="0041764C"/>
    <w:rsid w:val="0041768D"/>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520"/>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207"/>
    <w:rsid w:val="0042755E"/>
    <w:rsid w:val="00427818"/>
    <w:rsid w:val="00427830"/>
    <w:rsid w:val="00427BBC"/>
    <w:rsid w:val="004301C1"/>
    <w:rsid w:val="004307FF"/>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3F2"/>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5D2"/>
    <w:rsid w:val="00454905"/>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13D"/>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447"/>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42"/>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0F56"/>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34"/>
    <w:rsid w:val="004D5DA2"/>
    <w:rsid w:val="004D5DE3"/>
    <w:rsid w:val="004D5E2C"/>
    <w:rsid w:val="004D5F52"/>
    <w:rsid w:val="004D62FB"/>
    <w:rsid w:val="004D657B"/>
    <w:rsid w:val="004D66AC"/>
    <w:rsid w:val="004D6E68"/>
    <w:rsid w:val="004D7156"/>
    <w:rsid w:val="004D7313"/>
    <w:rsid w:val="004D745C"/>
    <w:rsid w:val="004D763E"/>
    <w:rsid w:val="004D77C7"/>
    <w:rsid w:val="004D77EA"/>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4ADC"/>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3B0F"/>
    <w:rsid w:val="004F4024"/>
    <w:rsid w:val="004F4697"/>
    <w:rsid w:val="004F4A7A"/>
    <w:rsid w:val="004F4B61"/>
    <w:rsid w:val="004F5298"/>
    <w:rsid w:val="004F539B"/>
    <w:rsid w:val="004F5542"/>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3D3"/>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4FF5"/>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C3"/>
    <w:rsid w:val="0054441D"/>
    <w:rsid w:val="0054468E"/>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503D"/>
    <w:rsid w:val="0055589B"/>
    <w:rsid w:val="005558F6"/>
    <w:rsid w:val="00555A96"/>
    <w:rsid w:val="00555BB0"/>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241"/>
    <w:rsid w:val="005645FF"/>
    <w:rsid w:val="00564991"/>
    <w:rsid w:val="00564C9D"/>
    <w:rsid w:val="00564FE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916"/>
    <w:rsid w:val="00573CFC"/>
    <w:rsid w:val="00573DF6"/>
    <w:rsid w:val="00574034"/>
    <w:rsid w:val="00574B31"/>
    <w:rsid w:val="00574F55"/>
    <w:rsid w:val="0057527C"/>
    <w:rsid w:val="005756A8"/>
    <w:rsid w:val="00575819"/>
    <w:rsid w:val="00575BCA"/>
    <w:rsid w:val="00575CAA"/>
    <w:rsid w:val="005761C7"/>
    <w:rsid w:val="00576416"/>
    <w:rsid w:val="005767C9"/>
    <w:rsid w:val="00576D54"/>
    <w:rsid w:val="00576E16"/>
    <w:rsid w:val="00576F8A"/>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50"/>
    <w:rsid w:val="00585A8D"/>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2D29"/>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EA6"/>
    <w:rsid w:val="005A4289"/>
    <w:rsid w:val="005A4517"/>
    <w:rsid w:val="005A45AC"/>
    <w:rsid w:val="005A4A0C"/>
    <w:rsid w:val="005A50A3"/>
    <w:rsid w:val="005A5132"/>
    <w:rsid w:val="005A515E"/>
    <w:rsid w:val="005A5664"/>
    <w:rsid w:val="005A570C"/>
    <w:rsid w:val="005A5722"/>
    <w:rsid w:val="005A5E1A"/>
    <w:rsid w:val="005A65B9"/>
    <w:rsid w:val="005A698B"/>
    <w:rsid w:val="005A6F07"/>
    <w:rsid w:val="005A71E6"/>
    <w:rsid w:val="005A7379"/>
    <w:rsid w:val="005A744B"/>
    <w:rsid w:val="005A774F"/>
    <w:rsid w:val="005A794A"/>
    <w:rsid w:val="005A7A93"/>
    <w:rsid w:val="005A7BB1"/>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EE1"/>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2EE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BA3"/>
    <w:rsid w:val="005D0C53"/>
    <w:rsid w:val="005D0C63"/>
    <w:rsid w:val="005D0C70"/>
    <w:rsid w:val="005D0E37"/>
    <w:rsid w:val="005D0FE1"/>
    <w:rsid w:val="005D0FED"/>
    <w:rsid w:val="005D1014"/>
    <w:rsid w:val="005D1416"/>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485"/>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9D6"/>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4F"/>
    <w:rsid w:val="005F4664"/>
    <w:rsid w:val="005F4E88"/>
    <w:rsid w:val="005F54EA"/>
    <w:rsid w:val="005F5525"/>
    <w:rsid w:val="005F5861"/>
    <w:rsid w:val="005F5990"/>
    <w:rsid w:val="005F59B0"/>
    <w:rsid w:val="005F59CF"/>
    <w:rsid w:val="005F62D1"/>
    <w:rsid w:val="005F6795"/>
    <w:rsid w:val="005F6833"/>
    <w:rsid w:val="005F6BBC"/>
    <w:rsid w:val="005F6C95"/>
    <w:rsid w:val="005F7205"/>
    <w:rsid w:val="0060005A"/>
    <w:rsid w:val="006001A4"/>
    <w:rsid w:val="0060064D"/>
    <w:rsid w:val="0060084B"/>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891"/>
    <w:rsid w:val="0060691E"/>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62E"/>
    <w:rsid w:val="006137CE"/>
    <w:rsid w:val="00613A65"/>
    <w:rsid w:val="00613CE7"/>
    <w:rsid w:val="00613D24"/>
    <w:rsid w:val="00613DF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17FFE"/>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2E9E"/>
    <w:rsid w:val="006230D3"/>
    <w:rsid w:val="00623A66"/>
    <w:rsid w:val="00623AFD"/>
    <w:rsid w:val="00623BDD"/>
    <w:rsid w:val="00623F76"/>
    <w:rsid w:val="00624010"/>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CC"/>
    <w:rsid w:val="006516E1"/>
    <w:rsid w:val="00651CBE"/>
    <w:rsid w:val="00652211"/>
    <w:rsid w:val="006522AB"/>
    <w:rsid w:val="00652423"/>
    <w:rsid w:val="0065262A"/>
    <w:rsid w:val="006528F5"/>
    <w:rsid w:val="006528FE"/>
    <w:rsid w:val="00652F56"/>
    <w:rsid w:val="00653578"/>
    <w:rsid w:val="00653596"/>
    <w:rsid w:val="006538E3"/>
    <w:rsid w:val="006542F3"/>
    <w:rsid w:val="00654E06"/>
    <w:rsid w:val="0065596E"/>
    <w:rsid w:val="006559E2"/>
    <w:rsid w:val="00655A6A"/>
    <w:rsid w:val="00655E09"/>
    <w:rsid w:val="006563EB"/>
    <w:rsid w:val="00656643"/>
    <w:rsid w:val="0065738A"/>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61A"/>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5C32"/>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D17"/>
    <w:rsid w:val="00692F22"/>
    <w:rsid w:val="0069329F"/>
    <w:rsid w:val="006933D4"/>
    <w:rsid w:val="006934F5"/>
    <w:rsid w:val="0069351E"/>
    <w:rsid w:val="00693689"/>
    <w:rsid w:val="00693940"/>
    <w:rsid w:val="00693EC8"/>
    <w:rsid w:val="00693F1D"/>
    <w:rsid w:val="006940D4"/>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521"/>
    <w:rsid w:val="006A1683"/>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B83"/>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5ECD"/>
    <w:rsid w:val="006C63D1"/>
    <w:rsid w:val="006C640B"/>
    <w:rsid w:val="006C64DE"/>
    <w:rsid w:val="006C6691"/>
    <w:rsid w:val="006C6698"/>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39"/>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AAF"/>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4FAE"/>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46D"/>
    <w:rsid w:val="0070760B"/>
    <w:rsid w:val="00707D0D"/>
    <w:rsid w:val="00707EA7"/>
    <w:rsid w:val="00707FCA"/>
    <w:rsid w:val="00710969"/>
    <w:rsid w:val="00710AFB"/>
    <w:rsid w:val="00710F6F"/>
    <w:rsid w:val="007115FE"/>
    <w:rsid w:val="007118CA"/>
    <w:rsid w:val="00711D82"/>
    <w:rsid w:val="00711FED"/>
    <w:rsid w:val="007123C0"/>
    <w:rsid w:val="007126A7"/>
    <w:rsid w:val="00712A2E"/>
    <w:rsid w:val="00712B71"/>
    <w:rsid w:val="00713095"/>
    <w:rsid w:val="007130DF"/>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5FB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1A6"/>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3863"/>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B44"/>
    <w:rsid w:val="00744E13"/>
    <w:rsid w:val="00744F15"/>
    <w:rsid w:val="00744F6A"/>
    <w:rsid w:val="007451F1"/>
    <w:rsid w:val="0074550A"/>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057"/>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BDA"/>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7A3"/>
    <w:rsid w:val="00781D44"/>
    <w:rsid w:val="00782200"/>
    <w:rsid w:val="00782343"/>
    <w:rsid w:val="0078238A"/>
    <w:rsid w:val="00782585"/>
    <w:rsid w:val="0078283C"/>
    <w:rsid w:val="00782B95"/>
    <w:rsid w:val="00782CF3"/>
    <w:rsid w:val="007830E9"/>
    <w:rsid w:val="007837AE"/>
    <w:rsid w:val="00783A02"/>
    <w:rsid w:val="00783A5A"/>
    <w:rsid w:val="00783BE2"/>
    <w:rsid w:val="00783E40"/>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D9A"/>
    <w:rsid w:val="0078710D"/>
    <w:rsid w:val="007874B1"/>
    <w:rsid w:val="0078773D"/>
    <w:rsid w:val="00787802"/>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013"/>
    <w:rsid w:val="00792298"/>
    <w:rsid w:val="00792356"/>
    <w:rsid w:val="00792685"/>
    <w:rsid w:val="00792D90"/>
    <w:rsid w:val="00792E4F"/>
    <w:rsid w:val="0079327A"/>
    <w:rsid w:val="007933B4"/>
    <w:rsid w:val="0079383C"/>
    <w:rsid w:val="00793C78"/>
    <w:rsid w:val="00793C90"/>
    <w:rsid w:val="00793D09"/>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844"/>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4C87"/>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0EE"/>
    <w:rsid w:val="007C2283"/>
    <w:rsid w:val="007C237A"/>
    <w:rsid w:val="007C2703"/>
    <w:rsid w:val="007C275C"/>
    <w:rsid w:val="007C2FAF"/>
    <w:rsid w:val="007C30C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3A5"/>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B32"/>
    <w:rsid w:val="007D4CBC"/>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095"/>
    <w:rsid w:val="007E017A"/>
    <w:rsid w:val="007E02BC"/>
    <w:rsid w:val="007E063F"/>
    <w:rsid w:val="007E07CD"/>
    <w:rsid w:val="007E08DF"/>
    <w:rsid w:val="007E095D"/>
    <w:rsid w:val="007E0B9B"/>
    <w:rsid w:val="007E0CF4"/>
    <w:rsid w:val="007E0E3E"/>
    <w:rsid w:val="007E11BE"/>
    <w:rsid w:val="007E16C8"/>
    <w:rsid w:val="007E1817"/>
    <w:rsid w:val="007E1836"/>
    <w:rsid w:val="007E1C4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5EE"/>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A01"/>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572"/>
    <w:rsid w:val="008276F0"/>
    <w:rsid w:val="00827716"/>
    <w:rsid w:val="008302CF"/>
    <w:rsid w:val="0083068A"/>
    <w:rsid w:val="008307B8"/>
    <w:rsid w:val="00830920"/>
    <w:rsid w:val="0083096B"/>
    <w:rsid w:val="00830F97"/>
    <w:rsid w:val="00831241"/>
    <w:rsid w:val="008313F8"/>
    <w:rsid w:val="00831659"/>
    <w:rsid w:val="00831FBD"/>
    <w:rsid w:val="008321A5"/>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837"/>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100"/>
    <w:rsid w:val="00864359"/>
    <w:rsid w:val="008644FB"/>
    <w:rsid w:val="008645C8"/>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67E68"/>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527"/>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572"/>
    <w:rsid w:val="008A6ACD"/>
    <w:rsid w:val="008A713C"/>
    <w:rsid w:val="008A738E"/>
    <w:rsid w:val="008A792C"/>
    <w:rsid w:val="008A7B93"/>
    <w:rsid w:val="008B091D"/>
    <w:rsid w:val="008B0C46"/>
    <w:rsid w:val="008B0E36"/>
    <w:rsid w:val="008B124F"/>
    <w:rsid w:val="008B1C5A"/>
    <w:rsid w:val="008B1D09"/>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4FC2"/>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26"/>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9B8"/>
    <w:rsid w:val="00904A49"/>
    <w:rsid w:val="00904F9C"/>
    <w:rsid w:val="00905354"/>
    <w:rsid w:val="00905357"/>
    <w:rsid w:val="0090583B"/>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4F"/>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042"/>
    <w:rsid w:val="009330FD"/>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5CB"/>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8D5"/>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87"/>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5F8A"/>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2FEB"/>
    <w:rsid w:val="009B3250"/>
    <w:rsid w:val="009B3481"/>
    <w:rsid w:val="009B34A6"/>
    <w:rsid w:val="009B3D60"/>
    <w:rsid w:val="009B4303"/>
    <w:rsid w:val="009B4C48"/>
    <w:rsid w:val="009B4EF2"/>
    <w:rsid w:val="009B51D0"/>
    <w:rsid w:val="009B564D"/>
    <w:rsid w:val="009B59DB"/>
    <w:rsid w:val="009B5C34"/>
    <w:rsid w:val="009B5C4D"/>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2A4"/>
    <w:rsid w:val="009C2344"/>
    <w:rsid w:val="009C24CC"/>
    <w:rsid w:val="009C2623"/>
    <w:rsid w:val="009C2635"/>
    <w:rsid w:val="009C2695"/>
    <w:rsid w:val="009C2A6E"/>
    <w:rsid w:val="009C2CDA"/>
    <w:rsid w:val="009C360F"/>
    <w:rsid w:val="009C3815"/>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DE"/>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78"/>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0D9"/>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03"/>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BA8"/>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E9"/>
    <w:rsid w:val="00A26076"/>
    <w:rsid w:val="00A2615C"/>
    <w:rsid w:val="00A26424"/>
    <w:rsid w:val="00A2648D"/>
    <w:rsid w:val="00A26704"/>
    <w:rsid w:val="00A26F74"/>
    <w:rsid w:val="00A26FE3"/>
    <w:rsid w:val="00A273EF"/>
    <w:rsid w:val="00A275A1"/>
    <w:rsid w:val="00A278EB"/>
    <w:rsid w:val="00A27961"/>
    <w:rsid w:val="00A27E42"/>
    <w:rsid w:val="00A27EAA"/>
    <w:rsid w:val="00A303ED"/>
    <w:rsid w:val="00A306A6"/>
    <w:rsid w:val="00A30C0A"/>
    <w:rsid w:val="00A30E62"/>
    <w:rsid w:val="00A30EC0"/>
    <w:rsid w:val="00A31372"/>
    <w:rsid w:val="00A31376"/>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0AB"/>
    <w:rsid w:val="00A414F3"/>
    <w:rsid w:val="00A41500"/>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E46"/>
    <w:rsid w:val="00A55F6D"/>
    <w:rsid w:val="00A5684A"/>
    <w:rsid w:val="00A56CD5"/>
    <w:rsid w:val="00A5724E"/>
    <w:rsid w:val="00A576CB"/>
    <w:rsid w:val="00A57848"/>
    <w:rsid w:val="00A57FA0"/>
    <w:rsid w:val="00A602F3"/>
    <w:rsid w:val="00A6046A"/>
    <w:rsid w:val="00A605A4"/>
    <w:rsid w:val="00A609DB"/>
    <w:rsid w:val="00A60BFF"/>
    <w:rsid w:val="00A60C11"/>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00D"/>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96"/>
    <w:rsid w:val="00A875D2"/>
    <w:rsid w:val="00A87A05"/>
    <w:rsid w:val="00A902A9"/>
    <w:rsid w:val="00A90327"/>
    <w:rsid w:val="00A9067D"/>
    <w:rsid w:val="00A90864"/>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46"/>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32"/>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8"/>
    <w:rsid w:val="00AC3FCD"/>
    <w:rsid w:val="00AC427A"/>
    <w:rsid w:val="00AC49F2"/>
    <w:rsid w:val="00AC4AA9"/>
    <w:rsid w:val="00AC4B2C"/>
    <w:rsid w:val="00AC512F"/>
    <w:rsid w:val="00AC51E3"/>
    <w:rsid w:val="00AC58EC"/>
    <w:rsid w:val="00AC5A2C"/>
    <w:rsid w:val="00AC5C3A"/>
    <w:rsid w:val="00AC60F3"/>
    <w:rsid w:val="00AC61E0"/>
    <w:rsid w:val="00AC6203"/>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3F94"/>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0FA0"/>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CCA"/>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C2"/>
    <w:rsid w:val="00B018BE"/>
    <w:rsid w:val="00B01B7D"/>
    <w:rsid w:val="00B01D3F"/>
    <w:rsid w:val="00B01F7B"/>
    <w:rsid w:val="00B01F92"/>
    <w:rsid w:val="00B02093"/>
    <w:rsid w:val="00B021EE"/>
    <w:rsid w:val="00B02274"/>
    <w:rsid w:val="00B022FC"/>
    <w:rsid w:val="00B02380"/>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85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6D82"/>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03"/>
    <w:rsid w:val="00B26FB6"/>
    <w:rsid w:val="00B276A0"/>
    <w:rsid w:val="00B27701"/>
    <w:rsid w:val="00B277CE"/>
    <w:rsid w:val="00B2798F"/>
    <w:rsid w:val="00B279D6"/>
    <w:rsid w:val="00B27A94"/>
    <w:rsid w:val="00B27CD0"/>
    <w:rsid w:val="00B27DEC"/>
    <w:rsid w:val="00B27E9F"/>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724B"/>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860"/>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13"/>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3F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35"/>
    <w:rsid w:val="00BA0C8C"/>
    <w:rsid w:val="00BA0E3A"/>
    <w:rsid w:val="00BA1351"/>
    <w:rsid w:val="00BA1360"/>
    <w:rsid w:val="00BA142B"/>
    <w:rsid w:val="00BA148C"/>
    <w:rsid w:val="00BA155A"/>
    <w:rsid w:val="00BA17F2"/>
    <w:rsid w:val="00BA1844"/>
    <w:rsid w:val="00BA219F"/>
    <w:rsid w:val="00BA2D4E"/>
    <w:rsid w:val="00BA2D88"/>
    <w:rsid w:val="00BA3887"/>
    <w:rsid w:val="00BA3A4C"/>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BAE"/>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3A"/>
    <w:rsid w:val="00BE7E7C"/>
    <w:rsid w:val="00BE7F61"/>
    <w:rsid w:val="00BF026B"/>
    <w:rsid w:val="00BF02BF"/>
    <w:rsid w:val="00BF06ED"/>
    <w:rsid w:val="00BF0783"/>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4188"/>
    <w:rsid w:val="00BF418C"/>
    <w:rsid w:val="00BF4653"/>
    <w:rsid w:val="00BF46FF"/>
    <w:rsid w:val="00BF4744"/>
    <w:rsid w:val="00BF4995"/>
    <w:rsid w:val="00BF51EB"/>
    <w:rsid w:val="00BF5365"/>
    <w:rsid w:val="00BF5806"/>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57A"/>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6EF3"/>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660"/>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5F87"/>
    <w:rsid w:val="00C361FE"/>
    <w:rsid w:val="00C362D0"/>
    <w:rsid w:val="00C362F3"/>
    <w:rsid w:val="00C364F6"/>
    <w:rsid w:val="00C36550"/>
    <w:rsid w:val="00C365CB"/>
    <w:rsid w:val="00C368D3"/>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0F3"/>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5FD"/>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615"/>
    <w:rsid w:val="00C659AE"/>
    <w:rsid w:val="00C65A49"/>
    <w:rsid w:val="00C65B3D"/>
    <w:rsid w:val="00C65B46"/>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074"/>
    <w:rsid w:val="00C82150"/>
    <w:rsid w:val="00C82322"/>
    <w:rsid w:val="00C8237D"/>
    <w:rsid w:val="00C82642"/>
    <w:rsid w:val="00C82D0E"/>
    <w:rsid w:val="00C82E2A"/>
    <w:rsid w:val="00C8302F"/>
    <w:rsid w:val="00C833D7"/>
    <w:rsid w:val="00C83821"/>
    <w:rsid w:val="00C83A75"/>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4DE1"/>
    <w:rsid w:val="00C95512"/>
    <w:rsid w:val="00C95B97"/>
    <w:rsid w:val="00C95C48"/>
    <w:rsid w:val="00C95EEE"/>
    <w:rsid w:val="00C95EFA"/>
    <w:rsid w:val="00C9600A"/>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5F13"/>
    <w:rsid w:val="00CB6094"/>
    <w:rsid w:val="00CB60F0"/>
    <w:rsid w:val="00CB6E38"/>
    <w:rsid w:val="00CB7140"/>
    <w:rsid w:val="00CB776F"/>
    <w:rsid w:val="00CB790E"/>
    <w:rsid w:val="00CB7AD7"/>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E0D"/>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724"/>
    <w:rsid w:val="00D148FD"/>
    <w:rsid w:val="00D14DD4"/>
    <w:rsid w:val="00D14FDE"/>
    <w:rsid w:val="00D1537C"/>
    <w:rsid w:val="00D156A7"/>
    <w:rsid w:val="00D15858"/>
    <w:rsid w:val="00D15B5F"/>
    <w:rsid w:val="00D15D0A"/>
    <w:rsid w:val="00D15F56"/>
    <w:rsid w:val="00D163FF"/>
    <w:rsid w:val="00D16CD4"/>
    <w:rsid w:val="00D16ECD"/>
    <w:rsid w:val="00D16F47"/>
    <w:rsid w:val="00D17438"/>
    <w:rsid w:val="00D177AC"/>
    <w:rsid w:val="00D20226"/>
    <w:rsid w:val="00D20992"/>
    <w:rsid w:val="00D209B3"/>
    <w:rsid w:val="00D209FC"/>
    <w:rsid w:val="00D20E88"/>
    <w:rsid w:val="00D2108D"/>
    <w:rsid w:val="00D2192B"/>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AD1"/>
    <w:rsid w:val="00D34DCF"/>
    <w:rsid w:val="00D34F0D"/>
    <w:rsid w:val="00D350AC"/>
    <w:rsid w:val="00D3520B"/>
    <w:rsid w:val="00D35576"/>
    <w:rsid w:val="00D3581B"/>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948"/>
    <w:rsid w:val="00D43A91"/>
    <w:rsid w:val="00D43EAE"/>
    <w:rsid w:val="00D43FA3"/>
    <w:rsid w:val="00D441DF"/>
    <w:rsid w:val="00D4442D"/>
    <w:rsid w:val="00D449C0"/>
    <w:rsid w:val="00D44CB6"/>
    <w:rsid w:val="00D452C5"/>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3D6"/>
    <w:rsid w:val="00D5156B"/>
    <w:rsid w:val="00D51789"/>
    <w:rsid w:val="00D519F4"/>
    <w:rsid w:val="00D51B83"/>
    <w:rsid w:val="00D51CB8"/>
    <w:rsid w:val="00D52942"/>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E55"/>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3A"/>
    <w:rsid w:val="00D63ED5"/>
    <w:rsid w:val="00D63F99"/>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1AC1"/>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361"/>
    <w:rsid w:val="00D844F8"/>
    <w:rsid w:val="00D8450A"/>
    <w:rsid w:val="00D846A9"/>
    <w:rsid w:val="00D847BF"/>
    <w:rsid w:val="00D84909"/>
    <w:rsid w:val="00D84B25"/>
    <w:rsid w:val="00D84E43"/>
    <w:rsid w:val="00D84FD9"/>
    <w:rsid w:val="00D850CE"/>
    <w:rsid w:val="00D854E5"/>
    <w:rsid w:val="00D85520"/>
    <w:rsid w:val="00D855F5"/>
    <w:rsid w:val="00D85610"/>
    <w:rsid w:val="00D8587A"/>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22A"/>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A3D"/>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7F0"/>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918"/>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46A"/>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683"/>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64"/>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F8"/>
    <w:rsid w:val="00E55706"/>
    <w:rsid w:val="00E559EA"/>
    <w:rsid w:val="00E55A81"/>
    <w:rsid w:val="00E55B85"/>
    <w:rsid w:val="00E55EB3"/>
    <w:rsid w:val="00E55F57"/>
    <w:rsid w:val="00E56069"/>
    <w:rsid w:val="00E562C4"/>
    <w:rsid w:val="00E565B7"/>
    <w:rsid w:val="00E56878"/>
    <w:rsid w:val="00E56F40"/>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BB8"/>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0BC"/>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23B"/>
    <w:rsid w:val="00E94412"/>
    <w:rsid w:val="00E9446D"/>
    <w:rsid w:val="00E94F00"/>
    <w:rsid w:val="00E9501E"/>
    <w:rsid w:val="00E95119"/>
    <w:rsid w:val="00E95481"/>
    <w:rsid w:val="00E95496"/>
    <w:rsid w:val="00E955C1"/>
    <w:rsid w:val="00E955CF"/>
    <w:rsid w:val="00E9563B"/>
    <w:rsid w:val="00E95709"/>
    <w:rsid w:val="00E95A5B"/>
    <w:rsid w:val="00E95DAF"/>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AFC"/>
    <w:rsid w:val="00EA4B90"/>
    <w:rsid w:val="00EA4CE8"/>
    <w:rsid w:val="00EA4EED"/>
    <w:rsid w:val="00EA517A"/>
    <w:rsid w:val="00EA60A5"/>
    <w:rsid w:val="00EA625B"/>
    <w:rsid w:val="00EA6407"/>
    <w:rsid w:val="00EA6C05"/>
    <w:rsid w:val="00EA6C4F"/>
    <w:rsid w:val="00EA6FBB"/>
    <w:rsid w:val="00EA7AF6"/>
    <w:rsid w:val="00EA7EB8"/>
    <w:rsid w:val="00EB0179"/>
    <w:rsid w:val="00EB0418"/>
    <w:rsid w:val="00EB04B7"/>
    <w:rsid w:val="00EB0949"/>
    <w:rsid w:val="00EB0ACE"/>
    <w:rsid w:val="00EB0CCF"/>
    <w:rsid w:val="00EB0CFC"/>
    <w:rsid w:val="00EB0D35"/>
    <w:rsid w:val="00EB0F2C"/>
    <w:rsid w:val="00EB1074"/>
    <w:rsid w:val="00EB116F"/>
    <w:rsid w:val="00EB138F"/>
    <w:rsid w:val="00EB1E69"/>
    <w:rsid w:val="00EB2066"/>
    <w:rsid w:val="00EB29AE"/>
    <w:rsid w:val="00EB2AFF"/>
    <w:rsid w:val="00EB2C0C"/>
    <w:rsid w:val="00EB2C3C"/>
    <w:rsid w:val="00EB2DD0"/>
    <w:rsid w:val="00EB3043"/>
    <w:rsid w:val="00EB3D86"/>
    <w:rsid w:val="00EB3E72"/>
    <w:rsid w:val="00EB3F7E"/>
    <w:rsid w:val="00EB41AE"/>
    <w:rsid w:val="00EB41CE"/>
    <w:rsid w:val="00EB4218"/>
    <w:rsid w:val="00EB426A"/>
    <w:rsid w:val="00EB47A5"/>
    <w:rsid w:val="00EB4DE4"/>
    <w:rsid w:val="00EB4E9C"/>
    <w:rsid w:val="00EB4EEE"/>
    <w:rsid w:val="00EB4F5B"/>
    <w:rsid w:val="00EB5321"/>
    <w:rsid w:val="00EB5600"/>
    <w:rsid w:val="00EB6255"/>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934"/>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AA"/>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E54"/>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9CB"/>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602C"/>
    <w:rsid w:val="00F260AE"/>
    <w:rsid w:val="00F260F2"/>
    <w:rsid w:val="00F26330"/>
    <w:rsid w:val="00F2687E"/>
    <w:rsid w:val="00F26B27"/>
    <w:rsid w:val="00F26F81"/>
    <w:rsid w:val="00F26FCF"/>
    <w:rsid w:val="00F2743F"/>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A9E"/>
    <w:rsid w:val="00F31E25"/>
    <w:rsid w:val="00F31F0D"/>
    <w:rsid w:val="00F32691"/>
    <w:rsid w:val="00F3270D"/>
    <w:rsid w:val="00F32735"/>
    <w:rsid w:val="00F32934"/>
    <w:rsid w:val="00F329B0"/>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92"/>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1F0F"/>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09"/>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CE0"/>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2C4E"/>
    <w:rsid w:val="00FD3785"/>
    <w:rsid w:val="00FD37EF"/>
    <w:rsid w:val="00FD3DD1"/>
    <w:rsid w:val="00FD401D"/>
    <w:rsid w:val="00FD423A"/>
    <w:rsid w:val="00FD44B8"/>
    <w:rsid w:val="00FD4728"/>
    <w:rsid w:val="00FD4D30"/>
    <w:rsid w:val="00FD503A"/>
    <w:rsid w:val="00FD5053"/>
    <w:rsid w:val="00FD5393"/>
    <w:rsid w:val="00FD54F3"/>
    <w:rsid w:val="00FD5566"/>
    <w:rsid w:val="00FD56F2"/>
    <w:rsid w:val="00FD590A"/>
    <w:rsid w:val="00FD597E"/>
    <w:rsid w:val="00FD5A4B"/>
    <w:rsid w:val="00FD5D96"/>
    <w:rsid w:val="00FD6291"/>
    <w:rsid w:val="00FD651C"/>
    <w:rsid w:val="00FD665B"/>
    <w:rsid w:val="00FD69DB"/>
    <w:rsid w:val="00FD6DC6"/>
    <w:rsid w:val="00FD6FDB"/>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A84"/>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character" w:customStyle="1" w:styleId="ui-provider">
    <w:name w:val="ui-provider"/>
    <w:basedOn w:val="a1"/>
    <w:rsid w:val="006516CC"/>
  </w:style>
  <w:style w:type="numbering" w:customStyle="1" w:styleId="StyleBulletedSymbolsymbolLeft025Hanging0">
    <w:name w:val="Style Bulleted Symbol (symbol) Left:  0.25&quot; Hanging:  0."/>
    <w:basedOn w:val="a3"/>
    <w:rsid w:val="00DD4A3D"/>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5800420">
      <w:bodyDiv w:val="1"/>
      <w:marLeft w:val="0"/>
      <w:marRight w:val="0"/>
      <w:marTop w:val="0"/>
      <w:marBottom w:val="0"/>
      <w:divBdr>
        <w:top w:val="none" w:sz="0" w:space="0" w:color="auto"/>
        <w:left w:val="none" w:sz="0" w:space="0" w:color="auto"/>
        <w:bottom w:val="none" w:sz="0" w:space="0" w:color="auto"/>
        <w:right w:val="none" w:sz="0" w:space="0" w:color="auto"/>
      </w:divBdr>
      <w:divsChild>
        <w:div w:id="248123550">
          <w:marLeft w:val="547"/>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7129108">
      <w:bodyDiv w:val="1"/>
      <w:marLeft w:val="0"/>
      <w:marRight w:val="0"/>
      <w:marTop w:val="0"/>
      <w:marBottom w:val="0"/>
      <w:divBdr>
        <w:top w:val="none" w:sz="0" w:space="0" w:color="auto"/>
        <w:left w:val="none" w:sz="0" w:space="0" w:color="auto"/>
        <w:bottom w:val="none" w:sz="0" w:space="0" w:color="auto"/>
        <w:right w:val="none" w:sz="0" w:space="0" w:color="auto"/>
      </w:divBdr>
      <w:divsChild>
        <w:div w:id="800466204">
          <w:marLeft w:val="547"/>
          <w:marRight w:val="0"/>
          <w:marTop w:val="58"/>
          <w:marBottom w:val="0"/>
          <w:divBdr>
            <w:top w:val="none" w:sz="0" w:space="0" w:color="auto"/>
            <w:left w:val="none" w:sz="0" w:space="0" w:color="auto"/>
            <w:bottom w:val="none" w:sz="0" w:space="0" w:color="auto"/>
            <w:right w:val="none" w:sz="0" w:space="0" w:color="auto"/>
          </w:divBdr>
        </w:div>
        <w:div w:id="1005860578">
          <w:marLeft w:val="547"/>
          <w:marRight w:val="0"/>
          <w:marTop w:val="58"/>
          <w:marBottom w:val="0"/>
          <w:divBdr>
            <w:top w:val="none" w:sz="0" w:space="0" w:color="auto"/>
            <w:left w:val="none" w:sz="0" w:space="0" w:color="auto"/>
            <w:bottom w:val="none" w:sz="0" w:space="0" w:color="auto"/>
            <w:right w:val="none" w:sz="0" w:space="0" w:color="auto"/>
          </w:divBdr>
        </w:div>
        <w:div w:id="1698311199">
          <w:marLeft w:val="1166"/>
          <w:marRight w:val="0"/>
          <w:marTop w:val="53"/>
          <w:marBottom w:val="0"/>
          <w:divBdr>
            <w:top w:val="none" w:sz="0" w:space="0" w:color="auto"/>
            <w:left w:val="none" w:sz="0" w:space="0" w:color="auto"/>
            <w:bottom w:val="none" w:sz="0" w:space="0" w:color="auto"/>
            <w:right w:val="none" w:sz="0" w:space="0" w:color="auto"/>
          </w:divBdr>
        </w:div>
        <w:div w:id="362482472">
          <w:marLeft w:val="1800"/>
          <w:marRight w:val="0"/>
          <w:marTop w:val="43"/>
          <w:marBottom w:val="0"/>
          <w:divBdr>
            <w:top w:val="none" w:sz="0" w:space="0" w:color="auto"/>
            <w:left w:val="none" w:sz="0" w:space="0" w:color="auto"/>
            <w:bottom w:val="none" w:sz="0" w:space="0" w:color="auto"/>
            <w:right w:val="none" w:sz="0" w:space="0" w:color="auto"/>
          </w:divBdr>
        </w:div>
        <w:div w:id="1877355383">
          <w:marLeft w:val="1800"/>
          <w:marRight w:val="0"/>
          <w:marTop w:val="43"/>
          <w:marBottom w:val="0"/>
          <w:divBdr>
            <w:top w:val="none" w:sz="0" w:space="0" w:color="auto"/>
            <w:left w:val="none" w:sz="0" w:space="0" w:color="auto"/>
            <w:bottom w:val="none" w:sz="0" w:space="0" w:color="auto"/>
            <w:right w:val="none" w:sz="0" w:space="0" w:color="auto"/>
          </w:divBdr>
        </w:div>
        <w:div w:id="1666712272">
          <w:marLeft w:val="1166"/>
          <w:marRight w:val="0"/>
          <w:marTop w:val="53"/>
          <w:marBottom w:val="0"/>
          <w:divBdr>
            <w:top w:val="none" w:sz="0" w:space="0" w:color="auto"/>
            <w:left w:val="none" w:sz="0" w:space="0" w:color="auto"/>
            <w:bottom w:val="none" w:sz="0" w:space="0" w:color="auto"/>
            <w:right w:val="none" w:sz="0" w:space="0" w:color="auto"/>
          </w:divBdr>
        </w:div>
        <w:div w:id="1128817506">
          <w:marLeft w:val="1800"/>
          <w:marRight w:val="0"/>
          <w:marTop w:val="43"/>
          <w:marBottom w:val="0"/>
          <w:divBdr>
            <w:top w:val="none" w:sz="0" w:space="0" w:color="auto"/>
            <w:left w:val="none" w:sz="0" w:space="0" w:color="auto"/>
            <w:bottom w:val="none" w:sz="0" w:space="0" w:color="auto"/>
            <w:right w:val="none" w:sz="0" w:space="0" w:color="auto"/>
          </w:divBdr>
        </w:div>
        <w:div w:id="1119836757">
          <w:marLeft w:val="2520"/>
          <w:marRight w:val="0"/>
          <w:marTop w:val="43"/>
          <w:marBottom w:val="0"/>
          <w:divBdr>
            <w:top w:val="none" w:sz="0" w:space="0" w:color="auto"/>
            <w:left w:val="none" w:sz="0" w:space="0" w:color="auto"/>
            <w:bottom w:val="none" w:sz="0" w:space="0" w:color="auto"/>
            <w:right w:val="none" w:sz="0" w:space="0" w:color="auto"/>
          </w:divBdr>
        </w:div>
        <w:div w:id="1367369863">
          <w:marLeft w:val="2520"/>
          <w:marRight w:val="0"/>
          <w:marTop w:val="43"/>
          <w:marBottom w:val="0"/>
          <w:divBdr>
            <w:top w:val="none" w:sz="0" w:space="0" w:color="auto"/>
            <w:left w:val="none" w:sz="0" w:space="0" w:color="auto"/>
            <w:bottom w:val="none" w:sz="0" w:space="0" w:color="auto"/>
            <w:right w:val="none" w:sz="0" w:space="0" w:color="auto"/>
          </w:divBdr>
        </w:div>
        <w:div w:id="234780604">
          <w:marLeft w:val="2520"/>
          <w:marRight w:val="0"/>
          <w:marTop w:val="43"/>
          <w:marBottom w:val="0"/>
          <w:divBdr>
            <w:top w:val="none" w:sz="0" w:space="0" w:color="auto"/>
            <w:left w:val="none" w:sz="0" w:space="0" w:color="auto"/>
            <w:bottom w:val="none" w:sz="0" w:space="0" w:color="auto"/>
            <w:right w:val="none" w:sz="0" w:space="0" w:color="auto"/>
          </w:divBdr>
        </w:div>
      </w:divsChild>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34060">
      <w:bodyDiv w:val="1"/>
      <w:marLeft w:val="0"/>
      <w:marRight w:val="0"/>
      <w:marTop w:val="0"/>
      <w:marBottom w:val="0"/>
      <w:divBdr>
        <w:top w:val="none" w:sz="0" w:space="0" w:color="auto"/>
        <w:left w:val="none" w:sz="0" w:space="0" w:color="auto"/>
        <w:bottom w:val="none" w:sz="0" w:space="0" w:color="auto"/>
        <w:right w:val="none" w:sz="0" w:space="0" w:color="auto"/>
      </w:divBdr>
      <w:divsChild>
        <w:div w:id="1679698074">
          <w:marLeft w:val="1166"/>
          <w:marRight w:val="0"/>
          <w:marTop w:val="120"/>
          <w:marBottom w:val="0"/>
          <w:divBdr>
            <w:top w:val="none" w:sz="0" w:space="0" w:color="auto"/>
            <w:left w:val="none" w:sz="0" w:space="0" w:color="auto"/>
            <w:bottom w:val="none" w:sz="0" w:space="0" w:color="auto"/>
            <w:right w:val="none" w:sz="0" w:space="0" w:color="auto"/>
          </w:divBdr>
        </w:div>
        <w:div w:id="1469859345">
          <w:marLeft w:val="1800"/>
          <w:marRight w:val="0"/>
          <w:marTop w:val="120"/>
          <w:marBottom w:val="0"/>
          <w:divBdr>
            <w:top w:val="none" w:sz="0" w:space="0" w:color="auto"/>
            <w:left w:val="none" w:sz="0" w:space="0" w:color="auto"/>
            <w:bottom w:val="none" w:sz="0" w:space="0" w:color="auto"/>
            <w:right w:val="none" w:sz="0" w:space="0" w:color="auto"/>
          </w:divBdr>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7234848">
      <w:bodyDiv w:val="1"/>
      <w:marLeft w:val="0"/>
      <w:marRight w:val="0"/>
      <w:marTop w:val="0"/>
      <w:marBottom w:val="0"/>
      <w:divBdr>
        <w:top w:val="none" w:sz="0" w:space="0" w:color="auto"/>
        <w:left w:val="none" w:sz="0" w:space="0" w:color="auto"/>
        <w:bottom w:val="none" w:sz="0" w:space="0" w:color="auto"/>
        <w:right w:val="none" w:sz="0" w:space="0" w:color="auto"/>
      </w:divBdr>
      <w:divsChild>
        <w:div w:id="1403984625">
          <w:marLeft w:val="1166"/>
          <w:marRight w:val="0"/>
          <w:marTop w:val="120"/>
          <w:marBottom w:val="0"/>
          <w:divBdr>
            <w:top w:val="none" w:sz="0" w:space="0" w:color="auto"/>
            <w:left w:val="none" w:sz="0" w:space="0" w:color="auto"/>
            <w:bottom w:val="none" w:sz="0" w:space="0" w:color="auto"/>
            <w:right w:val="none" w:sz="0" w:space="0" w:color="auto"/>
          </w:divBdr>
        </w:div>
        <w:div w:id="873226420">
          <w:marLeft w:val="1166"/>
          <w:marRight w:val="0"/>
          <w:marTop w:val="120"/>
          <w:marBottom w:val="0"/>
          <w:divBdr>
            <w:top w:val="none" w:sz="0" w:space="0" w:color="auto"/>
            <w:left w:val="none" w:sz="0" w:space="0" w:color="auto"/>
            <w:bottom w:val="none" w:sz="0" w:space="0" w:color="auto"/>
            <w:right w:val="none" w:sz="0" w:space="0" w:color="auto"/>
          </w:divBdr>
        </w:div>
        <w:div w:id="518155326">
          <w:marLeft w:val="1166"/>
          <w:marRight w:val="0"/>
          <w:marTop w:val="120"/>
          <w:marBottom w:val="0"/>
          <w:divBdr>
            <w:top w:val="none" w:sz="0" w:space="0" w:color="auto"/>
            <w:left w:val="none" w:sz="0" w:space="0" w:color="auto"/>
            <w:bottom w:val="none" w:sz="0" w:space="0" w:color="auto"/>
            <w:right w:val="none" w:sz="0" w:space="0" w:color="auto"/>
          </w:divBdr>
        </w:div>
      </w:divsChild>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895818574">
      <w:bodyDiv w:val="1"/>
      <w:marLeft w:val="0"/>
      <w:marRight w:val="0"/>
      <w:marTop w:val="0"/>
      <w:marBottom w:val="0"/>
      <w:divBdr>
        <w:top w:val="none" w:sz="0" w:space="0" w:color="auto"/>
        <w:left w:val="none" w:sz="0" w:space="0" w:color="auto"/>
        <w:bottom w:val="none" w:sz="0" w:space="0" w:color="auto"/>
        <w:right w:val="none" w:sz="0" w:space="0" w:color="auto"/>
      </w:divBdr>
      <w:divsChild>
        <w:div w:id="1128663774">
          <w:marLeft w:val="1166"/>
          <w:marRight w:val="0"/>
          <w:marTop w:val="120"/>
          <w:marBottom w:val="0"/>
          <w:divBdr>
            <w:top w:val="none" w:sz="0" w:space="0" w:color="auto"/>
            <w:left w:val="none" w:sz="0" w:space="0" w:color="auto"/>
            <w:bottom w:val="none" w:sz="0" w:space="0" w:color="auto"/>
            <w:right w:val="none" w:sz="0" w:space="0" w:color="auto"/>
          </w:divBdr>
        </w:div>
        <w:div w:id="669141662">
          <w:marLeft w:val="1800"/>
          <w:marRight w:val="0"/>
          <w:marTop w:val="12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23834880">
      <w:bodyDiv w:val="1"/>
      <w:marLeft w:val="0"/>
      <w:marRight w:val="0"/>
      <w:marTop w:val="0"/>
      <w:marBottom w:val="0"/>
      <w:divBdr>
        <w:top w:val="none" w:sz="0" w:space="0" w:color="auto"/>
        <w:left w:val="none" w:sz="0" w:space="0" w:color="auto"/>
        <w:bottom w:val="none" w:sz="0" w:space="0" w:color="auto"/>
        <w:right w:val="none" w:sz="0" w:space="0" w:color="auto"/>
      </w:divBdr>
      <w:divsChild>
        <w:div w:id="1008413074">
          <w:marLeft w:val="1166"/>
          <w:marRight w:val="0"/>
          <w:marTop w:val="120"/>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9506938">
      <w:bodyDiv w:val="1"/>
      <w:marLeft w:val="0"/>
      <w:marRight w:val="0"/>
      <w:marTop w:val="0"/>
      <w:marBottom w:val="0"/>
      <w:divBdr>
        <w:top w:val="none" w:sz="0" w:space="0" w:color="auto"/>
        <w:left w:val="none" w:sz="0" w:space="0" w:color="auto"/>
        <w:bottom w:val="none" w:sz="0" w:space="0" w:color="auto"/>
        <w:right w:val="none" w:sz="0" w:space="0" w:color="auto"/>
      </w:divBdr>
      <w:divsChild>
        <w:div w:id="623930523">
          <w:marLeft w:val="547"/>
          <w:marRight w:val="0"/>
          <w:marTop w:val="77"/>
          <w:marBottom w:val="0"/>
          <w:divBdr>
            <w:top w:val="none" w:sz="0" w:space="0" w:color="auto"/>
            <w:left w:val="none" w:sz="0" w:space="0" w:color="auto"/>
            <w:bottom w:val="none" w:sz="0" w:space="0" w:color="auto"/>
            <w:right w:val="none" w:sz="0" w:space="0" w:color="auto"/>
          </w:divBdr>
        </w:div>
        <w:div w:id="1393431603">
          <w:marLeft w:val="547"/>
          <w:marRight w:val="0"/>
          <w:marTop w:val="77"/>
          <w:marBottom w:val="0"/>
          <w:divBdr>
            <w:top w:val="none" w:sz="0" w:space="0" w:color="auto"/>
            <w:left w:val="none" w:sz="0" w:space="0" w:color="auto"/>
            <w:bottom w:val="none" w:sz="0" w:space="0" w:color="auto"/>
            <w:right w:val="none" w:sz="0" w:space="0" w:color="auto"/>
          </w:divBdr>
        </w:div>
        <w:div w:id="1992830644">
          <w:marLeft w:val="547"/>
          <w:marRight w:val="0"/>
          <w:marTop w:val="77"/>
          <w:marBottom w:val="0"/>
          <w:divBdr>
            <w:top w:val="none" w:sz="0" w:space="0" w:color="auto"/>
            <w:left w:val="none" w:sz="0" w:space="0" w:color="auto"/>
            <w:bottom w:val="none" w:sz="0" w:space="0" w:color="auto"/>
            <w:right w:val="none" w:sz="0" w:space="0" w:color="auto"/>
          </w:divBdr>
        </w:div>
        <w:div w:id="872764082">
          <w:marLeft w:val="1166"/>
          <w:marRight w:val="0"/>
          <w:marTop w:val="67"/>
          <w:marBottom w:val="0"/>
          <w:divBdr>
            <w:top w:val="none" w:sz="0" w:space="0" w:color="auto"/>
            <w:left w:val="none" w:sz="0" w:space="0" w:color="auto"/>
            <w:bottom w:val="none" w:sz="0" w:space="0" w:color="auto"/>
            <w:right w:val="none" w:sz="0" w:space="0" w:color="auto"/>
          </w:divBdr>
        </w:div>
        <w:div w:id="201020716">
          <w:marLeft w:val="1166"/>
          <w:marRight w:val="0"/>
          <w:marTop w:val="67"/>
          <w:marBottom w:val="0"/>
          <w:divBdr>
            <w:top w:val="none" w:sz="0" w:space="0" w:color="auto"/>
            <w:left w:val="none" w:sz="0" w:space="0" w:color="auto"/>
            <w:bottom w:val="none" w:sz="0" w:space="0" w:color="auto"/>
            <w:right w:val="none" w:sz="0" w:space="0" w:color="auto"/>
          </w:divBdr>
        </w:div>
        <w:div w:id="1494099518">
          <w:marLeft w:val="1166"/>
          <w:marRight w:val="0"/>
          <w:marTop w:val="67"/>
          <w:marBottom w:val="0"/>
          <w:divBdr>
            <w:top w:val="none" w:sz="0" w:space="0" w:color="auto"/>
            <w:left w:val="none" w:sz="0" w:space="0" w:color="auto"/>
            <w:bottom w:val="none" w:sz="0" w:space="0" w:color="auto"/>
            <w:right w:val="none" w:sz="0" w:space="0" w:color="auto"/>
          </w:divBdr>
        </w:div>
        <w:div w:id="545483893">
          <w:marLeft w:val="1166"/>
          <w:marRight w:val="0"/>
          <w:marTop w:val="67"/>
          <w:marBottom w:val="0"/>
          <w:divBdr>
            <w:top w:val="none" w:sz="0" w:space="0" w:color="auto"/>
            <w:left w:val="none" w:sz="0" w:space="0" w:color="auto"/>
            <w:bottom w:val="none" w:sz="0" w:space="0" w:color="auto"/>
            <w:right w:val="none" w:sz="0" w:space="0" w:color="auto"/>
          </w:divBdr>
        </w:div>
      </w:divsChild>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1387312">
      <w:bodyDiv w:val="1"/>
      <w:marLeft w:val="0"/>
      <w:marRight w:val="0"/>
      <w:marTop w:val="0"/>
      <w:marBottom w:val="0"/>
      <w:divBdr>
        <w:top w:val="none" w:sz="0" w:space="0" w:color="auto"/>
        <w:left w:val="none" w:sz="0" w:space="0" w:color="auto"/>
        <w:bottom w:val="none" w:sz="0" w:space="0" w:color="auto"/>
        <w:right w:val="none" w:sz="0" w:space="0" w:color="auto"/>
      </w:divBdr>
      <w:divsChild>
        <w:div w:id="42564229">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639356-38C4-4F7D-B43C-D3B9B6D8E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1149</Words>
  <Characters>6552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2</cp:revision>
  <cp:lastPrinted>2007-08-28T02:45:00Z</cp:lastPrinted>
  <dcterms:created xsi:type="dcterms:W3CDTF">2025-02-06T02:41:00Z</dcterms:created>
  <dcterms:modified xsi:type="dcterms:W3CDTF">2025-02-06T02:41:00Z</dcterms:modified>
</cp:coreProperties>
</file>