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ind w:right="2"/>
        <w:rPr>
          <w:b/>
          <w:bCs/>
          <w:lang w:eastAsia="zh-CN"/>
        </w:rPr>
      </w:pPr>
      <w:bookmarkStart w:id="0" w:name="_Ref129681832"/>
      <w:bookmarkStart w:id="1" w:name="_Hlk127560879"/>
      <w:r>
        <w:rPr>
          <w:b/>
          <w:bCs/>
          <w:lang w:eastAsia="ja-JP"/>
        </w:rPr>
        <w:t>3GPP TSG RAN WG1 meeting #1</w:t>
      </w:r>
      <w:r>
        <w:rPr>
          <w:rFonts w:hint="eastAsia"/>
          <w:b/>
          <w:bCs/>
          <w:lang w:eastAsia="zh-CN"/>
        </w:rPr>
        <w:t>20</w:t>
      </w:r>
      <w:r>
        <w:rPr>
          <w:b/>
          <w:bCs/>
          <w:lang w:eastAsia="ja-JP"/>
        </w:rPr>
        <w:tab/>
      </w:r>
      <w:r>
        <w:rPr>
          <w:rFonts w:hint="eastAsia"/>
          <w:b/>
          <w:bCs/>
          <w:lang w:eastAsia="zh-CN"/>
        </w:rPr>
        <w:t xml:space="preserve">                                                                        </w:t>
      </w:r>
      <w:r>
        <w:rPr>
          <w:b/>
          <w:bCs/>
          <w:lang w:eastAsia="ja-JP"/>
        </w:rPr>
        <w:t xml:space="preserve">             </w:t>
      </w:r>
      <w:r>
        <w:rPr>
          <w:rFonts w:hint="eastAsia"/>
          <w:b/>
          <w:bCs/>
          <w:lang w:eastAsia="ja-JP"/>
        </w:rPr>
        <w:t>R1-2</w:t>
      </w:r>
      <w:r>
        <w:rPr>
          <w:rFonts w:hint="eastAsia"/>
          <w:b/>
          <w:bCs/>
          <w:lang w:eastAsia="zh-CN"/>
        </w:rPr>
        <w:t>500135</w:t>
      </w:r>
    </w:p>
    <w:p>
      <w:pPr>
        <w:rPr>
          <w:b/>
          <w:bCs/>
          <w:sz w:val="20"/>
          <w:szCs w:val="20"/>
          <w:lang w:val="en-GB"/>
        </w:rPr>
      </w:pPr>
      <w:r>
        <w:rPr>
          <w:rFonts w:eastAsia="MS Mincho"/>
          <w:b/>
          <w:bCs/>
          <w:lang w:eastAsia="ja-JP"/>
        </w:rPr>
        <w:t xml:space="preserve">Athens, Greece, </w:t>
      </w:r>
      <w:r>
        <w:rPr>
          <w:rFonts w:eastAsia="Malgun Gothic"/>
          <w:b/>
          <w:bCs/>
          <w:lang w:eastAsia="ko-KR"/>
        </w:rPr>
        <w:t xml:space="preserve">February </w:t>
      </w:r>
      <w:r>
        <w:rPr>
          <w:rFonts w:eastAsia="MS Mincho"/>
          <w:b/>
          <w:bCs/>
          <w:lang w:eastAsia="ja-JP"/>
        </w:rPr>
        <w:t>17</w:t>
      </w:r>
      <w:r>
        <w:rPr>
          <w:rFonts w:eastAsia="Malgun Gothic"/>
          <w:b/>
          <w:bCs/>
          <w:vertAlign w:val="superscript"/>
          <w:lang w:eastAsia="ko-KR"/>
        </w:rPr>
        <w:t>th</w:t>
      </w:r>
      <w:r>
        <w:rPr>
          <w:rFonts w:eastAsia="MS Mincho"/>
          <w:b/>
          <w:bCs/>
          <w:lang w:eastAsia="ja-JP"/>
        </w:rPr>
        <w:t xml:space="preserve"> </w:t>
      </w:r>
      <w:r>
        <w:rPr>
          <w:b/>
          <w:bCs/>
        </w:rPr>
        <w:t>– 21</w:t>
      </w:r>
      <w:r>
        <w:rPr>
          <w:b/>
          <w:bCs/>
          <w:vertAlign w:val="superscript"/>
        </w:rPr>
        <w:t>st</w:t>
      </w:r>
      <w:r>
        <w:rPr>
          <w:rFonts w:eastAsia="MS Mincho"/>
          <w:b/>
          <w:bCs/>
          <w:lang w:eastAsia="ja-JP"/>
        </w:rPr>
        <w:t>, 2025</w:t>
      </w:r>
    </w:p>
    <w:p>
      <w:pPr>
        <w:spacing w:after="60"/>
        <w:ind w:left="1555" w:hanging="1555"/>
        <w:jc w:val="left"/>
        <w:rPr>
          <w:b/>
          <w:kern w:val="2"/>
          <w:lang w:eastAsia="zh-CN"/>
        </w:rPr>
      </w:pPr>
    </w:p>
    <w:p>
      <w:pPr>
        <w:spacing w:after="60"/>
        <w:ind w:left="1555" w:hanging="1555"/>
        <w:jc w:val="left"/>
        <w:rPr>
          <w:b/>
          <w:kern w:val="2"/>
          <w:lang w:eastAsia="zh-CN"/>
        </w:rPr>
      </w:pPr>
      <w:r>
        <w:rPr>
          <w:b/>
        </w:rPr>
        <w:t xml:space="preserve">Title: </w:t>
      </w:r>
      <w:r>
        <w:rPr>
          <w:b/>
        </w:rPr>
        <w:tab/>
      </w:r>
      <w:r>
        <w:rPr>
          <w:rFonts w:hint="eastAsia"/>
          <w:b/>
        </w:rPr>
        <w:t>Discussion on NES features</w:t>
      </w:r>
    </w:p>
    <w:p>
      <w:pPr>
        <w:spacing w:after="60"/>
        <w:ind w:left="1555" w:hanging="1555"/>
        <w:jc w:val="left"/>
        <w:rPr>
          <w:b/>
          <w:kern w:val="2"/>
          <w:lang w:eastAsia="zh-CN"/>
        </w:rPr>
      </w:pPr>
      <w:r>
        <w:rPr>
          <w:b/>
          <w:kern w:val="2"/>
          <w:lang w:eastAsia="zh-CN"/>
        </w:rPr>
        <w:t>Source:</w:t>
      </w:r>
      <w:r>
        <w:rPr>
          <w:b/>
          <w:kern w:val="2"/>
          <w:lang w:eastAsia="zh-CN"/>
        </w:rPr>
        <w:tab/>
      </w:r>
      <w:r>
        <w:rPr>
          <w:b/>
        </w:rPr>
        <w:t>ZTE</w:t>
      </w:r>
      <w:r>
        <w:rPr>
          <w:rFonts w:hint="eastAsia"/>
          <w:b/>
          <w:lang w:eastAsia="zh-CN"/>
        </w:rPr>
        <w:t xml:space="preserve"> Corporation</w:t>
      </w:r>
      <w:r>
        <w:rPr>
          <w:b/>
        </w:rPr>
        <w:t>, Sanechips</w:t>
      </w:r>
    </w:p>
    <w:p>
      <w:pPr>
        <w:spacing w:after="60"/>
        <w:ind w:left="1555" w:hanging="1555"/>
        <w:jc w:val="left"/>
        <w:rPr>
          <w:b/>
          <w:kern w:val="2"/>
          <w:lang w:eastAsia="zh-CN"/>
        </w:rPr>
      </w:pPr>
      <w:r>
        <w:rPr>
          <w:b/>
          <w:lang w:val="pt-BR"/>
        </w:rPr>
        <w:t>Agenda item:</w:t>
      </w:r>
      <w:r>
        <w:rPr>
          <w:b/>
          <w:kern w:val="2"/>
          <w:lang w:eastAsia="zh-CN"/>
        </w:rPr>
        <w:tab/>
      </w:r>
      <w:r>
        <w:rPr>
          <w:rFonts w:hint="eastAsia"/>
          <w:b/>
          <w:kern w:val="2"/>
          <w:lang w:eastAsia="zh-CN"/>
        </w:rPr>
        <w:t>9.15.4</w:t>
      </w:r>
    </w:p>
    <w:p>
      <w:pPr>
        <w:spacing w:after="60"/>
        <w:ind w:left="1555" w:hanging="1555"/>
        <w:jc w:val="left"/>
        <w:rPr>
          <w:b/>
          <w:kern w:val="2"/>
          <w:lang w:eastAsia="zh-CN"/>
        </w:rPr>
      </w:pPr>
      <w:r>
        <w:rPr>
          <w:b/>
          <w:kern w:val="2"/>
          <w:lang w:eastAsia="zh-CN"/>
        </w:rPr>
        <w:t>Document for:</w:t>
      </w:r>
      <w:r>
        <w:rPr>
          <w:b/>
          <w:kern w:val="2"/>
          <w:lang w:eastAsia="zh-CN"/>
        </w:rPr>
        <w:tab/>
      </w:r>
      <w:r>
        <w:rPr>
          <w:b/>
          <w:kern w:val="2"/>
          <w:lang w:eastAsia="zh-CN"/>
        </w:rPr>
        <w:t>Discussion and Decision</w:t>
      </w:r>
    </w:p>
    <w:p>
      <w:pPr>
        <w:pStyle w:val="2"/>
        <w:keepLines/>
        <w:numPr>
          <w:ilvl w:val="0"/>
          <w:numId w:val="8"/>
        </w:numPr>
        <w:pBdr>
          <w:top w:val="single" w:color="auto" w:sz="12" w:space="3"/>
        </w:pBdr>
        <w:autoSpaceDE/>
        <w:autoSpaceDN/>
        <w:adjustRightInd/>
        <w:snapToGrid/>
        <w:spacing w:beforeLines="50" w:afterLines="50"/>
      </w:pPr>
      <w:r>
        <w:rPr>
          <w:kern w:val="2"/>
          <w:lang w:eastAsia="zh-CN"/>
        </w:rPr>
        <w:t>Introduction</w:t>
      </w:r>
    </w:p>
    <w:p>
      <w:pPr>
        <w:spacing w:before="120" w:beforeLines="50"/>
        <w:rPr>
          <w:rFonts w:eastAsia="MS Mincho"/>
          <w:lang w:eastAsia="ja-JP"/>
        </w:rPr>
      </w:pPr>
      <w:r>
        <w:t>In this contribution, our views on R1</w:t>
      </w:r>
      <w:r>
        <w:rPr>
          <w:rFonts w:hint="eastAsia"/>
          <w:lang w:eastAsia="zh-CN"/>
        </w:rPr>
        <w:t>9</w:t>
      </w:r>
      <w:r>
        <w:t xml:space="preserve"> </w:t>
      </w:r>
      <w:r>
        <w:rPr>
          <w:rFonts w:hint="eastAsia"/>
          <w:lang w:eastAsia="zh-CN"/>
        </w:rPr>
        <w:t>NES</w:t>
      </w:r>
      <w:r>
        <w:t xml:space="preserve"> UE features are provided.</w:t>
      </w:r>
    </w:p>
    <w:p>
      <w:pPr>
        <w:pStyle w:val="2"/>
        <w:keepLines/>
        <w:numPr>
          <w:ilvl w:val="0"/>
          <w:numId w:val="8"/>
        </w:numPr>
        <w:pBdr>
          <w:top w:val="single" w:color="auto" w:sz="12" w:space="3"/>
        </w:pBdr>
        <w:autoSpaceDE/>
        <w:autoSpaceDN/>
        <w:adjustRightInd/>
        <w:snapToGrid/>
        <w:spacing w:beforeLines="50" w:afterLines="50"/>
      </w:pPr>
      <w:r>
        <w:rPr>
          <w:lang w:eastAsia="zh-CN"/>
        </w:rPr>
        <w:t>Discussion</w:t>
      </w:r>
    </w:p>
    <w:p>
      <w:r>
        <w:rPr>
          <w:rFonts w:hint="eastAsia"/>
          <w:lang w:eastAsia="zh-CN"/>
        </w:rPr>
        <w:t>Based on agreements that were made in previous meetings [1]-[6], we propose the following UE feature groups. Other inputs in UE feature list can be further considered after more conclusions are agreed in AI 9.5.</w:t>
      </w:r>
    </w:p>
    <w:p>
      <w:pPr>
        <w:pStyle w:val="3"/>
        <w:keepLines/>
        <w:numPr>
          <w:ilvl w:val="1"/>
          <w:numId w:val="8"/>
        </w:numPr>
        <w:tabs>
          <w:tab w:val="left" w:pos="432"/>
        </w:tabs>
        <w:autoSpaceDE/>
        <w:autoSpaceDN/>
        <w:adjustRightInd/>
        <w:snapToGrid/>
        <w:spacing w:beforeLines="50" w:afterLines="50"/>
        <w:ind w:right="220" w:rightChars="100"/>
        <w:rPr>
          <w:lang w:eastAsia="zh-CN"/>
        </w:rPr>
      </w:pPr>
      <w:r>
        <w:rPr>
          <w:rFonts w:hint="eastAsia"/>
          <w:lang w:eastAsia="zh-CN"/>
        </w:rPr>
        <w:t>On-demand SSB SCell operation</w:t>
      </w:r>
    </w:p>
    <w:p>
      <w:pPr>
        <w:spacing w:before="120" w:beforeLines="50"/>
        <w:rPr>
          <w:bCs/>
          <w:lang w:eastAsia="zh-CN"/>
        </w:rPr>
      </w:pPr>
      <w:r>
        <w:rPr>
          <w:rFonts w:hint="eastAsia" w:eastAsia="等线"/>
          <w:lang w:eastAsia="zh-CN"/>
        </w:rPr>
        <w:t xml:space="preserve">In previous RAN1 meetings, on-demand SSB SCell operation for UEs in scenario #2 and scenario #2A, in conjunction with cases #1 and case #2 were supported. And the on-demand SSB can be triggered by either RRC or MAC CE. </w:t>
      </w:r>
      <w:r>
        <w:rPr>
          <w:rFonts w:hint="eastAsia"/>
          <w:bCs/>
          <w:lang w:eastAsia="zh-CN"/>
        </w:rPr>
        <w:t xml:space="preserve"> </w:t>
      </w:r>
    </w:p>
    <w:p>
      <w:pPr>
        <w:spacing w:before="120" w:beforeLines="50"/>
        <w:rPr>
          <w:bCs/>
          <w:lang w:eastAsia="zh-CN"/>
        </w:rPr>
      </w:pPr>
      <w:r>
        <w:rPr>
          <w:rFonts w:hint="eastAsia"/>
          <w:bCs/>
          <w:lang w:eastAsia="zh-CN"/>
        </w:rPr>
        <w:t xml:space="preserve">In aspect of triggering/deactivation of on-demand SSB, from our perspective, the on-demand SSB triggered/deactivated by RRC based signaling and MAC CE based signaling can be separate FGs. </w:t>
      </w:r>
    </w:p>
    <w:p>
      <w:pPr>
        <w:spacing w:before="120" w:beforeLines="50"/>
        <w:rPr>
          <w:bCs/>
          <w:lang w:eastAsia="zh-CN"/>
        </w:rPr>
      </w:pPr>
      <w:r>
        <w:rPr>
          <w:rFonts w:hint="eastAsia"/>
          <w:bCs/>
          <w:lang w:eastAsia="zh-CN"/>
        </w:rPr>
        <w:t>For RRC based triggering/deactivation, on-demand SSB can be triggered in two ways using RRC. First, it can be triggered when the RRC signaling is utilized to activate or configure an SCell. Alternatively, it can be triggered by RRC signaling that configures the on-demand SSB configuration without configuring/activating an SCell. For deactivation, the on-demand SSB transmission can be terminated after a specified number, N, of on-demand SSB bursts. And the value N is configured by RRC signaling. To this regard, we propose to take agreed mechanism as an FG with corresponding components:</w:t>
      </w:r>
    </w:p>
    <w:p>
      <w:pPr>
        <w:spacing w:before="120" w:beforeLines="50"/>
        <w:rPr>
          <w:bCs/>
          <w:i/>
          <w:iCs/>
          <w:lang w:eastAsia="zh-CN"/>
        </w:rPr>
      </w:pPr>
      <w:r>
        <w:rPr>
          <w:rFonts w:hint="eastAsia"/>
          <w:bCs/>
          <w:i/>
          <w:iCs/>
          <w:lang w:eastAsia="zh-CN"/>
        </w:rPr>
        <w:t>FG X-1: On-demand SSB triggered/deactivated by RRC.</w:t>
      </w:r>
    </w:p>
    <w:p>
      <w:pPr>
        <w:numPr>
          <w:ilvl w:val="0"/>
          <w:numId w:val="9"/>
        </w:numPr>
        <w:spacing w:before="120" w:beforeLines="50"/>
        <w:ind w:firstLine="425"/>
        <w:rPr>
          <w:bCs/>
          <w:i/>
          <w:iCs/>
          <w:lang w:eastAsia="zh-CN"/>
        </w:rPr>
      </w:pPr>
      <w:r>
        <w:rPr>
          <w:rFonts w:hint="eastAsia"/>
          <w:bCs/>
          <w:i/>
          <w:iCs/>
          <w:lang w:eastAsia="zh-CN"/>
        </w:rPr>
        <w:t>Support o</w:t>
      </w:r>
      <w:r>
        <w:rPr>
          <w:bCs/>
          <w:i/>
          <w:iCs/>
          <w:lang w:eastAsia="zh-CN"/>
        </w:rPr>
        <w:t xml:space="preserve">n-demand SSB </w:t>
      </w:r>
      <w:r>
        <w:rPr>
          <w:rFonts w:hint="eastAsia"/>
          <w:bCs/>
          <w:i/>
          <w:iCs/>
          <w:lang w:eastAsia="zh-CN"/>
        </w:rPr>
        <w:t xml:space="preserve">transmission with N SSB bursts indicated </w:t>
      </w:r>
      <w:r>
        <w:rPr>
          <w:bCs/>
          <w:i/>
          <w:iCs/>
          <w:lang w:eastAsia="zh-CN"/>
        </w:rPr>
        <w:t>by RRC</w:t>
      </w:r>
      <w:r>
        <w:rPr>
          <w:rFonts w:hint="eastAsia"/>
          <w:bCs/>
          <w:i/>
          <w:iCs/>
          <w:lang w:eastAsia="zh-CN"/>
        </w:rPr>
        <w:t xml:space="preserve"> that </w:t>
      </w:r>
      <w:r>
        <w:rPr>
          <w:bCs/>
          <w:i/>
          <w:iCs/>
          <w:lang w:eastAsia="zh-CN"/>
        </w:rPr>
        <w:t>configures the SCell</w:t>
      </w:r>
      <w:r>
        <w:rPr>
          <w:rFonts w:hint="eastAsia"/>
          <w:bCs/>
          <w:i/>
          <w:iCs/>
          <w:lang w:eastAsia="zh-CN"/>
        </w:rPr>
        <w:t xml:space="preserve">, </w:t>
      </w:r>
      <w:r>
        <w:rPr>
          <w:bCs/>
          <w:i/>
          <w:iCs/>
          <w:lang w:eastAsia="zh-CN"/>
        </w:rPr>
        <w:t>activates the SCell</w:t>
      </w:r>
      <w:r>
        <w:rPr>
          <w:rFonts w:hint="eastAsia"/>
          <w:bCs/>
          <w:i/>
          <w:iCs/>
          <w:lang w:eastAsia="zh-CN"/>
        </w:rPr>
        <w:t xml:space="preserve">, and </w:t>
      </w:r>
      <w:r>
        <w:rPr>
          <w:bCs/>
          <w:i/>
          <w:iCs/>
          <w:lang w:eastAsia="zh-CN"/>
        </w:rPr>
        <w:t>provides on-demand SSB configuration.</w:t>
      </w:r>
    </w:p>
    <w:p>
      <w:pPr>
        <w:spacing w:before="120" w:beforeLines="50"/>
        <w:rPr>
          <w:bCs/>
          <w:lang w:eastAsia="zh-CN"/>
        </w:rPr>
      </w:pPr>
      <w:r>
        <w:rPr>
          <w:rFonts w:hint="eastAsia"/>
          <w:bCs/>
          <w:lang w:eastAsia="zh-CN"/>
        </w:rPr>
        <w:t>For MAC CE based triggering/deactivation, from the perspective of on-demand SSB activation, on-demand SSB can be triggered by MAC CE either before UE receives SCell activation command or when UE receives SCell activation command. From the perspective of on-demand SSB deactivation, on-demand SSB can be deactivated by MAC CE explicitly. Thus, we propose to take agreed mechanism as a FG with corresponding components:</w:t>
      </w:r>
    </w:p>
    <w:p>
      <w:pPr>
        <w:spacing w:before="120" w:beforeLines="50"/>
        <w:rPr>
          <w:bCs/>
          <w:i/>
          <w:iCs/>
          <w:lang w:eastAsia="zh-CN"/>
        </w:rPr>
      </w:pPr>
      <w:r>
        <w:rPr>
          <w:rFonts w:hint="eastAsia"/>
          <w:bCs/>
          <w:i/>
          <w:iCs/>
          <w:lang w:eastAsia="zh-CN"/>
        </w:rPr>
        <w:t>FG X-2: On-demand SSB triggered/deactivated by MAC CE.</w:t>
      </w:r>
    </w:p>
    <w:p>
      <w:pPr>
        <w:numPr>
          <w:ilvl w:val="0"/>
          <w:numId w:val="10"/>
        </w:numPr>
        <w:spacing w:before="120" w:beforeLines="50"/>
        <w:rPr>
          <w:bCs/>
          <w:i/>
          <w:iCs/>
          <w:lang w:eastAsia="zh-CN"/>
        </w:rPr>
      </w:pPr>
      <w:r>
        <w:rPr>
          <w:rFonts w:hint="eastAsia"/>
          <w:bCs/>
          <w:i/>
          <w:iCs/>
          <w:lang w:eastAsia="zh-CN"/>
        </w:rPr>
        <w:t>Support o</w:t>
      </w:r>
      <w:r>
        <w:rPr>
          <w:bCs/>
          <w:i/>
          <w:iCs/>
          <w:lang w:eastAsia="zh-CN"/>
        </w:rPr>
        <w:t xml:space="preserve">n-demand SSB is triggered by </w:t>
      </w:r>
      <w:r>
        <w:rPr>
          <w:rFonts w:hint="eastAsia"/>
          <w:bCs/>
          <w:i/>
          <w:iCs/>
          <w:lang w:eastAsia="zh-CN"/>
        </w:rPr>
        <w:t>MAC CE before UE receives SCell deactivation command.</w:t>
      </w:r>
    </w:p>
    <w:p>
      <w:pPr>
        <w:numPr>
          <w:ilvl w:val="0"/>
          <w:numId w:val="10"/>
        </w:numPr>
        <w:spacing w:before="120" w:beforeLines="50"/>
        <w:rPr>
          <w:bCs/>
          <w:i/>
          <w:iCs/>
          <w:lang w:eastAsia="zh-CN"/>
        </w:rPr>
      </w:pPr>
      <w:r>
        <w:rPr>
          <w:rFonts w:hint="eastAsia"/>
          <w:bCs/>
          <w:i/>
          <w:iCs/>
          <w:lang w:eastAsia="zh-CN"/>
        </w:rPr>
        <w:t>Support o</w:t>
      </w:r>
      <w:r>
        <w:rPr>
          <w:bCs/>
          <w:i/>
          <w:iCs/>
          <w:lang w:eastAsia="zh-CN"/>
        </w:rPr>
        <w:t xml:space="preserve">n-demand SSB is triggered by </w:t>
      </w:r>
      <w:r>
        <w:rPr>
          <w:rFonts w:hint="eastAsia"/>
          <w:bCs/>
          <w:i/>
          <w:iCs/>
          <w:lang w:eastAsia="zh-CN"/>
        </w:rPr>
        <w:t>MAC CE when UE receives SCell activation command.</w:t>
      </w:r>
    </w:p>
    <w:p>
      <w:pPr>
        <w:numPr>
          <w:ilvl w:val="0"/>
          <w:numId w:val="10"/>
        </w:numPr>
        <w:spacing w:before="120" w:beforeLines="50"/>
        <w:rPr>
          <w:bCs/>
          <w:i/>
          <w:iCs/>
          <w:lang w:eastAsia="zh-CN"/>
        </w:rPr>
      </w:pPr>
      <w:r>
        <w:rPr>
          <w:rFonts w:hint="eastAsia"/>
          <w:bCs/>
          <w:i/>
          <w:iCs/>
          <w:lang w:eastAsia="zh-CN"/>
        </w:rPr>
        <w:t>Support on-demand SSB operation is deactivated by MAC CE.</w:t>
      </w:r>
    </w:p>
    <w:p>
      <w:pPr>
        <w:spacing w:before="120" w:beforeLines="50"/>
        <w:rPr>
          <w:bCs/>
          <w:lang w:eastAsia="zh-CN"/>
        </w:rPr>
      </w:pPr>
      <w:r>
        <w:rPr>
          <w:rFonts w:hint="eastAsia"/>
          <w:bCs/>
          <w:lang w:eastAsia="zh-CN"/>
        </w:rPr>
        <w:t>In the aspect of applicable scenarios, the UE not only supports on-demand SSB on the SCell without always-on SSB (case #1) but also supports on-demand SSB on the SCell with always-on SSB (case #2). In our opinion, they should be supported in both FG X-1 and FG X-2 mentioned above.</w:t>
      </w:r>
    </w:p>
    <w:p>
      <w:pPr>
        <w:pStyle w:val="92"/>
        <w:tabs>
          <w:tab w:val="clear" w:pos="0"/>
        </w:tabs>
        <w:spacing w:before="120"/>
        <w:rPr>
          <w:lang w:val="en-US" w:eastAsia="zh-CN"/>
        </w:rPr>
      </w:pPr>
      <w:bookmarkStart w:id="2" w:name="_Toc28055"/>
      <w:bookmarkStart w:id="3" w:name="_Toc7037"/>
      <w:bookmarkStart w:id="4" w:name="_Toc6271"/>
      <w:bookmarkStart w:id="5" w:name="_Toc29446"/>
      <w:bookmarkStart w:id="6" w:name="_Toc20336"/>
      <w:bookmarkStart w:id="7" w:name="_Toc10729"/>
      <w:bookmarkStart w:id="8" w:name="_Toc4669"/>
      <w:r>
        <w:rPr>
          <w:rFonts w:hint="eastAsia"/>
          <w:lang w:val="en-US" w:eastAsia="zh-CN"/>
        </w:rPr>
        <w:t>Introduce UE feature groups for on-demand SSB operation on a SCell in Table 1 as follows:</w:t>
      </w:r>
      <w:bookmarkEnd w:id="2"/>
      <w:bookmarkEnd w:id="3"/>
      <w:bookmarkEnd w:id="4"/>
      <w:bookmarkEnd w:id="5"/>
    </w:p>
    <w:p>
      <w:pPr>
        <w:pStyle w:val="92"/>
        <w:numPr>
          <w:ilvl w:val="1"/>
          <w:numId w:val="6"/>
        </w:numPr>
        <w:spacing w:before="120"/>
        <w:ind w:left="420"/>
        <w:rPr>
          <w:lang w:val="en-US" w:eastAsia="zh-CN"/>
        </w:rPr>
      </w:pPr>
      <w:bookmarkStart w:id="9" w:name="_Toc1230"/>
      <w:bookmarkStart w:id="10" w:name="_Toc31061"/>
      <w:bookmarkStart w:id="11" w:name="_Toc13113"/>
      <w:bookmarkStart w:id="12" w:name="_Toc1471"/>
      <w:r>
        <w:rPr>
          <w:rFonts w:hint="eastAsia"/>
          <w:lang w:val="en-US" w:eastAsia="zh-CN"/>
        </w:rPr>
        <w:t>FG X-1: On-demand SSB triggered/deactivated by RRC</w:t>
      </w:r>
      <w:bookmarkEnd w:id="9"/>
      <w:bookmarkEnd w:id="10"/>
      <w:bookmarkEnd w:id="11"/>
      <w:bookmarkEnd w:id="12"/>
    </w:p>
    <w:p>
      <w:pPr>
        <w:pStyle w:val="92"/>
        <w:numPr>
          <w:ilvl w:val="1"/>
          <w:numId w:val="6"/>
        </w:numPr>
        <w:spacing w:before="120"/>
        <w:ind w:left="420"/>
        <w:rPr>
          <w:lang w:val="en-US" w:eastAsia="zh-CN"/>
        </w:rPr>
      </w:pPr>
      <w:bookmarkStart w:id="13" w:name="_Toc10328"/>
      <w:bookmarkStart w:id="14" w:name="_Toc9034"/>
      <w:bookmarkStart w:id="15" w:name="_Toc29071"/>
      <w:bookmarkStart w:id="16" w:name="_Toc30900"/>
      <w:r>
        <w:rPr>
          <w:rFonts w:hint="eastAsia"/>
          <w:lang w:val="en-US" w:eastAsia="zh-CN"/>
        </w:rPr>
        <w:t>FG X-2: On-demand SSB triggered/deactivated by MAC CE.</w:t>
      </w:r>
      <w:bookmarkEnd w:id="6"/>
      <w:bookmarkEnd w:id="7"/>
      <w:bookmarkEnd w:id="8"/>
      <w:bookmarkEnd w:id="13"/>
      <w:bookmarkEnd w:id="14"/>
      <w:bookmarkEnd w:id="15"/>
      <w:bookmarkEnd w:id="16"/>
    </w:p>
    <w:p>
      <w:pPr>
        <w:pStyle w:val="92"/>
        <w:tabs>
          <w:tab w:val="clear" w:pos="0"/>
        </w:tabs>
        <w:spacing w:before="120" w:beforeLines="50"/>
        <w:rPr>
          <w:lang w:val="en-US" w:eastAsia="zh-CN"/>
        </w:rPr>
      </w:pPr>
      <w:bookmarkStart w:id="17" w:name="_Toc6055"/>
      <w:bookmarkStart w:id="18" w:name="_Toc12875"/>
      <w:bookmarkStart w:id="19" w:name="_Toc22472"/>
      <w:bookmarkStart w:id="20" w:name="_Toc30614"/>
      <w:r>
        <w:rPr>
          <w:rFonts w:hint="eastAsia"/>
          <w:lang w:val="en-US" w:eastAsia="zh-CN"/>
        </w:rPr>
        <w:t xml:space="preserve">On-demand SSB on the SCell without always-on SSB (Case #1) and with always-on SSB (Case #2) can be support in both FG X-1, i.e., </w:t>
      </w:r>
      <w:r>
        <w:rPr>
          <w:lang w:val="en-US" w:eastAsia="zh-CN"/>
        </w:rPr>
        <w:t>“</w:t>
      </w:r>
      <w:r>
        <w:rPr>
          <w:rFonts w:hint="eastAsia"/>
          <w:lang w:val="en-US" w:eastAsia="zh-CN"/>
        </w:rPr>
        <w:t>On-demand SSB triggered/deactivated by RRC</w:t>
      </w:r>
      <w:r>
        <w:rPr>
          <w:lang w:val="en-US" w:eastAsia="zh-CN"/>
        </w:rPr>
        <w:t>”</w:t>
      </w:r>
      <w:r>
        <w:rPr>
          <w:rFonts w:hint="eastAsia"/>
          <w:lang w:val="en-US" w:eastAsia="zh-CN"/>
        </w:rPr>
        <w:t xml:space="preserve">, and FG X-2, i.e., </w:t>
      </w:r>
      <w:r>
        <w:rPr>
          <w:lang w:val="en-US" w:eastAsia="zh-CN"/>
        </w:rPr>
        <w:t>“</w:t>
      </w:r>
      <w:r>
        <w:rPr>
          <w:rFonts w:hint="eastAsia"/>
          <w:lang w:val="en-US" w:eastAsia="zh-CN"/>
        </w:rPr>
        <w:t>On-demand SSB triggered/deactivated by MAC CE</w:t>
      </w:r>
      <w:r>
        <w:rPr>
          <w:lang w:val="en-US" w:eastAsia="zh-CN"/>
        </w:rPr>
        <w:t>”</w:t>
      </w:r>
      <w:r>
        <w:rPr>
          <w:rFonts w:hint="eastAsia"/>
          <w:lang w:val="en-US" w:eastAsia="zh-CN"/>
        </w:rPr>
        <w:t>.</w:t>
      </w:r>
      <w:bookmarkEnd w:id="17"/>
      <w:bookmarkEnd w:id="18"/>
      <w:bookmarkEnd w:id="19"/>
      <w:bookmarkEnd w:id="20"/>
    </w:p>
    <w:p>
      <w:pPr>
        <w:spacing w:before="120" w:beforeLines="50"/>
        <w:rPr>
          <w:rFonts w:eastAsia="等线"/>
          <w:lang w:eastAsia="zh-CN"/>
        </w:rPr>
      </w:pPr>
    </w:p>
    <w:p>
      <w:pPr>
        <w:pStyle w:val="3"/>
        <w:keepLines/>
        <w:numPr>
          <w:ilvl w:val="1"/>
          <w:numId w:val="8"/>
        </w:numPr>
        <w:tabs>
          <w:tab w:val="left" w:pos="432"/>
        </w:tabs>
        <w:autoSpaceDE/>
        <w:autoSpaceDN/>
        <w:adjustRightInd/>
        <w:snapToGrid/>
        <w:spacing w:beforeLines="50" w:afterLines="50"/>
        <w:ind w:right="220" w:rightChars="100"/>
        <w:rPr>
          <w:lang w:eastAsia="zh-CN"/>
        </w:rPr>
      </w:pPr>
      <w:r>
        <w:rPr>
          <w:rFonts w:hint="eastAsia"/>
          <w:lang w:eastAsia="zh-CN"/>
        </w:rPr>
        <w:t xml:space="preserve">On-demand SIB1 for </w:t>
      </w:r>
      <w:r>
        <w:t>UEs in idle/inactive mod</w:t>
      </w:r>
    </w:p>
    <w:p>
      <w:pPr>
        <w:spacing w:before="120" w:beforeLines="50"/>
        <w:rPr>
          <w:bCs/>
          <w:lang w:eastAsia="zh-CN"/>
        </w:rPr>
      </w:pPr>
      <w:r>
        <w:rPr>
          <w:rFonts w:hint="eastAsia"/>
          <w:bCs/>
          <w:lang w:eastAsia="zh-CN"/>
        </w:rPr>
        <w:t>On-demand SIB1 for UEs in idle/inactive mode was discussed in previous meetings. In detail, UE can obtain the WUS configurations for one or more NES cells from a cell with SIB1 transmitted. What</w:t>
      </w:r>
      <w:r>
        <w:rPr>
          <w:bCs/>
          <w:lang w:eastAsia="zh-CN"/>
        </w:rPr>
        <w:t>’</w:t>
      </w:r>
      <w:r>
        <w:rPr>
          <w:rFonts w:hint="eastAsia"/>
          <w:bCs/>
          <w:lang w:eastAsia="zh-CN"/>
        </w:rPr>
        <w:t>s more, UE is capable of identifying a NES cell where there is no SIB1 transmission and transmitting WUS to trigger the on-demand SIB1 transmission when it wants to camp on the NES cell.  Thus, we propose to take on-demand SIB1 operation as an FG with corresponding components:</w:t>
      </w:r>
    </w:p>
    <w:p>
      <w:pPr>
        <w:spacing w:before="120" w:beforeLines="50"/>
        <w:rPr>
          <w:bCs/>
          <w:i/>
          <w:iCs/>
          <w:lang w:eastAsia="zh-CN"/>
        </w:rPr>
      </w:pPr>
      <w:r>
        <w:rPr>
          <w:rFonts w:hint="eastAsia"/>
          <w:bCs/>
          <w:i/>
          <w:iCs/>
          <w:lang w:eastAsia="zh-CN"/>
        </w:rPr>
        <w:t>FG X-3: On-demand SIB1 operation for UEs in idle/inactive mode</w:t>
      </w:r>
    </w:p>
    <w:p>
      <w:pPr>
        <w:numPr>
          <w:ilvl w:val="0"/>
          <w:numId w:val="11"/>
        </w:numPr>
        <w:spacing w:before="120" w:beforeLines="50"/>
        <w:ind w:firstLine="425"/>
        <w:rPr>
          <w:bCs/>
          <w:i/>
          <w:iCs/>
          <w:lang w:eastAsia="zh-CN"/>
        </w:rPr>
      </w:pPr>
      <w:r>
        <w:rPr>
          <w:rFonts w:hint="eastAsia"/>
          <w:bCs/>
          <w:i/>
          <w:iCs/>
          <w:lang w:eastAsia="zh-CN"/>
        </w:rPr>
        <w:t>Support to obtain the WUS configuration from a cell with SIB1 transmitted.</w:t>
      </w:r>
    </w:p>
    <w:p>
      <w:pPr>
        <w:numPr>
          <w:ilvl w:val="0"/>
          <w:numId w:val="11"/>
        </w:numPr>
        <w:spacing w:before="120" w:beforeLines="50"/>
        <w:ind w:firstLine="425"/>
        <w:rPr>
          <w:bCs/>
          <w:i/>
          <w:iCs/>
          <w:lang w:eastAsia="zh-CN"/>
        </w:rPr>
      </w:pPr>
      <w:r>
        <w:rPr>
          <w:rFonts w:hint="eastAsia"/>
          <w:bCs/>
          <w:i/>
          <w:iCs/>
          <w:lang w:eastAsia="zh-CN"/>
        </w:rPr>
        <w:t>Support to identify a NES cell supporting on-demand SIB</w:t>
      </w:r>
      <w:r>
        <w:rPr>
          <w:rFonts w:hint="eastAsia"/>
          <w:i/>
          <w:iCs/>
          <w:lang w:eastAsia="zh-CN"/>
        </w:rPr>
        <w:t>1</w:t>
      </w:r>
      <w:r>
        <w:rPr>
          <w:rFonts w:hint="eastAsia"/>
          <w:bCs/>
          <w:i/>
          <w:iCs/>
          <w:lang w:eastAsia="zh-CN"/>
        </w:rPr>
        <w:t>.</w:t>
      </w:r>
    </w:p>
    <w:p>
      <w:pPr>
        <w:numPr>
          <w:ilvl w:val="0"/>
          <w:numId w:val="11"/>
        </w:numPr>
        <w:spacing w:before="120" w:beforeLines="50"/>
        <w:ind w:firstLine="425"/>
        <w:rPr>
          <w:bCs/>
          <w:i/>
          <w:iCs/>
          <w:lang w:eastAsia="zh-CN"/>
        </w:rPr>
      </w:pPr>
      <w:r>
        <w:rPr>
          <w:rFonts w:hint="eastAsia"/>
          <w:bCs/>
          <w:i/>
          <w:iCs/>
          <w:lang w:eastAsia="zh-CN"/>
        </w:rPr>
        <w:t>Support to transmit WUS to trigger on-demand SIB1 transmission in the NES cell.</w:t>
      </w:r>
    </w:p>
    <w:p>
      <w:pPr>
        <w:spacing w:before="120" w:beforeLines="50"/>
        <w:rPr>
          <w:bCs/>
          <w:lang w:eastAsia="zh-CN"/>
        </w:rPr>
      </w:pPr>
      <w:r>
        <w:rPr>
          <w:rFonts w:hint="eastAsia"/>
          <w:bCs/>
          <w:lang w:eastAsia="zh-CN"/>
        </w:rPr>
        <w:t>Based on above analysis, we have the following proposal.</w:t>
      </w:r>
    </w:p>
    <w:p>
      <w:pPr>
        <w:pStyle w:val="92"/>
        <w:tabs>
          <w:tab w:val="clear" w:pos="0"/>
        </w:tabs>
        <w:spacing w:before="120"/>
        <w:rPr>
          <w:lang w:val="en-US" w:eastAsia="zh-CN"/>
        </w:rPr>
      </w:pPr>
      <w:bookmarkStart w:id="21" w:name="_Toc16526"/>
      <w:bookmarkStart w:id="22" w:name="_Toc24409"/>
      <w:bookmarkStart w:id="23" w:name="_Toc19780"/>
      <w:bookmarkStart w:id="24" w:name="_Toc15737"/>
      <w:bookmarkStart w:id="25" w:name="_Toc12320"/>
      <w:bookmarkStart w:id="26" w:name="_Toc30613"/>
      <w:bookmarkStart w:id="27" w:name="_Toc16348"/>
      <w:r>
        <w:rPr>
          <w:rFonts w:hint="eastAsia"/>
          <w:lang w:val="en-US" w:eastAsia="zh-CN"/>
        </w:rPr>
        <w:t xml:space="preserve">Introduce a UE </w:t>
      </w:r>
      <w:r>
        <w:rPr>
          <w:bCs w:val="0"/>
          <w:lang w:eastAsia="zh-CN"/>
        </w:rPr>
        <w:t>feature group</w:t>
      </w:r>
      <w:r>
        <w:rPr>
          <w:lang w:val="en-US" w:eastAsia="zh-CN"/>
        </w:rPr>
        <w:t xml:space="preserve"> </w:t>
      </w:r>
      <w:r>
        <w:rPr>
          <w:rFonts w:hint="eastAsia"/>
          <w:lang w:val="en-US" w:eastAsia="zh-CN"/>
        </w:rPr>
        <w:t>for</w:t>
      </w:r>
      <w:r>
        <w:rPr>
          <w:lang w:val="en-US" w:eastAsia="zh-CN"/>
        </w:rPr>
        <w:t xml:space="preserve"> </w:t>
      </w:r>
      <w:r>
        <w:rPr>
          <w:rFonts w:hint="eastAsia"/>
          <w:lang w:val="en-US" w:eastAsia="zh-CN"/>
        </w:rPr>
        <w:t>on-demand SIB1 for UEs in idle/inactive mode in Table 1 as follows:</w:t>
      </w:r>
      <w:bookmarkEnd w:id="21"/>
      <w:bookmarkEnd w:id="22"/>
      <w:bookmarkEnd w:id="23"/>
      <w:bookmarkEnd w:id="24"/>
    </w:p>
    <w:p>
      <w:pPr>
        <w:pStyle w:val="92"/>
        <w:numPr>
          <w:ilvl w:val="1"/>
          <w:numId w:val="6"/>
        </w:numPr>
        <w:spacing w:before="120"/>
        <w:ind w:left="420"/>
        <w:rPr>
          <w:lang w:val="en-US" w:eastAsia="zh-CN"/>
        </w:rPr>
      </w:pPr>
      <w:bookmarkStart w:id="28" w:name="_Toc24317"/>
      <w:bookmarkStart w:id="29" w:name="_Toc11160"/>
      <w:bookmarkStart w:id="30" w:name="_Toc17186"/>
      <w:bookmarkStart w:id="31" w:name="_Toc6475"/>
      <w:r>
        <w:rPr>
          <w:rFonts w:hint="eastAsia"/>
          <w:lang w:val="en-US" w:eastAsia="zh-CN"/>
        </w:rPr>
        <w:t>FG X-3 On-demand SIB1 operation for UEs in idle/inactive mode</w:t>
      </w:r>
      <w:bookmarkEnd w:id="25"/>
      <w:bookmarkEnd w:id="26"/>
      <w:bookmarkEnd w:id="27"/>
      <w:bookmarkEnd w:id="28"/>
      <w:bookmarkEnd w:id="29"/>
      <w:bookmarkEnd w:id="30"/>
      <w:bookmarkEnd w:id="31"/>
    </w:p>
    <w:p>
      <w:pPr>
        <w:spacing w:before="120" w:beforeLines="50"/>
        <w:rPr>
          <w:rFonts w:hint="default"/>
          <w:lang w:val="en-US" w:eastAsia="zh-CN"/>
        </w:rPr>
      </w:pPr>
      <w:r>
        <w:rPr>
          <w:rFonts w:hint="eastAsia"/>
          <w:lang w:val="en-US" w:eastAsia="zh-CN"/>
        </w:rPr>
        <w:t xml:space="preserve"> </w:t>
      </w:r>
    </w:p>
    <w:p>
      <w:pPr>
        <w:pStyle w:val="3"/>
        <w:keepLines/>
        <w:numPr>
          <w:ilvl w:val="1"/>
          <w:numId w:val="8"/>
        </w:numPr>
        <w:tabs>
          <w:tab w:val="left" w:pos="432"/>
        </w:tabs>
        <w:autoSpaceDE/>
        <w:autoSpaceDN/>
        <w:adjustRightInd/>
        <w:snapToGrid/>
        <w:spacing w:beforeLines="50" w:afterLines="50"/>
        <w:ind w:right="220" w:rightChars="100"/>
        <w:rPr>
          <w:lang w:eastAsia="zh-CN"/>
        </w:rPr>
      </w:pPr>
      <w:r>
        <w:rPr>
          <w:rFonts w:hint="eastAsia"/>
          <w:lang w:eastAsia="zh-CN"/>
        </w:rPr>
        <w:t>Common signal adaptation</w:t>
      </w:r>
    </w:p>
    <w:p>
      <w:pPr>
        <w:spacing w:before="120" w:beforeLines="50"/>
        <w:rPr>
          <w:b/>
          <w:i/>
          <w:iCs/>
          <w:u w:val="single"/>
          <w:lang w:eastAsia="zh-CN"/>
        </w:rPr>
      </w:pPr>
      <w:r>
        <w:rPr>
          <w:rFonts w:hint="eastAsia"/>
          <w:b/>
          <w:i/>
          <w:iCs/>
          <w:u w:val="single"/>
          <w:lang w:eastAsia="zh-CN"/>
        </w:rPr>
        <w:t>Adaptation of SSB in time domain</w:t>
      </w:r>
    </w:p>
    <w:p>
      <w:pPr>
        <w:spacing w:before="120" w:beforeLines="50"/>
        <w:rPr>
          <w:bCs/>
          <w:lang w:eastAsia="zh-CN"/>
        </w:rPr>
      </w:pPr>
      <w:r>
        <w:rPr>
          <w:rFonts w:hint="eastAsia"/>
          <w:bCs/>
          <w:lang w:eastAsia="zh-CN"/>
        </w:rPr>
        <w:t xml:space="preserve">In previous RAN1 meetings, discussions on the adaptation of SSB in time domain focused on the applicable scenarios, while the detailed mechanism for the adaptation is still under discussion. </w:t>
      </w:r>
    </w:p>
    <w:p>
      <w:pPr>
        <w:spacing w:before="120" w:beforeLines="50"/>
        <w:rPr>
          <w:bCs/>
          <w:lang w:eastAsia="zh-CN"/>
        </w:rPr>
      </w:pPr>
      <w:r>
        <w:rPr>
          <w:rFonts w:hint="eastAsia"/>
          <w:bCs/>
          <w:lang w:eastAsia="zh-CN"/>
        </w:rPr>
        <w:t>From the perspective of applicable scenarios for adaptation of SSB, the adaptation of SSB in time domain can be utilized on an SCell, and the SSBs are limited to not-cell-defining SSB on sync raster or off sync raster. However, for PCell or CD-SSB, adaptation of SSB in time domain is not supported.</w:t>
      </w:r>
    </w:p>
    <w:p>
      <w:pPr>
        <w:spacing w:before="120" w:beforeLines="50"/>
        <w:rPr>
          <w:bCs/>
          <w:lang w:eastAsia="zh-CN"/>
        </w:rPr>
      </w:pPr>
      <w:r>
        <w:rPr>
          <w:rFonts w:hint="eastAsia"/>
          <w:bCs/>
          <w:lang w:eastAsia="zh-CN"/>
        </w:rPr>
        <w:t>From the perspective of mechanism, we have already agreed that SSB burst periodicity can be adapted. But the detailed mechanism is for further study.</w:t>
      </w:r>
    </w:p>
    <w:p>
      <w:pPr>
        <w:spacing w:before="120" w:beforeLines="50"/>
        <w:rPr>
          <w:bCs/>
          <w:lang w:eastAsia="zh-CN"/>
        </w:rPr>
      </w:pPr>
      <w:r>
        <w:rPr>
          <w:rFonts w:hint="eastAsia"/>
          <w:bCs/>
          <w:lang w:eastAsia="zh-CN"/>
        </w:rPr>
        <w:t>Thus, we propose to take adaptation of SSB in time domain as a</w:t>
      </w:r>
      <w:r>
        <w:rPr>
          <w:bCs/>
          <w:lang w:eastAsia="zh-CN"/>
        </w:rPr>
        <w:t>n</w:t>
      </w:r>
      <w:r>
        <w:rPr>
          <w:rFonts w:hint="eastAsia"/>
          <w:bCs/>
          <w:lang w:eastAsia="zh-CN"/>
        </w:rPr>
        <w:t xml:space="preserve"> FG with corresponding components.</w:t>
      </w:r>
    </w:p>
    <w:p>
      <w:pPr>
        <w:numPr>
          <w:ilvl w:val="255"/>
          <w:numId w:val="0"/>
        </w:numPr>
        <w:spacing w:before="120" w:beforeLines="50"/>
        <w:rPr>
          <w:bCs/>
          <w:i/>
          <w:iCs/>
          <w:lang w:eastAsia="zh-CN"/>
        </w:rPr>
      </w:pPr>
      <w:r>
        <w:rPr>
          <w:rFonts w:hint="eastAsia"/>
          <w:bCs/>
          <w:i/>
          <w:iCs/>
          <w:lang w:eastAsia="zh-CN"/>
        </w:rPr>
        <w:t>FG X-4: Adaptation of SSB in time domain on an SCell</w:t>
      </w:r>
    </w:p>
    <w:p>
      <w:pPr>
        <w:numPr>
          <w:ilvl w:val="1"/>
          <w:numId w:val="12"/>
        </w:numPr>
        <w:spacing w:before="120" w:beforeLines="50"/>
        <w:rPr>
          <w:bCs/>
          <w:i/>
          <w:iCs/>
          <w:lang w:eastAsia="zh-CN"/>
        </w:rPr>
      </w:pPr>
      <w:r>
        <w:rPr>
          <w:rFonts w:hint="eastAsia"/>
          <w:bCs/>
          <w:i/>
          <w:iCs/>
          <w:lang w:eastAsia="zh-CN"/>
        </w:rPr>
        <w:t>Support adaptation of not-cell-defining SSB on sync raster.</w:t>
      </w:r>
    </w:p>
    <w:p>
      <w:pPr>
        <w:numPr>
          <w:ilvl w:val="1"/>
          <w:numId w:val="12"/>
        </w:numPr>
        <w:spacing w:before="120" w:beforeLines="50"/>
        <w:rPr>
          <w:bCs/>
          <w:i/>
          <w:iCs/>
          <w:lang w:eastAsia="zh-CN"/>
        </w:rPr>
      </w:pPr>
      <w:r>
        <w:rPr>
          <w:rFonts w:hint="eastAsia"/>
          <w:bCs/>
          <w:i/>
          <w:iCs/>
          <w:lang w:eastAsia="zh-CN"/>
        </w:rPr>
        <w:t>Support adaptation of not-cell-defining SSB off sync raster.</w:t>
      </w:r>
    </w:p>
    <w:p>
      <w:pPr>
        <w:numPr>
          <w:ilvl w:val="1"/>
          <w:numId w:val="12"/>
        </w:numPr>
        <w:spacing w:before="120" w:beforeLines="50"/>
        <w:rPr>
          <w:bCs/>
          <w:i/>
          <w:iCs/>
          <w:lang w:eastAsia="zh-CN"/>
        </w:rPr>
      </w:pPr>
      <w:r>
        <w:rPr>
          <w:rFonts w:hint="eastAsia"/>
          <w:bCs/>
          <w:i/>
          <w:iCs/>
          <w:lang w:eastAsia="zh-CN"/>
        </w:rPr>
        <w:t>Support to adapt SSB burst periodicity in time domain.</w:t>
      </w:r>
    </w:p>
    <w:p>
      <w:pPr>
        <w:pStyle w:val="92"/>
        <w:tabs>
          <w:tab w:val="clear" w:pos="0"/>
        </w:tabs>
        <w:spacing w:before="120"/>
        <w:rPr>
          <w:lang w:val="en-US" w:eastAsia="zh-CN"/>
        </w:rPr>
      </w:pPr>
      <w:bookmarkStart w:id="32" w:name="_Toc15648"/>
      <w:bookmarkStart w:id="33" w:name="_Toc14044"/>
      <w:bookmarkStart w:id="34" w:name="_Toc13744"/>
      <w:bookmarkStart w:id="35" w:name="_Toc26033"/>
      <w:r>
        <w:rPr>
          <w:rFonts w:hint="eastAsia"/>
          <w:lang w:val="en-US" w:eastAsia="zh-CN"/>
        </w:rPr>
        <w:t xml:space="preserve">Introduce a UE </w:t>
      </w:r>
      <w:r>
        <w:rPr>
          <w:bCs w:val="0"/>
          <w:lang w:eastAsia="zh-CN"/>
        </w:rPr>
        <w:t>feature group</w:t>
      </w:r>
      <w:r>
        <w:rPr>
          <w:lang w:val="en-US" w:eastAsia="zh-CN"/>
        </w:rPr>
        <w:t xml:space="preserve"> </w:t>
      </w:r>
      <w:r>
        <w:rPr>
          <w:rFonts w:hint="eastAsia"/>
          <w:lang w:val="en-US" w:eastAsia="zh-CN"/>
        </w:rPr>
        <w:t>for adaptation of SSB in time domain in Table 1 as follows:</w:t>
      </w:r>
      <w:bookmarkEnd w:id="32"/>
      <w:bookmarkEnd w:id="33"/>
      <w:bookmarkEnd w:id="34"/>
      <w:bookmarkEnd w:id="35"/>
    </w:p>
    <w:p>
      <w:pPr>
        <w:pStyle w:val="92"/>
        <w:numPr>
          <w:ilvl w:val="1"/>
          <w:numId w:val="6"/>
        </w:numPr>
        <w:spacing w:before="120"/>
        <w:ind w:left="420"/>
        <w:rPr>
          <w:lang w:val="en-US" w:eastAsia="zh-CN"/>
        </w:rPr>
      </w:pPr>
      <w:bookmarkStart w:id="36" w:name="_Toc30769"/>
      <w:bookmarkStart w:id="37" w:name="_Toc6427"/>
      <w:bookmarkStart w:id="38" w:name="_Toc7495"/>
      <w:bookmarkStart w:id="39" w:name="_Toc17376"/>
      <w:r>
        <w:rPr>
          <w:rFonts w:hint="eastAsia"/>
          <w:lang w:val="en-US" w:eastAsia="zh-CN"/>
        </w:rPr>
        <w:t>FG X-4 adaptation of SSB in time domain on an SCell</w:t>
      </w:r>
      <w:bookmarkEnd w:id="36"/>
      <w:bookmarkEnd w:id="37"/>
      <w:bookmarkEnd w:id="38"/>
      <w:bookmarkEnd w:id="39"/>
    </w:p>
    <w:p>
      <w:pPr>
        <w:spacing w:before="120" w:beforeLines="50"/>
        <w:rPr>
          <w:bCs/>
          <w:lang w:eastAsia="zh-CN"/>
        </w:rPr>
      </w:pPr>
    </w:p>
    <w:p>
      <w:pPr>
        <w:spacing w:before="120" w:beforeLines="50"/>
        <w:rPr>
          <w:b/>
          <w:i/>
          <w:iCs/>
          <w:u w:val="single"/>
          <w:lang w:eastAsia="zh-CN"/>
        </w:rPr>
      </w:pPr>
      <w:r>
        <w:rPr>
          <w:rFonts w:hint="eastAsia"/>
          <w:b/>
          <w:i/>
          <w:iCs/>
          <w:u w:val="single"/>
          <w:lang w:eastAsia="zh-CN"/>
        </w:rPr>
        <w:t>Adaptation of PRACH in time domain</w:t>
      </w:r>
    </w:p>
    <w:p>
      <w:pPr>
        <w:spacing w:before="120" w:beforeLines="50"/>
        <w:rPr>
          <w:bCs/>
          <w:lang w:eastAsia="zh-CN"/>
        </w:rPr>
      </w:pPr>
      <w:r>
        <w:rPr>
          <w:rFonts w:hint="eastAsia"/>
          <w:bCs/>
          <w:lang w:eastAsia="zh-CN"/>
        </w:rPr>
        <w:t>In previous RAN1 meetings, the adaptation of PRACH in time domain was achieved by the following mechanism:</w:t>
      </w:r>
    </w:p>
    <w:p>
      <w:pPr>
        <w:numPr>
          <w:ilvl w:val="0"/>
          <w:numId w:val="13"/>
        </w:numPr>
        <w:spacing w:before="120" w:beforeLines="50"/>
        <w:rPr>
          <w:bCs/>
          <w:lang w:eastAsia="zh-CN"/>
        </w:rPr>
      </w:pPr>
      <w:r>
        <w:rPr>
          <w:rFonts w:hint="eastAsia"/>
          <w:bCs/>
          <w:lang w:eastAsia="zh-CN"/>
        </w:rPr>
        <w:t>Two PRACH configurations are defined including one for legacy PRACH resources and another for additional PRACH resources.</w:t>
      </w:r>
    </w:p>
    <w:p>
      <w:pPr>
        <w:numPr>
          <w:ilvl w:val="0"/>
          <w:numId w:val="13"/>
        </w:numPr>
        <w:spacing w:before="120" w:beforeLines="50"/>
        <w:rPr>
          <w:bCs/>
          <w:lang w:eastAsia="zh-CN"/>
        </w:rPr>
      </w:pPr>
      <w:r>
        <w:rPr>
          <w:rFonts w:hint="eastAsia"/>
          <w:bCs/>
          <w:lang w:eastAsia="zh-CN"/>
        </w:rPr>
        <w:t>Additional time and frequency domain parameters for additional PRACH resources are configured by a semi-static signaling.</w:t>
      </w:r>
    </w:p>
    <w:p>
      <w:pPr>
        <w:numPr>
          <w:ilvl w:val="0"/>
          <w:numId w:val="13"/>
        </w:numPr>
        <w:spacing w:before="120" w:beforeLines="50"/>
        <w:rPr>
          <w:bCs/>
          <w:lang w:eastAsia="zh-CN"/>
        </w:rPr>
      </w:pPr>
      <w:r>
        <w:rPr>
          <w:rFonts w:hint="eastAsia"/>
          <w:bCs/>
          <w:lang w:eastAsia="zh-CN"/>
        </w:rPr>
        <w:t>The adaptation indication is indicated by paging DCI.</w:t>
      </w:r>
    </w:p>
    <w:p>
      <w:pPr>
        <w:spacing w:before="120" w:beforeLines="50"/>
        <w:rPr>
          <w:bCs/>
          <w:lang w:eastAsia="zh-CN"/>
        </w:rPr>
      </w:pPr>
      <w:r>
        <w:rPr>
          <w:rFonts w:hint="eastAsia"/>
          <w:bCs/>
          <w:lang w:eastAsia="zh-CN"/>
        </w:rPr>
        <w:t xml:space="preserve">In previous Rel-19 meetings, two methods for configuring additional PRACH resources were discussed. One method is to use the same PRACH configuration index as legacy PRACH configuration with additional time and frequency domain parameters. While the other method is to use different PRACH configuration index from legacy PRACH configuration index. In our opinion, it is unnecessary to consider these two methods separately in UE feature group, since they are up to gNB implementation. </w:t>
      </w:r>
    </w:p>
    <w:p>
      <w:pPr>
        <w:spacing w:before="120" w:beforeLines="50"/>
        <w:rPr>
          <w:bCs/>
          <w:lang w:eastAsia="zh-CN"/>
        </w:rPr>
      </w:pPr>
      <w:r>
        <w:rPr>
          <w:rFonts w:hint="eastAsia"/>
          <w:bCs/>
          <w:lang w:eastAsia="zh-CN"/>
        </w:rPr>
        <w:t xml:space="preserve">Furthermore, adaptation of PRACH in time domain was agreed to be supported for both UEs in idle/inactive mode and UEs in connected mode. This includes the semi-static signaling for additional PRACH resources. </w:t>
      </w:r>
    </w:p>
    <w:p>
      <w:pPr>
        <w:spacing w:before="120" w:beforeLines="50"/>
        <w:rPr>
          <w:bCs/>
          <w:lang w:eastAsia="zh-CN"/>
        </w:rPr>
      </w:pPr>
      <w:r>
        <w:rPr>
          <w:rFonts w:hint="eastAsia"/>
          <w:bCs/>
          <w:lang w:eastAsia="zh-CN"/>
        </w:rPr>
        <w:t>As analyzed above, we propose to take the adaptation mechanism as a FG with corresponding components:</w:t>
      </w:r>
    </w:p>
    <w:p>
      <w:pPr>
        <w:spacing w:before="120" w:beforeLines="50"/>
        <w:rPr>
          <w:bCs/>
          <w:i/>
          <w:iCs/>
          <w:lang w:eastAsia="zh-CN"/>
        </w:rPr>
      </w:pPr>
      <w:r>
        <w:rPr>
          <w:rFonts w:hint="eastAsia"/>
          <w:bCs/>
          <w:i/>
          <w:iCs/>
          <w:lang w:eastAsia="zh-CN"/>
        </w:rPr>
        <w:t>FG X-5: Adaptation of PRACH in time domain</w:t>
      </w:r>
    </w:p>
    <w:p>
      <w:pPr>
        <w:numPr>
          <w:ilvl w:val="0"/>
          <w:numId w:val="14"/>
        </w:numPr>
        <w:spacing w:before="120" w:beforeLines="50"/>
        <w:ind w:left="420"/>
        <w:rPr>
          <w:bCs/>
          <w:i/>
          <w:iCs/>
          <w:lang w:eastAsia="zh-CN"/>
        </w:rPr>
      </w:pPr>
      <w:r>
        <w:rPr>
          <w:rFonts w:hint="eastAsia"/>
          <w:bCs/>
          <w:i/>
          <w:iCs/>
          <w:lang w:eastAsia="zh-CN"/>
        </w:rPr>
        <w:t>Support an additional PRACH resource configured in SIB1</w:t>
      </w:r>
      <w:bookmarkStart w:id="50" w:name="_GoBack"/>
      <w:bookmarkEnd w:id="50"/>
    </w:p>
    <w:p>
      <w:pPr>
        <w:numPr>
          <w:ilvl w:val="0"/>
          <w:numId w:val="14"/>
        </w:numPr>
        <w:spacing w:before="120" w:beforeLines="50"/>
        <w:ind w:left="420"/>
        <w:rPr>
          <w:bCs/>
          <w:i/>
          <w:iCs/>
          <w:lang w:eastAsia="zh-CN"/>
        </w:rPr>
      </w:pPr>
      <w:r>
        <w:rPr>
          <w:rFonts w:hint="eastAsia"/>
          <w:bCs/>
          <w:i/>
          <w:iCs/>
          <w:lang w:eastAsia="zh-CN"/>
        </w:rPr>
        <w:t>Support an additional PRACH resource configured in RRC.</w:t>
      </w:r>
    </w:p>
    <w:p>
      <w:pPr>
        <w:numPr>
          <w:ilvl w:val="0"/>
          <w:numId w:val="14"/>
        </w:numPr>
        <w:spacing w:before="120" w:beforeLines="50"/>
        <w:ind w:left="420"/>
        <w:rPr>
          <w:bCs/>
          <w:i/>
          <w:iCs/>
          <w:lang w:eastAsia="zh-CN"/>
        </w:rPr>
      </w:pPr>
      <w:r>
        <w:rPr>
          <w:rFonts w:hint="eastAsia"/>
          <w:bCs/>
          <w:i/>
          <w:iCs/>
          <w:lang w:eastAsia="zh-CN"/>
        </w:rPr>
        <w:t>Support activation or deactivation of the additional PRACH resources by DCI format 1_0 with CRC scrambled by P-RNTI.</w:t>
      </w:r>
    </w:p>
    <w:p>
      <w:pPr>
        <w:spacing w:before="120" w:beforeLines="50"/>
        <w:rPr>
          <w:bCs/>
          <w:lang w:eastAsia="zh-CN"/>
        </w:rPr>
      </w:pPr>
      <w:r>
        <w:rPr>
          <w:rFonts w:hint="eastAsia"/>
          <w:bCs/>
          <w:lang w:eastAsia="zh-CN"/>
        </w:rPr>
        <w:t>In summary, we provide the following proposal:</w:t>
      </w:r>
    </w:p>
    <w:p>
      <w:pPr>
        <w:pStyle w:val="92"/>
        <w:tabs>
          <w:tab w:val="clear" w:pos="0"/>
        </w:tabs>
        <w:spacing w:before="120"/>
        <w:rPr>
          <w:lang w:val="en-US" w:eastAsia="zh-CN"/>
        </w:rPr>
      </w:pPr>
      <w:bookmarkStart w:id="40" w:name="_Toc6107"/>
      <w:bookmarkStart w:id="41" w:name="_Toc7881"/>
      <w:bookmarkStart w:id="42" w:name="_Toc8125"/>
      <w:bookmarkStart w:id="43" w:name="_Toc219"/>
      <w:bookmarkStart w:id="44" w:name="_Toc15109"/>
      <w:r>
        <w:rPr>
          <w:rFonts w:hint="eastAsia"/>
          <w:lang w:val="en-US" w:eastAsia="zh-CN"/>
        </w:rPr>
        <w:t xml:space="preserve">Introduce a UE </w:t>
      </w:r>
      <w:r>
        <w:rPr>
          <w:bCs w:val="0"/>
          <w:lang w:eastAsia="zh-CN"/>
        </w:rPr>
        <w:t>feature group</w:t>
      </w:r>
      <w:r>
        <w:rPr>
          <w:lang w:val="en-US" w:eastAsia="zh-CN"/>
        </w:rPr>
        <w:t xml:space="preserve"> </w:t>
      </w:r>
      <w:r>
        <w:rPr>
          <w:rFonts w:hint="eastAsia"/>
          <w:lang w:val="en-US" w:eastAsia="zh-CN"/>
        </w:rPr>
        <w:t>for adaptation of PRACH in time domain in Table 1 as follows:</w:t>
      </w:r>
      <w:bookmarkEnd w:id="40"/>
      <w:bookmarkEnd w:id="41"/>
      <w:bookmarkEnd w:id="42"/>
      <w:bookmarkEnd w:id="43"/>
      <w:bookmarkStart w:id="45" w:name="_Toc23274"/>
    </w:p>
    <w:p>
      <w:pPr>
        <w:pStyle w:val="92"/>
        <w:numPr>
          <w:ilvl w:val="1"/>
          <w:numId w:val="6"/>
        </w:numPr>
        <w:spacing w:before="120"/>
        <w:ind w:left="420"/>
        <w:rPr>
          <w:lang w:val="en-US" w:eastAsia="zh-CN"/>
        </w:rPr>
      </w:pPr>
      <w:bookmarkStart w:id="46" w:name="_Toc1720"/>
      <w:bookmarkStart w:id="47" w:name="_Toc10538"/>
      <w:bookmarkStart w:id="48" w:name="_Toc3188"/>
      <w:r>
        <w:rPr>
          <w:rFonts w:hint="eastAsia"/>
          <w:lang w:val="en-US" w:eastAsia="zh-CN"/>
        </w:rPr>
        <w:t>FG X-5 Adaptation of PRACH in time domain</w:t>
      </w:r>
      <w:bookmarkEnd w:id="46"/>
      <w:bookmarkEnd w:id="47"/>
      <w:bookmarkEnd w:id="48"/>
    </w:p>
    <w:bookmarkEnd w:id="44"/>
    <w:bookmarkEnd w:id="45"/>
    <w:p>
      <w:pPr>
        <w:pStyle w:val="92"/>
        <w:numPr>
          <w:ilvl w:val="255"/>
          <w:numId w:val="0"/>
        </w:numPr>
        <w:spacing w:before="120" w:beforeLines="50"/>
        <w:rPr>
          <w:lang w:eastAsia="zh-CN"/>
        </w:rPr>
      </w:pPr>
      <w:bookmarkStart w:id="49" w:name="_Toc1984"/>
      <w:bookmarkEnd w:id="49"/>
    </w:p>
    <w:p>
      <w:pPr>
        <w:pStyle w:val="2"/>
        <w:keepLines/>
        <w:numPr>
          <w:ilvl w:val="0"/>
          <w:numId w:val="8"/>
        </w:numPr>
        <w:pBdr>
          <w:top w:val="single" w:color="auto" w:sz="12" w:space="3"/>
        </w:pBdr>
        <w:autoSpaceDE/>
        <w:autoSpaceDN/>
        <w:adjustRightInd/>
        <w:snapToGrid/>
        <w:spacing w:beforeLines="50" w:afterLines="50"/>
        <w:ind w:left="0" w:firstLine="0"/>
      </w:pPr>
      <w:r>
        <w:rPr>
          <w:kern w:val="2"/>
          <w:lang w:eastAsia="zh-CN"/>
        </w:rPr>
        <w:t>Conclusions</w:t>
      </w:r>
    </w:p>
    <w:p>
      <w:pPr>
        <w:rPr>
          <w:rFonts w:eastAsia="MS Mincho"/>
          <w:lang w:eastAsia="ja-JP"/>
        </w:rPr>
      </w:pPr>
      <w:r>
        <w:rPr>
          <w:rFonts w:eastAsia="MS Mincho"/>
          <w:lang w:eastAsia="ja-JP"/>
        </w:rPr>
        <w:t>Based on the analysis, we have the following proposal</w:t>
      </w:r>
      <w:r>
        <w:rPr>
          <w:rFonts w:hint="eastAsia"/>
          <w:lang w:eastAsia="zh-CN"/>
        </w:rPr>
        <w:t>s</w:t>
      </w:r>
      <w:r>
        <w:rPr>
          <w:rFonts w:eastAsia="MS Mincho"/>
          <w:lang w:eastAsia="ja-JP"/>
        </w:rPr>
        <w:t>:</w:t>
      </w:r>
    </w:p>
    <w:p>
      <w:pPr>
        <w:pStyle w:val="19"/>
        <w:tabs>
          <w:tab w:val="right" w:leader="dot" w:pos="9317"/>
        </w:tabs>
        <w:ind w:right="440"/>
      </w:pPr>
      <w:r>
        <w:rPr>
          <w:iCs w:val="0"/>
          <w:szCs w:val="21"/>
        </w:rPr>
        <w:fldChar w:fldCharType="begin"/>
      </w:r>
      <w:r>
        <w:rPr>
          <w:iCs w:val="0"/>
          <w:szCs w:val="21"/>
        </w:rPr>
        <w:instrText xml:space="preserve">TOC \n  \t "YJ-Proposal,1,sub-proposal,2,3rd level proposal,3" \h</w:instrText>
      </w:r>
      <w:r>
        <w:rPr>
          <w:iCs w:val="0"/>
          <w:szCs w:val="21"/>
        </w:rPr>
        <w:fldChar w:fldCharType="separate"/>
      </w:r>
      <w:r>
        <w:fldChar w:fldCharType="begin"/>
      </w:r>
      <w:r>
        <w:instrText xml:space="preserve"> HYPERLINK \l "_Toc28055" </w:instrText>
      </w:r>
      <w:r>
        <w:fldChar w:fldCharType="separate"/>
      </w:r>
      <w:r>
        <w:rPr>
          <w:rFonts w:eastAsia="宋体"/>
          <w:iCs w:val="0"/>
          <w:szCs w:val="21"/>
          <w:lang w:eastAsia="zh-CN"/>
        </w:rPr>
        <w:t xml:space="preserve">Proposal 1: </w:t>
      </w:r>
      <w:r>
        <w:rPr>
          <w:rFonts w:hint="eastAsia"/>
          <w:lang w:eastAsia="zh-CN"/>
        </w:rPr>
        <w:t>Introduce UE feature groups for on-demand SSB operation on a SCell in Table 1 as follows:</w:t>
      </w:r>
      <w:r>
        <w:rPr>
          <w:rFonts w:hint="eastAsia"/>
          <w:lang w:eastAsia="zh-CN"/>
        </w:rPr>
        <w:fldChar w:fldCharType="end"/>
      </w:r>
    </w:p>
    <w:p>
      <w:pPr>
        <w:pStyle w:val="19"/>
        <w:tabs>
          <w:tab w:val="right" w:leader="dot" w:pos="9317"/>
        </w:tabs>
        <w:ind w:left="220" w:leftChars="100" w:right="440"/>
      </w:pPr>
      <w:r>
        <w:fldChar w:fldCharType="begin"/>
      </w:r>
      <w:r>
        <w:instrText xml:space="preserve"> HYPERLINK \l "_Toc13113" </w:instrText>
      </w:r>
      <w:r>
        <w:fldChar w:fldCharType="separate"/>
      </w:r>
      <w:r>
        <w:rPr>
          <w:rFonts w:ascii="Arial" w:hAnsi="Arial" w:eastAsia="宋体" w:cs="Arial"/>
          <w:i/>
          <w:lang w:eastAsia="zh-CN"/>
        </w:rPr>
        <w:t xml:space="preserve">• </w:t>
      </w:r>
      <w:r>
        <w:rPr>
          <w:rFonts w:hint="eastAsia"/>
          <w:lang w:eastAsia="zh-CN"/>
        </w:rPr>
        <w:t>FG X-1: On-demand SSB triggered/deactivated by RRC</w:t>
      </w:r>
      <w:r>
        <w:rPr>
          <w:rFonts w:hint="eastAsia"/>
          <w:lang w:eastAsia="zh-CN"/>
        </w:rPr>
        <w:fldChar w:fldCharType="end"/>
      </w:r>
    </w:p>
    <w:p>
      <w:pPr>
        <w:pStyle w:val="19"/>
        <w:tabs>
          <w:tab w:val="right" w:leader="dot" w:pos="9317"/>
        </w:tabs>
        <w:ind w:left="220" w:leftChars="100" w:right="440"/>
      </w:pPr>
      <w:r>
        <w:fldChar w:fldCharType="begin"/>
      </w:r>
      <w:r>
        <w:instrText xml:space="preserve"> HYPERLINK \l "_Toc29071" </w:instrText>
      </w:r>
      <w:r>
        <w:fldChar w:fldCharType="separate"/>
      </w:r>
      <w:r>
        <w:rPr>
          <w:rFonts w:ascii="Arial" w:hAnsi="Arial" w:eastAsia="宋体" w:cs="Arial"/>
          <w:i/>
          <w:lang w:eastAsia="zh-CN"/>
        </w:rPr>
        <w:t xml:space="preserve">• </w:t>
      </w:r>
      <w:r>
        <w:rPr>
          <w:rFonts w:hint="eastAsia"/>
          <w:lang w:eastAsia="zh-CN"/>
        </w:rPr>
        <w:t>FG X-2: On-demand SSB triggered/deactivated by MAC CE.</w:t>
      </w:r>
      <w:r>
        <w:rPr>
          <w:rFonts w:hint="eastAsia"/>
          <w:lang w:eastAsia="zh-CN"/>
        </w:rPr>
        <w:fldChar w:fldCharType="end"/>
      </w:r>
    </w:p>
    <w:p>
      <w:pPr>
        <w:pStyle w:val="19"/>
        <w:tabs>
          <w:tab w:val="right" w:leader="dot" w:pos="9317"/>
        </w:tabs>
        <w:ind w:right="440"/>
      </w:pPr>
      <w:r>
        <w:fldChar w:fldCharType="begin"/>
      </w:r>
      <w:r>
        <w:instrText xml:space="preserve"> HYPERLINK \l "_Toc12875" </w:instrText>
      </w:r>
      <w:r>
        <w:fldChar w:fldCharType="separate"/>
      </w:r>
      <w:r>
        <w:rPr>
          <w:rFonts w:eastAsia="宋体"/>
          <w:iCs w:val="0"/>
          <w:szCs w:val="21"/>
          <w:lang w:eastAsia="zh-CN"/>
        </w:rPr>
        <w:t xml:space="preserve">Proposal 2: </w:t>
      </w:r>
      <w:r>
        <w:rPr>
          <w:rFonts w:hint="eastAsia"/>
          <w:lang w:eastAsia="zh-CN"/>
        </w:rPr>
        <w:t xml:space="preserve">On-demand SSB on the SCell without always-on SSB (Case #1) and with always-on SSB (Case #2) can be support in both FG X-1, i.e., </w:t>
      </w:r>
      <w:r>
        <w:rPr>
          <w:lang w:eastAsia="zh-CN"/>
        </w:rPr>
        <w:t>“</w:t>
      </w:r>
      <w:r>
        <w:rPr>
          <w:rFonts w:hint="eastAsia"/>
          <w:lang w:eastAsia="zh-CN"/>
        </w:rPr>
        <w:t>On-demand SSB triggered/deactivated by RRC</w:t>
      </w:r>
      <w:r>
        <w:rPr>
          <w:lang w:eastAsia="zh-CN"/>
        </w:rPr>
        <w:t>”</w:t>
      </w:r>
      <w:r>
        <w:rPr>
          <w:rFonts w:hint="eastAsia"/>
          <w:lang w:eastAsia="zh-CN"/>
        </w:rPr>
        <w:t xml:space="preserve">,  and FG X-2, i.e., </w:t>
      </w:r>
      <w:r>
        <w:rPr>
          <w:lang w:eastAsia="zh-CN"/>
        </w:rPr>
        <w:t>“</w:t>
      </w:r>
      <w:r>
        <w:rPr>
          <w:rFonts w:hint="eastAsia"/>
          <w:lang w:eastAsia="zh-CN"/>
        </w:rPr>
        <w:t>On-demand SSB triggered/deactivated by MAC CE</w:t>
      </w:r>
      <w:r>
        <w:rPr>
          <w:lang w:eastAsia="zh-CN"/>
        </w:rPr>
        <w:t>”</w:t>
      </w:r>
      <w:r>
        <w:rPr>
          <w:rFonts w:hint="eastAsia"/>
          <w:lang w:eastAsia="zh-CN"/>
        </w:rPr>
        <w:t>.</w:t>
      </w:r>
      <w:r>
        <w:rPr>
          <w:rFonts w:hint="eastAsia"/>
          <w:lang w:eastAsia="zh-CN"/>
        </w:rPr>
        <w:fldChar w:fldCharType="end"/>
      </w:r>
    </w:p>
    <w:p>
      <w:pPr>
        <w:pStyle w:val="19"/>
        <w:tabs>
          <w:tab w:val="right" w:leader="dot" w:pos="9317"/>
        </w:tabs>
        <w:ind w:right="440"/>
      </w:pPr>
      <w:r>
        <w:fldChar w:fldCharType="begin"/>
      </w:r>
      <w:r>
        <w:instrText xml:space="preserve"> HYPERLINK \l "_Toc16526" </w:instrText>
      </w:r>
      <w:r>
        <w:fldChar w:fldCharType="separate"/>
      </w:r>
      <w:r>
        <w:rPr>
          <w:rFonts w:eastAsia="宋体"/>
          <w:iCs w:val="0"/>
          <w:szCs w:val="21"/>
          <w:lang w:eastAsia="zh-CN"/>
        </w:rPr>
        <w:t xml:space="preserve">Proposal 3: </w:t>
      </w:r>
      <w:r>
        <w:rPr>
          <w:rFonts w:hint="eastAsia"/>
          <w:lang w:eastAsia="zh-CN"/>
        </w:rPr>
        <w:t xml:space="preserve">Introduce a UE </w:t>
      </w:r>
      <w:r>
        <w:rPr>
          <w:bCs w:val="0"/>
          <w:lang w:eastAsia="zh-CN"/>
        </w:rPr>
        <w:t>feature group</w:t>
      </w:r>
      <w:r>
        <w:rPr>
          <w:lang w:eastAsia="zh-CN"/>
        </w:rPr>
        <w:t xml:space="preserve"> </w:t>
      </w:r>
      <w:r>
        <w:rPr>
          <w:rFonts w:hint="eastAsia"/>
          <w:lang w:eastAsia="zh-CN"/>
        </w:rPr>
        <w:t>for</w:t>
      </w:r>
      <w:r>
        <w:rPr>
          <w:lang w:eastAsia="zh-CN"/>
        </w:rPr>
        <w:t xml:space="preserve"> </w:t>
      </w:r>
      <w:r>
        <w:rPr>
          <w:rFonts w:hint="eastAsia"/>
          <w:lang w:eastAsia="zh-CN"/>
        </w:rPr>
        <w:t>on-demand SIB1 for UEs in idle/inactive mode in Table 1 as follows:</w:t>
      </w:r>
      <w:r>
        <w:rPr>
          <w:rFonts w:hint="eastAsia"/>
          <w:lang w:eastAsia="zh-CN"/>
        </w:rPr>
        <w:fldChar w:fldCharType="end"/>
      </w:r>
    </w:p>
    <w:p>
      <w:pPr>
        <w:pStyle w:val="19"/>
        <w:tabs>
          <w:tab w:val="right" w:leader="dot" w:pos="9317"/>
        </w:tabs>
        <w:ind w:left="220" w:leftChars="100" w:right="440"/>
      </w:pPr>
      <w:r>
        <w:fldChar w:fldCharType="begin"/>
      </w:r>
      <w:r>
        <w:instrText xml:space="preserve"> HYPERLINK \l "_Toc6475" </w:instrText>
      </w:r>
      <w:r>
        <w:fldChar w:fldCharType="separate"/>
      </w:r>
      <w:r>
        <w:rPr>
          <w:rFonts w:ascii="Arial" w:hAnsi="Arial" w:eastAsia="宋体" w:cs="Arial"/>
          <w:i/>
          <w:lang w:eastAsia="zh-CN"/>
        </w:rPr>
        <w:t xml:space="preserve">• </w:t>
      </w:r>
      <w:r>
        <w:rPr>
          <w:rFonts w:hint="eastAsia"/>
          <w:lang w:eastAsia="zh-CN"/>
        </w:rPr>
        <w:t>FG X-3 On-demand SIB1 operation for UEs in idle/inactive mode</w:t>
      </w:r>
      <w:r>
        <w:rPr>
          <w:rFonts w:hint="eastAsia"/>
          <w:lang w:eastAsia="zh-CN"/>
        </w:rPr>
        <w:fldChar w:fldCharType="end"/>
      </w:r>
    </w:p>
    <w:p>
      <w:pPr>
        <w:pStyle w:val="19"/>
        <w:tabs>
          <w:tab w:val="right" w:leader="dot" w:pos="9317"/>
        </w:tabs>
        <w:ind w:right="440"/>
      </w:pPr>
      <w:r>
        <w:fldChar w:fldCharType="begin"/>
      </w:r>
      <w:r>
        <w:instrText xml:space="preserve"> HYPERLINK \l "_Toc26033" </w:instrText>
      </w:r>
      <w:r>
        <w:fldChar w:fldCharType="separate"/>
      </w:r>
      <w:r>
        <w:rPr>
          <w:rFonts w:eastAsia="宋体"/>
          <w:iCs w:val="0"/>
          <w:szCs w:val="21"/>
          <w:lang w:eastAsia="zh-CN"/>
        </w:rPr>
        <w:t xml:space="preserve">Proposal 4: </w:t>
      </w:r>
      <w:r>
        <w:rPr>
          <w:rFonts w:hint="eastAsia"/>
          <w:lang w:eastAsia="zh-CN"/>
        </w:rPr>
        <w:t xml:space="preserve">Introduce a UE </w:t>
      </w:r>
      <w:r>
        <w:rPr>
          <w:bCs w:val="0"/>
          <w:lang w:eastAsia="zh-CN"/>
        </w:rPr>
        <w:t>feature group</w:t>
      </w:r>
      <w:r>
        <w:rPr>
          <w:lang w:eastAsia="zh-CN"/>
        </w:rPr>
        <w:t xml:space="preserve"> </w:t>
      </w:r>
      <w:r>
        <w:rPr>
          <w:rFonts w:hint="eastAsia"/>
          <w:lang w:eastAsia="zh-CN"/>
        </w:rPr>
        <w:t>for adaptation of SSB in time domain in Table 1 as follows:</w:t>
      </w:r>
      <w:r>
        <w:rPr>
          <w:rFonts w:hint="eastAsia"/>
          <w:lang w:eastAsia="zh-CN"/>
        </w:rPr>
        <w:fldChar w:fldCharType="end"/>
      </w:r>
    </w:p>
    <w:p>
      <w:pPr>
        <w:pStyle w:val="19"/>
        <w:tabs>
          <w:tab w:val="right" w:leader="dot" w:pos="9317"/>
        </w:tabs>
        <w:ind w:left="220" w:leftChars="100" w:right="440"/>
      </w:pPr>
      <w:r>
        <w:fldChar w:fldCharType="begin"/>
      </w:r>
      <w:r>
        <w:instrText xml:space="preserve"> HYPERLINK \l "_Toc6427" </w:instrText>
      </w:r>
      <w:r>
        <w:fldChar w:fldCharType="separate"/>
      </w:r>
      <w:r>
        <w:rPr>
          <w:rFonts w:ascii="Arial" w:hAnsi="Arial" w:eastAsia="宋体" w:cs="Arial"/>
          <w:i/>
          <w:lang w:eastAsia="zh-CN"/>
        </w:rPr>
        <w:t xml:space="preserve">• </w:t>
      </w:r>
      <w:r>
        <w:rPr>
          <w:rFonts w:hint="eastAsia"/>
          <w:lang w:eastAsia="zh-CN"/>
        </w:rPr>
        <w:t>FG X-4 adaptation of SSB in time domain on an SCell</w:t>
      </w:r>
      <w:r>
        <w:rPr>
          <w:rFonts w:hint="eastAsia"/>
          <w:lang w:eastAsia="zh-CN"/>
        </w:rPr>
        <w:fldChar w:fldCharType="end"/>
      </w:r>
    </w:p>
    <w:p>
      <w:pPr>
        <w:pStyle w:val="19"/>
        <w:tabs>
          <w:tab w:val="right" w:leader="dot" w:pos="9317"/>
        </w:tabs>
        <w:ind w:right="440"/>
      </w:pPr>
      <w:r>
        <w:fldChar w:fldCharType="begin"/>
      </w:r>
      <w:r>
        <w:instrText xml:space="preserve"> HYPERLINK \l "_Toc8125" </w:instrText>
      </w:r>
      <w:r>
        <w:fldChar w:fldCharType="separate"/>
      </w:r>
      <w:r>
        <w:rPr>
          <w:rFonts w:eastAsia="宋体"/>
          <w:iCs w:val="0"/>
          <w:szCs w:val="21"/>
          <w:lang w:eastAsia="zh-CN"/>
        </w:rPr>
        <w:t xml:space="preserve">Proposal 5: </w:t>
      </w:r>
      <w:r>
        <w:rPr>
          <w:rFonts w:hint="eastAsia"/>
          <w:lang w:eastAsia="zh-CN"/>
        </w:rPr>
        <w:t xml:space="preserve">Introduce a UE </w:t>
      </w:r>
      <w:r>
        <w:rPr>
          <w:bCs w:val="0"/>
          <w:lang w:eastAsia="zh-CN"/>
        </w:rPr>
        <w:t>feature group</w:t>
      </w:r>
      <w:r>
        <w:rPr>
          <w:lang w:eastAsia="zh-CN"/>
        </w:rPr>
        <w:t xml:space="preserve"> </w:t>
      </w:r>
      <w:r>
        <w:rPr>
          <w:rFonts w:hint="eastAsia"/>
          <w:lang w:eastAsia="zh-CN"/>
        </w:rPr>
        <w:t>for adaptation of PRACH in time domain in Table 1 as follows:</w:t>
      </w:r>
      <w:r>
        <w:rPr>
          <w:rFonts w:hint="eastAsia"/>
          <w:lang w:eastAsia="zh-CN"/>
        </w:rPr>
        <w:fldChar w:fldCharType="end"/>
      </w:r>
    </w:p>
    <w:p>
      <w:pPr>
        <w:pStyle w:val="19"/>
        <w:tabs>
          <w:tab w:val="right" w:leader="dot" w:pos="9317"/>
        </w:tabs>
        <w:ind w:left="220" w:leftChars="100" w:right="440"/>
      </w:pPr>
      <w:r>
        <w:fldChar w:fldCharType="begin"/>
      </w:r>
      <w:r>
        <w:instrText xml:space="preserve"> HYPERLINK \l "_Toc10538" </w:instrText>
      </w:r>
      <w:r>
        <w:fldChar w:fldCharType="separate"/>
      </w:r>
      <w:r>
        <w:rPr>
          <w:rFonts w:ascii="Arial" w:hAnsi="Arial" w:eastAsia="宋体" w:cs="Arial"/>
          <w:i/>
          <w:lang w:eastAsia="zh-CN"/>
        </w:rPr>
        <w:t xml:space="preserve">• </w:t>
      </w:r>
      <w:r>
        <w:rPr>
          <w:rFonts w:hint="eastAsia"/>
          <w:lang w:eastAsia="zh-CN"/>
        </w:rPr>
        <w:t>FG X-5 Adaptation of PRACH in time domain</w:t>
      </w:r>
      <w:r>
        <w:rPr>
          <w:rFonts w:hint="eastAsia"/>
          <w:lang w:eastAsia="zh-CN"/>
        </w:rPr>
        <w:fldChar w:fldCharType="end"/>
      </w:r>
    </w:p>
    <w:p>
      <w:pPr>
        <w:rPr>
          <w:rFonts w:eastAsia="MS Mincho"/>
          <w:lang w:eastAsia="ja-JP"/>
        </w:rPr>
      </w:pPr>
      <w:r>
        <w:rPr>
          <w:szCs w:val="21"/>
        </w:rPr>
        <w:fldChar w:fldCharType="end"/>
      </w:r>
    </w:p>
    <w:p>
      <w:pPr>
        <w:pStyle w:val="2"/>
        <w:keepLines/>
        <w:numPr>
          <w:ilvl w:val="0"/>
          <w:numId w:val="8"/>
        </w:numPr>
        <w:pBdr>
          <w:top w:val="single" w:color="auto" w:sz="12" w:space="3"/>
        </w:pBdr>
        <w:autoSpaceDE/>
        <w:autoSpaceDN/>
        <w:adjustRightInd/>
        <w:snapToGrid/>
        <w:spacing w:beforeLines="50" w:afterLines="50"/>
        <w:ind w:left="0" w:firstLine="0"/>
      </w:pPr>
      <w:r>
        <w:rPr>
          <w:rFonts w:hint="eastAsia"/>
          <w:kern w:val="2"/>
          <w:lang w:eastAsia="zh-CN"/>
        </w:rPr>
        <w:t>References</w:t>
      </w:r>
    </w:p>
    <w:p>
      <w:pPr>
        <w:pStyle w:val="36"/>
        <w:spacing w:before="120" w:after="120"/>
        <w:ind w:left="363" w:hanging="363"/>
      </w:pPr>
      <w:r>
        <w:rPr>
          <w:rFonts w:hint="eastAsia"/>
          <w:lang w:eastAsia="zh-CN"/>
        </w:rPr>
        <w:t>RAN1 Chair</w:t>
      </w:r>
      <w:r>
        <w:rPr>
          <w:lang w:eastAsia="zh-CN"/>
        </w:rPr>
        <w:t>’</w:t>
      </w:r>
      <w:r>
        <w:rPr>
          <w:rFonts w:hint="eastAsia"/>
          <w:lang w:eastAsia="zh-CN"/>
        </w:rPr>
        <w:t>s Note, 3GPP TSG RAN WG1 #119, Orlando, US, Nov. 18th - Nov. 22nd, 2024</w:t>
      </w:r>
    </w:p>
    <w:p>
      <w:pPr>
        <w:pStyle w:val="36"/>
        <w:spacing w:before="120" w:after="120"/>
        <w:ind w:left="363" w:hanging="363"/>
      </w:pPr>
      <w:r>
        <w:rPr>
          <w:rFonts w:hint="eastAsia"/>
        </w:rPr>
        <w:t>RAN1 Chair</w:t>
      </w:r>
      <w:r>
        <w:t>’</w:t>
      </w:r>
      <w:r>
        <w:rPr>
          <w:rFonts w:hint="eastAsia"/>
        </w:rPr>
        <w:t>s Note, 3GPP TSG RAN WG1 #118bis, Hefei, China, Oct 14th-18th 2024.</w:t>
      </w:r>
    </w:p>
    <w:p>
      <w:pPr>
        <w:pStyle w:val="36"/>
        <w:spacing w:before="120" w:after="120"/>
        <w:ind w:left="363" w:hanging="363"/>
      </w:pPr>
      <w:r>
        <w:rPr>
          <w:rFonts w:hint="eastAsia"/>
        </w:rPr>
        <w:t>RAN1 Chair</w:t>
      </w:r>
      <w:r>
        <w:t>’</w:t>
      </w:r>
      <w:r>
        <w:rPr>
          <w:rFonts w:hint="eastAsia"/>
        </w:rPr>
        <w:t xml:space="preserve">s Note, 3GPP TSG RAN WG1 #118, </w:t>
      </w:r>
      <w:r>
        <w:fldChar w:fldCharType="begin"/>
      </w:r>
      <w:r>
        <w:instrText xml:space="preserve"> HYPERLINK "https://www.3gpp.org//Specification-Groups/" \t "https://www.3gpp.org/_blank" </w:instrText>
      </w:r>
      <w:r>
        <w:fldChar w:fldCharType="separate"/>
      </w:r>
      <w:r>
        <w:rPr>
          <w:rFonts w:hint="eastAsia"/>
        </w:rPr>
        <w:t>Maastricht</w:t>
      </w:r>
      <w:r>
        <w:rPr>
          <w:rFonts w:hint="eastAsia"/>
        </w:rPr>
        <w:fldChar w:fldCharType="end"/>
      </w:r>
      <w:r>
        <w:rPr>
          <w:rFonts w:hint="eastAsia"/>
        </w:rPr>
        <w:t>, Netherlands, Aug. 19th - Aug. 23th, 2024.</w:t>
      </w:r>
    </w:p>
    <w:p>
      <w:pPr>
        <w:pStyle w:val="36"/>
        <w:spacing w:before="120" w:after="120"/>
        <w:ind w:left="363" w:hanging="363"/>
      </w:pPr>
      <w:r>
        <w:rPr>
          <w:rFonts w:hint="eastAsia"/>
        </w:rPr>
        <w:t>RAN1 Chair</w:t>
      </w:r>
      <w:r>
        <w:t>’</w:t>
      </w:r>
      <w:r>
        <w:rPr>
          <w:rFonts w:hint="eastAsia"/>
        </w:rPr>
        <w:t>s Note, 3GPP TSG RAN WG1 #117, Fukuoka, Japan, May 20th - May 24th, 2024.</w:t>
      </w:r>
    </w:p>
    <w:p>
      <w:pPr>
        <w:pStyle w:val="36"/>
        <w:spacing w:before="120" w:after="120"/>
        <w:ind w:left="363" w:hanging="363"/>
      </w:pPr>
      <w:r>
        <w:rPr>
          <w:rFonts w:hint="eastAsia"/>
          <w:lang w:eastAsia="zh-CN"/>
        </w:rPr>
        <w:t>RAN1 Chair</w:t>
      </w:r>
      <w:r>
        <w:rPr>
          <w:lang w:eastAsia="zh-CN"/>
        </w:rPr>
        <w:t>’</w:t>
      </w:r>
      <w:r>
        <w:rPr>
          <w:rFonts w:hint="eastAsia"/>
          <w:lang w:eastAsia="zh-CN"/>
        </w:rPr>
        <w:t>s Note, 3GPP TSG RAN WG1 #116bis, Changsha, China, April 15th–19th, 2024.</w:t>
      </w:r>
    </w:p>
    <w:p>
      <w:pPr>
        <w:pStyle w:val="36"/>
        <w:spacing w:after="0"/>
        <w:ind w:left="363" w:hanging="363"/>
      </w:pPr>
      <w:r>
        <w:rPr>
          <w:rFonts w:hint="eastAsia"/>
        </w:rPr>
        <w:t>RAN1 Chair</w:t>
      </w:r>
      <w:r>
        <w:t>’</w:t>
      </w:r>
      <w:r>
        <w:rPr>
          <w:rFonts w:hint="eastAsia"/>
        </w:rPr>
        <w:t>s Note, 3GPP TSG RAN WG1 #116, Athens, Greece, February 26th - March 1st, 2024.</w:t>
      </w:r>
    </w:p>
    <w:p>
      <w:pPr>
        <w:spacing w:before="120" w:beforeLines="50"/>
        <w:rPr>
          <w:rFonts w:eastAsia="等线"/>
          <w:lang w:eastAsia="zh-CN"/>
        </w:rPr>
        <w:sectPr>
          <w:pgSz w:w="11909" w:h="16834"/>
          <w:pgMar w:top="1440" w:right="1152" w:bottom="1440" w:left="1440" w:header="720" w:footer="720" w:gutter="0"/>
          <w:cols w:space="720" w:num="1"/>
        </w:sectPr>
      </w:pPr>
    </w:p>
    <w:p>
      <w:pPr>
        <w:pStyle w:val="2"/>
        <w:keepLines/>
        <w:numPr>
          <w:ilvl w:val="0"/>
          <w:numId w:val="8"/>
        </w:numPr>
        <w:pBdr>
          <w:top w:val="single" w:color="auto" w:sz="12" w:space="3"/>
        </w:pBdr>
        <w:autoSpaceDE/>
        <w:autoSpaceDN/>
        <w:adjustRightInd/>
        <w:snapToGrid/>
        <w:spacing w:beforeLines="50" w:afterLines="50"/>
        <w:ind w:left="0"/>
        <w:rPr>
          <w:kern w:val="2"/>
          <w:lang w:eastAsia="zh-CN"/>
        </w:rPr>
      </w:pPr>
      <w:r>
        <w:rPr>
          <w:rFonts w:hint="eastAsia"/>
          <w:kern w:val="2"/>
          <w:lang w:eastAsia="zh-CN"/>
        </w:rPr>
        <w:t>Appendix - template of UE features list</w:t>
      </w:r>
    </w:p>
    <w:p>
      <w:pPr>
        <w:tabs>
          <w:tab w:val="left" w:pos="910"/>
        </w:tabs>
        <w:jc w:val="center"/>
        <w:rPr>
          <w:lang w:eastAsia="zh-CN"/>
        </w:rPr>
      </w:pPr>
      <w:r>
        <w:rPr>
          <w:b/>
          <w:lang w:eastAsia="zh-CN"/>
        </w:rPr>
        <w:t>Table 1 UE feature groups for Rel-19 NES</w:t>
      </w:r>
    </w:p>
    <w:tbl>
      <w:tblPr>
        <w:tblStyle w:val="25"/>
        <w:tblpPr w:leftFromText="180" w:rightFromText="180" w:vertAnchor="text" w:horzAnchor="margin" w:tblpY="1503"/>
        <w:tblW w:w="153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535"/>
        <w:gridCol w:w="1175"/>
        <w:gridCol w:w="4317"/>
        <w:gridCol w:w="948"/>
        <w:gridCol w:w="661"/>
        <w:gridCol w:w="947"/>
        <w:gridCol w:w="913"/>
        <w:gridCol w:w="791"/>
        <w:gridCol w:w="765"/>
        <w:gridCol w:w="896"/>
        <w:gridCol w:w="1826"/>
        <w:gridCol w:w="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0" w:hRule="atLeast"/>
        </w:trPr>
        <w:tc>
          <w:tcPr>
            <w:tcW w:w="852" w:type="dxa"/>
            <w:tcBorders>
              <w:top w:val="single" w:color="auto" w:sz="4" w:space="0"/>
              <w:left w:val="single" w:color="auto" w:sz="4" w:space="0"/>
              <w:bottom w:val="single" w:color="auto" w:sz="4" w:space="0"/>
              <w:right w:val="single" w:color="auto" w:sz="4" w:space="0"/>
            </w:tcBorders>
          </w:tcPr>
          <w:p>
            <w:pPr>
              <w:keepNext/>
              <w:keepLines/>
              <w:overflowPunct w:val="0"/>
              <w:spacing w:before="120"/>
              <w:jc w:val="center"/>
              <w:textAlignment w:val="baseline"/>
              <w:rPr>
                <w:rFonts w:ascii="Arial" w:hAnsi="Arial" w:eastAsia="Times New Roman" w:cs="Arial"/>
                <w:b/>
                <w:sz w:val="18"/>
                <w:szCs w:val="18"/>
                <w:lang w:val="en-GB" w:eastAsia="ja-JP"/>
              </w:rPr>
            </w:pPr>
            <w:r>
              <w:rPr>
                <w:rFonts w:ascii="Arial" w:hAnsi="Arial" w:eastAsia="Times New Roman" w:cs="Arial"/>
                <w:b/>
                <w:sz w:val="18"/>
                <w:szCs w:val="18"/>
                <w:lang w:val="en-GB" w:eastAsia="ja-JP"/>
              </w:rPr>
              <w:t>Features</w:t>
            </w:r>
          </w:p>
        </w:tc>
        <w:tc>
          <w:tcPr>
            <w:tcW w:w="535" w:type="dxa"/>
            <w:tcBorders>
              <w:top w:val="single" w:color="auto" w:sz="4" w:space="0"/>
              <w:left w:val="single" w:color="auto" w:sz="4" w:space="0"/>
              <w:bottom w:val="single" w:color="auto" w:sz="4" w:space="0"/>
              <w:right w:val="single" w:color="auto" w:sz="4" w:space="0"/>
            </w:tcBorders>
          </w:tcPr>
          <w:p>
            <w:pPr>
              <w:keepNext/>
              <w:keepLines/>
              <w:overflowPunct w:val="0"/>
              <w:spacing w:before="120"/>
              <w:jc w:val="center"/>
              <w:textAlignment w:val="baseline"/>
              <w:rPr>
                <w:rFonts w:ascii="Arial" w:hAnsi="Arial" w:eastAsia="Times New Roman" w:cs="Arial"/>
                <w:b/>
                <w:sz w:val="18"/>
                <w:szCs w:val="18"/>
                <w:lang w:val="en-GB" w:eastAsia="ja-JP"/>
              </w:rPr>
            </w:pPr>
            <w:r>
              <w:rPr>
                <w:rFonts w:ascii="Arial" w:hAnsi="Arial" w:eastAsia="Times New Roman" w:cs="Arial"/>
                <w:b/>
                <w:sz w:val="18"/>
                <w:szCs w:val="18"/>
                <w:lang w:val="en-GB" w:eastAsia="ja-JP"/>
              </w:rPr>
              <w:t>Index</w:t>
            </w:r>
          </w:p>
        </w:tc>
        <w:tc>
          <w:tcPr>
            <w:tcW w:w="1175" w:type="dxa"/>
            <w:tcBorders>
              <w:top w:val="single" w:color="auto" w:sz="4" w:space="0"/>
              <w:left w:val="single" w:color="auto" w:sz="4" w:space="0"/>
              <w:bottom w:val="single" w:color="auto" w:sz="4" w:space="0"/>
              <w:right w:val="single" w:color="auto" w:sz="4" w:space="0"/>
            </w:tcBorders>
          </w:tcPr>
          <w:p>
            <w:pPr>
              <w:keepNext/>
              <w:keepLines/>
              <w:overflowPunct w:val="0"/>
              <w:spacing w:before="120"/>
              <w:jc w:val="center"/>
              <w:textAlignment w:val="baseline"/>
              <w:rPr>
                <w:rFonts w:ascii="Arial" w:hAnsi="Arial" w:eastAsia="Times New Roman" w:cs="Arial"/>
                <w:b/>
                <w:sz w:val="18"/>
                <w:szCs w:val="18"/>
                <w:lang w:val="en-GB" w:eastAsia="ja-JP"/>
              </w:rPr>
            </w:pPr>
            <w:r>
              <w:rPr>
                <w:rFonts w:ascii="Arial" w:hAnsi="Arial" w:eastAsia="Times New Roman" w:cs="Arial"/>
                <w:b/>
                <w:sz w:val="18"/>
                <w:szCs w:val="18"/>
                <w:lang w:val="en-GB" w:eastAsia="ja-JP"/>
              </w:rPr>
              <w:t>Feature group</w:t>
            </w:r>
          </w:p>
        </w:tc>
        <w:tc>
          <w:tcPr>
            <w:tcW w:w="4317" w:type="dxa"/>
            <w:tcBorders>
              <w:top w:val="single" w:color="auto" w:sz="4" w:space="0"/>
              <w:left w:val="single" w:color="auto" w:sz="4" w:space="0"/>
              <w:bottom w:val="single" w:color="auto" w:sz="4" w:space="0"/>
              <w:right w:val="single" w:color="auto" w:sz="4" w:space="0"/>
            </w:tcBorders>
          </w:tcPr>
          <w:p>
            <w:pPr>
              <w:keepNext/>
              <w:keepLines/>
              <w:overflowPunct w:val="0"/>
              <w:spacing w:before="120"/>
              <w:jc w:val="center"/>
              <w:textAlignment w:val="baseline"/>
              <w:rPr>
                <w:rFonts w:ascii="Arial" w:hAnsi="Arial" w:eastAsia="Times New Roman" w:cs="Arial"/>
                <w:b/>
                <w:sz w:val="18"/>
                <w:szCs w:val="18"/>
                <w:lang w:val="en-GB" w:eastAsia="ja-JP"/>
              </w:rPr>
            </w:pPr>
            <w:r>
              <w:rPr>
                <w:rFonts w:ascii="Arial" w:hAnsi="Arial" w:eastAsia="Times New Roman" w:cs="Arial"/>
                <w:b/>
                <w:sz w:val="18"/>
                <w:szCs w:val="18"/>
                <w:lang w:val="en-GB" w:eastAsia="ja-JP"/>
              </w:rPr>
              <w:t>Components</w:t>
            </w:r>
          </w:p>
        </w:tc>
        <w:tc>
          <w:tcPr>
            <w:tcW w:w="948" w:type="dxa"/>
            <w:tcBorders>
              <w:top w:val="single" w:color="auto" w:sz="4" w:space="0"/>
              <w:left w:val="single" w:color="auto" w:sz="4" w:space="0"/>
              <w:bottom w:val="single" w:color="auto" w:sz="4" w:space="0"/>
              <w:right w:val="single" w:color="auto" w:sz="4" w:space="0"/>
            </w:tcBorders>
          </w:tcPr>
          <w:p>
            <w:pPr>
              <w:keepNext/>
              <w:keepLines/>
              <w:overflowPunct w:val="0"/>
              <w:spacing w:before="120"/>
              <w:jc w:val="center"/>
              <w:textAlignment w:val="baseline"/>
              <w:rPr>
                <w:rFonts w:ascii="Arial" w:hAnsi="Arial" w:eastAsia="Times New Roman" w:cs="Arial"/>
                <w:b/>
                <w:sz w:val="18"/>
                <w:szCs w:val="18"/>
                <w:lang w:val="en-GB" w:eastAsia="ja-JP"/>
              </w:rPr>
            </w:pPr>
            <w:r>
              <w:rPr>
                <w:rFonts w:ascii="Arial" w:hAnsi="Arial" w:eastAsia="Times New Roman" w:cs="Arial"/>
                <w:b/>
                <w:sz w:val="18"/>
                <w:szCs w:val="18"/>
                <w:lang w:val="en-GB" w:eastAsia="ja-JP"/>
              </w:rPr>
              <w:t>Prerequisite feature groups</w:t>
            </w:r>
          </w:p>
        </w:tc>
        <w:tc>
          <w:tcPr>
            <w:tcW w:w="661" w:type="dxa"/>
            <w:tcBorders>
              <w:top w:val="single" w:color="auto" w:sz="4" w:space="0"/>
              <w:left w:val="single" w:color="auto" w:sz="4" w:space="0"/>
              <w:bottom w:val="single" w:color="auto" w:sz="4" w:space="0"/>
              <w:right w:val="single" w:color="auto" w:sz="4" w:space="0"/>
            </w:tcBorders>
          </w:tcPr>
          <w:p>
            <w:pPr>
              <w:keepNext/>
              <w:keepLines/>
              <w:overflowPunct w:val="0"/>
              <w:spacing w:before="120"/>
              <w:jc w:val="center"/>
              <w:textAlignment w:val="baseline"/>
              <w:rPr>
                <w:rFonts w:ascii="Arial" w:hAnsi="Arial" w:eastAsia="Times New Roman" w:cs="Arial"/>
                <w:b/>
                <w:sz w:val="18"/>
                <w:szCs w:val="18"/>
                <w:lang w:val="en-GB" w:eastAsia="ja-JP"/>
              </w:rPr>
            </w:pPr>
            <w:r>
              <w:rPr>
                <w:rFonts w:ascii="Arial" w:hAnsi="Arial" w:eastAsia="Times New Roman" w:cs="Arial"/>
                <w:b/>
                <w:sz w:val="18"/>
                <w:szCs w:val="18"/>
                <w:lang w:val="en-GB" w:eastAsia="ja-JP"/>
              </w:rPr>
              <w:t>Need for the gNB to know if the feature is supported</w:t>
            </w:r>
          </w:p>
        </w:tc>
        <w:tc>
          <w:tcPr>
            <w:tcW w:w="947" w:type="dxa"/>
            <w:tcBorders>
              <w:top w:val="single" w:color="auto" w:sz="4" w:space="0"/>
              <w:left w:val="single" w:color="auto" w:sz="4" w:space="0"/>
              <w:bottom w:val="single" w:color="auto" w:sz="4" w:space="0"/>
              <w:right w:val="single" w:color="auto" w:sz="4" w:space="0"/>
            </w:tcBorders>
          </w:tcPr>
          <w:p>
            <w:pPr>
              <w:keepNext/>
              <w:keepLines/>
              <w:spacing w:before="120"/>
              <w:jc w:val="left"/>
              <w:rPr>
                <w:rFonts w:ascii="Arial" w:hAnsi="Arial" w:cs="Arial"/>
                <w:b/>
                <w:sz w:val="18"/>
                <w:szCs w:val="18"/>
                <w:lang w:val="en-GB" w:eastAsia="ja-JP"/>
              </w:rPr>
            </w:pPr>
            <w:r>
              <w:rPr>
                <w:rFonts w:ascii="Arial" w:hAnsi="Arial" w:cs="Arial"/>
                <w:b/>
                <w:sz w:val="18"/>
                <w:szCs w:val="18"/>
                <w:lang w:val="en-GB" w:eastAsia="ja-JP"/>
              </w:rPr>
              <w:t>Consequence if the feature is not supported by the UE</w:t>
            </w:r>
          </w:p>
        </w:tc>
        <w:tc>
          <w:tcPr>
            <w:tcW w:w="913" w:type="dxa"/>
            <w:tcBorders>
              <w:top w:val="single" w:color="auto" w:sz="4" w:space="0"/>
              <w:left w:val="single" w:color="auto" w:sz="4" w:space="0"/>
              <w:bottom w:val="single" w:color="auto" w:sz="4" w:space="0"/>
              <w:right w:val="single" w:color="auto" w:sz="4" w:space="0"/>
            </w:tcBorders>
          </w:tcPr>
          <w:p>
            <w:pPr>
              <w:keepNext/>
              <w:keepLines/>
              <w:spacing w:before="120"/>
              <w:jc w:val="left"/>
              <w:rPr>
                <w:rFonts w:ascii="Arial" w:hAnsi="Arial" w:cs="Arial"/>
                <w:b/>
                <w:sz w:val="18"/>
                <w:szCs w:val="18"/>
                <w:lang w:val="en-GB" w:eastAsia="ja-JP"/>
              </w:rPr>
            </w:pPr>
            <w:r>
              <w:rPr>
                <w:rFonts w:ascii="Arial" w:hAnsi="Arial" w:cs="Arial"/>
                <w:b/>
                <w:sz w:val="18"/>
                <w:szCs w:val="18"/>
                <w:lang w:val="en-GB" w:eastAsia="ja-JP"/>
              </w:rPr>
              <w:t>Type</w:t>
            </w:r>
          </w:p>
          <w:p>
            <w:pPr>
              <w:keepNext/>
              <w:keepLines/>
              <w:spacing w:before="120"/>
              <w:jc w:val="left"/>
              <w:rPr>
                <w:rFonts w:ascii="Arial" w:hAnsi="Arial" w:cs="Arial"/>
                <w:b/>
                <w:sz w:val="18"/>
                <w:szCs w:val="18"/>
                <w:lang w:val="en-GB" w:eastAsia="ja-JP"/>
              </w:rPr>
            </w:pPr>
            <w:r>
              <w:rPr>
                <w:rFonts w:ascii="Arial" w:hAnsi="Arial" w:cs="Arial"/>
                <w:b/>
                <w:sz w:val="18"/>
                <w:szCs w:val="18"/>
                <w:lang w:val="en-GB" w:eastAsia="ja-JP"/>
              </w:rPr>
              <w:t>(the ‘type’ definition from UE features should be based on the granularity of 1) Per UE or 2) Per Band or 3) Per BC or 4) Per FS or 5) Per FSPC)</w:t>
            </w:r>
          </w:p>
        </w:tc>
        <w:tc>
          <w:tcPr>
            <w:tcW w:w="791" w:type="dxa"/>
            <w:tcBorders>
              <w:top w:val="single" w:color="auto" w:sz="4" w:space="0"/>
              <w:left w:val="single" w:color="auto" w:sz="4" w:space="0"/>
              <w:bottom w:val="single" w:color="auto" w:sz="4" w:space="0"/>
              <w:right w:val="single" w:color="auto" w:sz="4" w:space="0"/>
            </w:tcBorders>
          </w:tcPr>
          <w:p>
            <w:pPr>
              <w:keepNext/>
              <w:keepLines/>
              <w:overflowPunct w:val="0"/>
              <w:spacing w:before="120"/>
              <w:jc w:val="center"/>
              <w:textAlignment w:val="baseline"/>
              <w:rPr>
                <w:rFonts w:ascii="Arial" w:hAnsi="Arial" w:eastAsia="Times New Roman" w:cs="Arial"/>
                <w:b/>
                <w:sz w:val="18"/>
                <w:szCs w:val="18"/>
                <w:lang w:val="en-GB" w:eastAsia="ja-JP"/>
              </w:rPr>
            </w:pPr>
            <w:r>
              <w:rPr>
                <w:rFonts w:ascii="Arial" w:hAnsi="Arial" w:eastAsia="Times New Roman" w:cs="Arial"/>
                <w:b/>
                <w:sz w:val="18"/>
                <w:szCs w:val="18"/>
                <w:lang w:val="en-GB" w:eastAsia="ja-JP"/>
              </w:rPr>
              <w:t>Need of FDD/TDD differentiation</w:t>
            </w:r>
          </w:p>
        </w:tc>
        <w:tc>
          <w:tcPr>
            <w:tcW w:w="765" w:type="dxa"/>
            <w:tcBorders>
              <w:top w:val="single" w:color="auto" w:sz="4" w:space="0"/>
              <w:left w:val="single" w:color="auto" w:sz="4" w:space="0"/>
              <w:bottom w:val="single" w:color="auto" w:sz="4" w:space="0"/>
              <w:right w:val="single" w:color="auto" w:sz="4" w:space="0"/>
            </w:tcBorders>
          </w:tcPr>
          <w:p>
            <w:pPr>
              <w:keepNext/>
              <w:keepLines/>
              <w:overflowPunct w:val="0"/>
              <w:spacing w:before="120"/>
              <w:jc w:val="center"/>
              <w:textAlignment w:val="baseline"/>
              <w:rPr>
                <w:rFonts w:ascii="Arial" w:hAnsi="Arial" w:eastAsia="Times New Roman" w:cs="Arial"/>
                <w:b/>
                <w:sz w:val="18"/>
                <w:szCs w:val="18"/>
                <w:lang w:val="en-GB" w:eastAsia="ja-JP"/>
              </w:rPr>
            </w:pPr>
            <w:r>
              <w:rPr>
                <w:rFonts w:ascii="Arial" w:hAnsi="Arial" w:eastAsia="Times New Roman" w:cs="Arial"/>
                <w:b/>
                <w:sz w:val="18"/>
                <w:szCs w:val="18"/>
                <w:lang w:val="en-GB" w:eastAsia="ja-JP"/>
              </w:rPr>
              <w:t>Need of FR1/FR2 differentiation</w:t>
            </w:r>
          </w:p>
        </w:tc>
        <w:tc>
          <w:tcPr>
            <w:tcW w:w="896" w:type="dxa"/>
            <w:tcBorders>
              <w:top w:val="single" w:color="auto" w:sz="4" w:space="0"/>
              <w:left w:val="single" w:color="auto" w:sz="4" w:space="0"/>
              <w:bottom w:val="single" w:color="auto" w:sz="4" w:space="0"/>
              <w:right w:val="single" w:color="auto" w:sz="4" w:space="0"/>
            </w:tcBorders>
          </w:tcPr>
          <w:p>
            <w:pPr>
              <w:keepNext/>
              <w:keepLines/>
              <w:overflowPunct w:val="0"/>
              <w:spacing w:before="120"/>
              <w:jc w:val="center"/>
              <w:textAlignment w:val="baseline"/>
              <w:rPr>
                <w:rFonts w:ascii="Arial" w:hAnsi="Arial" w:eastAsia="Times New Roman" w:cs="Arial"/>
                <w:b/>
                <w:sz w:val="18"/>
                <w:szCs w:val="18"/>
                <w:lang w:val="en-GB" w:eastAsia="ja-JP"/>
              </w:rPr>
            </w:pPr>
            <w:r>
              <w:rPr>
                <w:rFonts w:ascii="Arial" w:hAnsi="Arial" w:eastAsia="Times New Roman" w:cs="Arial"/>
                <w:b/>
                <w:sz w:val="18"/>
                <w:szCs w:val="18"/>
                <w:lang w:val="en-GB" w:eastAsia="ja-JP"/>
              </w:rPr>
              <w:t>Capability interpretation for mixture of FDD/TDD and/or FR1/FR2</w:t>
            </w:r>
          </w:p>
        </w:tc>
        <w:tc>
          <w:tcPr>
            <w:tcW w:w="1826" w:type="dxa"/>
            <w:tcBorders>
              <w:top w:val="single" w:color="auto" w:sz="4" w:space="0"/>
              <w:left w:val="single" w:color="auto" w:sz="4" w:space="0"/>
              <w:bottom w:val="single" w:color="auto" w:sz="4" w:space="0"/>
              <w:right w:val="single" w:color="auto" w:sz="4" w:space="0"/>
            </w:tcBorders>
          </w:tcPr>
          <w:p>
            <w:pPr>
              <w:keepNext/>
              <w:keepLines/>
              <w:overflowPunct w:val="0"/>
              <w:spacing w:before="120"/>
              <w:jc w:val="center"/>
              <w:textAlignment w:val="baseline"/>
              <w:rPr>
                <w:rFonts w:ascii="Arial" w:hAnsi="Arial" w:eastAsia="Times New Roman" w:cs="Arial"/>
                <w:b/>
                <w:sz w:val="18"/>
                <w:szCs w:val="18"/>
                <w:lang w:val="en-GB" w:eastAsia="ja-JP"/>
              </w:rPr>
            </w:pPr>
            <w:r>
              <w:rPr>
                <w:rFonts w:ascii="Arial" w:hAnsi="Arial" w:eastAsia="Times New Roman" w:cs="Arial"/>
                <w:b/>
                <w:sz w:val="18"/>
                <w:szCs w:val="18"/>
                <w:lang w:val="en-GB" w:eastAsia="ja-JP"/>
              </w:rPr>
              <w:t>Note</w:t>
            </w:r>
          </w:p>
        </w:tc>
        <w:tc>
          <w:tcPr>
            <w:tcW w:w="747" w:type="dxa"/>
            <w:tcBorders>
              <w:top w:val="single" w:color="auto" w:sz="4" w:space="0"/>
              <w:left w:val="single" w:color="auto" w:sz="4" w:space="0"/>
              <w:bottom w:val="single" w:color="auto" w:sz="4" w:space="0"/>
              <w:right w:val="single" w:color="auto" w:sz="4" w:space="0"/>
            </w:tcBorders>
          </w:tcPr>
          <w:p>
            <w:pPr>
              <w:keepNext/>
              <w:keepLines/>
              <w:overflowPunct w:val="0"/>
              <w:spacing w:before="120"/>
              <w:jc w:val="center"/>
              <w:textAlignment w:val="baseline"/>
              <w:rPr>
                <w:rFonts w:ascii="Arial" w:hAnsi="Arial" w:eastAsia="Times New Roman" w:cs="Arial"/>
                <w:b/>
                <w:sz w:val="18"/>
                <w:szCs w:val="18"/>
                <w:lang w:val="en-GB" w:eastAsia="ja-JP"/>
              </w:rPr>
            </w:pPr>
            <w:r>
              <w:rPr>
                <w:rFonts w:ascii="Arial" w:hAnsi="Arial" w:eastAsia="Times New Roman" w:cs="Arial"/>
                <w:b/>
                <w:sz w:val="18"/>
                <w:szCs w:val="18"/>
                <w:lang w:val="en-GB" w:eastAsia="ja-JP"/>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3" w:hRule="atLeast"/>
        </w:trPr>
        <w:tc>
          <w:tcPr>
            <w:tcW w:w="852"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color w:val="000000" w:themeColor="text1"/>
                <w:szCs w:val="18"/>
                <w:lang w:val="en-US" w:eastAsia="zh-CN"/>
                <w14:textFill>
                  <w14:solidFill>
                    <w14:schemeClr w14:val="tx1"/>
                  </w14:solidFill>
                </w14:textFill>
              </w:rPr>
              <w:t>X</w:t>
            </w:r>
            <w:r>
              <w:rPr>
                <w:color w:val="000000" w:themeColor="text1"/>
                <w:szCs w:val="18"/>
                <w:lang w:eastAsia="ja-JP"/>
                <w14:textFill>
                  <w14:solidFill>
                    <w14:schemeClr w14:val="tx1"/>
                  </w14:solidFill>
                </w14:textFill>
              </w:rPr>
              <w:t>. Netw_Energy_NR</w:t>
            </w:r>
          </w:p>
        </w:tc>
        <w:tc>
          <w:tcPr>
            <w:tcW w:w="535" w:type="dxa"/>
            <w:tcBorders>
              <w:top w:val="single" w:color="auto" w:sz="4" w:space="0"/>
              <w:left w:val="single" w:color="auto" w:sz="4" w:space="0"/>
              <w:bottom w:val="single" w:color="auto" w:sz="4" w:space="0"/>
              <w:right w:val="single" w:color="auto" w:sz="4" w:space="0"/>
            </w:tcBorders>
          </w:tcPr>
          <w:p>
            <w:pPr>
              <w:pStyle w:val="60"/>
              <w:rPr>
                <w:szCs w:val="18"/>
                <w:lang w:val="en-US" w:eastAsia="zh-CN"/>
              </w:rPr>
            </w:pPr>
            <w:r>
              <w:rPr>
                <w:szCs w:val="18"/>
                <w:lang w:val="en-US" w:eastAsia="zh-CN"/>
              </w:rPr>
              <w:t>X-1</w:t>
            </w:r>
          </w:p>
          <w:p>
            <w:pPr>
              <w:pStyle w:val="60"/>
              <w:rPr>
                <w:color w:val="FF0000"/>
                <w:szCs w:val="18"/>
              </w:rPr>
            </w:pPr>
          </w:p>
        </w:tc>
        <w:tc>
          <w:tcPr>
            <w:tcW w:w="1175" w:type="dxa"/>
            <w:tcBorders>
              <w:top w:val="single" w:color="auto" w:sz="4" w:space="0"/>
              <w:left w:val="single" w:color="auto" w:sz="4" w:space="0"/>
              <w:bottom w:val="single" w:color="auto" w:sz="4" w:space="0"/>
              <w:right w:val="single" w:color="auto" w:sz="4" w:space="0"/>
            </w:tcBorders>
          </w:tcPr>
          <w:p>
            <w:pPr>
              <w:pStyle w:val="60"/>
              <w:rPr>
                <w:color w:val="FF0000"/>
                <w:szCs w:val="18"/>
              </w:rPr>
            </w:pPr>
            <w:r>
              <w:rPr>
                <w:rFonts w:hint="eastAsia"/>
                <w:szCs w:val="18"/>
                <w:lang w:val="en-US" w:eastAsia="zh-CN"/>
              </w:rPr>
              <w:t xml:space="preserve">Activate/deactivate </w:t>
            </w:r>
            <w:r>
              <w:rPr>
                <w:szCs w:val="18"/>
                <w:lang w:val="en-US" w:eastAsia="zh-CN"/>
              </w:rPr>
              <w:t>on-demand SSB operation by RRC</w:t>
            </w:r>
          </w:p>
        </w:tc>
        <w:tc>
          <w:tcPr>
            <w:tcW w:w="4317" w:type="dxa"/>
            <w:tcBorders>
              <w:top w:val="single" w:color="auto" w:sz="4" w:space="0"/>
              <w:left w:val="single" w:color="auto" w:sz="4" w:space="0"/>
              <w:bottom w:val="single" w:color="auto" w:sz="4" w:space="0"/>
              <w:right w:val="single" w:color="auto" w:sz="4" w:space="0"/>
            </w:tcBorders>
          </w:tcPr>
          <w:p>
            <w:pPr>
              <w:pStyle w:val="60"/>
              <w:numPr>
                <w:ilvl w:val="0"/>
                <w:numId w:val="15"/>
              </w:numPr>
              <w:spacing w:after="120" w:afterLines="50"/>
              <w:rPr>
                <w:szCs w:val="18"/>
                <w:lang w:val="en-US" w:eastAsia="zh-CN"/>
              </w:rPr>
            </w:pPr>
            <w:r>
              <w:rPr>
                <w:szCs w:val="18"/>
                <w:lang w:val="en-US" w:eastAsia="zh-CN"/>
              </w:rPr>
              <w:t xml:space="preserve">Support on-demand SSB </w:t>
            </w:r>
            <w:r>
              <w:rPr>
                <w:rFonts w:hint="eastAsia"/>
                <w:szCs w:val="18"/>
                <w:lang w:val="en-US" w:eastAsia="zh-CN"/>
              </w:rPr>
              <w:t xml:space="preserve">with N SSB bursts indicated </w:t>
            </w:r>
            <w:r>
              <w:rPr>
                <w:rFonts w:eastAsia="Times New Roman"/>
                <w:snapToGrid w:val="0"/>
                <w:szCs w:val="18"/>
                <w:lang w:val="en-US" w:eastAsia="zh-CN"/>
              </w:rPr>
              <w:t xml:space="preserve">by RRC </w:t>
            </w:r>
            <w:r>
              <w:rPr>
                <w:szCs w:val="18"/>
                <w:lang w:val="en-US" w:eastAsia="zh-CN"/>
              </w:rPr>
              <w:t xml:space="preserve">where this RRC </w:t>
            </w:r>
            <w:r>
              <w:rPr>
                <w:rFonts w:hint="eastAsia"/>
                <w:szCs w:val="18"/>
                <w:lang w:val="en-US" w:eastAsia="zh-CN"/>
              </w:rPr>
              <w:t xml:space="preserve">that </w:t>
            </w:r>
            <w:r>
              <w:rPr>
                <w:szCs w:val="18"/>
                <w:lang w:val="en-US" w:eastAsia="zh-CN"/>
              </w:rPr>
              <w:t>configures the SCel</w:t>
            </w:r>
            <w:r>
              <w:rPr>
                <w:rFonts w:eastAsia="Times New Roman"/>
                <w:snapToGrid w:val="0"/>
                <w:szCs w:val="18"/>
                <w:lang w:val="en-US" w:eastAsia="zh-CN"/>
              </w:rPr>
              <w:t>l</w:t>
            </w:r>
            <w:r>
              <w:rPr>
                <w:rFonts w:hint="eastAsia"/>
                <w:szCs w:val="18"/>
                <w:lang w:val="en-US" w:eastAsia="zh-CN"/>
              </w:rPr>
              <w:t>,</w:t>
            </w:r>
            <w:r>
              <w:rPr>
                <w:szCs w:val="18"/>
                <w:lang w:val="en-US" w:eastAsia="zh-CN"/>
              </w:rPr>
              <w:t xml:space="preserve"> activates the SCel</w:t>
            </w:r>
            <w:r>
              <w:rPr>
                <w:rFonts w:hint="eastAsia"/>
                <w:szCs w:val="18"/>
                <w:lang w:val="en-US" w:eastAsia="zh-CN"/>
              </w:rPr>
              <w:t>l, and</w:t>
            </w:r>
            <w:r>
              <w:rPr>
                <w:szCs w:val="18"/>
                <w:lang w:val="en-US" w:eastAsia="zh-CN"/>
              </w:rPr>
              <w:t xml:space="preserve"> provides on-demand SSB configuration</w:t>
            </w:r>
          </w:p>
          <w:p>
            <w:pPr>
              <w:pStyle w:val="60"/>
              <w:spacing w:after="120" w:afterLines="50"/>
              <w:rPr>
                <w:bCs/>
                <w:szCs w:val="18"/>
              </w:rPr>
            </w:pPr>
          </w:p>
          <w:p>
            <w:pPr>
              <w:spacing w:afterLines="50"/>
              <w:rPr>
                <w:rFonts w:ascii="Arial" w:hAnsi="Arial" w:cs="Arial"/>
                <w:color w:val="FF0000"/>
                <w:sz w:val="18"/>
                <w:szCs w:val="18"/>
                <w:lang w:eastAsia="zh-CN"/>
              </w:rPr>
            </w:pPr>
          </w:p>
        </w:tc>
        <w:tc>
          <w:tcPr>
            <w:tcW w:w="948" w:type="dxa"/>
            <w:tcBorders>
              <w:top w:val="single" w:color="auto" w:sz="4" w:space="0"/>
              <w:left w:val="single" w:color="auto" w:sz="4" w:space="0"/>
              <w:bottom w:val="single" w:color="auto" w:sz="4" w:space="0"/>
              <w:right w:val="single" w:color="auto" w:sz="4" w:space="0"/>
            </w:tcBorders>
          </w:tcPr>
          <w:p>
            <w:pPr>
              <w:pStyle w:val="60"/>
              <w:rPr>
                <w:rFonts w:eastAsia="MS Mincho"/>
                <w:szCs w:val="18"/>
                <w:highlight w:val="yellow"/>
                <w:lang w:eastAsia="ja-JP"/>
              </w:rPr>
            </w:pPr>
          </w:p>
        </w:tc>
        <w:tc>
          <w:tcPr>
            <w:tcW w:w="661" w:type="dxa"/>
            <w:tcBorders>
              <w:top w:val="single" w:color="auto" w:sz="4" w:space="0"/>
              <w:left w:val="single" w:color="auto" w:sz="4" w:space="0"/>
              <w:bottom w:val="single" w:color="auto" w:sz="4" w:space="0"/>
              <w:right w:val="single" w:color="auto" w:sz="4" w:space="0"/>
            </w:tcBorders>
          </w:tcPr>
          <w:p>
            <w:pPr>
              <w:pStyle w:val="60"/>
              <w:rPr>
                <w:szCs w:val="18"/>
              </w:rPr>
            </w:pPr>
            <w:r>
              <w:rPr>
                <w:szCs w:val="18"/>
                <w:lang w:eastAsia="zh-CN"/>
              </w:rPr>
              <w:t>Yes</w:t>
            </w:r>
          </w:p>
        </w:tc>
        <w:tc>
          <w:tcPr>
            <w:tcW w:w="947" w:type="dxa"/>
            <w:tcBorders>
              <w:top w:val="single" w:color="auto" w:sz="4" w:space="0"/>
              <w:left w:val="single" w:color="auto" w:sz="4" w:space="0"/>
              <w:bottom w:val="single" w:color="auto" w:sz="4" w:space="0"/>
              <w:right w:val="single" w:color="auto" w:sz="4" w:space="0"/>
            </w:tcBorders>
            <w:shd w:val="clear" w:color="auto" w:fill="FFFF00"/>
          </w:tcPr>
          <w:p>
            <w:pPr>
              <w:pStyle w:val="60"/>
              <w:rPr>
                <w:szCs w:val="18"/>
              </w:rPr>
            </w:pPr>
          </w:p>
        </w:tc>
        <w:tc>
          <w:tcPr>
            <w:tcW w:w="913" w:type="dxa"/>
            <w:tcBorders>
              <w:top w:val="single" w:color="auto" w:sz="4" w:space="0"/>
              <w:left w:val="single" w:color="auto" w:sz="4" w:space="0"/>
              <w:bottom w:val="single" w:color="auto" w:sz="4" w:space="0"/>
              <w:right w:val="single" w:color="auto" w:sz="4" w:space="0"/>
            </w:tcBorders>
            <w:shd w:val="clear" w:color="auto" w:fill="FFFF00"/>
          </w:tcPr>
          <w:p>
            <w:pPr>
              <w:pStyle w:val="60"/>
              <w:rPr>
                <w:color w:val="FF0000"/>
                <w:szCs w:val="18"/>
                <w:lang w:val="en-US" w:eastAsia="zh-CN"/>
              </w:rPr>
            </w:pPr>
            <w:r>
              <w:rPr>
                <w:szCs w:val="18"/>
                <w:lang w:eastAsia="zh-CN"/>
              </w:rPr>
              <w:t>Per UE</w:t>
            </w:r>
          </w:p>
        </w:tc>
        <w:tc>
          <w:tcPr>
            <w:tcW w:w="791" w:type="dxa"/>
            <w:tcBorders>
              <w:top w:val="single" w:color="auto" w:sz="4" w:space="0"/>
              <w:left w:val="single" w:color="auto" w:sz="4" w:space="0"/>
              <w:bottom w:val="single" w:color="auto" w:sz="4" w:space="0"/>
              <w:right w:val="single" w:color="auto" w:sz="4" w:space="0"/>
            </w:tcBorders>
            <w:shd w:val="clear" w:color="auto" w:fill="FFFF00"/>
          </w:tcPr>
          <w:p>
            <w:pPr>
              <w:pStyle w:val="60"/>
              <w:rPr>
                <w:szCs w:val="18"/>
                <w:lang w:eastAsia="ja-JP"/>
              </w:rPr>
            </w:pPr>
            <w:r>
              <w:rPr>
                <w:szCs w:val="18"/>
                <w:lang w:eastAsia="ja-JP"/>
              </w:rPr>
              <w:t>No</w:t>
            </w:r>
          </w:p>
        </w:tc>
        <w:tc>
          <w:tcPr>
            <w:tcW w:w="765" w:type="dxa"/>
            <w:tcBorders>
              <w:top w:val="single" w:color="auto" w:sz="4" w:space="0"/>
              <w:left w:val="single" w:color="auto" w:sz="4" w:space="0"/>
              <w:bottom w:val="single" w:color="auto" w:sz="4" w:space="0"/>
              <w:right w:val="single" w:color="auto" w:sz="4" w:space="0"/>
            </w:tcBorders>
            <w:shd w:val="clear" w:color="auto" w:fill="FFFF00"/>
          </w:tcPr>
          <w:p>
            <w:pPr>
              <w:pStyle w:val="60"/>
              <w:rPr>
                <w:szCs w:val="18"/>
                <w:lang w:eastAsia="ja-JP"/>
              </w:rPr>
            </w:pPr>
            <w:r>
              <w:rPr>
                <w:szCs w:val="18"/>
                <w:lang w:val="en-US" w:eastAsia="zh-CN"/>
              </w:rPr>
              <w:t>No</w:t>
            </w:r>
          </w:p>
        </w:tc>
        <w:tc>
          <w:tcPr>
            <w:tcW w:w="896"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szCs w:val="18"/>
                <w:lang w:val="en-US" w:eastAsia="zh-CN"/>
              </w:rPr>
              <w:t>No</w:t>
            </w:r>
          </w:p>
        </w:tc>
        <w:tc>
          <w:tcPr>
            <w:tcW w:w="1826" w:type="dxa"/>
            <w:tcBorders>
              <w:top w:val="single" w:color="auto" w:sz="4" w:space="0"/>
              <w:left w:val="single" w:color="auto" w:sz="4" w:space="0"/>
              <w:bottom w:val="single" w:color="auto" w:sz="4" w:space="0"/>
              <w:right w:val="single" w:color="auto" w:sz="4" w:space="0"/>
            </w:tcBorders>
            <w:shd w:val="clear" w:color="auto" w:fill="FFFF00"/>
          </w:tcPr>
          <w:p>
            <w:pPr>
              <w:pStyle w:val="60"/>
              <w:rPr>
                <w:szCs w:val="18"/>
                <w:lang w:val="en-US" w:eastAsia="zh-CN"/>
              </w:rPr>
            </w:pPr>
            <w:r>
              <w:rPr>
                <w:rFonts w:hint="eastAsia"/>
                <w:szCs w:val="18"/>
                <w:lang w:val="en-US" w:eastAsia="zh-CN"/>
              </w:rPr>
              <w:t xml:space="preserve">Component 1: Candidate value: {N1, N2, ... } </w:t>
            </w:r>
          </w:p>
          <w:p>
            <w:pPr>
              <w:pStyle w:val="60"/>
              <w:rPr>
                <w:szCs w:val="18"/>
                <w:lang w:val="en-US" w:eastAsia="zh-CN"/>
              </w:rPr>
            </w:pPr>
          </w:p>
          <w:p>
            <w:pPr>
              <w:pStyle w:val="60"/>
              <w:rPr>
                <w:szCs w:val="18"/>
                <w:lang w:val="en-US" w:eastAsia="zh-CN"/>
              </w:rPr>
            </w:pPr>
            <w:r>
              <w:rPr>
                <w:rFonts w:hint="eastAsia"/>
                <w:szCs w:val="18"/>
                <w:lang w:val="en-US" w:eastAsia="zh-CN"/>
              </w:rPr>
              <w:t>Note: On-demand SSB is activated/deactivated by RRC based signaling on SCell with periodically transmitted SSB or without periodically transmitted SSB.</w:t>
            </w:r>
          </w:p>
        </w:tc>
        <w:tc>
          <w:tcPr>
            <w:tcW w:w="747" w:type="dxa"/>
            <w:tcBorders>
              <w:top w:val="single" w:color="auto" w:sz="4" w:space="0"/>
              <w:left w:val="single" w:color="auto" w:sz="4" w:space="0"/>
              <w:bottom w:val="single" w:color="auto" w:sz="4" w:space="0"/>
              <w:right w:val="single" w:color="auto" w:sz="4" w:space="0"/>
            </w:tcBorders>
            <w:shd w:val="clear" w:color="auto" w:fill="auto"/>
          </w:tcPr>
          <w:p>
            <w:pPr>
              <w:pStyle w:val="60"/>
              <w:rPr>
                <w:szCs w:val="18"/>
                <w:lang w:eastAsia="ja-JP"/>
              </w:rPr>
            </w:pPr>
            <w:r>
              <w:rPr>
                <w:szCs w:val="18"/>
                <w:lang w:eastAsia="ja-JP"/>
              </w:rPr>
              <w:t>Optional with capability signaling</w:t>
            </w:r>
          </w:p>
          <w:p>
            <w:pPr>
              <w:pStyle w:val="60"/>
              <w:rPr>
                <w:szCs w:val="18"/>
                <w:lang w:eastAsia="zh-CN"/>
              </w:rPr>
            </w:pPr>
          </w:p>
          <w:p>
            <w:pPr>
              <w:pStyle w:val="60"/>
              <w:rPr>
                <w:rFonts w:eastAsia="MS Mincho"/>
                <w:color w:val="FF0000"/>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7" w:hRule="atLeast"/>
        </w:trPr>
        <w:tc>
          <w:tcPr>
            <w:tcW w:w="852"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color w:val="000000" w:themeColor="text1"/>
                <w:szCs w:val="18"/>
                <w:lang w:val="en-US" w:eastAsia="zh-CN"/>
                <w14:textFill>
                  <w14:solidFill>
                    <w14:schemeClr w14:val="tx1"/>
                  </w14:solidFill>
                </w14:textFill>
              </w:rPr>
              <w:t>X</w:t>
            </w:r>
            <w:r>
              <w:rPr>
                <w:color w:val="000000" w:themeColor="text1"/>
                <w:szCs w:val="18"/>
                <w:lang w:eastAsia="ja-JP"/>
                <w14:textFill>
                  <w14:solidFill>
                    <w14:schemeClr w14:val="tx1"/>
                  </w14:solidFill>
                </w14:textFill>
              </w:rPr>
              <w:t>. Netw_Energy_NR</w:t>
            </w:r>
          </w:p>
        </w:tc>
        <w:tc>
          <w:tcPr>
            <w:tcW w:w="535" w:type="dxa"/>
            <w:tcBorders>
              <w:top w:val="single" w:color="auto" w:sz="4" w:space="0"/>
              <w:left w:val="single" w:color="auto" w:sz="4" w:space="0"/>
              <w:bottom w:val="single" w:color="auto" w:sz="4" w:space="0"/>
              <w:right w:val="single" w:color="auto" w:sz="4" w:space="0"/>
            </w:tcBorders>
          </w:tcPr>
          <w:p>
            <w:pPr>
              <w:pStyle w:val="60"/>
              <w:rPr>
                <w:szCs w:val="18"/>
                <w:lang w:val="en-US" w:eastAsia="zh-CN"/>
              </w:rPr>
            </w:pPr>
            <w:r>
              <w:rPr>
                <w:szCs w:val="18"/>
                <w:lang w:val="en-US" w:eastAsia="zh-CN"/>
              </w:rPr>
              <w:t>X-2</w:t>
            </w:r>
          </w:p>
          <w:p>
            <w:pPr>
              <w:pStyle w:val="60"/>
              <w:rPr>
                <w:color w:val="FF0000"/>
                <w:szCs w:val="18"/>
              </w:rPr>
            </w:pPr>
          </w:p>
        </w:tc>
        <w:tc>
          <w:tcPr>
            <w:tcW w:w="1175" w:type="dxa"/>
            <w:tcBorders>
              <w:top w:val="single" w:color="auto" w:sz="4" w:space="0"/>
              <w:left w:val="single" w:color="auto" w:sz="4" w:space="0"/>
              <w:bottom w:val="single" w:color="auto" w:sz="4" w:space="0"/>
              <w:right w:val="single" w:color="auto" w:sz="4" w:space="0"/>
            </w:tcBorders>
          </w:tcPr>
          <w:p>
            <w:pPr>
              <w:pStyle w:val="60"/>
              <w:rPr>
                <w:color w:val="FF0000"/>
                <w:szCs w:val="18"/>
              </w:rPr>
            </w:pPr>
            <w:r>
              <w:rPr>
                <w:rFonts w:hint="eastAsia"/>
                <w:szCs w:val="18"/>
                <w:lang w:val="en-US" w:eastAsia="zh-CN"/>
              </w:rPr>
              <w:t xml:space="preserve">Trigger/deactivate </w:t>
            </w:r>
            <w:r>
              <w:rPr>
                <w:szCs w:val="18"/>
                <w:lang w:val="en-US" w:eastAsia="zh-CN"/>
              </w:rPr>
              <w:t>on-demand SSB operation by MAC CE</w:t>
            </w:r>
          </w:p>
        </w:tc>
        <w:tc>
          <w:tcPr>
            <w:tcW w:w="4317" w:type="dxa"/>
            <w:tcBorders>
              <w:top w:val="single" w:color="auto" w:sz="4" w:space="0"/>
              <w:left w:val="single" w:color="auto" w:sz="4" w:space="0"/>
              <w:bottom w:val="single" w:color="auto" w:sz="4" w:space="0"/>
              <w:right w:val="single" w:color="auto" w:sz="4" w:space="0"/>
            </w:tcBorders>
          </w:tcPr>
          <w:p>
            <w:pPr>
              <w:pStyle w:val="60"/>
              <w:numPr>
                <w:ilvl w:val="0"/>
                <w:numId w:val="16"/>
              </w:numPr>
              <w:spacing w:after="120" w:afterLines="50"/>
              <w:rPr>
                <w:szCs w:val="18"/>
                <w:lang w:val="en-US" w:eastAsia="zh-CN"/>
              </w:rPr>
            </w:pPr>
            <w:r>
              <w:rPr>
                <w:szCs w:val="18"/>
                <w:lang w:val="en-US" w:eastAsia="zh-CN"/>
              </w:rPr>
              <w:t>Support on-demand SSB operation triggered by MAC CE</w:t>
            </w:r>
            <w:r>
              <w:rPr>
                <w:rFonts w:hint="eastAsia"/>
                <w:szCs w:val="18"/>
                <w:lang w:val="en-US" w:eastAsia="zh-CN"/>
              </w:rPr>
              <w:t xml:space="preserve"> before UE receives SCell activation command.</w:t>
            </w:r>
          </w:p>
          <w:p>
            <w:pPr>
              <w:pStyle w:val="60"/>
              <w:numPr>
                <w:ilvl w:val="0"/>
                <w:numId w:val="16"/>
              </w:numPr>
              <w:spacing w:after="120" w:afterLines="50"/>
              <w:rPr>
                <w:szCs w:val="18"/>
                <w:lang w:val="en-US" w:eastAsia="zh-CN"/>
              </w:rPr>
            </w:pPr>
            <w:r>
              <w:rPr>
                <w:rFonts w:hint="eastAsia"/>
                <w:szCs w:val="18"/>
                <w:lang w:val="en-US" w:eastAsia="zh-CN"/>
              </w:rPr>
              <w:t xml:space="preserve">Support </w:t>
            </w:r>
            <w:r>
              <w:rPr>
                <w:szCs w:val="18"/>
                <w:lang w:val="en-US" w:eastAsia="zh-CN"/>
              </w:rPr>
              <w:t>on-demand SSB operation triggered by MAC CE</w:t>
            </w:r>
            <w:r>
              <w:rPr>
                <w:rFonts w:hint="eastAsia"/>
                <w:szCs w:val="18"/>
                <w:lang w:val="en-US" w:eastAsia="zh-CN"/>
              </w:rPr>
              <w:t xml:space="preserve"> when UE receives SCell activation command.</w:t>
            </w:r>
          </w:p>
          <w:p>
            <w:pPr>
              <w:pStyle w:val="60"/>
              <w:numPr>
                <w:ilvl w:val="0"/>
                <w:numId w:val="16"/>
              </w:numPr>
              <w:spacing w:after="120" w:afterLines="50"/>
              <w:rPr>
                <w:szCs w:val="18"/>
              </w:rPr>
            </w:pPr>
            <w:r>
              <w:rPr>
                <w:rFonts w:hint="eastAsia"/>
                <w:szCs w:val="18"/>
                <w:lang w:val="en-US" w:eastAsia="zh-CN"/>
              </w:rPr>
              <w:t xml:space="preserve">Support </w:t>
            </w:r>
            <w:r>
              <w:rPr>
                <w:szCs w:val="18"/>
                <w:lang w:val="en-US" w:eastAsia="zh-CN"/>
              </w:rPr>
              <w:t>on-demand SSB operation</w:t>
            </w:r>
            <w:r>
              <w:rPr>
                <w:rFonts w:hint="eastAsia"/>
                <w:szCs w:val="18"/>
                <w:lang w:val="en-US" w:eastAsia="zh-CN"/>
              </w:rPr>
              <w:t xml:space="preserve"> </w:t>
            </w:r>
            <w:r>
              <w:rPr>
                <w:szCs w:val="18"/>
                <w:lang w:val="en-US" w:eastAsia="zh-CN"/>
              </w:rPr>
              <w:t>deactivated</w:t>
            </w:r>
            <w:r>
              <w:rPr>
                <w:rFonts w:hint="eastAsia"/>
                <w:szCs w:val="18"/>
                <w:lang w:val="en-US" w:eastAsia="zh-CN"/>
              </w:rPr>
              <w:t xml:space="preserve"> </w:t>
            </w:r>
            <w:r>
              <w:rPr>
                <w:szCs w:val="18"/>
                <w:lang w:val="en-US" w:eastAsia="zh-CN"/>
              </w:rPr>
              <w:t>by MAC CE</w:t>
            </w:r>
          </w:p>
          <w:p>
            <w:pPr>
              <w:spacing w:afterLines="50"/>
              <w:rPr>
                <w:rFonts w:ascii="Arial" w:hAnsi="Arial" w:cs="Arial"/>
                <w:color w:val="FF0000"/>
                <w:sz w:val="18"/>
                <w:szCs w:val="18"/>
                <w:lang w:eastAsia="zh-CN"/>
              </w:rPr>
            </w:pPr>
          </w:p>
        </w:tc>
        <w:tc>
          <w:tcPr>
            <w:tcW w:w="948" w:type="dxa"/>
            <w:tcBorders>
              <w:top w:val="single" w:color="auto" w:sz="4" w:space="0"/>
              <w:left w:val="single" w:color="auto" w:sz="4" w:space="0"/>
              <w:bottom w:val="single" w:color="auto" w:sz="4" w:space="0"/>
              <w:right w:val="single" w:color="auto" w:sz="4" w:space="0"/>
            </w:tcBorders>
          </w:tcPr>
          <w:p>
            <w:pPr>
              <w:pStyle w:val="60"/>
              <w:rPr>
                <w:szCs w:val="18"/>
                <w:highlight w:val="yellow"/>
                <w:lang w:val="en-US" w:eastAsia="zh-CN"/>
              </w:rPr>
            </w:pPr>
          </w:p>
        </w:tc>
        <w:tc>
          <w:tcPr>
            <w:tcW w:w="661" w:type="dxa"/>
            <w:tcBorders>
              <w:top w:val="single" w:color="auto" w:sz="4" w:space="0"/>
              <w:left w:val="single" w:color="auto" w:sz="4" w:space="0"/>
              <w:bottom w:val="single" w:color="auto" w:sz="4" w:space="0"/>
              <w:right w:val="single" w:color="auto" w:sz="4" w:space="0"/>
            </w:tcBorders>
          </w:tcPr>
          <w:p>
            <w:pPr>
              <w:pStyle w:val="60"/>
              <w:rPr>
                <w:szCs w:val="18"/>
              </w:rPr>
            </w:pPr>
            <w:r>
              <w:rPr>
                <w:szCs w:val="18"/>
                <w:lang w:eastAsia="zh-CN"/>
              </w:rPr>
              <w:t>Yes</w:t>
            </w:r>
          </w:p>
        </w:tc>
        <w:tc>
          <w:tcPr>
            <w:tcW w:w="947" w:type="dxa"/>
            <w:tcBorders>
              <w:top w:val="single" w:color="auto" w:sz="4" w:space="0"/>
              <w:left w:val="single" w:color="auto" w:sz="4" w:space="0"/>
              <w:bottom w:val="single" w:color="auto" w:sz="4" w:space="0"/>
              <w:right w:val="single" w:color="auto" w:sz="4" w:space="0"/>
            </w:tcBorders>
            <w:shd w:val="clear" w:color="auto" w:fill="FFFF00"/>
          </w:tcPr>
          <w:p>
            <w:pPr>
              <w:pStyle w:val="60"/>
              <w:rPr>
                <w:szCs w:val="18"/>
              </w:rPr>
            </w:pPr>
          </w:p>
        </w:tc>
        <w:tc>
          <w:tcPr>
            <w:tcW w:w="913" w:type="dxa"/>
            <w:tcBorders>
              <w:top w:val="single" w:color="auto" w:sz="4" w:space="0"/>
              <w:left w:val="single" w:color="auto" w:sz="4" w:space="0"/>
              <w:bottom w:val="single" w:color="auto" w:sz="4" w:space="0"/>
              <w:right w:val="single" w:color="auto" w:sz="4" w:space="0"/>
            </w:tcBorders>
            <w:shd w:val="clear" w:color="auto" w:fill="FFFF00"/>
          </w:tcPr>
          <w:p>
            <w:pPr>
              <w:pStyle w:val="60"/>
              <w:rPr>
                <w:color w:val="FF0000"/>
                <w:szCs w:val="18"/>
                <w:lang w:val="en-US" w:eastAsia="zh-CN"/>
              </w:rPr>
            </w:pPr>
            <w:r>
              <w:rPr>
                <w:szCs w:val="18"/>
                <w:lang w:eastAsia="zh-CN"/>
              </w:rPr>
              <w:t>Per UE</w:t>
            </w:r>
          </w:p>
        </w:tc>
        <w:tc>
          <w:tcPr>
            <w:tcW w:w="791" w:type="dxa"/>
            <w:tcBorders>
              <w:top w:val="single" w:color="auto" w:sz="4" w:space="0"/>
              <w:left w:val="single" w:color="auto" w:sz="4" w:space="0"/>
              <w:bottom w:val="single" w:color="auto" w:sz="4" w:space="0"/>
              <w:right w:val="single" w:color="auto" w:sz="4" w:space="0"/>
            </w:tcBorders>
            <w:shd w:val="clear" w:color="auto" w:fill="FFFF00"/>
          </w:tcPr>
          <w:p>
            <w:pPr>
              <w:pStyle w:val="60"/>
              <w:rPr>
                <w:szCs w:val="18"/>
                <w:lang w:eastAsia="ja-JP"/>
              </w:rPr>
            </w:pPr>
            <w:r>
              <w:rPr>
                <w:szCs w:val="18"/>
                <w:lang w:eastAsia="ja-JP"/>
              </w:rPr>
              <w:t>No</w:t>
            </w:r>
          </w:p>
        </w:tc>
        <w:tc>
          <w:tcPr>
            <w:tcW w:w="765" w:type="dxa"/>
            <w:tcBorders>
              <w:top w:val="single" w:color="auto" w:sz="4" w:space="0"/>
              <w:left w:val="single" w:color="auto" w:sz="4" w:space="0"/>
              <w:bottom w:val="single" w:color="auto" w:sz="4" w:space="0"/>
              <w:right w:val="single" w:color="auto" w:sz="4" w:space="0"/>
            </w:tcBorders>
            <w:shd w:val="clear" w:color="auto" w:fill="FFFF00"/>
          </w:tcPr>
          <w:p>
            <w:pPr>
              <w:pStyle w:val="60"/>
              <w:rPr>
                <w:szCs w:val="18"/>
                <w:lang w:eastAsia="ja-JP"/>
              </w:rPr>
            </w:pPr>
            <w:r>
              <w:rPr>
                <w:szCs w:val="18"/>
                <w:lang w:val="en-US" w:eastAsia="zh-CN"/>
              </w:rPr>
              <w:t>No</w:t>
            </w:r>
          </w:p>
        </w:tc>
        <w:tc>
          <w:tcPr>
            <w:tcW w:w="896"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szCs w:val="18"/>
                <w:lang w:val="en-US" w:eastAsia="zh-CN"/>
              </w:rPr>
              <w:t>No</w:t>
            </w:r>
          </w:p>
        </w:tc>
        <w:tc>
          <w:tcPr>
            <w:tcW w:w="1826" w:type="dxa"/>
            <w:tcBorders>
              <w:top w:val="single" w:color="auto" w:sz="4" w:space="0"/>
              <w:left w:val="single" w:color="auto" w:sz="4" w:space="0"/>
              <w:bottom w:val="single" w:color="auto" w:sz="4" w:space="0"/>
              <w:right w:val="single" w:color="auto" w:sz="4" w:space="0"/>
            </w:tcBorders>
            <w:shd w:val="clear" w:color="auto" w:fill="FFFF00"/>
          </w:tcPr>
          <w:p>
            <w:pPr>
              <w:pStyle w:val="60"/>
              <w:rPr>
                <w:szCs w:val="18"/>
              </w:rPr>
            </w:pPr>
            <w:r>
              <w:rPr>
                <w:rFonts w:hint="eastAsia"/>
                <w:szCs w:val="18"/>
                <w:lang w:val="en-US" w:eastAsia="zh-CN"/>
              </w:rPr>
              <w:t>On-demand SSB is triggered/deactivated by MAC CE based signaling on SCell with periodically transmitted SSB or without periodically transmitted SSB.</w:t>
            </w:r>
          </w:p>
        </w:tc>
        <w:tc>
          <w:tcPr>
            <w:tcW w:w="747" w:type="dxa"/>
            <w:tcBorders>
              <w:top w:val="single" w:color="auto" w:sz="4" w:space="0"/>
              <w:left w:val="single" w:color="auto" w:sz="4" w:space="0"/>
              <w:bottom w:val="single" w:color="auto" w:sz="4" w:space="0"/>
              <w:right w:val="single" w:color="auto" w:sz="4" w:space="0"/>
            </w:tcBorders>
            <w:shd w:val="clear" w:color="auto" w:fill="auto"/>
          </w:tcPr>
          <w:p>
            <w:pPr>
              <w:pStyle w:val="60"/>
              <w:rPr>
                <w:szCs w:val="18"/>
                <w:lang w:eastAsia="ja-JP"/>
              </w:rPr>
            </w:pPr>
            <w:r>
              <w:rPr>
                <w:szCs w:val="18"/>
                <w:lang w:eastAsia="ja-JP"/>
              </w:rPr>
              <w:t>Optional with capability signaling</w:t>
            </w:r>
          </w:p>
          <w:p>
            <w:pPr>
              <w:pStyle w:val="60"/>
              <w:rPr>
                <w:rFonts w:eastAsia="MS Mincho"/>
                <w:color w:val="FF0000"/>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trPr>
        <w:tc>
          <w:tcPr>
            <w:tcW w:w="852" w:type="dxa"/>
          </w:tcPr>
          <w:p>
            <w:pPr>
              <w:pStyle w:val="60"/>
              <w:rPr>
                <w:szCs w:val="18"/>
                <w:lang w:val="en-US" w:eastAsia="zh-CN"/>
              </w:rPr>
            </w:pPr>
            <w:r>
              <w:rPr>
                <w:color w:val="000000" w:themeColor="text1"/>
                <w:szCs w:val="18"/>
                <w:lang w:val="en-US" w:eastAsia="zh-CN"/>
                <w14:textFill>
                  <w14:solidFill>
                    <w14:schemeClr w14:val="tx1"/>
                  </w14:solidFill>
                </w14:textFill>
              </w:rPr>
              <w:t>X</w:t>
            </w:r>
            <w:r>
              <w:rPr>
                <w:color w:val="000000" w:themeColor="text1"/>
                <w:szCs w:val="18"/>
                <w:lang w:eastAsia="ja-JP"/>
                <w14:textFill>
                  <w14:solidFill>
                    <w14:schemeClr w14:val="tx1"/>
                  </w14:solidFill>
                </w14:textFill>
              </w:rPr>
              <w:t>. Netw_Energy_NR</w:t>
            </w:r>
          </w:p>
        </w:tc>
        <w:tc>
          <w:tcPr>
            <w:tcW w:w="535" w:type="dxa"/>
          </w:tcPr>
          <w:p>
            <w:pPr>
              <w:pStyle w:val="60"/>
              <w:rPr>
                <w:szCs w:val="18"/>
                <w:lang w:val="en-US" w:eastAsia="zh-CN"/>
              </w:rPr>
            </w:pPr>
            <w:r>
              <w:rPr>
                <w:szCs w:val="18"/>
                <w:lang w:val="en-US" w:eastAsia="zh-CN"/>
              </w:rPr>
              <w:t>X-</w:t>
            </w:r>
            <w:r>
              <w:rPr>
                <w:rFonts w:hint="eastAsia"/>
                <w:szCs w:val="18"/>
                <w:lang w:val="en-US" w:eastAsia="zh-CN"/>
              </w:rPr>
              <w:t>3</w:t>
            </w:r>
          </w:p>
          <w:p>
            <w:pPr>
              <w:pStyle w:val="60"/>
              <w:rPr>
                <w:szCs w:val="18"/>
                <w:lang w:eastAsia="ja-JP"/>
              </w:rPr>
            </w:pPr>
          </w:p>
        </w:tc>
        <w:tc>
          <w:tcPr>
            <w:tcW w:w="1175" w:type="dxa"/>
          </w:tcPr>
          <w:p>
            <w:pPr>
              <w:pStyle w:val="60"/>
              <w:rPr>
                <w:szCs w:val="18"/>
                <w:lang w:val="en-US" w:eastAsia="zh-CN"/>
              </w:rPr>
            </w:pPr>
            <w:r>
              <w:rPr>
                <w:szCs w:val="18"/>
                <w:lang w:val="en-US" w:eastAsia="zh-CN"/>
              </w:rPr>
              <w:t>On-demand SIB1 operation</w:t>
            </w:r>
            <w:r>
              <w:rPr>
                <w:rFonts w:hint="eastAsia"/>
                <w:szCs w:val="18"/>
                <w:lang w:val="en-US" w:eastAsia="zh-CN"/>
              </w:rPr>
              <w:t xml:space="preserve"> for UEs in idle/inactive mode</w:t>
            </w:r>
          </w:p>
        </w:tc>
        <w:tc>
          <w:tcPr>
            <w:tcW w:w="4317" w:type="dxa"/>
          </w:tcPr>
          <w:p>
            <w:pPr>
              <w:pStyle w:val="60"/>
              <w:numPr>
                <w:ilvl w:val="0"/>
                <w:numId w:val="17"/>
              </w:numPr>
              <w:spacing w:after="120" w:afterLines="50"/>
              <w:rPr>
                <w:szCs w:val="18"/>
                <w:lang w:val="en-US" w:eastAsia="zh-CN"/>
              </w:rPr>
            </w:pPr>
            <w:r>
              <w:rPr>
                <w:szCs w:val="18"/>
                <w:lang w:val="en-US" w:eastAsia="zh-CN"/>
              </w:rPr>
              <w:t>Support to obtain the WUS configuration from a cell with SIB1 transmitted.</w:t>
            </w:r>
          </w:p>
          <w:p>
            <w:pPr>
              <w:pStyle w:val="60"/>
              <w:numPr>
                <w:ilvl w:val="0"/>
                <w:numId w:val="17"/>
              </w:numPr>
              <w:spacing w:after="120" w:afterLines="50"/>
              <w:rPr>
                <w:szCs w:val="18"/>
                <w:lang w:val="en-US" w:eastAsia="zh-CN"/>
              </w:rPr>
            </w:pPr>
            <w:r>
              <w:rPr>
                <w:szCs w:val="18"/>
                <w:lang w:val="en-US" w:eastAsia="zh-CN"/>
              </w:rPr>
              <w:t>Support to identify a NES cell supporting on-demand SIB1.</w:t>
            </w:r>
          </w:p>
          <w:p>
            <w:pPr>
              <w:pStyle w:val="60"/>
              <w:numPr>
                <w:ilvl w:val="0"/>
                <w:numId w:val="17"/>
              </w:numPr>
              <w:spacing w:after="120" w:afterLines="50"/>
              <w:rPr>
                <w:szCs w:val="18"/>
                <w:lang w:val="en-US" w:eastAsia="zh-CN"/>
              </w:rPr>
            </w:pPr>
            <w:r>
              <w:rPr>
                <w:szCs w:val="18"/>
                <w:lang w:val="en-US" w:eastAsia="zh-CN"/>
              </w:rPr>
              <w:t>Support to transmit WUS to trigger on-demand SIB1 transmission.</w:t>
            </w:r>
          </w:p>
        </w:tc>
        <w:tc>
          <w:tcPr>
            <w:tcW w:w="948" w:type="dxa"/>
          </w:tcPr>
          <w:p>
            <w:pPr>
              <w:pStyle w:val="60"/>
              <w:rPr>
                <w:szCs w:val="18"/>
                <w:lang w:val="en-US" w:eastAsia="zh-CN"/>
              </w:rPr>
            </w:pPr>
          </w:p>
        </w:tc>
        <w:tc>
          <w:tcPr>
            <w:tcW w:w="661" w:type="dxa"/>
          </w:tcPr>
          <w:p>
            <w:pPr>
              <w:pStyle w:val="60"/>
              <w:rPr>
                <w:szCs w:val="18"/>
                <w:lang w:eastAsia="zh-CN"/>
              </w:rPr>
            </w:pPr>
            <w:r>
              <w:rPr>
                <w:szCs w:val="18"/>
                <w:lang w:eastAsia="zh-CN"/>
              </w:rPr>
              <w:t>Yes</w:t>
            </w:r>
          </w:p>
        </w:tc>
        <w:tc>
          <w:tcPr>
            <w:tcW w:w="947" w:type="dxa"/>
            <w:shd w:val="clear" w:color="auto" w:fill="FFFF00"/>
          </w:tcPr>
          <w:p>
            <w:pPr>
              <w:pStyle w:val="60"/>
              <w:rPr>
                <w:szCs w:val="18"/>
                <w:lang w:val="en-US" w:eastAsia="zh-CN"/>
              </w:rPr>
            </w:pPr>
          </w:p>
        </w:tc>
        <w:tc>
          <w:tcPr>
            <w:tcW w:w="913" w:type="dxa"/>
            <w:shd w:val="clear" w:color="auto" w:fill="FFFF00"/>
          </w:tcPr>
          <w:p>
            <w:pPr>
              <w:pStyle w:val="60"/>
              <w:rPr>
                <w:szCs w:val="18"/>
                <w:lang w:val="en-US" w:eastAsia="zh-CN"/>
              </w:rPr>
            </w:pPr>
            <w:r>
              <w:rPr>
                <w:szCs w:val="18"/>
                <w:lang w:eastAsia="zh-CN"/>
              </w:rPr>
              <w:t>Per UE</w:t>
            </w:r>
          </w:p>
        </w:tc>
        <w:tc>
          <w:tcPr>
            <w:tcW w:w="791" w:type="dxa"/>
            <w:shd w:val="clear" w:color="auto" w:fill="FFFF00"/>
          </w:tcPr>
          <w:p>
            <w:pPr>
              <w:pStyle w:val="60"/>
              <w:rPr>
                <w:szCs w:val="18"/>
                <w:lang w:eastAsia="ja-JP"/>
              </w:rPr>
            </w:pPr>
            <w:r>
              <w:rPr>
                <w:szCs w:val="18"/>
                <w:lang w:eastAsia="ja-JP"/>
              </w:rPr>
              <w:t>No</w:t>
            </w:r>
          </w:p>
        </w:tc>
        <w:tc>
          <w:tcPr>
            <w:tcW w:w="765" w:type="dxa"/>
            <w:shd w:val="clear" w:color="auto" w:fill="FFFF00"/>
          </w:tcPr>
          <w:p>
            <w:pPr>
              <w:pStyle w:val="60"/>
              <w:rPr>
                <w:szCs w:val="18"/>
                <w:lang w:val="en-US" w:eastAsia="zh-CN"/>
              </w:rPr>
            </w:pPr>
            <w:r>
              <w:rPr>
                <w:szCs w:val="18"/>
                <w:lang w:val="en-US" w:eastAsia="zh-CN"/>
              </w:rPr>
              <w:t>No</w:t>
            </w:r>
          </w:p>
        </w:tc>
        <w:tc>
          <w:tcPr>
            <w:tcW w:w="896" w:type="dxa"/>
          </w:tcPr>
          <w:p>
            <w:pPr>
              <w:pStyle w:val="60"/>
              <w:rPr>
                <w:szCs w:val="18"/>
                <w:lang w:val="en-US" w:eastAsia="zh-CN"/>
              </w:rPr>
            </w:pPr>
            <w:r>
              <w:rPr>
                <w:szCs w:val="18"/>
                <w:lang w:val="en-US" w:eastAsia="zh-CN"/>
              </w:rPr>
              <w:t>No</w:t>
            </w:r>
          </w:p>
        </w:tc>
        <w:tc>
          <w:tcPr>
            <w:tcW w:w="1826" w:type="dxa"/>
            <w:shd w:val="clear" w:color="auto" w:fill="FFFF00"/>
          </w:tcPr>
          <w:p>
            <w:pPr>
              <w:pStyle w:val="60"/>
              <w:rPr>
                <w:szCs w:val="18"/>
              </w:rPr>
            </w:pPr>
          </w:p>
        </w:tc>
        <w:tc>
          <w:tcPr>
            <w:tcW w:w="747" w:type="dxa"/>
          </w:tcPr>
          <w:p>
            <w:pPr>
              <w:pStyle w:val="60"/>
              <w:rPr>
                <w:szCs w:val="18"/>
                <w:lang w:eastAsia="ja-JP"/>
              </w:rPr>
            </w:pPr>
            <w:r>
              <w:rPr>
                <w:szCs w:val="18"/>
                <w:lang w:eastAsia="ja-JP"/>
              </w:rPr>
              <w:t>Optional with capability signaling</w:t>
            </w:r>
          </w:p>
          <w:p>
            <w:pPr>
              <w:pStyle w:val="60"/>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4" w:hRule="atLeast"/>
        </w:trPr>
        <w:tc>
          <w:tcPr>
            <w:tcW w:w="852" w:type="dxa"/>
          </w:tcPr>
          <w:p>
            <w:pPr>
              <w:pStyle w:val="60"/>
              <w:rPr>
                <w:color w:val="000000" w:themeColor="text1"/>
                <w:szCs w:val="18"/>
                <w:lang w:val="en-US" w:eastAsia="zh-CN"/>
                <w14:textFill>
                  <w14:solidFill>
                    <w14:schemeClr w14:val="tx1"/>
                  </w14:solidFill>
                </w14:textFill>
              </w:rPr>
            </w:pPr>
            <w:r>
              <w:rPr>
                <w:color w:val="000000" w:themeColor="text1"/>
                <w:szCs w:val="18"/>
                <w:lang w:val="en-US" w:eastAsia="zh-CN"/>
                <w14:textFill>
                  <w14:solidFill>
                    <w14:schemeClr w14:val="tx1"/>
                  </w14:solidFill>
                </w14:textFill>
              </w:rPr>
              <w:t>X. Netw_Energy_NR</w:t>
            </w:r>
          </w:p>
        </w:tc>
        <w:tc>
          <w:tcPr>
            <w:tcW w:w="535" w:type="dxa"/>
          </w:tcPr>
          <w:p>
            <w:pPr>
              <w:pStyle w:val="60"/>
              <w:rPr>
                <w:color w:val="000000" w:themeColor="text1"/>
                <w:szCs w:val="18"/>
                <w:lang w:eastAsia="zh-CN"/>
                <w14:textFill>
                  <w14:solidFill>
                    <w14:schemeClr w14:val="tx1"/>
                  </w14:solidFill>
                </w14:textFill>
              </w:rPr>
            </w:pPr>
            <w:r>
              <w:rPr>
                <w:color w:val="000000" w:themeColor="text1"/>
                <w:szCs w:val="18"/>
                <w:lang w:val="en-US" w:eastAsia="zh-CN"/>
                <w14:textFill>
                  <w14:solidFill>
                    <w14:schemeClr w14:val="tx1"/>
                  </w14:solidFill>
                </w14:textFill>
              </w:rPr>
              <w:t>X-</w:t>
            </w:r>
            <w:r>
              <w:rPr>
                <w:rFonts w:hint="eastAsia"/>
                <w:color w:val="000000" w:themeColor="text1"/>
                <w:szCs w:val="18"/>
                <w:lang w:val="en-US" w:eastAsia="zh-CN"/>
                <w14:textFill>
                  <w14:solidFill>
                    <w14:schemeClr w14:val="tx1"/>
                  </w14:solidFill>
                </w14:textFill>
              </w:rPr>
              <w:t>4</w:t>
            </w:r>
          </w:p>
        </w:tc>
        <w:tc>
          <w:tcPr>
            <w:tcW w:w="1175" w:type="dxa"/>
          </w:tcPr>
          <w:p>
            <w:pPr>
              <w:pStyle w:val="60"/>
              <w:rPr>
                <w:color w:val="000000" w:themeColor="text1"/>
                <w:szCs w:val="18"/>
                <w:lang w:val="en-US" w:eastAsia="zh-CN"/>
                <w14:textFill>
                  <w14:solidFill>
                    <w14:schemeClr w14:val="tx1"/>
                  </w14:solidFill>
                </w14:textFill>
              </w:rPr>
            </w:pPr>
            <w:r>
              <w:rPr>
                <w:color w:val="000000" w:themeColor="text1"/>
                <w:szCs w:val="18"/>
                <w:lang w:val="en-US" w:eastAsia="zh-CN"/>
                <w14:textFill>
                  <w14:solidFill>
                    <w14:schemeClr w14:val="tx1"/>
                  </w14:solidFill>
                </w14:textFill>
              </w:rPr>
              <w:t xml:space="preserve">Adaptation of </w:t>
            </w:r>
            <w:r>
              <w:rPr>
                <w:rFonts w:hint="eastAsia"/>
                <w:color w:val="000000" w:themeColor="text1"/>
                <w:szCs w:val="18"/>
                <w:lang w:val="en-US" w:eastAsia="zh-CN"/>
                <w14:textFill>
                  <w14:solidFill>
                    <w14:schemeClr w14:val="tx1"/>
                  </w14:solidFill>
                </w14:textFill>
              </w:rPr>
              <w:t>SSB in time domain on an SCell</w:t>
            </w:r>
            <w:r>
              <w:rPr>
                <w:color w:val="000000" w:themeColor="text1"/>
                <w:szCs w:val="18"/>
                <w:lang w:val="en-US" w:eastAsia="zh-CN"/>
                <w14:textFill>
                  <w14:solidFill>
                    <w14:schemeClr w14:val="tx1"/>
                  </w14:solidFill>
                </w14:textFill>
              </w:rPr>
              <w:t xml:space="preserve"> </w:t>
            </w:r>
          </w:p>
        </w:tc>
        <w:tc>
          <w:tcPr>
            <w:tcW w:w="4317" w:type="dxa"/>
          </w:tcPr>
          <w:p>
            <w:pPr>
              <w:numPr>
                <w:ilvl w:val="0"/>
                <w:numId w:val="18"/>
              </w:numPr>
              <w:spacing w:afterLines="50"/>
              <w:rPr>
                <w:rFonts w:ascii="Arial" w:hAnsi="Arial" w:cs="Arial"/>
                <w:color w:val="000000" w:themeColor="text1"/>
                <w:sz w:val="18"/>
                <w:szCs w:val="18"/>
                <w:lang w:eastAsia="zh-CN"/>
                <w14:textFill>
                  <w14:solidFill>
                    <w14:schemeClr w14:val="tx1"/>
                  </w14:solidFill>
                </w14:textFill>
              </w:rPr>
            </w:pPr>
            <w:r>
              <w:rPr>
                <w:rFonts w:ascii="Arial" w:hAnsi="Arial" w:cs="Arial"/>
                <w:color w:val="000000" w:themeColor="text1"/>
                <w:sz w:val="18"/>
                <w:szCs w:val="18"/>
                <w:lang w:eastAsia="zh-CN"/>
                <w14:textFill>
                  <w14:solidFill>
                    <w14:schemeClr w14:val="tx1"/>
                  </w14:solidFill>
                </w14:textFill>
              </w:rPr>
              <w:t xml:space="preserve">Support adaptation of </w:t>
            </w:r>
            <w:r>
              <w:rPr>
                <w:rFonts w:hint="eastAsia" w:ascii="Arial" w:hAnsi="Arial" w:cs="Arial"/>
                <w:color w:val="000000" w:themeColor="text1"/>
                <w:sz w:val="18"/>
                <w:szCs w:val="18"/>
                <w:lang w:eastAsia="zh-CN"/>
                <w14:textFill>
                  <w14:solidFill>
                    <w14:schemeClr w14:val="tx1"/>
                  </w14:solidFill>
                </w14:textFill>
              </w:rPr>
              <w:t xml:space="preserve">not-cell-defining </w:t>
            </w:r>
            <w:r>
              <w:rPr>
                <w:rFonts w:ascii="Arial" w:hAnsi="Arial" w:cs="Arial"/>
                <w:color w:val="000000" w:themeColor="text1"/>
                <w:sz w:val="18"/>
                <w:szCs w:val="18"/>
                <w:lang w:eastAsia="zh-CN"/>
                <w14:textFill>
                  <w14:solidFill>
                    <w14:schemeClr w14:val="tx1"/>
                  </w14:solidFill>
                </w14:textFill>
              </w:rPr>
              <w:t>SSB on sync raster in time domain on a SCell</w:t>
            </w:r>
            <w:r>
              <w:rPr>
                <w:rFonts w:hint="eastAsia" w:ascii="Arial" w:hAnsi="Arial" w:cs="Arial"/>
                <w:color w:val="000000" w:themeColor="text1"/>
                <w:sz w:val="18"/>
                <w:szCs w:val="18"/>
                <w:lang w:eastAsia="zh-CN"/>
                <w14:textFill>
                  <w14:solidFill>
                    <w14:schemeClr w14:val="tx1"/>
                  </w14:solidFill>
                </w14:textFill>
              </w:rPr>
              <w:t>.</w:t>
            </w:r>
          </w:p>
          <w:p>
            <w:pPr>
              <w:numPr>
                <w:ilvl w:val="0"/>
                <w:numId w:val="18"/>
              </w:numPr>
              <w:spacing w:afterLines="50"/>
              <w:rPr>
                <w:rFonts w:ascii="Arial" w:hAnsi="Arial" w:cs="Arial"/>
                <w:color w:val="000000" w:themeColor="text1"/>
                <w:sz w:val="18"/>
                <w:szCs w:val="18"/>
                <w:lang w:eastAsia="zh-CN"/>
                <w14:textFill>
                  <w14:solidFill>
                    <w14:schemeClr w14:val="tx1"/>
                  </w14:solidFill>
                </w14:textFill>
              </w:rPr>
            </w:pPr>
            <w:r>
              <w:rPr>
                <w:rFonts w:hint="eastAsia" w:ascii="Arial" w:hAnsi="Arial" w:cs="Arial"/>
                <w:color w:val="000000" w:themeColor="text1"/>
                <w:sz w:val="18"/>
                <w:szCs w:val="18"/>
                <w:lang w:eastAsia="zh-CN"/>
                <w14:textFill>
                  <w14:solidFill>
                    <w14:schemeClr w14:val="tx1"/>
                  </w14:solidFill>
                </w14:textFill>
              </w:rPr>
              <w:t xml:space="preserve">Support adaptation </w:t>
            </w:r>
            <w:r>
              <w:rPr>
                <w:rFonts w:ascii="Arial" w:hAnsi="Arial" w:cs="Arial"/>
                <w:color w:val="000000" w:themeColor="text1"/>
                <w:sz w:val="18"/>
                <w:szCs w:val="18"/>
                <w:lang w:eastAsia="zh-CN"/>
                <w14:textFill>
                  <w14:solidFill>
                    <w14:schemeClr w14:val="tx1"/>
                  </w14:solidFill>
                </w14:textFill>
              </w:rPr>
              <w:t xml:space="preserve">of </w:t>
            </w:r>
            <w:r>
              <w:rPr>
                <w:rFonts w:hint="eastAsia" w:ascii="Arial" w:hAnsi="Arial" w:cs="Arial"/>
                <w:color w:val="000000" w:themeColor="text1"/>
                <w:sz w:val="18"/>
                <w:szCs w:val="18"/>
                <w:lang w:eastAsia="zh-CN"/>
                <w14:textFill>
                  <w14:solidFill>
                    <w14:schemeClr w14:val="tx1"/>
                  </w14:solidFill>
                </w14:textFill>
              </w:rPr>
              <w:t xml:space="preserve">not-cell-defining </w:t>
            </w:r>
            <w:r>
              <w:rPr>
                <w:rFonts w:ascii="Arial" w:hAnsi="Arial" w:cs="Arial"/>
                <w:color w:val="000000" w:themeColor="text1"/>
                <w:sz w:val="18"/>
                <w:szCs w:val="18"/>
                <w:lang w:eastAsia="zh-CN"/>
                <w14:textFill>
                  <w14:solidFill>
                    <w14:schemeClr w14:val="tx1"/>
                  </w14:solidFill>
                </w14:textFill>
              </w:rPr>
              <w:t xml:space="preserve">SSB </w:t>
            </w:r>
            <w:r>
              <w:rPr>
                <w:rFonts w:hint="eastAsia" w:ascii="Arial" w:hAnsi="Arial" w:cs="Arial"/>
                <w:color w:val="000000" w:themeColor="text1"/>
                <w:sz w:val="18"/>
                <w:szCs w:val="18"/>
                <w:lang w:eastAsia="zh-CN"/>
                <w14:textFill>
                  <w14:solidFill>
                    <w14:schemeClr w14:val="tx1"/>
                  </w14:solidFill>
                </w14:textFill>
              </w:rPr>
              <w:t xml:space="preserve">off </w:t>
            </w:r>
            <w:r>
              <w:rPr>
                <w:rFonts w:ascii="Arial" w:hAnsi="Arial" w:cs="Arial"/>
                <w:color w:val="000000" w:themeColor="text1"/>
                <w:sz w:val="18"/>
                <w:szCs w:val="18"/>
                <w:lang w:eastAsia="zh-CN"/>
                <w14:textFill>
                  <w14:solidFill>
                    <w14:schemeClr w14:val="tx1"/>
                  </w14:solidFill>
                </w14:textFill>
              </w:rPr>
              <w:t>sync raster in time domain on a SCell</w:t>
            </w:r>
            <w:r>
              <w:rPr>
                <w:rFonts w:hint="eastAsia" w:ascii="Arial" w:hAnsi="Arial" w:cs="Arial"/>
                <w:color w:val="000000" w:themeColor="text1"/>
                <w:sz w:val="18"/>
                <w:szCs w:val="18"/>
                <w:lang w:eastAsia="zh-CN"/>
                <w14:textFill>
                  <w14:solidFill>
                    <w14:schemeClr w14:val="tx1"/>
                  </w14:solidFill>
                </w14:textFill>
              </w:rPr>
              <w:t>.</w:t>
            </w:r>
          </w:p>
          <w:p>
            <w:pPr>
              <w:numPr>
                <w:ilvl w:val="0"/>
                <w:numId w:val="18"/>
              </w:numPr>
              <w:spacing w:afterLines="50"/>
              <w:rPr>
                <w:rFonts w:ascii="Arial" w:hAnsi="Arial" w:cs="Arial"/>
                <w:color w:val="000000" w:themeColor="text1"/>
                <w:sz w:val="18"/>
                <w:szCs w:val="18"/>
                <w:lang w:eastAsia="zh-CN"/>
                <w14:textFill>
                  <w14:solidFill>
                    <w14:schemeClr w14:val="tx1"/>
                  </w14:solidFill>
                </w14:textFill>
              </w:rPr>
            </w:pPr>
            <w:r>
              <w:rPr>
                <w:rFonts w:ascii="Arial" w:hAnsi="Arial" w:cs="Arial"/>
                <w:color w:val="000000" w:themeColor="text1"/>
                <w:sz w:val="18"/>
                <w:szCs w:val="18"/>
                <w:lang w:eastAsia="zh-CN"/>
                <w14:textFill>
                  <w14:solidFill>
                    <w14:schemeClr w14:val="tx1"/>
                  </w14:solidFill>
                </w14:textFill>
              </w:rPr>
              <w:t xml:space="preserve">Support </w:t>
            </w:r>
            <w:r>
              <w:rPr>
                <w:rFonts w:hint="eastAsia" w:ascii="Arial" w:hAnsi="Arial" w:cs="Arial"/>
                <w:color w:val="000000" w:themeColor="text1"/>
                <w:sz w:val="18"/>
                <w:szCs w:val="18"/>
                <w:lang w:eastAsia="zh-CN"/>
                <w14:textFill>
                  <w14:solidFill>
                    <w14:schemeClr w14:val="tx1"/>
                  </w14:solidFill>
                </w14:textFill>
              </w:rPr>
              <w:t xml:space="preserve">to adapt </w:t>
            </w:r>
            <w:r>
              <w:rPr>
                <w:rFonts w:ascii="Arial" w:hAnsi="Arial" w:cs="Arial"/>
                <w:color w:val="000000" w:themeColor="text1"/>
                <w:sz w:val="18"/>
                <w:szCs w:val="18"/>
                <w:lang w:eastAsia="zh-CN"/>
                <w14:textFill>
                  <w14:solidFill>
                    <w14:schemeClr w14:val="tx1"/>
                  </w14:solidFill>
                </w14:textFill>
              </w:rPr>
              <w:t xml:space="preserve">SSB burst periodicity </w:t>
            </w:r>
            <w:r>
              <w:rPr>
                <w:rFonts w:hint="eastAsia" w:ascii="Arial" w:hAnsi="Arial" w:cs="Arial"/>
                <w:color w:val="000000" w:themeColor="text1"/>
                <w:sz w:val="18"/>
                <w:szCs w:val="18"/>
                <w:lang w:eastAsia="zh-CN"/>
                <w14:textFill>
                  <w14:solidFill>
                    <w14:schemeClr w14:val="tx1"/>
                  </w14:solidFill>
                </w14:textFill>
              </w:rPr>
              <w:t>in time domain.</w:t>
            </w:r>
          </w:p>
          <w:p>
            <w:pPr>
              <w:numPr>
                <w:ilvl w:val="255"/>
                <w:numId w:val="0"/>
              </w:numPr>
              <w:spacing w:afterLines="50"/>
              <w:rPr>
                <w:rFonts w:ascii="Arial" w:hAnsi="Arial" w:cs="Arial"/>
                <w:color w:val="000000" w:themeColor="text1"/>
                <w:sz w:val="18"/>
                <w:szCs w:val="18"/>
                <w:lang w:eastAsia="zh-CN"/>
                <w14:textFill>
                  <w14:solidFill>
                    <w14:schemeClr w14:val="tx1"/>
                  </w14:solidFill>
                </w14:textFill>
              </w:rPr>
            </w:pPr>
          </w:p>
        </w:tc>
        <w:tc>
          <w:tcPr>
            <w:tcW w:w="948" w:type="dxa"/>
          </w:tcPr>
          <w:p>
            <w:pPr>
              <w:pStyle w:val="60"/>
              <w:rPr>
                <w:rFonts w:eastAsia="MS Mincho"/>
                <w:color w:val="000000" w:themeColor="text1"/>
                <w:szCs w:val="18"/>
                <w:lang w:val="en-US" w:eastAsia="zh-CN"/>
                <w14:textFill>
                  <w14:solidFill>
                    <w14:schemeClr w14:val="tx1"/>
                  </w14:solidFill>
                </w14:textFill>
              </w:rPr>
            </w:pPr>
          </w:p>
        </w:tc>
        <w:tc>
          <w:tcPr>
            <w:tcW w:w="661" w:type="dxa"/>
          </w:tcPr>
          <w:p>
            <w:pPr>
              <w:pStyle w:val="60"/>
              <w:rPr>
                <w:szCs w:val="18"/>
                <w:lang w:eastAsia="zh-CN"/>
              </w:rPr>
            </w:pPr>
            <w:r>
              <w:rPr>
                <w:szCs w:val="18"/>
                <w:lang w:eastAsia="zh-CN"/>
              </w:rPr>
              <w:t>Yes</w:t>
            </w:r>
          </w:p>
        </w:tc>
        <w:tc>
          <w:tcPr>
            <w:tcW w:w="947" w:type="dxa"/>
            <w:shd w:val="clear" w:color="auto" w:fill="FFFF00"/>
          </w:tcPr>
          <w:p>
            <w:pPr>
              <w:pStyle w:val="60"/>
              <w:rPr>
                <w:szCs w:val="18"/>
                <w:lang w:val="en-US" w:eastAsia="zh-CN"/>
              </w:rPr>
            </w:pPr>
          </w:p>
        </w:tc>
        <w:tc>
          <w:tcPr>
            <w:tcW w:w="913" w:type="dxa"/>
            <w:shd w:val="clear" w:color="auto" w:fill="FFFF00"/>
          </w:tcPr>
          <w:p>
            <w:pPr>
              <w:pStyle w:val="60"/>
              <w:rPr>
                <w:szCs w:val="18"/>
                <w:lang w:eastAsia="zh-CN"/>
              </w:rPr>
            </w:pPr>
            <w:r>
              <w:rPr>
                <w:szCs w:val="18"/>
                <w:lang w:eastAsia="zh-CN"/>
              </w:rPr>
              <w:t>Per UE</w:t>
            </w:r>
          </w:p>
          <w:p>
            <w:pPr>
              <w:pStyle w:val="60"/>
              <w:rPr>
                <w:szCs w:val="18"/>
                <w:highlight w:val="yellow"/>
                <w:lang w:eastAsia="zh-CN"/>
              </w:rPr>
            </w:pPr>
          </w:p>
          <w:p>
            <w:pPr>
              <w:pStyle w:val="60"/>
              <w:rPr>
                <w:szCs w:val="18"/>
                <w:highlight w:val="yellow"/>
                <w:lang w:val="en-US" w:eastAsia="zh-CN"/>
              </w:rPr>
            </w:pPr>
          </w:p>
        </w:tc>
        <w:tc>
          <w:tcPr>
            <w:tcW w:w="791" w:type="dxa"/>
            <w:shd w:val="clear" w:color="auto" w:fill="FFFF00"/>
          </w:tcPr>
          <w:p>
            <w:pPr>
              <w:pStyle w:val="60"/>
              <w:rPr>
                <w:szCs w:val="18"/>
                <w:lang w:eastAsia="ja-JP"/>
              </w:rPr>
            </w:pPr>
            <w:r>
              <w:rPr>
                <w:szCs w:val="18"/>
                <w:lang w:eastAsia="ja-JP"/>
              </w:rPr>
              <w:t>No</w:t>
            </w:r>
          </w:p>
        </w:tc>
        <w:tc>
          <w:tcPr>
            <w:tcW w:w="765" w:type="dxa"/>
            <w:shd w:val="clear" w:color="auto" w:fill="FFFF00"/>
          </w:tcPr>
          <w:p>
            <w:pPr>
              <w:pStyle w:val="60"/>
              <w:rPr>
                <w:szCs w:val="18"/>
                <w:lang w:val="en-US" w:eastAsia="zh-CN"/>
              </w:rPr>
            </w:pPr>
            <w:r>
              <w:rPr>
                <w:szCs w:val="18"/>
                <w:lang w:val="en-US" w:eastAsia="zh-CN"/>
              </w:rPr>
              <w:t>No</w:t>
            </w:r>
          </w:p>
        </w:tc>
        <w:tc>
          <w:tcPr>
            <w:tcW w:w="896" w:type="dxa"/>
          </w:tcPr>
          <w:p>
            <w:pPr>
              <w:pStyle w:val="60"/>
              <w:rPr>
                <w:szCs w:val="18"/>
                <w:lang w:val="en-US" w:eastAsia="zh-CN"/>
              </w:rPr>
            </w:pPr>
            <w:r>
              <w:rPr>
                <w:szCs w:val="18"/>
                <w:lang w:val="en-US" w:eastAsia="zh-CN"/>
              </w:rPr>
              <w:t>No</w:t>
            </w:r>
          </w:p>
        </w:tc>
        <w:tc>
          <w:tcPr>
            <w:tcW w:w="1826" w:type="dxa"/>
            <w:shd w:val="clear" w:color="auto" w:fill="FFFF00"/>
          </w:tcPr>
          <w:p>
            <w:pPr>
              <w:pStyle w:val="60"/>
              <w:rPr>
                <w:color w:val="000000" w:themeColor="text1"/>
                <w:szCs w:val="18"/>
                <w14:textFill>
                  <w14:solidFill>
                    <w14:schemeClr w14:val="tx1"/>
                  </w14:solidFill>
                </w14:textFill>
              </w:rPr>
            </w:pPr>
          </w:p>
        </w:tc>
        <w:tc>
          <w:tcPr>
            <w:tcW w:w="747" w:type="dxa"/>
          </w:tcPr>
          <w:p>
            <w:pPr>
              <w:pStyle w:val="60"/>
              <w:rPr>
                <w:color w:val="000000" w:themeColor="text1"/>
                <w:szCs w:val="18"/>
                <w:lang w:eastAsia="ja-JP"/>
                <w14:textFill>
                  <w14:solidFill>
                    <w14:schemeClr w14:val="tx1"/>
                  </w14:solidFill>
                </w14:textFill>
              </w:rPr>
            </w:pPr>
            <w:r>
              <w:rPr>
                <w:color w:val="000000" w:themeColor="text1"/>
                <w:szCs w:val="18"/>
                <w:lang w:eastAsia="ja-JP"/>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hRule="atLeast"/>
        </w:trPr>
        <w:tc>
          <w:tcPr>
            <w:tcW w:w="852" w:type="dxa"/>
          </w:tcPr>
          <w:p>
            <w:pPr>
              <w:pStyle w:val="60"/>
              <w:rPr>
                <w:color w:val="000000" w:themeColor="text1"/>
                <w:szCs w:val="18"/>
                <w:lang w:val="en-US" w:eastAsia="zh-CN"/>
                <w14:textFill>
                  <w14:solidFill>
                    <w14:schemeClr w14:val="tx1"/>
                  </w14:solidFill>
                </w14:textFill>
              </w:rPr>
            </w:pPr>
            <w:r>
              <w:rPr>
                <w:color w:val="000000" w:themeColor="text1"/>
                <w:szCs w:val="18"/>
                <w:lang w:val="en-US" w:eastAsia="zh-CN"/>
                <w14:textFill>
                  <w14:solidFill>
                    <w14:schemeClr w14:val="tx1"/>
                  </w14:solidFill>
                </w14:textFill>
              </w:rPr>
              <w:t>X. Netw_Energy_NR</w:t>
            </w:r>
          </w:p>
        </w:tc>
        <w:tc>
          <w:tcPr>
            <w:tcW w:w="535" w:type="dxa"/>
          </w:tcPr>
          <w:p>
            <w:pPr>
              <w:pStyle w:val="60"/>
              <w:rPr>
                <w:color w:val="000000" w:themeColor="text1"/>
                <w:szCs w:val="18"/>
                <w:lang w:eastAsia="zh-CN"/>
                <w14:textFill>
                  <w14:solidFill>
                    <w14:schemeClr w14:val="tx1"/>
                  </w14:solidFill>
                </w14:textFill>
              </w:rPr>
            </w:pPr>
            <w:r>
              <w:rPr>
                <w:color w:val="000000" w:themeColor="text1"/>
                <w:szCs w:val="18"/>
                <w:lang w:val="en-US" w:eastAsia="zh-CN"/>
                <w14:textFill>
                  <w14:solidFill>
                    <w14:schemeClr w14:val="tx1"/>
                  </w14:solidFill>
                </w14:textFill>
              </w:rPr>
              <w:t>X-</w:t>
            </w:r>
            <w:r>
              <w:rPr>
                <w:rFonts w:hint="eastAsia"/>
                <w:color w:val="000000" w:themeColor="text1"/>
                <w:szCs w:val="18"/>
                <w:lang w:val="en-US" w:eastAsia="zh-CN"/>
                <w14:textFill>
                  <w14:solidFill>
                    <w14:schemeClr w14:val="tx1"/>
                  </w14:solidFill>
                </w14:textFill>
              </w:rPr>
              <w:t>5</w:t>
            </w:r>
          </w:p>
        </w:tc>
        <w:tc>
          <w:tcPr>
            <w:tcW w:w="1175" w:type="dxa"/>
          </w:tcPr>
          <w:p>
            <w:pPr>
              <w:pStyle w:val="60"/>
              <w:rPr>
                <w:color w:val="000000" w:themeColor="text1"/>
                <w:szCs w:val="18"/>
                <w:lang w:val="en-US" w:eastAsia="zh-CN"/>
                <w14:textFill>
                  <w14:solidFill>
                    <w14:schemeClr w14:val="tx1"/>
                  </w14:solidFill>
                </w14:textFill>
              </w:rPr>
            </w:pPr>
            <w:r>
              <w:rPr>
                <w:color w:val="000000" w:themeColor="text1"/>
                <w:szCs w:val="18"/>
                <w:lang w:val="en-US" w:eastAsia="zh-CN"/>
                <w14:textFill>
                  <w14:solidFill>
                    <w14:schemeClr w14:val="tx1"/>
                  </w14:solidFill>
                </w14:textFill>
              </w:rPr>
              <w:t>Adaptation of PRACH in time domain</w:t>
            </w:r>
          </w:p>
        </w:tc>
        <w:tc>
          <w:tcPr>
            <w:tcW w:w="4317" w:type="dxa"/>
          </w:tcPr>
          <w:p>
            <w:pPr>
              <w:numPr>
                <w:ilvl w:val="0"/>
                <w:numId w:val="19"/>
              </w:numPr>
              <w:spacing w:afterLines="50"/>
              <w:rPr>
                <w:rFonts w:ascii="Arial" w:hAnsi="Arial" w:cs="Arial"/>
                <w:color w:val="000000" w:themeColor="text1"/>
                <w:sz w:val="18"/>
                <w:szCs w:val="18"/>
                <w:lang w:eastAsia="zh-CN"/>
                <w14:textFill>
                  <w14:solidFill>
                    <w14:schemeClr w14:val="tx1"/>
                  </w14:solidFill>
                </w14:textFill>
              </w:rPr>
            </w:pPr>
            <w:r>
              <w:rPr>
                <w:rFonts w:ascii="Arial" w:hAnsi="Arial" w:cs="Arial"/>
                <w:color w:val="000000" w:themeColor="text1"/>
                <w:sz w:val="18"/>
                <w:szCs w:val="18"/>
                <w:lang w:eastAsia="zh-CN"/>
                <w14:textFill>
                  <w14:solidFill>
                    <w14:schemeClr w14:val="tx1"/>
                  </w14:solidFill>
                </w14:textFill>
              </w:rPr>
              <w:t xml:space="preserve"> Support </w:t>
            </w:r>
            <w:r>
              <w:rPr>
                <w:rFonts w:hint="eastAsia" w:ascii="Arial" w:hAnsi="Arial" w:cs="Arial"/>
                <w:color w:val="000000" w:themeColor="text1"/>
                <w:sz w:val="18"/>
                <w:szCs w:val="18"/>
                <w:lang w:eastAsia="zh-CN"/>
                <w14:textFill>
                  <w14:solidFill>
                    <w14:schemeClr w14:val="tx1"/>
                  </w14:solidFill>
                </w14:textFill>
              </w:rPr>
              <w:t xml:space="preserve">an </w:t>
            </w:r>
            <w:r>
              <w:rPr>
                <w:rFonts w:ascii="Arial" w:hAnsi="Arial" w:cs="Arial"/>
                <w:color w:val="000000" w:themeColor="text1"/>
                <w:sz w:val="18"/>
                <w:szCs w:val="18"/>
                <w:lang w:eastAsia="zh-CN"/>
                <w14:textFill>
                  <w14:solidFill>
                    <w14:schemeClr w14:val="tx1"/>
                  </w14:solidFill>
                </w14:textFill>
              </w:rPr>
              <w:t>additional PRACH resource configured  in SIB1</w:t>
            </w:r>
            <w:r>
              <w:rPr>
                <w:rFonts w:hint="eastAsia" w:ascii="Arial" w:hAnsi="Arial" w:cs="Arial"/>
                <w:color w:val="000000" w:themeColor="text1"/>
                <w:sz w:val="18"/>
                <w:szCs w:val="18"/>
                <w:lang w:eastAsia="zh-CN"/>
                <w14:textFill>
                  <w14:solidFill>
                    <w14:schemeClr w14:val="tx1"/>
                  </w14:solidFill>
                </w14:textFill>
              </w:rPr>
              <w:t>.</w:t>
            </w:r>
          </w:p>
          <w:p>
            <w:pPr>
              <w:numPr>
                <w:ilvl w:val="0"/>
                <w:numId w:val="19"/>
              </w:numPr>
              <w:spacing w:afterLines="50"/>
              <w:rPr>
                <w:rFonts w:ascii="Arial" w:hAnsi="Arial" w:cs="Arial"/>
                <w:color w:val="000000" w:themeColor="text1"/>
                <w:sz w:val="18"/>
                <w:szCs w:val="18"/>
                <w:lang w:eastAsia="zh-CN"/>
                <w14:textFill>
                  <w14:solidFill>
                    <w14:schemeClr w14:val="tx1"/>
                  </w14:solidFill>
                </w14:textFill>
              </w:rPr>
            </w:pPr>
            <w:r>
              <w:rPr>
                <w:rFonts w:ascii="Arial" w:hAnsi="Arial" w:cs="Arial"/>
                <w:color w:val="000000" w:themeColor="text1"/>
                <w:sz w:val="18"/>
                <w:szCs w:val="18"/>
                <w:lang w:eastAsia="zh-CN"/>
                <w14:textFill>
                  <w14:solidFill>
                    <w14:schemeClr w14:val="tx1"/>
                  </w14:solidFill>
                </w14:textFill>
              </w:rPr>
              <w:t>Support</w:t>
            </w:r>
            <w:r>
              <w:rPr>
                <w:rFonts w:hint="eastAsia" w:ascii="Arial" w:hAnsi="Arial" w:cs="Arial"/>
                <w:color w:val="000000" w:themeColor="text1"/>
                <w:sz w:val="18"/>
                <w:szCs w:val="18"/>
                <w:lang w:eastAsia="zh-CN"/>
                <w14:textFill>
                  <w14:solidFill>
                    <w14:schemeClr w14:val="tx1"/>
                  </w14:solidFill>
                </w14:textFill>
              </w:rPr>
              <w:t xml:space="preserve"> an</w:t>
            </w:r>
            <w:r>
              <w:rPr>
                <w:rFonts w:ascii="Arial" w:hAnsi="Arial" w:cs="Arial"/>
                <w:color w:val="000000" w:themeColor="text1"/>
                <w:sz w:val="18"/>
                <w:szCs w:val="18"/>
                <w:lang w:eastAsia="zh-CN"/>
                <w14:textFill>
                  <w14:solidFill>
                    <w14:schemeClr w14:val="tx1"/>
                  </w14:solidFill>
                </w14:textFill>
              </w:rPr>
              <w:t xml:space="preserve"> additional PRACH resource configured  in RRC</w:t>
            </w:r>
            <w:r>
              <w:rPr>
                <w:rFonts w:hint="eastAsia" w:ascii="Arial" w:hAnsi="Arial" w:cs="Arial"/>
                <w:color w:val="000000" w:themeColor="text1"/>
                <w:sz w:val="18"/>
                <w:szCs w:val="18"/>
                <w:lang w:eastAsia="zh-CN"/>
                <w14:textFill>
                  <w14:solidFill>
                    <w14:schemeClr w14:val="tx1"/>
                  </w14:solidFill>
                </w14:textFill>
              </w:rPr>
              <w:t>.</w:t>
            </w:r>
          </w:p>
          <w:p>
            <w:pPr>
              <w:numPr>
                <w:ilvl w:val="0"/>
                <w:numId w:val="19"/>
              </w:numPr>
              <w:spacing w:afterLines="50"/>
              <w:rPr>
                <w:rFonts w:ascii="Arial" w:hAnsi="Arial" w:cs="Arial"/>
                <w:color w:val="000000" w:themeColor="text1"/>
                <w:sz w:val="18"/>
                <w:szCs w:val="18"/>
                <w:lang w:eastAsia="zh-CN"/>
                <w14:textFill>
                  <w14:solidFill>
                    <w14:schemeClr w14:val="tx1"/>
                  </w14:solidFill>
                </w14:textFill>
              </w:rPr>
            </w:pPr>
            <w:r>
              <w:rPr>
                <w:rFonts w:ascii="Arial" w:hAnsi="Arial" w:cs="Arial"/>
                <w:color w:val="000000" w:themeColor="text1"/>
                <w:sz w:val="18"/>
                <w:szCs w:val="18"/>
                <w:lang w:eastAsia="zh-CN"/>
                <w14:textFill>
                  <w14:solidFill>
                    <w14:schemeClr w14:val="tx1"/>
                  </w14:solidFill>
                </w14:textFill>
              </w:rPr>
              <w:t xml:space="preserve">Support activation/deactivation for </w:t>
            </w:r>
            <w:r>
              <w:rPr>
                <w:rFonts w:hint="eastAsia" w:ascii="Arial" w:hAnsi="Arial" w:cs="Arial"/>
                <w:color w:val="000000" w:themeColor="text1"/>
                <w:sz w:val="18"/>
                <w:szCs w:val="18"/>
                <w:lang w:eastAsia="zh-CN"/>
                <w14:textFill>
                  <w14:solidFill>
                    <w14:schemeClr w14:val="tx1"/>
                  </w14:solidFill>
                </w14:textFill>
              </w:rPr>
              <w:t xml:space="preserve">the </w:t>
            </w:r>
            <w:r>
              <w:rPr>
                <w:rFonts w:ascii="Arial" w:hAnsi="Arial" w:cs="Arial"/>
                <w:color w:val="000000" w:themeColor="text1"/>
                <w:sz w:val="18"/>
                <w:szCs w:val="18"/>
                <w:lang w:eastAsia="zh-CN"/>
                <w14:textFill>
                  <w14:solidFill>
                    <w14:schemeClr w14:val="tx1"/>
                  </w14:solidFill>
                </w14:textFill>
              </w:rPr>
              <w:t xml:space="preserve">additional PRACH  resources based on DCI format </w:t>
            </w:r>
            <w:r>
              <w:rPr>
                <w:rFonts w:hint="eastAsia" w:ascii="Arial" w:hAnsi="Arial" w:cs="Arial"/>
                <w:color w:val="000000" w:themeColor="text1"/>
                <w:sz w:val="18"/>
                <w:szCs w:val="18"/>
                <w:lang w:eastAsia="zh-CN"/>
                <w14:textFill>
                  <w14:solidFill>
                    <w14:schemeClr w14:val="tx1"/>
                  </w14:solidFill>
                </w14:textFill>
              </w:rPr>
              <w:t xml:space="preserve">1_0 </w:t>
            </w:r>
            <w:r>
              <w:rPr>
                <w:rFonts w:ascii="Arial" w:hAnsi="Arial" w:cs="Arial"/>
                <w:color w:val="000000" w:themeColor="text1"/>
                <w:sz w:val="18"/>
                <w:szCs w:val="18"/>
                <w:lang w:eastAsia="zh-CN"/>
                <w14:textFill>
                  <w14:solidFill>
                    <w14:schemeClr w14:val="tx1"/>
                  </w14:solidFill>
                </w14:textFill>
              </w:rPr>
              <w:t>with CRC scrambled by P-RNTI.</w:t>
            </w:r>
          </w:p>
        </w:tc>
        <w:tc>
          <w:tcPr>
            <w:tcW w:w="948" w:type="dxa"/>
          </w:tcPr>
          <w:p>
            <w:pPr>
              <w:pStyle w:val="60"/>
              <w:rPr>
                <w:color w:val="000000" w:themeColor="text1"/>
                <w:szCs w:val="18"/>
                <w:lang w:val="en-US" w:eastAsia="zh-CN"/>
                <w14:textFill>
                  <w14:solidFill>
                    <w14:schemeClr w14:val="tx1"/>
                  </w14:solidFill>
                </w14:textFill>
              </w:rPr>
            </w:pPr>
          </w:p>
        </w:tc>
        <w:tc>
          <w:tcPr>
            <w:tcW w:w="661" w:type="dxa"/>
          </w:tcPr>
          <w:p>
            <w:pPr>
              <w:pStyle w:val="60"/>
              <w:rPr>
                <w:szCs w:val="18"/>
                <w:lang w:val="en-US" w:eastAsia="zh-CN"/>
              </w:rPr>
            </w:pPr>
            <w:r>
              <w:rPr>
                <w:szCs w:val="18"/>
                <w:lang w:val="en-US" w:eastAsia="zh-CN"/>
              </w:rPr>
              <w:t xml:space="preserve">Yes </w:t>
            </w:r>
          </w:p>
        </w:tc>
        <w:tc>
          <w:tcPr>
            <w:tcW w:w="947" w:type="dxa"/>
            <w:shd w:val="clear" w:color="auto" w:fill="FFFF00"/>
          </w:tcPr>
          <w:p>
            <w:pPr>
              <w:pStyle w:val="60"/>
              <w:rPr>
                <w:color w:val="000000" w:themeColor="text1"/>
                <w:szCs w:val="18"/>
                <w:lang w:val="en-US" w:eastAsia="zh-CN"/>
                <w14:textFill>
                  <w14:solidFill>
                    <w14:schemeClr w14:val="tx1"/>
                  </w14:solidFill>
                </w14:textFill>
              </w:rPr>
            </w:pPr>
          </w:p>
        </w:tc>
        <w:tc>
          <w:tcPr>
            <w:tcW w:w="913" w:type="dxa"/>
            <w:shd w:val="clear" w:color="auto" w:fill="FFFF00"/>
          </w:tcPr>
          <w:p>
            <w:pPr>
              <w:pStyle w:val="60"/>
              <w:rPr>
                <w:szCs w:val="18"/>
                <w:highlight w:val="yellow"/>
                <w:lang w:val="en-US" w:eastAsia="zh-CN"/>
              </w:rPr>
            </w:pPr>
            <w:r>
              <w:rPr>
                <w:szCs w:val="18"/>
                <w:lang w:val="en-US" w:eastAsia="zh-CN"/>
              </w:rPr>
              <w:t>Per UE</w:t>
            </w:r>
          </w:p>
        </w:tc>
        <w:tc>
          <w:tcPr>
            <w:tcW w:w="791" w:type="dxa"/>
            <w:shd w:val="clear" w:color="auto" w:fill="FFFF00"/>
          </w:tcPr>
          <w:p>
            <w:pPr>
              <w:pStyle w:val="60"/>
              <w:rPr>
                <w:szCs w:val="18"/>
                <w:lang w:val="en-US" w:eastAsia="ja-JP"/>
              </w:rPr>
            </w:pPr>
            <w:r>
              <w:rPr>
                <w:szCs w:val="18"/>
                <w:lang w:val="en-US" w:eastAsia="zh-CN"/>
              </w:rPr>
              <w:t>No</w:t>
            </w:r>
          </w:p>
        </w:tc>
        <w:tc>
          <w:tcPr>
            <w:tcW w:w="765" w:type="dxa"/>
            <w:shd w:val="clear" w:color="auto" w:fill="FFFF00"/>
          </w:tcPr>
          <w:p>
            <w:pPr>
              <w:pStyle w:val="60"/>
              <w:rPr>
                <w:szCs w:val="18"/>
                <w:lang w:val="en-US" w:eastAsia="zh-CN"/>
              </w:rPr>
            </w:pPr>
            <w:r>
              <w:rPr>
                <w:szCs w:val="18"/>
                <w:lang w:val="en-US" w:eastAsia="zh-CN"/>
              </w:rPr>
              <w:t>No</w:t>
            </w:r>
          </w:p>
        </w:tc>
        <w:tc>
          <w:tcPr>
            <w:tcW w:w="896" w:type="dxa"/>
          </w:tcPr>
          <w:p>
            <w:pPr>
              <w:pStyle w:val="60"/>
              <w:rPr>
                <w:szCs w:val="18"/>
                <w:lang w:val="en-US" w:eastAsia="zh-CN"/>
              </w:rPr>
            </w:pPr>
            <w:r>
              <w:rPr>
                <w:szCs w:val="18"/>
                <w:lang w:val="en-US" w:eastAsia="zh-CN"/>
              </w:rPr>
              <w:t>No</w:t>
            </w:r>
          </w:p>
        </w:tc>
        <w:tc>
          <w:tcPr>
            <w:tcW w:w="1826" w:type="dxa"/>
            <w:shd w:val="clear" w:color="auto" w:fill="FFFF00"/>
          </w:tcPr>
          <w:p>
            <w:pPr>
              <w:pStyle w:val="60"/>
              <w:rPr>
                <w:color w:val="000000" w:themeColor="text1"/>
                <w:szCs w:val="18"/>
                <w14:textFill>
                  <w14:solidFill>
                    <w14:schemeClr w14:val="tx1"/>
                  </w14:solidFill>
                </w14:textFill>
              </w:rPr>
            </w:pPr>
          </w:p>
        </w:tc>
        <w:tc>
          <w:tcPr>
            <w:tcW w:w="747" w:type="dxa"/>
          </w:tcPr>
          <w:p>
            <w:pPr>
              <w:pStyle w:val="60"/>
              <w:rPr>
                <w:color w:val="000000" w:themeColor="text1"/>
                <w:szCs w:val="18"/>
                <w:lang w:eastAsia="ja-JP"/>
                <w14:textFill>
                  <w14:solidFill>
                    <w14:schemeClr w14:val="tx1"/>
                  </w14:solidFill>
                </w14:textFill>
              </w:rPr>
            </w:pPr>
            <w:r>
              <w:rPr>
                <w:color w:val="000000" w:themeColor="text1"/>
                <w:szCs w:val="18"/>
                <w:lang w:eastAsia="ja-JP"/>
                <w14:textFill>
                  <w14:solidFill>
                    <w14:schemeClr w14:val="tx1"/>
                  </w14:solidFill>
                </w14:textFill>
              </w:rPr>
              <w:t>Optional with capability signaling</w:t>
            </w:r>
          </w:p>
        </w:tc>
      </w:tr>
    </w:tbl>
    <w:p>
      <w:pPr>
        <w:rPr>
          <w:rFonts w:hint="eastAsia"/>
          <w:lang w:eastAsia="zh-CN"/>
        </w:rPr>
      </w:pPr>
    </w:p>
    <w:p>
      <w:pPr>
        <w:jc w:val="center"/>
        <w:rPr>
          <w:rFonts w:hint="eastAsia"/>
          <w:b/>
          <w:lang w:eastAsia="zh-CN"/>
        </w:rPr>
        <w:sectPr>
          <w:pgSz w:w="16834" w:h="11909" w:orient="landscape"/>
          <w:pgMar w:top="720" w:right="720" w:bottom="720" w:left="720" w:header="720" w:footer="720" w:gutter="0"/>
          <w:cols w:space="720" w:num="1"/>
          <w:docGrid w:linePitch="299" w:charSpace="0"/>
        </w:sectPr>
      </w:pPr>
    </w:p>
    <w:bookmarkEnd w:id="0"/>
    <w:bookmarkEnd w:id="1"/>
    <w:p>
      <w:pPr>
        <w:pStyle w:val="36"/>
        <w:numPr>
          <w:ilvl w:val="0"/>
          <w:numId w:val="0"/>
        </w:numPr>
      </w:pPr>
    </w:p>
    <w:sectPr>
      <w:pgSz w:w="11909" w:h="16834"/>
      <w:pgMar w:top="1440" w:right="1152" w:bottom="1440" w:left="1440"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MS Mincho">
    <w:altName w:val="MS Gothic"/>
    <w:panose1 w:val="02020609040205080304"/>
    <w:charset w:val="80"/>
    <w:family w:val="modern"/>
    <w:pitch w:val="default"/>
    <w:sig w:usb0="00000000" w:usb1="00000000" w:usb2="00000012" w:usb3="00000000" w:csb0="4002009F" w:csb1="DFD70000"/>
  </w:font>
  <w:font w:name="MS Gothic">
    <w:panose1 w:val="020B0609070205080204"/>
    <w:charset w:val="80"/>
    <w:family w:val="auto"/>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TimesNewRomanPSMT">
    <w:altName w:val="Times New Roman"/>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541673"/>
    <w:multiLevelType w:val="singleLevel"/>
    <w:tmpl w:val="87541673"/>
    <w:lvl w:ilvl="0" w:tentative="0">
      <w:start w:val="1"/>
      <w:numFmt w:val="decimal"/>
      <w:suff w:val="space"/>
      <w:lvlText w:val="(%1)"/>
      <w:lvlJc w:val="left"/>
    </w:lvl>
  </w:abstractNum>
  <w:abstractNum w:abstractNumId="1">
    <w:nsid w:val="987F3011"/>
    <w:multiLevelType w:val="multilevel"/>
    <w:tmpl w:val="987F3011"/>
    <w:lvl w:ilvl="0" w:tentative="0">
      <w:start w:val="1"/>
      <w:numFmt w:val="decimal"/>
      <w:suff w:val="space"/>
      <w:lvlText w:val="%1."/>
      <w:lvlJc w:val="left"/>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2">
    <w:nsid w:val="99F14E8F"/>
    <w:multiLevelType w:val="singleLevel"/>
    <w:tmpl w:val="99F14E8F"/>
    <w:lvl w:ilvl="0" w:tentative="0">
      <w:start w:val="1"/>
      <w:numFmt w:val="decimal"/>
      <w:suff w:val="space"/>
      <w:lvlText w:val="(%1)"/>
      <w:lvlJc w:val="left"/>
    </w:lvl>
  </w:abstractNum>
  <w:abstractNum w:abstractNumId="3">
    <w:nsid w:val="BD0CA652"/>
    <w:multiLevelType w:val="multilevel"/>
    <w:tmpl w:val="BD0CA652"/>
    <w:lvl w:ilvl="0" w:tentative="0">
      <w:start w:val="1"/>
      <w:numFmt w:val="decimal"/>
      <w:pStyle w:val="92"/>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4">
    <w:nsid w:val="D47BD4A9"/>
    <w:multiLevelType w:val="multilevel"/>
    <w:tmpl w:val="D47BD4A9"/>
    <w:lvl w:ilvl="0" w:tentative="0">
      <w:start w:val="1"/>
      <w:numFmt w:val="decimal"/>
      <w:suff w:val="space"/>
      <w:lvlText w:val="%1."/>
      <w:lvlJc w:val="left"/>
      <w:pPr>
        <w:ind w:left="0" w:firstLine="0"/>
      </w:pPr>
      <w:rPr>
        <w:rFonts w:hint="eastAsia"/>
      </w:rPr>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5">
    <w:nsid w:val="E24C9F70"/>
    <w:multiLevelType w:val="multilevel"/>
    <w:tmpl w:val="E24C9F70"/>
    <w:lvl w:ilvl="0" w:tentative="0">
      <w:start w:val="1"/>
      <w:numFmt w:val="decimal"/>
      <w:suff w:val="space"/>
      <w:lvlText w:val="%1."/>
      <w:lvlJc w:val="left"/>
      <w:pPr>
        <w:ind w:left="0" w:firstLine="0"/>
      </w:pPr>
      <w:rPr>
        <w:rFonts w:hint="eastAsia"/>
      </w:rPr>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6">
    <w:nsid w:val="E70109E7"/>
    <w:multiLevelType w:val="singleLevel"/>
    <w:tmpl w:val="E70109E7"/>
    <w:lvl w:ilvl="0" w:tentative="0">
      <w:start w:val="1"/>
      <w:numFmt w:val="decimal"/>
      <w:suff w:val="space"/>
      <w:lvlText w:val="%1."/>
      <w:lvlJc w:val="left"/>
    </w:lvl>
  </w:abstractNum>
  <w:abstractNum w:abstractNumId="7">
    <w:nsid w:val="0A3772BC"/>
    <w:multiLevelType w:val="multilevel"/>
    <w:tmpl w:val="0A3772BC"/>
    <w:lvl w:ilvl="0" w:tentative="0">
      <w:start w:val="1"/>
      <w:numFmt w:val="decimal"/>
      <w:pStyle w:val="93"/>
      <w:suff w:val="nothing"/>
      <w:lvlText w:val="Observation %1: "/>
      <w:lvlJc w:val="left"/>
      <w:pPr>
        <w:tabs>
          <w:tab w:val="left" w:pos="420"/>
        </w:tabs>
        <w:ind w:left="0" w:firstLine="0"/>
      </w:pPr>
      <w:rPr>
        <w:rFonts w:hint="default" w:ascii="Times New Roman" w:hAnsi="Times New Roman" w:eastAsia="宋体" w:cs="Times New Roman"/>
        <w:b/>
        <w:bCs/>
        <w:i w:val="0"/>
        <w:iCs w:val="0"/>
        <w:sz w:val="21"/>
        <w:szCs w:val="21"/>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16F92B83"/>
    <w:multiLevelType w:val="singleLevel"/>
    <w:tmpl w:val="16F92B83"/>
    <w:lvl w:ilvl="0" w:tentative="0">
      <w:start w:val="1"/>
      <w:numFmt w:val="bullet"/>
      <w:lvlText w:val=""/>
      <w:lvlJc w:val="left"/>
      <w:pPr>
        <w:tabs>
          <w:tab w:val="left" w:pos="420"/>
        </w:tabs>
        <w:ind w:left="840" w:hanging="420"/>
      </w:pPr>
      <w:rPr>
        <w:rFonts w:hint="default" w:ascii="Wingdings" w:hAnsi="Wingdings" w:cs="Wingdings"/>
      </w:rPr>
    </w:lvl>
  </w:abstractNum>
  <w:abstractNum w:abstractNumId="9">
    <w:nsid w:val="2114D776"/>
    <w:multiLevelType w:val="singleLevel"/>
    <w:tmpl w:val="2114D776"/>
    <w:lvl w:ilvl="0" w:tentative="0">
      <w:start w:val="1"/>
      <w:numFmt w:val="decimal"/>
      <w:suff w:val="space"/>
      <w:lvlText w:val="(%1)"/>
      <w:lvlJc w:val="left"/>
      <w:pPr>
        <w:ind w:left="440"/>
      </w:pPr>
    </w:lvl>
  </w:abstractNum>
  <w:abstractNum w:abstractNumId="10">
    <w:nsid w:val="31A493F7"/>
    <w:multiLevelType w:val="singleLevel"/>
    <w:tmpl w:val="31A493F7"/>
    <w:lvl w:ilvl="0" w:tentative="0">
      <w:start w:val="1"/>
      <w:numFmt w:val="decimal"/>
      <w:suff w:val="space"/>
      <w:lvlText w:val="(%1)"/>
      <w:lvlJc w:val="left"/>
    </w:lvl>
  </w:abstractNum>
  <w:abstractNum w:abstractNumId="11">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2">
    <w:nsid w:val="3970E9AF"/>
    <w:multiLevelType w:val="singleLevel"/>
    <w:tmpl w:val="3970E9AF"/>
    <w:lvl w:ilvl="0" w:tentative="0">
      <w:start w:val="1"/>
      <w:numFmt w:val="decimal"/>
      <w:suff w:val="space"/>
      <w:lvlText w:val="%1."/>
      <w:lvlJc w:val="left"/>
    </w:lvl>
  </w:abstractNum>
  <w:abstractNum w:abstractNumId="13">
    <w:nsid w:val="3A877D64"/>
    <w:multiLevelType w:val="singleLevel"/>
    <w:tmpl w:val="3A877D64"/>
    <w:lvl w:ilvl="0" w:tentative="0">
      <w:start w:val="1"/>
      <w:numFmt w:val="decimal"/>
      <w:pStyle w:val="36"/>
      <w:lvlText w:val="[%1]"/>
      <w:lvlJc w:val="left"/>
      <w:pPr>
        <w:tabs>
          <w:tab w:val="left" w:pos="360"/>
        </w:tabs>
        <w:ind w:left="360" w:hanging="360"/>
      </w:pPr>
    </w:lvl>
  </w:abstractNum>
  <w:abstractNum w:abstractNumId="14">
    <w:nsid w:val="4BDF65F6"/>
    <w:multiLevelType w:val="multilevel"/>
    <w:tmpl w:val="4BDF65F6"/>
    <w:lvl w:ilvl="0" w:tentative="0">
      <w:start w:val="1"/>
      <w:numFmt w:val="decimal"/>
      <w:pStyle w:val="8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192665B"/>
    <w:multiLevelType w:val="multilevel"/>
    <w:tmpl w:val="6192665B"/>
    <w:lvl w:ilvl="0" w:tentative="0">
      <w:start w:val="1"/>
      <w:numFmt w:val="decimal"/>
      <w:pStyle w:val="87"/>
      <w:lvlText w:val="Figure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6218C731"/>
    <w:multiLevelType w:val="multilevel"/>
    <w:tmpl w:val="6218C731"/>
    <w:lvl w:ilvl="0" w:tentative="0">
      <w:start w:val="1"/>
      <w:numFmt w:val="decimal"/>
      <w:lvlText w:val="%1."/>
      <w:lvlJc w:val="left"/>
      <w:pPr>
        <w:ind w:left="425" w:hanging="425"/>
      </w:pPr>
      <w:rPr>
        <w:rFonts w:hint="default" w:ascii="Times New Roman" w:hAnsi="Times New Roman" w:cs="Times New Roman"/>
        <w:b/>
        <w:bCs/>
      </w:rPr>
    </w:lvl>
    <w:lvl w:ilvl="1" w:tentative="0">
      <w:start w:val="1"/>
      <w:numFmt w:val="decimal"/>
      <w:lvlText w:val="%1.%2."/>
      <w:lvlJc w:val="left"/>
      <w:pPr>
        <w:ind w:left="567" w:hanging="567"/>
      </w:pPr>
      <w:rPr>
        <w:rFonts w:hint="default" w:ascii="Times New Roman" w:hAnsi="Times New Roman" w:cs="Times New Roman"/>
        <w:b/>
        <w:bCs/>
        <w:sz w:val="24"/>
        <w:szCs w:val="24"/>
      </w:rPr>
    </w:lvl>
    <w:lvl w:ilvl="2" w:tentative="0">
      <w:start w:val="1"/>
      <w:numFmt w:val="decimal"/>
      <w:lvlText w:val="%1.%2.%3."/>
      <w:lvlJc w:val="left"/>
      <w:pPr>
        <w:ind w:left="709" w:hanging="709"/>
      </w:pPr>
      <w:rPr>
        <w:rFonts w:hint="default" w:ascii="Times New Roman" w:hAnsi="Times New Roman" w:cs="Times New Roman"/>
        <w:b/>
        <w:bCs/>
        <w:sz w:val="21"/>
        <w:szCs w:val="21"/>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7">
    <w:nsid w:val="70146DC0"/>
    <w:multiLevelType w:val="multilevel"/>
    <w:tmpl w:val="70146DC0"/>
    <w:lvl w:ilvl="0" w:tentative="0">
      <w:start w:val="1"/>
      <w:numFmt w:val="bullet"/>
      <w:pStyle w:val="9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A3E64CE"/>
    <w:multiLevelType w:val="singleLevel"/>
    <w:tmpl w:val="7A3E64CE"/>
    <w:lvl w:ilvl="0" w:tentative="0">
      <w:start w:val="1"/>
      <w:numFmt w:val="decimal"/>
      <w:suff w:val="space"/>
      <w:lvlText w:val="%1."/>
      <w:lvlJc w:val="left"/>
    </w:lvl>
  </w:abstractNum>
  <w:num w:numId="1">
    <w:abstractNumId w:val="11"/>
  </w:num>
  <w:num w:numId="2">
    <w:abstractNumId w:val="13"/>
  </w:num>
  <w:num w:numId="3">
    <w:abstractNumId w:val="14"/>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3"/>
  </w:num>
  <w:num w:numId="7">
    <w:abstractNumId w:val="7"/>
  </w:num>
  <w:num w:numId="8">
    <w:abstractNumId w:val="16"/>
  </w:num>
  <w:num w:numId="9">
    <w:abstractNumId w:val="10"/>
  </w:num>
  <w:num w:numId="10">
    <w:abstractNumId w:val="9"/>
  </w:num>
  <w:num w:numId="11">
    <w:abstractNumId w:val="0"/>
  </w:num>
  <w:num w:numId="12">
    <w:abstractNumId w:val="1"/>
  </w:num>
  <w:num w:numId="13">
    <w:abstractNumId w:val="8"/>
  </w:num>
  <w:num w:numId="14">
    <w:abstractNumId w:val="2"/>
  </w:num>
  <w:num w:numId="15">
    <w:abstractNumId w:val="4"/>
  </w:num>
  <w:num w:numId="16">
    <w:abstractNumId w:val="5"/>
  </w:num>
  <w:num w:numId="17">
    <w:abstractNumId w:val="18"/>
  </w:num>
  <w:num w:numId="18">
    <w:abstractNumId w:val="12"/>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isplayBackgroundShape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E5"/>
    <w:rsid w:val="000006CE"/>
    <w:rsid w:val="00000905"/>
    <w:rsid w:val="00000B77"/>
    <w:rsid w:val="00000B9A"/>
    <w:rsid w:val="00000D04"/>
    <w:rsid w:val="00000DB2"/>
    <w:rsid w:val="00000ECA"/>
    <w:rsid w:val="0000103F"/>
    <w:rsid w:val="00001441"/>
    <w:rsid w:val="00001657"/>
    <w:rsid w:val="0000198E"/>
    <w:rsid w:val="000020E8"/>
    <w:rsid w:val="000020F6"/>
    <w:rsid w:val="00002594"/>
    <w:rsid w:val="000026B5"/>
    <w:rsid w:val="000027EB"/>
    <w:rsid w:val="00002893"/>
    <w:rsid w:val="00002E18"/>
    <w:rsid w:val="00002F6D"/>
    <w:rsid w:val="0000325A"/>
    <w:rsid w:val="000033A3"/>
    <w:rsid w:val="000034C8"/>
    <w:rsid w:val="00003605"/>
    <w:rsid w:val="00003725"/>
    <w:rsid w:val="000037B2"/>
    <w:rsid w:val="00003C56"/>
    <w:rsid w:val="00003EC2"/>
    <w:rsid w:val="000040A9"/>
    <w:rsid w:val="0000458E"/>
    <w:rsid w:val="0000488E"/>
    <w:rsid w:val="0000490D"/>
    <w:rsid w:val="00004AC2"/>
    <w:rsid w:val="00004E70"/>
    <w:rsid w:val="00006072"/>
    <w:rsid w:val="000063E8"/>
    <w:rsid w:val="000063F2"/>
    <w:rsid w:val="00006B88"/>
    <w:rsid w:val="00006BC3"/>
    <w:rsid w:val="000072B6"/>
    <w:rsid w:val="00007813"/>
    <w:rsid w:val="00007997"/>
    <w:rsid w:val="00007B74"/>
    <w:rsid w:val="000106C6"/>
    <w:rsid w:val="000109E6"/>
    <w:rsid w:val="00010C60"/>
    <w:rsid w:val="00010DA6"/>
    <w:rsid w:val="00010FAB"/>
    <w:rsid w:val="00011048"/>
    <w:rsid w:val="00011170"/>
    <w:rsid w:val="000112D2"/>
    <w:rsid w:val="00011F67"/>
    <w:rsid w:val="0001253A"/>
    <w:rsid w:val="00012862"/>
    <w:rsid w:val="000128E6"/>
    <w:rsid w:val="00012F89"/>
    <w:rsid w:val="0001337B"/>
    <w:rsid w:val="00013597"/>
    <w:rsid w:val="00013B08"/>
    <w:rsid w:val="00014D62"/>
    <w:rsid w:val="0001535B"/>
    <w:rsid w:val="0001546A"/>
    <w:rsid w:val="00015853"/>
    <w:rsid w:val="00015AF8"/>
    <w:rsid w:val="00015C31"/>
    <w:rsid w:val="00015EFB"/>
    <w:rsid w:val="0001632A"/>
    <w:rsid w:val="0001644A"/>
    <w:rsid w:val="00016597"/>
    <w:rsid w:val="000165E2"/>
    <w:rsid w:val="00016E73"/>
    <w:rsid w:val="000172BE"/>
    <w:rsid w:val="00017415"/>
    <w:rsid w:val="000175E0"/>
    <w:rsid w:val="00017C3D"/>
    <w:rsid w:val="00017D8A"/>
    <w:rsid w:val="0002004A"/>
    <w:rsid w:val="00020858"/>
    <w:rsid w:val="000209AD"/>
    <w:rsid w:val="00020D0D"/>
    <w:rsid w:val="000219F7"/>
    <w:rsid w:val="00021A17"/>
    <w:rsid w:val="00021FA8"/>
    <w:rsid w:val="00021FB1"/>
    <w:rsid w:val="00022458"/>
    <w:rsid w:val="000229C2"/>
    <w:rsid w:val="00022C38"/>
    <w:rsid w:val="0002328E"/>
    <w:rsid w:val="00023388"/>
    <w:rsid w:val="00023425"/>
    <w:rsid w:val="00023431"/>
    <w:rsid w:val="0002346E"/>
    <w:rsid w:val="00023998"/>
    <w:rsid w:val="000241BE"/>
    <w:rsid w:val="000242F2"/>
    <w:rsid w:val="00024C3D"/>
    <w:rsid w:val="000260C1"/>
    <w:rsid w:val="00026775"/>
    <w:rsid w:val="00026A6C"/>
    <w:rsid w:val="00026D4B"/>
    <w:rsid w:val="000275C6"/>
    <w:rsid w:val="00027AD6"/>
    <w:rsid w:val="00027C20"/>
    <w:rsid w:val="00027D7E"/>
    <w:rsid w:val="0003024C"/>
    <w:rsid w:val="000309A8"/>
    <w:rsid w:val="00030A59"/>
    <w:rsid w:val="000312CF"/>
    <w:rsid w:val="00031ADB"/>
    <w:rsid w:val="00032056"/>
    <w:rsid w:val="00032272"/>
    <w:rsid w:val="000328BB"/>
    <w:rsid w:val="000328CA"/>
    <w:rsid w:val="00032BEE"/>
    <w:rsid w:val="00032E40"/>
    <w:rsid w:val="0003376B"/>
    <w:rsid w:val="00033C59"/>
    <w:rsid w:val="00034676"/>
    <w:rsid w:val="00034683"/>
    <w:rsid w:val="000346E6"/>
    <w:rsid w:val="00034C45"/>
    <w:rsid w:val="000352A9"/>
    <w:rsid w:val="000352B3"/>
    <w:rsid w:val="000358CD"/>
    <w:rsid w:val="00035B74"/>
    <w:rsid w:val="00036C66"/>
    <w:rsid w:val="00036E89"/>
    <w:rsid w:val="00036FD4"/>
    <w:rsid w:val="00037837"/>
    <w:rsid w:val="00037FB8"/>
    <w:rsid w:val="00040099"/>
    <w:rsid w:val="0004023E"/>
    <w:rsid w:val="0004024B"/>
    <w:rsid w:val="00040250"/>
    <w:rsid w:val="000402E9"/>
    <w:rsid w:val="000405C4"/>
    <w:rsid w:val="00040950"/>
    <w:rsid w:val="00040A04"/>
    <w:rsid w:val="00040A05"/>
    <w:rsid w:val="00040CE8"/>
    <w:rsid w:val="00041138"/>
    <w:rsid w:val="00041212"/>
    <w:rsid w:val="00041218"/>
    <w:rsid w:val="000416C1"/>
    <w:rsid w:val="00041C57"/>
    <w:rsid w:val="00042498"/>
    <w:rsid w:val="000427BA"/>
    <w:rsid w:val="000434B7"/>
    <w:rsid w:val="00043533"/>
    <w:rsid w:val="000435E4"/>
    <w:rsid w:val="00043A7D"/>
    <w:rsid w:val="0004467A"/>
    <w:rsid w:val="00044D69"/>
    <w:rsid w:val="00046436"/>
    <w:rsid w:val="000464C2"/>
    <w:rsid w:val="00046796"/>
    <w:rsid w:val="000467FD"/>
    <w:rsid w:val="00046874"/>
    <w:rsid w:val="00046AAF"/>
    <w:rsid w:val="00046F57"/>
    <w:rsid w:val="00047225"/>
    <w:rsid w:val="0004722F"/>
    <w:rsid w:val="00047459"/>
    <w:rsid w:val="00047463"/>
    <w:rsid w:val="0004768D"/>
    <w:rsid w:val="00047E60"/>
    <w:rsid w:val="0005059F"/>
    <w:rsid w:val="00050645"/>
    <w:rsid w:val="0005069C"/>
    <w:rsid w:val="00050A6D"/>
    <w:rsid w:val="00050FBD"/>
    <w:rsid w:val="00051368"/>
    <w:rsid w:val="00051579"/>
    <w:rsid w:val="0005192C"/>
    <w:rsid w:val="00051BA0"/>
    <w:rsid w:val="00051D7F"/>
    <w:rsid w:val="00051F65"/>
    <w:rsid w:val="00052877"/>
    <w:rsid w:val="000528C8"/>
    <w:rsid w:val="00052916"/>
    <w:rsid w:val="0005293D"/>
    <w:rsid w:val="0005297E"/>
    <w:rsid w:val="00052AD2"/>
    <w:rsid w:val="00052DCC"/>
    <w:rsid w:val="000530DF"/>
    <w:rsid w:val="000535C3"/>
    <w:rsid w:val="00053649"/>
    <w:rsid w:val="00053740"/>
    <w:rsid w:val="00053C95"/>
    <w:rsid w:val="00054173"/>
    <w:rsid w:val="00054211"/>
    <w:rsid w:val="00054E0C"/>
    <w:rsid w:val="00054F48"/>
    <w:rsid w:val="0005541D"/>
    <w:rsid w:val="00055B6B"/>
    <w:rsid w:val="00055EDC"/>
    <w:rsid w:val="00056219"/>
    <w:rsid w:val="000565C8"/>
    <w:rsid w:val="0005676F"/>
    <w:rsid w:val="000567F1"/>
    <w:rsid w:val="00056CF1"/>
    <w:rsid w:val="00057702"/>
    <w:rsid w:val="00057DC8"/>
    <w:rsid w:val="00057DE7"/>
    <w:rsid w:val="00057F04"/>
    <w:rsid w:val="00060442"/>
    <w:rsid w:val="000605EA"/>
    <w:rsid w:val="00060B11"/>
    <w:rsid w:val="00060D29"/>
    <w:rsid w:val="00060E75"/>
    <w:rsid w:val="0006122C"/>
    <w:rsid w:val="00061273"/>
    <w:rsid w:val="000612E1"/>
    <w:rsid w:val="000614FE"/>
    <w:rsid w:val="00061903"/>
    <w:rsid w:val="00061DD7"/>
    <w:rsid w:val="00062870"/>
    <w:rsid w:val="00062EB2"/>
    <w:rsid w:val="000633CB"/>
    <w:rsid w:val="000634EE"/>
    <w:rsid w:val="0006359B"/>
    <w:rsid w:val="00063618"/>
    <w:rsid w:val="000636E6"/>
    <w:rsid w:val="00063B92"/>
    <w:rsid w:val="00064492"/>
    <w:rsid w:val="00064848"/>
    <w:rsid w:val="000650BF"/>
    <w:rsid w:val="00065C82"/>
    <w:rsid w:val="00065D38"/>
    <w:rsid w:val="00065DBC"/>
    <w:rsid w:val="00065EF0"/>
    <w:rsid w:val="00065F09"/>
    <w:rsid w:val="0006624C"/>
    <w:rsid w:val="00066EAC"/>
    <w:rsid w:val="00067333"/>
    <w:rsid w:val="000675F1"/>
    <w:rsid w:val="00067647"/>
    <w:rsid w:val="000679FC"/>
    <w:rsid w:val="00067DD1"/>
    <w:rsid w:val="00067F7A"/>
    <w:rsid w:val="00070116"/>
    <w:rsid w:val="00070447"/>
    <w:rsid w:val="00070602"/>
    <w:rsid w:val="00070676"/>
    <w:rsid w:val="000706E7"/>
    <w:rsid w:val="00070AF1"/>
    <w:rsid w:val="00070EF8"/>
    <w:rsid w:val="00070F1B"/>
    <w:rsid w:val="00071192"/>
    <w:rsid w:val="000713A7"/>
    <w:rsid w:val="0007142E"/>
    <w:rsid w:val="0007184B"/>
    <w:rsid w:val="00071B27"/>
    <w:rsid w:val="00071D52"/>
    <w:rsid w:val="00071E2A"/>
    <w:rsid w:val="000720A8"/>
    <w:rsid w:val="00072244"/>
    <w:rsid w:val="000727EC"/>
    <w:rsid w:val="00072A80"/>
    <w:rsid w:val="00072FBB"/>
    <w:rsid w:val="000731A0"/>
    <w:rsid w:val="000736C1"/>
    <w:rsid w:val="00073797"/>
    <w:rsid w:val="00073DEC"/>
    <w:rsid w:val="0007401E"/>
    <w:rsid w:val="0007410C"/>
    <w:rsid w:val="00074334"/>
    <w:rsid w:val="000745AA"/>
    <w:rsid w:val="00074831"/>
    <w:rsid w:val="00074943"/>
    <w:rsid w:val="000749E9"/>
    <w:rsid w:val="00074E86"/>
    <w:rsid w:val="00075F30"/>
    <w:rsid w:val="00076097"/>
    <w:rsid w:val="00076541"/>
    <w:rsid w:val="000772F4"/>
    <w:rsid w:val="000776EB"/>
    <w:rsid w:val="00077824"/>
    <w:rsid w:val="00077836"/>
    <w:rsid w:val="00080141"/>
    <w:rsid w:val="000806CC"/>
    <w:rsid w:val="00081257"/>
    <w:rsid w:val="000817C2"/>
    <w:rsid w:val="00081858"/>
    <w:rsid w:val="00082299"/>
    <w:rsid w:val="000823B0"/>
    <w:rsid w:val="000823B1"/>
    <w:rsid w:val="000826C4"/>
    <w:rsid w:val="000832A2"/>
    <w:rsid w:val="0008335B"/>
    <w:rsid w:val="00083379"/>
    <w:rsid w:val="00083587"/>
    <w:rsid w:val="00083838"/>
    <w:rsid w:val="00083ACA"/>
    <w:rsid w:val="00083B6A"/>
    <w:rsid w:val="00084088"/>
    <w:rsid w:val="000842E2"/>
    <w:rsid w:val="00084309"/>
    <w:rsid w:val="000847C6"/>
    <w:rsid w:val="00084D29"/>
    <w:rsid w:val="000852C7"/>
    <w:rsid w:val="000855F5"/>
    <w:rsid w:val="0008591F"/>
    <w:rsid w:val="00085E04"/>
    <w:rsid w:val="00085E28"/>
    <w:rsid w:val="00085FF3"/>
    <w:rsid w:val="00086094"/>
    <w:rsid w:val="00086319"/>
    <w:rsid w:val="0008664E"/>
    <w:rsid w:val="00086800"/>
    <w:rsid w:val="0008730B"/>
    <w:rsid w:val="00087913"/>
    <w:rsid w:val="000879CA"/>
    <w:rsid w:val="00087E58"/>
    <w:rsid w:val="00087F13"/>
    <w:rsid w:val="000900DC"/>
    <w:rsid w:val="0009027B"/>
    <w:rsid w:val="000902DC"/>
    <w:rsid w:val="00090CDB"/>
    <w:rsid w:val="00091037"/>
    <w:rsid w:val="000911AE"/>
    <w:rsid w:val="00091878"/>
    <w:rsid w:val="00091A38"/>
    <w:rsid w:val="00091D5F"/>
    <w:rsid w:val="00092402"/>
    <w:rsid w:val="00092845"/>
    <w:rsid w:val="000929B5"/>
    <w:rsid w:val="00092B27"/>
    <w:rsid w:val="00092E6E"/>
    <w:rsid w:val="00092FFA"/>
    <w:rsid w:val="00093279"/>
    <w:rsid w:val="00093697"/>
    <w:rsid w:val="0009397F"/>
    <w:rsid w:val="00093AC3"/>
    <w:rsid w:val="00093D42"/>
    <w:rsid w:val="00093DD0"/>
    <w:rsid w:val="000947EB"/>
    <w:rsid w:val="00094A16"/>
    <w:rsid w:val="00094DE6"/>
    <w:rsid w:val="00094E96"/>
    <w:rsid w:val="00095543"/>
    <w:rsid w:val="00095698"/>
    <w:rsid w:val="000956DD"/>
    <w:rsid w:val="000959FE"/>
    <w:rsid w:val="00095B3D"/>
    <w:rsid w:val="00095EDA"/>
    <w:rsid w:val="00095F4A"/>
    <w:rsid w:val="0009620A"/>
    <w:rsid w:val="00096356"/>
    <w:rsid w:val="000971CE"/>
    <w:rsid w:val="00097218"/>
    <w:rsid w:val="000972AA"/>
    <w:rsid w:val="00097C99"/>
    <w:rsid w:val="000A001E"/>
    <w:rsid w:val="000A062E"/>
    <w:rsid w:val="000A0C64"/>
    <w:rsid w:val="000A0F14"/>
    <w:rsid w:val="000A10FE"/>
    <w:rsid w:val="000A1190"/>
    <w:rsid w:val="000A1403"/>
    <w:rsid w:val="000A1441"/>
    <w:rsid w:val="000A1823"/>
    <w:rsid w:val="000A1A06"/>
    <w:rsid w:val="000A1B5A"/>
    <w:rsid w:val="000A1B60"/>
    <w:rsid w:val="000A1C07"/>
    <w:rsid w:val="000A205A"/>
    <w:rsid w:val="000A21B4"/>
    <w:rsid w:val="000A21E8"/>
    <w:rsid w:val="000A2293"/>
    <w:rsid w:val="000A2777"/>
    <w:rsid w:val="000A28CC"/>
    <w:rsid w:val="000A2ADA"/>
    <w:rsid w:val="000A2CC7"/>
    <w:rsid w:val="000A2ED6"/>
    <w:rsid w:val="000A3B13"/>
    <w:rsid w:val="000A4205"/>
    <w:rsid w:val="000A42EC"/>
    <w:rsid w:val="000A4A19"/>
    <w:rsid w:val="000A4BBD"/>
    <w:rsid w:val="000A5091"/>
    <w:rsid w:val="000A5397"/>
    <w:rsid w:val="000A555D"/>
    <w:rsid w:val="000A575A"/>
    <w:rsid w:val="000A6230"/>
    <w:rsid w:val="000A6351"/>
    <w:rsid w:val="000A63D6"/>
    <w:rsid w:val="000A6C3B"/>
    <w:rsid w:val="000A6C7D"/>
    <w:rsid w:val="000A6EA9"/>
    <w:rsid w:val="000A6F80"/>
    <w:rsid w:val="000A73E3"/>
    <w:rsid w:val="000A75C9"/>
    <w:rsid w:val="000A77A9"/>
    <w:rsid w:val="000A7B38"/>
    <w:rsid w:val="000A7C9A"/>
    <w:rsid w:val="000B009F"/>
    <w:rsid w:val="000B017B"/>
    <w:rsid w:val="000B0343"/>
    <w:rsid w:val="000B09FB"/>
    <w:rsid w:val="000B0B59"/>
    <w:rsid w:val="000B122A"/>
    <w:rsid w:val="000B1536"/>
    <w:rsid w:val="000B18CF"/>
    <w:rsid w:val="000B1930"/>
    <w:rsid w:val="000B1ECF"/>
    <w:rsid w:val="000B21F9"/>
    <w:rsid w:val="000B235E"/>
    <w:rsid w:val="000B2985"/>
    <w:rsid w:val="000B2C88"/>
    <w:rsid w:val="000B2D2A"/>
    <w:rsid w:val="000B3224"/>
    <w:rsid w:val="000B3238"/>
    <w:rsid w:val="000B3342"/>
    <w:rsid w:val="000B3BFC"/>
    <w:rsid w:val="000B50F2"/>
    <w:rsid w:val="000B51E9"/>
    <w:rsid w:val="000B51FA"/>
    <w:rsid w:val="000B5375"/>
    <w:rsid w:val="000B54CA"/>
    <w:rsid w:val="000B5905"/>
    <w:rsid w:val="000B5975"/>
    <w:rsid w:val="000B67D6"/>
    <w:rsid w:val="000B6B73"/>
    <w:rsid w:val="000B6E2C"/>
    <w:rsid w:val="000B76C5"/>
    <w:rsid w:val="000B7857"/>
    <w:rsid w:val="000B7A10"/>
    <w:rsid w:val="000C0089"/>
    <w:rsid w:val="000C037F"/>
    <w:rsid w:val="000C07B6"/>
    <w:rsid w:val="000C089A"/>
    <w:rsid w:val="000C0D8B"/>
    <w:rsid w:val="000C115D"/>
    <w:rsid w:val="000C1535"/>
    <w:rsid w:val="000C1BEA"/>
    <w:rsid w:val="000C1F24"/>
    <w:rsid w:val="000C209F"/>
    <w:rsid w:val="000C24BC"/>
    <w:rsid w:val="000C252B"/>
    <w:rsid w:val="000C2E28"/>
    <w:rsid w:val="000C2E54"/>
    <w:rsid w:val="000C2E64"/>
    <w:rsid w:val="000C2FBD"/>
    <w:rsid w:val="000C37BA"/>
    <w:rsid w:val="000C37BB"/>
    <w:rsid w:val="000C3AB1"/>
    <w:rsid w:val="000C3B0C"/>
    <w:rsid w:val="000C3C81"/>
    <w:rsid w:val="000C413F"/>
    <w:rsid w:val="000C422D"/>
    <w:rsid w:val="000C4300"/>
    <w:rsid w:val="000C44E6"/>
    <w:rsid w:val="000C46E6"/>
    <w:rsid w:val="000C4AA3"/>
    <w:rsid w:val="000C4BDB"/>
    <w:rsid w:val="000C4CF5"/>
    <w:rsid w:val="000C51D7"/>
    <w:rsid w:val="000C5473"/>
    <w:rsid w:val="000C54A6"/>
    <w:rsid w:val="000C5F91"/>
    <w:rsid w:val="000C6025"/>
    <w:rsid w:val="000C60A7"/>
    <w:rsid w:val="000C63A9"/>
    <w:rsid w:val="000C68D4"/>
    <w:rsid w:val="000C6950"/>
    <w:rsid w:val="000C7EA7"/>
    <w:rsid w:val="000D0565"/>
    <w:rsid w:val="000D0920"/>
    <w:rsid w:val="000D0CAF"/>
    <w:rsid w:val="000D0E4E"/>
    <w:rsid w:val="000D113C"/>
    <w:rsid w:val="000D12D1"/>
    <w:rsid w:val="000D159A"/>
    <w:rsid w:val="000D15CC"/>
    <w:rsid w:val="000D160C"/>
    <w:rsid w:val="000D1796"/>
    <w:rsid w:val="000D1812"/>
    <w:rsid w:val="000D1A04"/>
    <w:rsid w:val="000D1EE2"/>
    <w:rsid w:val="000D2225"/>
    <w:rsid w:val="000D22CC"/>
    <w:rsid w:val="000D2C46"/>
    <w:rsid w:val="000D2F87"/>
    <w:rsid w:val="000D36AE"/>
    <w:rsid w:val="000D38A1"/>
    <w:rsid w:val="000D3A83"/>
    <w:rsid w:val="000D3B21"/>
    <w:rsid w:val="000D3CFC"/>
    <w:rsid w:val="000D3F3D"/>
    <w:rsid w:val="000D3F5D"/>
    <w:rsid w:val="000D4113"/>
    <w:rsid w:val="000D4235"/>
    <w:rsid w:val="000D4C03"/>
    <w:rsid w:val="000D4C4E"/>
    <w:rsid w:val="000D5077"/>
    <w:rsid w:val="000D5159"/>
    <w:rsid w:val="000D5362"/>
    <w:rsid w:val="000D57F8"/>
    <w:rsid w:val="000D5851"/>
    <w:rsid w:val="000D5C60"/>
    <w:rsid w:val="000D5F22"/>
    <w:rsid w:val="000D660A"/>
    <w:rsid w:val="000D71E2"/>
    <w:rsid w:val="000D721C"/>
    <w:rsid w:val="000D73A5"/>
    <w:rsid w:val="000D758A"/>
    <w:rsid w:val="000D79CD"/>
    <w:rsid w:val="000D7DCA"/>
    <w:rsid w:val="000E0004"/>
    <w:rsid w:val="000E0037"/>
    <w:rsid w:val="000E03DC"/>
    <w:rsid w:val="000E050D"/>
    <w:rsid w:val="000E07D6"/>
    <w:rsid w:val="000E1380"/>
    <w:rsid w:val="000E18DF"/>
    <w:rsid w:val="000E1E9B"/>
    <w:rsid w:val="000E1FAB"/>
    <w:rsid w:val="000E20FA"/>
    <w:rsid w:val="000E224E"/>
    <w:rsid w:val="000E27BF"/>
    <w:rsid w:val="000E28CC"/>
    <w:rsid w:val="000E2FEB"/>
    <w:rsid w:val="000E360E"/>
    <w:rsid w:val="000E3AE9"/>
    <w:rsid w:val="000E3F5E"/>
    <w:rsid w:val="000E42C8"/>
    <w:rsid w:val="000E4A26"/>
    <w:rsid w:val="000E4BDF"/>
    <w:rsid w:val="000E59A0"/>
    <w:rsid w:val="000E59C2"/>
    <w:rsid w:val="000E616D"/>
    <w:rsid w:val="000E617C"/>
    <w:rsid w:val="000E67EC"/>
    <w:rsid w:val="000E684B"/>
    <w:rsid w:val="000E728A"/>
    <w:rsid w:val="000E7680"/>
    <w:rsid w:val="000E7A84"/>
    <w:rsid w:val="000E7DCB"/>
    <w:rsid w:val="000F003F"/>
    <w:rsid w:val="000F0791"/>
    <w:rsid w:val="000F0B44"/>
    <w:rsid w:val="000F10E0"/>
    <w:rsid w:val="000F14F9"/>
    <w:rsid w:val="000F15BC"/>
    <w:rsid w:val="000F15D7"/>
    <w:rsid w:val="000F1781"/>
    <w:rsid w:val="000F180A"/>
    <w:rsid w:val="000F1831"/>
    <w:rsid w:val="000F1C92"/>
    <w:rsid w:val="000F2331"/>
    <w:rsid w:val="000F2EEE"/>
    <w:rsid w:val="000F3029"/>
    <w:rsid w:val="000F334D"/>
    <w:rsid w:val="000F3697"/>
    <w:rsid w:val="000F3799"/>
    <w:rsid w:val="000F394F"/>
    <w:rsid w:val="000F3A14"/>
    <w:rsid w:val="000F3B57"/>
    <w:rsid w:val="000F3C5C"/>
    <w:rsid w:val="000F4027"/>
    <w:rsid w:val="000F4040"/>
    <w:rsid w:val="000F48D2"/>
    <w:rsid w:val="000F62F7"/>
    <w:rsid w:val="000F6999"/>
    <w:rsid w:val="000F6CA7"/>
    <w:rsid w:val="000F76E7"/>
    <w:rsid w:val="000F783A"/>
    <w:rsid w:val="000F79B2"/>
    <w:rsid w:val="000F7F58"/>
    <w:rsid w:val="0010000F"/>
    <w:rsid w:val="00100128"/>
    <w:rsid w:val="00100858"/>
    <w:rsid w:val="00100FF3"/>
    <w:rsid w:val="001012A9"/>
    <w:rsid w:val="001014E2"/>
    <w:rsid w:val="001019A4"/>
    <w:rsid w:val="001019C2"/>
    <w:rsid w:val="001026CA"/>
    <w:rsid w:val="001027CF"/>
    <w:rsid w:val="0010287E"/>
    <w:rsid w:val="00102E19"/>
    <w:rsid w:val="00103B33"/>
    <w:rsid w:val="001043C2"/>
    <w:rsid w:val="001043E1"/>
    <w:rsid w:val="001044C5"/>
    <w:rsid w:val="00104934"/>
    <w:rsid w:val="00104E3B"/>
    <w:rsid w:val="0010505A"/>
    <w:rsid w:val="001053E3"/>
    <w:rsid w:val="00105CC7"/>
    <w:rsid w:val="00106C55"/>
    <w:rsid w:val="00106DB7"/>
    <w:rsid w:val="0010748F"/>
    <w:rsid w:val="00107779"/>
    <w:rsid w:val="001077B4"/>
    <w:rsid w:val="001078C2"/>
    <w:rsid w:val="00107E1C"/>
    <w:rsid w:val="001100EF"/>
    <w:rsid w:val="00110243"/>
    <w:rsid w:val="00110618"/>
    <w:rsid w:val="00110688"/>
    <w:rsid w:val="00110E30"/>
    <w:rsid w:val="001111AA"/>
    <w:rsid w:val="0011121D"/>
    <w:rsid w:val="001112C4"/>
    <w:rsid w:val="00111444"/>
    <w:rsid w:val="00111723"/>
    <w:rsid w:val="00111842"/>
    <w:rsid w:val="001119BC"/>
    <w:rsid w:val="00111BF6"/>
    <w:rsid w:val="001129B5"/>
    <w:rsid w:val="001129FC"/>
    <w:rsid w:val="00112ADE"/>
    <w:rsid w:val="00112BE6"/>
    <w:rsid w:val="00112D75"/>
    <w:rsid w:val="00112EFA"/>
    <w:rsid w:val="001131CF"/>
    <w:rsid w:val="001135CD"/>
    <w:rsid w:val="001136F7"/>
    <w:rsid w:val="00113F08"/>
    <w:rsid w:val="001141E3"/>
    <w:rsid w:val="0011448F"/>
    <w:rsid w:val="001144C5"/>
    <w:rsid w:val="001144DF"/>
    <w:rsid w:val="00114AAE"/>
    <w:rsid w:val="00114CE0"/>
    <w:rsid w:val="00114D8B"/>
    <w:rsid w:val="00115038"/>
    <w:rsid w:val="0011557B"/>
    <w:rsid w:val="00115696"/>
    <w:rsid w:val="00115CD8"/>
    <w:rsid w:val="001162AC"/>
    <w:rsid w:val="00116609"/>
    <w:rsid w:val="00117312"/>
    <w:rsid w:val="0011775F"/>
    <w:rsid w:val="001177A3"/>
    <w:rsid w:val="00117C85"/>
    <w:rsid w:val="00117F66"/>
    <w:rsid w:val="00117FDD"/>
    <w:rsid w:val="001201D6"/>
    <w:rsid w:val="0012034A"/>
    <w:rsid w:val="00120981"/>
    <w:rsid w:val="00120B13"/>
    <w:rsid w:val="00120CA7"/>
    <w:rsid w:val="00120CF9"/>
    <w:rsid w:val="00121C03"/>
    <w:rsid w:val="00121CEA"/>
    <w:rsid w:val="00121E21"/>
    <w:rsid w:val="00121F7A"/>
    <w:rsid w:val="00121FF5"/>
    <w:rsid w:val="00122759"/>
    <w:rsid w:val="0012298E"/>
    <w:rsid w:val="00122D95"/>
    <w:rsid w:val="00123053"/>
    <w:rsid w:val="00123104"/>
    <w:rsid w:val="0012317F"/>
    <w:rsid w:val="00123378"/>
    <w:rsid w:val="001236C1"/>
    <w:rsid w:val="00123AE1"/>
    <w:rsid w:val="00123B5D"/>
    <w:rsid w:val="001242EC"/>
    <w:rsid w:val="00124405"/>
    <w:rsid w:val="0012467B"/>
    <w:rsid w:val="00124793"/>
    <w:rsid w:val="001249F6"/>
    <w:rsid w:val="00124D84"/>
    <w:rsid w:val="001250DD"/>
    <w:rsid w:val="0012527A"/>
    <w:rsid w:val="00125733"/>
    <w:rsid w:val="00125D24"/>
    <w:rsid w:val="00126398"/>
    <w:rsid w:val="001263AA"/>
    <w:rsid w:val="00126787"/>
    <w:rsid w:val="0012691E"/>
    <w:rsid w:val="00126A02"/>
    <w:rsid w:val="001275C6"/>
    <w:rsid w:val="00127E99"/>
    <w:rsid w:val="0013001D"/>
    <w:rsid w:val="00130141"/>
    <w:rsid w:val="001305E1"/>
    <w:rsid w:val="00130779"/>
    <w:rsid w:val="001307A1"/>
    <w:rsid w:val="00130914"/>
    <w:rsid w:val="00130F6B"/>
    <w:rsid w:val="0013170F"/>
    <w:rsid w:val="0013200B"/>
    <w:rsid w:val="001321D3"/>
    <w:rsid w:val="00132316"/>
    <w:rsid w:val="00132A0E"/>
    <w:rsid w:val="00133599"/>
    <w:rsid w:val="00133636"/>
    <w:rsid w:val="0013370A"/>
    <w:rsid w:val="00133BF7"/>
    <w:rsid w:val="00134119"/>
    <w:rsid w:val="00134A2E"/>
    <w:rsid w:val="00134B88"/>
    <w:rsid w:val="0013577F"/>
    <w:rsid w:val="0013586D"/>
    <w:rsid w:val="0013608F"/>
    <w:rsid w:val="001364C9"/>
    <w:rsid w:val="00136A23"/>
    <w:rsid w:val="00136B99"/>
    <w:rsid w:val="00137645"/>
    <w:rsid w:val="00137897"/>
    <w:rsid w:val="0014063E"/>
    <w:rsid w:val="0014087D"/>
    <w:rsid w:val="00140CAC"/>
    <w:rsid w:val="00140ECB"/>
    <w:rsid w:val="00140F3C"/>
    <w:rsid w:val="00140F57"/>
    <w:rsid w:val="00140F74"/>
    <w:rsid w:val="00140FC8"/>
    <w:rsid w:val="0014102A"/>
    <w:rsid w:val="0014102F"/>
    <w:rsid w:val="0014109B"/>
    <w:rsid w:val="00141104"/>
    <w:rsid w:val="00141191"/>
    <w:rsid w:val="001412D8"/>
    <w:rsid w:val="0014159C"/>
    <w:rsid w:val="00141A78"/>
    <w:rsid w:val="00141B5C"/>
    <w:rsid w:val="00141E05"/>
    <w:rsid w:val="00142022"/>
    <w:rsid w:val="001421FB"/>
    <w:rsid w:val="001424C9"/>
    <w:rsid w:val="00142655"/>
    <w:rsid w:val="00142665"/>
    <w:rsid w:val="00142ABE"/>
    <w:rsid w:val="00142C36"/>
    <w:rsid w:val="00143052"/>
    <w:rsid w:val="0014311D"/>
    <w:rsid w:val="001432B9"/>
    <w:rsid w:val="001432EC"/>
    <w:rsid w:val="001435B8"/>
    <w:rsid w:val="0014384A"/>
    <w:rsid w:val="0014450F"/>
    <w:rsid w:val="001445D7"/>
    <w:rsid w:val="00144943"/>
    <w:rsid w:val="00144950"/>
    <w:rsid w:val="00144C8E"/>
    <w:rsid w:val="00144D8F"/>
    <w:rsid w:val="00144F71"/>
    <w:rsid w:val="0014539E"/>
    <w:rsid w:val="0014573E"/>
    <w:rsid w:val="00145888"/>
    <w:rsid w:val="00145BFD"/>
    <w:rsid w:val="00145C74"/>
    <w:rsid w:val="00145F27"/>
    <w:rsid w:val="001461B4"/>
    <w:rsid w:val="001462E9"/>
    <w:rsid w:val="0014653C"/>
    <w:rsid w:val="00146D49"/>
    <w:rsid w:val="00146E32"/>
    <w:rsid w:val="00147289"/>
    <w:rsid w:val="00147C65"/>
    <w:rsid w:val="001503D8"/>
    <w:rsid w:val="00150DDD"/>
    <w:rsid w:val="00151619"/>
    <w:rsid w:val="00152212"/>
    <w:rsid w:val="00152835"/>
    <w:rsid w:val="001532C2"/>
    <w:rsid w:val="001533F7"/>
    <w:rsid w:val="001539F4"/>
    <w:rsid w:val="00153B7B"/>
    <w:rsid w:val="00153C4D"/>
    <w:rsid w:val="00153F0B"/>
    <w:rsid w:val="001540EC"/>
    <w:rsid w:val="0015418F"/>
    <w:rsid w:val="0015464B"/>
    <w:rsid w:val="00154743"/>
    <w:rsid w:val="00154777"/>
    <w:rsid w:val="00154866"/>
    <w:rsid w:val="00154F2F"/>
    <w:rsid w:val="00155951"/>
    <w:rsid w:val="001559FA"/>
    <w:rsid w:val="00155DDE"/>
    <w:rsid w:val="00156088"/>
    <w:rsid w:val="00156374"/>
    <w:rsid w:val="00156438"/>
    <w:rsid w:val="00156989"/>
    <w:rsid w:val="001569E9"/>
    <w:rsid w:val="001577D8"/>
    <w:rsid w:val="00157CD6"/>
    <w:rsid w:val="00157F72"/>
    <w:rsid w:val="00157FC3"/>
    <w:rsid w:val="0016022D"/>
    <w:rsid w:val="00160494"/>
    <w:rsid w:val="00160739"/>
    <w:rsid w:val="00160C28"/>
    <w:rsid w:val="00160EA6"/>
    <w:rsid w:val="00161074"/>
    <w:rsid w:val="00161319"/>
    <w:rsid w:val="0016138A"/>
    <w:rsid w:val="001619EF"/>
    <w:rsid w:val="00161A0A"/>
    <w:rsid w:val="00161B89"/>
    <w:rsid w:val="00161C30"/>
    <w:rsid w:val="00161E4B"/>
    <w:rsid w:val="0016271E"/>
    <w:rsid w:val="00162C90"/>
    <w:rsid w:val="00162D7A"/>
    <w:rsid w:val="0016388C"/>
    <w:rsid w:val="0016396D"/>
    <w:rsid w:val="00164088"/>
    <w:rsid w:val="0016487F"/>
    <w:rsid w:val="00164A2F"/>
    <w:rsid w:val="00164DAB"/>
    <w:rsid w:val="00165200"/>
    <w:rsid w:val="001653E9"/>
    <w:rsid w:val="0016571E"/>
    <w:rsid w:val="00165B58"/>
    <w:rsid w:val="00165BBB"/>
    <w:rsid w:val="00165D3A"/>
    <w:rsid w:val="00165F12"/>
    <w:rsid w:val="0016613F"/>
    <w:rsid w:val="00166215"/>
    <w:rsid w:val="001662D7"/>
    <w:rsid w:val="00166591"/>
    <w:rsid w:val="001668BA"/>
    <w:rsid w:val="00167502"/>
    <w:rsid w:val="00167654"/>
    <w:rsid w:val="00167D05"/>
    <w:rsid w:val="00167F5B"/>
    <w:rsid w:val="0017025A"/>
    <w:rsid w:val="00170C5D"/>
    <w:rsid w:val="00170C6E"/>
    <w:rsid w:val="00170D20"/>
    <w:rsid w:val="00170E64"/>
    <w:rsid w:val="00171014"/>
    <w:rsid w:val="00171143"/>
    <w:rsid w:val="001716CE"/>
    <w:rsid w:val="00171BBA"/>
    <w:rsid w:val="00171F80"/>
    <w:rsid w:val="001724EF"/>
    <w:rsid w:val="00172864"/>
    <w:rsid w:val="00172AB6"/>
    <w:rsid w:val="00172B11"/>
    <w:rsid w:val="00172B82"/>
    <w:rsid w:val="00172B9E"/>
    <w:rsid w:val="00172DCF"/>
    <w:rsid w:val="00172EFA"/>
    <w:rsid w:val="0017343A"/>
    <w:rsid w:val="00173608"/>
    <w:rsid w:val="00173922"/>
    <w:rsid w:val="00173FEB"/>
    <w:rsid w:val="001740B1"/>
    <w:rsid w:val="001741D6"/>
    <w:rsid w:val="001745EC"/>
    <w:rsid w:val="0017473F"/>
    <w:rsid w:val="001747B7"/>
    <w:rsid w:val="00174B36"/>
    <w:rsid w:val="00175034"/>
    <w:rsid w:val="00175529"/>
    <w:rsid w:val="00175C30"/>
    <w:rsid w:val="00175D1D"/>
    <w:rsid w:val="001761CE"/>
    <w:rsid w:val="00176596"/>
    <w:rsid w:val="00177069"/>
    <w:rsid w:val="00177751"/>
    <w:rsid w:val="0017779C"/>
    <w:rsid w:val="0017783F"/>
    <w:rsid w:val="0017791C"/>
    <w:rsid w:val="00177CEB"/>
    <w:rsid w:val="00177FC1"/>
    <w:rsid w:val="001800AE"/>
    <w:rsid w:val="001801E8"/>
    <w:rsid w:val="0018047E"/>
    <w:rsid w:val="001804D6"/>
    <w:rsid w:val="00181020"/>
    <w:rsid w:val="001810A1"/>
    <w:rsid w:val="001815A2"/>
    <w:rsid w:val="0018172F"/>
    <w:rsid w:val="00181998"/>
    <w:rsid w:val="001819C3"/>
    <w:rsid w:val="00181A9A"/>
    <w:rsid w:val="00181AF5"/>
    <w:rsid w:val="00181FC1"/>
    <w:rsid w:val="001827CE"/>
    <w:rsid w:val="00182E0D"/>
    <w:rsid w:val="00183034"/>
    <w:rsid w:val="001830F7"/>
    <w:rsid w:val="00183E95"/>
    <w:rsid w:val="00183EE6"/>
    <w:rsid w:val="00183FA4"/>
    <w:rsid w:val="0018478B"/>
    <w:rsid w:val="00184879"/>
    <w:rsid w:val="00184983"/>
    <w:rsid w:val="0018588A"/>
    <w:rsid w:val="0018591F"/>
    <w:rsid w:val="00185CEC"/>
    <w:rsid w:val="00185CF9"/>
    <w:rsid w:val="00185D46"/>
    <w:rsid w:val="00186741"/>
    <w:rsid w:val="00186883"/>
    <w:rsid w:val="001869D9"/>
    <w:rsid w:val="00186A0E"/>
    <w:rsid w:val="00186C70"/>
    <w:rsid w:val="00187252"/>
    <w:rsid w:val="00187560"/>
    <w:rsid w:val="001875A9"/>
    <w:rsid w:val="001879FF"/>
    <w:rsid w:val="001909C9"/>
    <w:rsid w:val="00190E87"/>
    <w:rsid w:val="00190EED"/>
    <w:rsid w:val="00190F96"/>
    <w:rsid w:val="001912F0"/>
    <w:rsid w:val="00191C91"/>
    <w:rsid w:val="00191DA6"/>
    <w:rsid w:val="00191E07"/>
    <w:rsid w:val="00191E6D"/>
    <w:rsid w:val="00192295"/>
    <w:rsid w:val="001923DD"/>
    <w:rsid w:val="001927D3"/>
    <w:rsid w:val="00192DD9"/>
    <w:rsid w:val="00192DF8"/>
    <w:rsid w:val="0019369D"/>
    <w:rsid w:val="00193C3C"/>
    <w:rsid w:val="00194339"/>
    <w:rsid w:val="001947A5"/>
    <w:rsid w:val="00194816"/>
    <w:rsid w:val="00194848"/>
    <w:rsid w:val="00194F8C"/>
    <w:rsid w:val="00194FCD"/>
    <w:rsid w:val="001954D7"/>
    <w:rsid w:val="0019580A"/>
    <w:rsid w:val="001958EA"/>
    <w:rsid w:val="001959DB"/>
    <w:rsid w:val="00195E0E"/>
    <w:rsid w:val="0019610E"/>
    <w:rsid w:val="001963B2"/>
    <w:rsid w:val="001966F8"/>
    <w:rsid w:val="00196C12"/>
    <w:rsid w:val="00196C7D"/>
    <w:rsid w:val="00197140"/>
    <w:rsid w:val="001972A0"/>
    <w:rsid w:val="00197375"/>
    <w:rsid w:val="00197383"/>
    <w:rsid w:val="001974D8"/>
    <w:rsid w:val="00197C3A"/>
    <w:rsid w:val="00197CA2"/>
    <w:rsid w:val="001A0482"/>
    <w:rsid w:val="001A055B"/>
    <w:rsid w:val="001A0780"/>
    <w:rsid w:val="001A09EC"/>
    <w:rsid w:val="001A0D8D"/>
    <w:rsid w:val="001A0F03"/>
    <w:rsid w:val="001A0F12"/>
    <w:rsid w:val="001A0F82"/>
    <w:rsid w:val="001A15C6"/>
    <w:rsid w:val="001A178D"/>
    <w:rsid w:val="001A180D"/>
    <w:rsid w:val="001A1BAC"/>
    <w:rsid w:val="001A1C50"/>
    <w:rsid w:val="001A23CE"/>
    <w:rsid w:val="001A25E5"/>
    <w:rsid w:val="001A2C89"/>
    <w:rsid w:val="001A2DF0"/>
    <w:rsid w:val="001A3630"/>
    <w:rsid w:val="001A3BB1"/>
    <w:rsid w:val="001A4090"/>
    <w:rsid w:val="001A452D"/>
    <w:rsid w:val="001A4CF3"/>
    <w:rsid w:val="001A4E0A"/>
    <w:rsid w:val="001A4E77"/>
    <w:rsid w:val="001A5182"/>
    <w:rsid w:val="001A673E"/>
    <w:rsid w:val="001A6857"/>
    <w:rsid w:val="001A6A4F"/>
    <w:rsid w:val="001A6DD3"/>
    <w:rsid w:val="001A702B"/>
    <w:rsid w:val="001A7763"/>
    <w:rsid w:val="001A7C5C"/>
    <w:rsid w:val="001B00C6"/>
    <w:rsid w:val="001B02EC"/>
    <w:rsid w:val="001B0468"/>
    <w:rsid w:val="001B0D92"/>
    <w:rsid w:val="001B1133"/>
    <w:rsid w:val="001B1CB5"/>
    <w:rsid w:val="001B1DED"/>
    <w:rsid w:val="001B1E88"/>
    <w:rsid w:val="001B2307"/>
    <w:rsid w:val="001B3964"/>
    <w:rsid w:val="001B3CE3"/>
    <w:rsid w:val="001B3DB5"/>
    <w:rsid w:val="001B3DF9"/>
    <w:rsid w:val="001B43E5"/>
    <w:rsid w:val="001B4452"/>
    <w:rsid w:val="001B466C"/>
    <w:rsid w:val="001B4918"/>
    <w:rsid w:val="001B4F34"/>
    <w:rsid w:val="001B505F"/>
    <w:rsid w:val="001B51E4"/>
    <w:rsid w:val="001B52EC"/>
    <w:rsid w:val="001B554A"/>
    <w:rsid w:val="001B6176"/>
    <w:rsid w:val="001B6228"/>
    <w:rsid w:val="001B6564"/>
    <w:rsid w:val="001B691A"/>
    <w:rsid w:val="001B69EC"/>
    <w:rsid w:val="001B6C18"/>
    <w:rsid w:val="001B6F33"/>
    <w:rsid w:val="001B71D9"/>
    <w:rsid w:val="001B74D6"/>
    <w:rsid w:val="001B7BBD"/>
    <w:rsid w:val="001B7EC8"/>
    <w:rsid w:val="001B7F25"/>
    <w:rsid w:val="001C02D8"/>
    <w:rsid w:val="001C0309"/>
    <w:rsid w:val="001C048A"/>
    <w:rsid w:val="001C04BB"/>
    <w:rsid w:val="001C04E3"/>
    <w:rsid w:val="001C075C"/>
    <w:rsid w:val="001C0797"/>
    <w:rsid w:val="001C1D8B"/>
    <w:rsid w:val="001C2378"/>
    <w:rsid w:val="001C288E"/>
    <w:rsid w:val="001C3C6D"/>
    <w:rsid w:val="001C3EE9"/>
    <w:rsid w:val="001C3FA4"/>
    <w:rsid w:val="001C40F9"/>
    <w:rsid w:val="001C41CE"/>
    <w:rsid w:val="001C423D"/>
    <w:rsid w:val="001C458B"/>
    <w:rsid w:val="001C501E"/>
    <w:rsid w:val="001C5C19"/>
    <w:rsid w:val="001C5D4F"/>
    <w:rsid w:val="001C5D72"/>
    <w:rsid w:val="001C6288"/>
    <w:rsid w:val="001C6298"/>
    <w:rsid w:val="001C64C0"/>
    <w:rsid w:val="001C657F"/>
    <w:rsid w:val="001C69DA"/>
    <w:rsid w:val="001C6C87"/>
    <w:rsid w:val="001C6EA0"/>
    <w:rsid w:val="001C6F06"/>
    <w:rsid w:val="001C772B"/>
    <w:rsid w:val="001C7BF6"/>
    <w:rsid w:val="001D0578"/>
    <w:rsid w:val="001D0CEA"/>
    <w:rsid w:val="001D1123"/>
    <w:rsid w:val="001D14BA"/>
    <w:rsid w:val="001D1F37"/>
    <w:rsid w:val="001D204F"/>
    <w:rsid w:val="001D2360"/>
    <w:rsid w:val="001D3025"/>
    <w:rsid w:val="001D3109"/>
    <w:rsid w:val="001D332E"/>
    <w:rsid w:val="001D351C"/>
    <w:rsid w:val="001D37B8"/>
    <w:rsid w:val="001D415B"/>
    <w:rsid w:val="001D4663"/>
    <w:rsid w:val="001D48CF"/>
    <w:rsid w:val="001D4AB6"/>
    <w:rsid w:val="001D4EC6"/>
    <w:rsid w:val="001D5033"/>
    <w:rsid w:val="001D503F"/>
    <w:rsid w:val="001D5073"/>
    <w:rsid w:val="001D547B"/>
    <w:rsid w:val="001D550E"/>
    <w:rsid w:val="001D5710"/>
    <w:rsid w:val="001D5C88"/>
    <w:rsid w:val="001D6567"/>
    <w:rsid w:val="001D65E8"/>
    <w:rsid w:val="001D695C"/>
    <w:rsid w:val="001D6FD9"/>
    <w:rsid w:val="001D7132"/>
    <w:rsid w:val="001D7776"/>
    <w:rsid w:val="001D780E"/>
    <w:rsid w:val="001E01E2"/>
    <w:rsid w:val="001E0278"/>
    <w:rsid w:val="001E0379"/>
    <w:rsid w:val="001E05C3"/>
    <w:rsid w:val="001E0736"/>
    <w:rsid w:val="001E092D"/>
    <w:rsid w:val="001E0AD3"/>
    <w:rsid w:val="001E0D3E"/>
    <w:rsid w:val="001E0E40"/>
    <w:rsid w:val="001E0F6D"/>
    <w:rsid w:val="001E139E"/>
    <w:rsid w:val="001E1A8D"/>
    <w:rsid w:val="001E1BD3"/>
    <w:rsid w:val="001E26CE"/>
    <w:rsid w:val="001E2A58"/>
    <w:rsid w:val="001E2E35"/>
    <w:rsid w:val="001E322D"/>
    <w:rsid w:val="001E3688"/>
    <w:rsid w:val="001E36E4"/>
    <w:rsid w:val="001E379D"/>
    <w:rsid w:val="001E3834"/>
    <w:rsid w:val="001E3A22"/>
    <w:rsid w:val="001E3A3C"/>
    <w:rsid w:val="001E4380"/>
    <w:rsid w:val="001E4694"/>
    <w:rsid w:val="001E491C"/>
    <w:rsid w:val="001E4D10"/>
    <w:rsid w:val="001E5A7C"/>
    <w:rsid w:val="001E5C23"/>
    <w:rsid w:val="001E67D3"/>
    <w:rsid w:val="001E69AC"/>
    <w:rsid w:val="001E7101"/>
    <w:rsid w:val="001E71A0"/>
    <w:rsid w:val="001E74A0"/>
    <w:rsid w:val="001E7504"/>
    <w:rsid w:val="001E76DF"/>
    <w:rsid w:val="001E7871"/>
    <w:rsid w:val="001E7E82"/>
    <w:rsid w:val="001F0D89"/>
    <w:rsid w:val="001F1065"/>
    <w:rsid w:val="001F1308"/>
    <w:rsid w:val="001F1525"/>
    <w:rsid w:val="001F15F3"/>
    <w:rsid w:val="001F169A"/>
    <w:rsid w:val="001F17BC"/>
    <w:rsid w:val="001F1815"/>
    <w:rsid w:val="001F1DE3"/>
    <w:rsid w:val="001F1E87"/>
    <w:rsid w:val="001F1EB6"/>
    <w:rsid w:val="001F229B"/>
    <w:rsid w:val="001F2E23"/>
    <w:rsid w:val="001F341F"/>
    <w:rsid w:val="001F3434"/>
    <w:rsid w:val="001F3585"/>
    <w:rsid w:val="001F3911"/>
    <w:rsid w:val="001F3F1A"/>
    <w:rsid w:val="001F4012"/>
    <w:rsid w:val="001F411A"/>
    <w:rsid w:val="001F4643"/>
    <w:rsid w:val="001F4A87"/>
    <w:rsid w:val="001F4B7C"/>
    <w:rsid w:val="001F4CAC"/>
    <w:rsid w:val="001F4CBD"/>
    <w:rsid w:val="001F5545"/>
    <w:rsid w:val="001F5777"/>
    <w:rsid w:val="001F5846"/>
    <w:rsid w:val="001F5937"/>
    <w:rsid w:val="001F59E3"/>
    <w:rsid w:val="001F59ED"/>
    <w:rsid w:val="001F5B48"/>
    <w:rsid w:val="001F64EE"/>
    <w:rsid w:val="001F6988"/>
    <w:rsid w:val="001F6C06"/>
    <w:rsid w:val="001F6F1A"/>
    <w:rsid w:val="001F7121"/>
    <w:rsid w:val="001F71D6"/>
    <w:rsid w:val="001F7DDD"/>
    <w:rsid w:val="001F7EDF"/>
    <w:rsid w:val="00200315"/>
    <w:rsid w:val="00200410"/>
    <w:rsid w:val="002007F8"/>
    <w:rsid w:val="00200D2C"/>
    <w:rsid w:val="00200E1A"/>
    <w:rsid w:val="002012F5"/>
    <w:rsid w:val="002019D8"/>
    <w:rsid w:val="00201A38"/>
    <w:rsid w:val="00201EC7"/>
    <w:rsid w:val="00202908"/>
    <w:rsid w:val="00202A57"/>
    <w:rsid w:val="00202DE2"/>
    <w:rsid w:val="0020349A"/>
    <w:rsid w:val="002034B4"/>
    <w:rsid w:val="002038A0"/>
    <w:rsid w:val="00203AEB"/>
    <w:rsid w:val="00204032"/>
    <w:rsid w:val="002040A3"/>
    <w:rsid w:val="0020499C"/>
    <w:rsid w:val="00204BAD"/>
    <w:rsid w:val="00204D60"/>
    <w:rsid w:val="00204E9F"/>
    <w:rsid w:val="00204F25"/>
    <w:rsid w:val="0020506A"/>
    <w:rsid w:val="0020549C"/>
    <w:rsid w:val="0020551A"/>
    <w:rsid w:val="00205627"/>
    <w:rsid w:val="002056D0"/>
    <w:rsid w:val="0020579B"/>
    <w:rsid w:val="00205FAC"/>
    <w:rsid w:val="00206203"/>
    <w:rsid w:val="002062A6"/>
    <w:rsid w:val="00206F06"/>
    <w:rsid w:val="00207020"/>
    <w:rsid w:val="00207513"/>
    <w:rsid w:val="002075FD"/>
    <w:rsid w:val="00210055"/>
    <w:rsid w:val="002106A7"/>
    <w:rsid w:val="00210860"/>
    <w:rsid w:val="00210B6A"/>
    <w:rsid w:val="00210E03"/>
    <w:rsid w:val="00211448"/>
    <w:rsid w:val="00211CB1"/>
    <w:rsid w:val="00211D8D"/>
    <w:rsid w:val="00211F67"/>
    <w:rsid w:val="00212BB8"/>
    <w:rsid w:val="00212CB6"/>
    <w:rsid w:val="00212E37"/>
    <w:rsid w:val="00212F47"/>
    <w:rsid w:val="00212FA9"/>
    <w:rsid w:val="002132FE"/>
    <w:rsid w:val="002133AA"/>
    <w:rsid w:val="002137C8"/>
    <w:rsid w:val="00213D96"/>
    <w:rsid w:val="002140FF"/>
    <w:rsid w:val="002143DE"/>
    <w:rsid w:val="002147BC"/>
    <w:rsid w:val="00214869"/>
    <w:rsid w:val="002149E6"/>
    <w:rsid w:val="00214D3B"/>
    <w:rsid w:val="00214F16"/>
    <w:rsid w:val="00215172"/>
    <w:rsid w:val="00215304"/>
    <w:rsid w:val="002153EF"/>
    <w:rsid w:val="002170F0"/>
    <w:rsid w:val="00217962"/>
    <w:rsid w:val="0022042A"/>
    <w:rsid w:val="00220764"/>
    <w:rsid w:val="00220894"/>
    <w:rsid w:val="0022135D"/>
    <w:rsid w:val="00221F83"/>
    <w:rsid w:val="00222213"/>
    <w:rsid w:val="00222496"/>
    <w:rsid w:val="00222722"/>
    <w:rsid w:val="0022341C"/>
    <w:rsid w:val="0022414D"/>
    <w:rsid w:val="00224468"/>
    <w:rsid w:val="00224822"/>
    <w:rsid w:val="00224952"/>
    <w:rsid w:val="00224DD2"/>
    <w:rsid w:val="00224E58"/>
    <w:rsid w:val="002257DD"/>
    <w:rsid w:val="00225A6A"/>
    <w:rsid w:val="00225AC7"/>
    <w:rsid w:val="00225ACC"/>
    <w:rsid w:val="00225AE1"/>
    <w:rsid w:val="00225BE5"/>
    <w:rsid w:val="00225D6B"/>
    <w:rsid w:val="00225DA3"/>
    <w:rsid w:val="00225E2D"/>
    <w:rsid w:val="00225E6D"/>
    <w:rsid w:val="00226028"/>
    <w:rsid w:val="002264A8"/>
    <w:rsid w:val="002266F5"/>
    <w:rsid w:val="00226935"/>
    <w:rsid w:val="00226C1E"/>
    <w:rsid w:val="00226F64"/>
    <w:rsid w:val="002275C5"/>
    <w:rsid w:val="00227B32"/>
    <w:rsid w:val="00227E85"/>
    <w:rsid w:val="00227EDD"/>
    <w:rsid w:val="00230BCE"/>
    <w:rsid w:val="00231C25"/>
    <w:rsid w:val="00231C6F"/>
    <w:rsid w:val="002321B3"/>
    <w:rsid w:val="00232246"/>
    <w:rsid w:val="00232287"/>
    <w:rsid w:val="00232A90"/>
    <w:rsid w:val="002339F3"/>
    <w:rsid w:val="00233AAB"/>
    <w:rsid w:val="00234151"/>
    <w:rsid w:val="002347ED"/>
    <w:rsid w:val="00234DB4"/>
    <w:rsid w:val="00234E6B"/>
    <w:rsid w:val="00234F8C"/>
    <w:rsid w:val="00235542"/>
    <w:rsid w:val="00235C9E"/>
    <w:rsid w:val="00236019"/>
    <w:rsid w:val="002368AF"/>
    <w:rsid w:val="002369B0"/>
    <w:rsid w:val="00236AD8"/>
    <w:rsid w:val="00236D0C"/>
    <w:rsid w:val="00236D7A"/>
    <w:rsid w:val="0023733C"/>
    <w:rsid w:val="002377C9"/>
    <w:rsid w:val="00237831"/>
    <w:rsid w:val="00237EA9"/>
    <w:rsid w:val="002400AF"/>
    <w:rsid w:val="002401F5"/>
    <w:rsid w:val="00240A4F"/>
    <w:rsid w:val="00240E54"/>
    <w:rsid w:val="002411D7"/>
    <w:rsid w:val="0024173A"/>
    <w:rsid w:val="00241843"/>
    <w:rsid w:val="00241891"/>
    <w:rsid w:val="002422C9"/>
    <w:rsid w:val="0024241F"/>
    <w:rsid w:val="002425D2"/>
    <w:rsid w:val="00242680"/>
    <w:rsid w:val="00242BC8"/>
    <w:rsid w:val="00243106"/>
    <w:rsid w:val="00243461"/>
    <w:rsid w:val="00243745"/>
    <w:rsid w:val="00243831"/>
    <w:rsid w:val="00243D4A"/>
    <w:rsid w:val="002442DD"/>
    <w:rsid w:val="00244743"/>
    <w:rsid w:val="002451C5"/>
    <w:rsid w:val="002455B6"/>
    <w:rsid w:val="002455D7"/>
    <w:rsid w:val="00245DFF"/>
    <w:rsid w:val="00245F1F"/>
    <w:rsid w:val="00246224"/>
    <w:rsid w:val="0024626E"/>
    <w:rsid w:val="0024663B"/>
    <w:rsid w:val="00246697"/>
    <w:rsid w:val="00247103"/>
    <w:rsid w:val="0024749E"/>
    <w:rsid w:val="00247AA0"/>
    <w:rsid w:val="00247D37"/>
    <w:rsid w:val="00247F58"/>
    <w:rsid w:val="00247FCF"/>
    <w:rsid w:val="00250067"/>
    <w:rsid w:val="002505C5"/>
    <w:rsid w:val="00250F62"/>
    <w:rsid w:val="002516DE"/>
    <w:rsid w:val="00251982"/>
    <w:rsid w:val="00251F81"/>
    <w:rsid w:val="002522EF"/>
    <w:rsid w:val="00252641"/>
    <w:rsid w:val="0025285C"/>
    <w:rsid w:val="00252BE0"/>
    <w:rsid w:val="00252C30"/>
    <w:rsid w:val="00252E35"/>
    <w:rsid w:val="00253524"/>
    <w:rsid w:val="00253588"/>
    <w:rsid w:val="00253AA8"/>
    <w:rsid w:val="00253EA5"/>
    <w:rsid w:val="0025426B"/>
    <w:rsid w:val="002545AF"/>
    <w:rsid w:val="00254630"/>
    <w:rsid w:val="0025464E"/>
    <w:rsid w:val="002546F4"/>
    <w:rsid w:val="002548CB"/>
    <w:rsid w:val="00254A1D"/>
    <w:rsid w:val="00254ECF"/>
    <w:rsid w:val="002551D0"/>
    <w:rsid w:val="00255374"/>
    <w:rsid w:val="0025597B"/>
    <w:rsid w:val="002562AA"/>
    <w:rsid w:val="002566F4"/>
    <w:rsid w:val="002568E0"/>
    <w:rsid w:val="00256D93"/>
    <w:rsid w:val="00256F44"/>
    <w:rsid w:val="002571E6"/>
    <w:rsid w:val="002575D0"/>
    <w:rsid w:val="00257767"/>
    <w:rsid w:val="00257BF4"/>
    <w:rsid w:val="00257F0D"/>
    <w:rsid w:val="00260003"/>
    <w:rsid w:val="002601A3"/>
    <w:rsid w:val="0026035D"/>
    <w:rsid w:val="002606D6"/>
    <w:rsid w:val="002608C0"/>
    <w:rsid w:val="00260B1A"/>
    <w:rsid w:val="00260F64"/>
    <w:rsid w:val="00261B91"/>
    <w:rsid w:val="00261C98"/>
    <w:rsid w:val="00262307"/>
    <w:rsid w:val="0026248E"/>
    <w:rsid w:val="0026258A"/>
    <w:rsid w:val="0026261D"/>
    <w:rsid w:val="00262914"/>
    <w:rsid w:val="00262B99"/>
    <w:rsid w:val="00262E9A"/>
    <w:rsid w:val="00263207"/>
    <w:rsid w:val="00264554"/>
    <w:rsid w:val="002647BF"/>
    <w:rsid w:val="002647D5"/>
    <w:rsid w:val="00264E5E"/>
    <w:rsid w:val="00264EA3"/>
    <w:rsid w:val="00264F4F"/>
    <w:rsid w:val="00265032"/>
    <w:rsid w:val="002651FB"/>
    <w:rsid w:val="0026538C"/>
    <w:rsid w:val="002653A5"/>
    <w:rsid w:val="00265781"/>
    <w:rsid w:val="002658EA"/>
    <w:rsid w:val="00265A6F"/>
    <w:rsid w:val="00265DD3"/>
    <w:rsid w:val="00265F4A"/>
    <w:rsid w:val="00266B13"/>
    <w:rsid w:val="00266CEE"/>
    <w:rsid w:val="0026780A"/>
    <w:rsid w:val="00267DED"/>
    <w:rsid w:val="00267E4A"/>
    <w:rsid w:val="00270074"/>
    <w:rsid w:val="002701AA"/>
    <w:rsid w:val="002704EC"/>
    <w:rsid w:val="00270728"/>
    <w:rsid w:val="00270A6B"/>
    <w:rsid w:val="00270D42"/>
    <w:rsid w:val="00270E04"/>
    <w:rsid w:val="0027195D"/>
    <w:rsid w:val="00271C6D"/>
    <w:rsid w:val="00272A44"/>
    <w:rsid w:val="00272AAC"/>
    <w:rsid w:val="00272B03"/>
    <w:rsid w:val="00272CD2"/>
    <w:rsid w:val="00272CEA"/>
    <w:rsid w:val="002730BB"/>
    <w:rsid w:val="002733CE"/>
    <w:rsid w:val="002733E2"/>
    <w:rsid w:val="00273B56"/>
    <w:rsid w:val="00273FA4"/>
    <w:rsid w:val="00273FA5"/>
    <w:rsid w:val="002746CD"/>
    <w:rsid w:val="00274D12"/>
    <w:rsid w:val="00274D71"/>
    <w:rsid w:val="00274ECC"/>
    <w:rsid w:val="002750B1"/>
    <w:rsid w:val="00275102"/>
    <w:rsid w:val="0027556C"/>
    <w:rsid w:val="00275960"/>
    <w:rsid w:val="00275B95"/>
    <w:rsid w:val="00275CAC"/>
    <w:rsid w:val="002761A3"/>
    <w:rsid w:val="00276A35"/>
    <w:rsid w:val="00277271"/>
    <w:rsid w:val="00277835"/>
    <w:rsid w:val="002778DA"/>
    <w:rsid w:val="00277B18"/>
    <w:rsid w:val="0028052C"/>
    <w:rsid w:val="00280801"/>
    <w:rsid w:val="00280AB1"/>
    <w:rsid w:val="00280E29"/>
    <w:rsid w:val="0028136B"/>
    <w:rsid w:val="002816A0"/>
    <w:rsid w:val="00281819"/>
    <w:rsid w:val="00282C13"/>
    <w:rsid w:val="00282C22"/>
    <w:rsid w:val="00283024"/>
    <w:rsid w:val="0028364B"/>
    <w:rsid w:val="002836B5"/>
    <w:rsid w:val="002836FB"/>
    <w:rsid w:val="00283D77"/>
    <w:rsid w:val="00284234"/>
    <w:rsid w:val="0028493B"/>
    <w:rsid w:val="00284BAE"/>
    <w:rsid w:val="00284E1B"/>
    <w:rsid w:val="00284FF1"/>
    <w:rsid w:val="002851E6"/>
    <w:rsid w:val="00285793"/>
    <w:rsid w:val="002859AF"/>
    <w:rsid w:val="00285F41"/>
    <w:rsid w:val="00285FAD"/>
    <w:rsid w:val="0028684E"/>
    <w:rsid w:val="00286AE7"/>
    <w:rsid w:val="00286DED"/>
    <w:rsid w:val="00286F0B"/>
    <w:rsid w:val="0028704D"/>
    <w:rsid w:val="0028708E"/>
    <w:rsid w:val="00287243"/>
    <w:rsid w:val="002876B3"/>
    <w:rsid w:val="002878F6"/>
    <w:rsid w:val="00287B87"/>
    <w:rsid w:val="00290001"/>
    <w:rsid w:val="00290470"/>
    <w:rsid w:val="00290647"/>
    <w:rsid w:val="00290862"/>
    <w:rsid w:val="00291385"/>
    <w:rsid w:val="002913E7"/>
    <w:rsid w:val="00291422"/>
    <w:rsid w:val="00291633"/>
    <w:rsid w:val="0029237F"/>
    <w:rsid w:val="0029242A"/>
    <w:rsid w:val="00292468"/>
    <w:rsid w:val="002926B0"/>
    <w:rsid w:val="00292715"/>
    <w:rsid w:val="00293050"/>
    <w:rsid w:val="00293227"/>
    <w:rsid w:val="002935BE"/>
    <w:rsid w:val="00293E57"/>
    <w:rsid w:val="002946B1"/>
    <w:rsid w:val="002947D1"/>
    <w:rsid w:val="002948DF"/>
    <w:rsid w:val="00294D90"/>
    <w:rsid w:val="00295220"/>
    <w:rsid w:val="00295A83"/>
    <w:rsid w:val="00296007"/>
    <w:rsid w:val="00296854"/>
    <w:rsid w:val="0029699E"/>
    <w:rsid w:val="00297657"/>
    <w:rsid w:val="002976E5"/>
    <w:rsid w:val="00297DBB"/>
    <w:rsid w:val="00297E1B"/>
    <w:rsid w:val="002A09C1"/>
    <w:rsid w:val="002A133D"/>
    <w:rsid w:val="002A1BF7"/>
    <w:rsid w:val="002A1DA8"/>
    <w:rsid w:val="002A1E92"/>
    <w:rsid w:val="002A204D"/>
    <w:rsid w:val="002A20C8"/>
    <w:rsid w:val="002A22D1"/>
    <w:rsid w:val="002A2342"/>
    <w:rsid w:val="002A2616"/>
    <w:rsid w:val="002A261E"/>
    <w:rsid w:val="002A26E1"/>
    <w:rsid w:val="002A2724"/>
    <w:rsid w:val="002A292F"/>
    <w:rsid w:val="002A31EF"/>
    <w:rsid w:val="002A323A"/>
    <w:rsid w:val="002A324F"/>
    <w:rsid w:val="002A33B7"/>
    <w:rsid w:val="002A3656"/>
    <w:rsid w:val="002A368A"/>
    <w:rsid w:val="002A4016"/>
    <w:rsid w:val="002A4065"/>
    <w:rsid w:val="002A42A6"/>
    <w:rsid w:val="002A4ADE"/>
    <w:rsid w:val="002A4C55"/>
    <w:rsid w:val="002A4DD1"/>
    <w:rsid w:val="002A534E"/>
    <w:rsid w:val="002A5779"/>
    <w:rsid w:val="002A59F0"/>
    <w:rsid w:val="002A5DE3"/>
    <w:rsid w:val="002A6432"/>
    <w:rsid w:val="002A655F"/>
    <w:rsid w:val="002A6684"/>
    <w:rsid w:val="002A67C4"/>
    <w:rsid w:val="002A6887"/>
    <w:rsid w:val="002A6F25"/>
    <w:rsid w:val="002A6FD3"/>
    <w:rsid w:val="002A7391"/>
    <w:rsid w:val="002A772F"/>
    <w:rsid w:val="002A7E27"/>
    <w:rsid w:val="002B03AB"/>
    <w:rsid w:val="002B06CC"/>
    <w:rsid w:val="002B0A7D"/>
    <w:rsid w:val="002B0F96"/>
    <w:rsid w:val="002B18FB"/>
    <w:rsid w:val="002B1A01"/>
    <w:rsid w:val="002B1A69"/>
    <w:rsid w:val="002B25DA"/>
    <w:rsid w:val="002B2723"/>
    <w:rsid w:val="002B303A"/>
    <w:rsid w:val="002B4035"/>
    <w:rsid w:val="002B42C3"/>
    <w:rsid w:val="002B4734"/>
    <w:rsid w:val="002B4B32"/>
    <w:rsid w:val="002B4DF8"/>
    <w:rsid w:val="002B538E"/>
    <w:rsid w:val="002B54BF"/>
    <w:rsid w:val="002B575B"/>
    <w:rsid w:val="002B5DCA"/>
    <w:rsid w:val="002B623A"/>
    <w:rsid w:val="002B693D"/>
    <w:rsid w:val="002B6BDC"/>
    <w:rsid w:val="002B6DDB"/>
    <w:rsid w:val="002B7336"/>
    <w:rsid w:val="002B734C"/>
    <w:rsid w:val="002B73F1"/>
    <w:rsid w:val="002B75B0"/>
    <w:rsid w:val="002B7EAF"/>
    <w:rsid w:val="002B7FAF"/>
    <w:rsid w:val="002C000D"/>
    <w:rsid w:val="002C0483"/>
    <w:rsid w:val="002C08D3"/>
    <w:rsid w:val="002C099C"/>
    <w:rsid w:val="002C0AA4"/>
    <w:rsid w:val="002C0B74"/>
    <w:rsid w:val="002C0C8B"/>
    <w:rsid w:val="002C0CBB"/>
    <w:rsid w:val="002C1201"/>
    <w:rsid w:val="002C1460"/>
    <w:rsid w:val="002C1B91"/>
    <w:rsid w:val="002C1C58"/>
    <w:rsid w:val="002C1E4E"/>
    <w:rsid w:val="002C206D"/>
    <w:rsid w:val="002C20F2"/>
    <w:rsid w:val="002C3615"/>
    <w:rsid w:val="002C38B2"/>
    <w:rsid w:val="002C3F9C"/>
    <w:rsid w:val="002C438D"/>
    <w:rsid w:val="002C45D6"/>
    <w:rsid w:val="002C4A70"/>
    <w:rsid w:val="002C5AFA"/>
    <w:rsid w:val="002C6135"/>
    <w:rsid w:val="002C6259"/>
    <w:rsid w:val="002C66A1"/>
    <w:rsid w:val="002C67FA"/>
    <w:rsid w:val="002C7535"/>
    <w:rsid w:val="002C7604"/>
    <w:rsid w:val="002D03DC"/>
    <w:rsid w:val="002D0439"/>
    <w:rsid w:val="002D0713"/>
    <w:rsid w:val="002D0835"/>
    <w:rsid w:val="002D11B7"/>
    <w:rsid w:val="002D1200"/>
    <w:rsid w:val="002D13FA"/>
    <w:rsid w:val="002D15C8"/>
    <w:rsid w:val="002D2079"/>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533E"/>
    <w:rsid w:val="002D5531"/>
    <w:rsid w:val="002D5738"/>
    <w:rsid w:val="002D5758"/>
    <w:rsid w:val="002D5E53"/>
    <w:rsid w:val="002D5F15"/>
    <w:rsid w:val="002D649A"/>
    <w:rsid w:val="002D6DE3"/>
    <w:rsid w:val="002D7178"/>
    <w:rsid w:val="002D7AD1"/>
    <w:rsid w:val="002E00CB"/>
    <w:rsid w:val="002E027E"/>
    <w:rsid w:val="002E0319"/>
    <w:rsid w:val="002E035B"/>
    <w:rsid w:val="002E179B"/>
    <w:rsid w:val="002E18F9"/>
    <w:rsid w:val="002E1C9E"/>
    <w:rsid w:val="002E22E4"/>
    <w:rsid w:val="002E257B"/>
    <w:rsid w:val="002E268B"/>
    <w:rsid w:val="002E2765"/>
    <w:rsid w:val="002E2AAA"/>
    <w:rsid w:val="002E35B7"/>
    <w:rsid w:val="002E3BB0"/>
    <w:rsid w:val="002E3C65"/>
    <w:rsid w:val="002E3EF7"/>
    <w:rsid w:val="002E3F5B"/>
    <w:rsid w:val="002E4362"/>
    <w:rsid w:val="002E4A86"/>
    <w:rsid w:val="002E550D"/>
    <w:rsid w:val="002E56E0"/>
    <w:rsid w:val="002E58E0"/>
    <w:rsid w:val="002E5B00"/>
    <w:rsid w:val="002E5ECA"/>
    <w:rsid w:val="002E5F95"/>
    <w:rsid w:val="002E602B"/>
    <w:rsid w:val="002E6062"/>
    <w:rsid w:val="002E623B"/>
    <w:rsid w:val="002E63B0"/>
    <w:rsid w:val="002E63D9"/>
    <w:rsid w:val="002E640E"/>
    <w:rsid w:val="002E6C53"/>
    <w:rsid w:val="002E72DE"/>
    <w:rsid w:val="002E759F"/>
    <w:rsid w:val="002E7DC8"/>
    <w:rsid w:val="002F0233"/>
    <w:rsid w:val="002F087D"/>
    <w:rsid w:val="002F0998"/>
    <w:rsid w:val="002F0BCC"/>
    <w:rsid w:val="002F0C28"/>
    <w:rsid w:val="002F0E4F"/>
    <w:rsid w:val="002F121C"/>
    <w:rsid w:val="002F1F8F"/>
    <w:rsid w:val="002F2C88"/>
    <w:rsid w:val="002F305C"/>
    <w:rsid w:val="002F35EB"/>
    <w:rsid w:val="002F3CDE"/>
    <w:rsid w:val="002F3D3B"/>
    <w:rsid w:val="002F3D4C"/>
    <w:rsid w:val="002F42D9"/>
    <w:rsid w:val="002F4625"/>
    <w:rsid w:val="002F5137"/>
    <w:rsid w:val="002F53F5"/>
    <w:rsid w:val="002F5AFE"/>
    <w:rsid w:val="002F5DD6"/>
    <w:rsid w:val="002F5E07"/>
    <w:rsid w:val="002F5FEA"/>
    <w:rsid w:val="002F63E7"/>
    <w:rsid w:val="002F67FC"/>
    <w:rsid w:val="002F680E"/>
    <w:rsid w:val="002F68BE"/>
    <w:rsid w:val="002F6989"/>
    <w:rsid w:val="002F7213"/>
    <w:rsid w:val="002F7399"/>
    <w:rsid w:val="002F7978"/>
    <w:rsid w:val="002F7BE3"/>
    <w:rsid w:val="002F7E6A"/>
    <w:rsid w:val="00300059"/>
    <w:rsid w:val="00300165"/>
    <w:rsid w:val="003003F0"/>
    <w:rsid w:val="00300726"/>
    <w:rsid w:val="00300857"/>
    <w:rsid w:val="00300D91"/>
    <w:rsid w:val="00300E6D"/>
    <w:rsid w:val="003010CF"/>
    <w:rsid w:val="00301C22"/>
    <w:rsid w:val="00301DF5"/>
    <w:rsid w:val="00302612"/>
    <w:rsid w:val="00302700"/>
    <w:rsid w:val="0030313F"/>
    <w:rsid w:val="00303440"/>
    <w:rsid w:val="003039AD"/>
    <w:rsid w:val="003039CF"/>
    <w:rsid w:val="00303EB2"/>
    <w:rsid w:val="003048B1"/>
    <w:rsid w:val="00304D9B"/>
    <w:rsid w:val="00304EDE"/>
    <w:rsid w:val="00305144"/>
    <w:rsid w:val="00305296"/>
    <w:rsid w:val="003054B0"/>
    <w:rsid w:val="00305E99"/>
    <w:rsid w:val="00305FA8"/>
    <w:rsid w:val="00305FF9"/>
    <w:rsid w:val="00306230"/>
    <w:rsid w:val="00306244"/>
    <w:rsid w:val="0030666C"/>
    <w:rsid w:val="00306B34"/>
    <w:rsid w:val="00306B79"/>
    <w:rsid w:val="00306E6B"/>
    <w:rsid w:val="00306EA9"/>
    <w:rsid w:val="00306F34"/>
    <w:rsid w:val="003100C8"/>
    <w:rsid w:val="003102BA"/>
    <w:rsid w:val="003102F8"/>
    <w:rsid w:val="00310BFC"/>
    <w:rsid w:val="00310C4A"/>
    <w:rsid w:val="00311161"/>
    <w:rsid w:val="0031120A"/>
    <w:rsid w:val="003113BB"/>
    <w:rsid w:val="0031146B"/>
    <w:rsid w:val="003119A6"/>
    <w:rsid w:val="00312186"/>
    <w:rsid w:val="00312400"/>
    <w:rsid w:val="00312739"/>
    <w:rsid w:val="00312D10"/>
    <w:rsid w:val="00313076"/>
    <w:rsid w:val="00313231"/>
    <w:rsid w:val="003132A5"/>
    <w:rsid w:val="00313A50"/>
    <w:rsid w:val="00314926"/>
    <w:rsid w:val="00314980"/>
    <w:rsid w:val="00314E0F"/>
    <w:rsid w:val="0031563A"/>
    <w:rsid w:val="003159D2"/>
    <w:rsid w:val="00315D2F"/>
    <w:rsid w:val="00316CAD"/>
    <w:rsid w:val="00317482"/>
    <w:rsid w:val="003178DA"/>
    <w:rsid w:val="00317C07"/>
    <w:rsid w:val="00317DB8"/>
    <w:rsid w:val="00317DF7"/>
    <w:rsid w:val="003204DF"/>
    <w:rsid w:val="00320618"/>
    <w:rsid w:val="0032100B"/>
    <w:rsid w:val="0032177F"/>
    <w:rsid w:val="00321BD7"/>
    <w:rsid w:val="00321E70"/>
    <w:rsid w:val="0032260F"/>
    <w:rsid w:val="003228DA"/>
    <w:rsid w:val="00322B3B"/>
    <w:rsid w:val="00322E10"/>
    <w:rsid w:val="00323D6B"/>
    <w:rsid w:val="003240FC"/>
    <w:rsid w:val="00324B35"/>
    <w:rsid w:val="00324D29"/>
    <w:rsid w:val="00325420"/>
    <w:rsid w:val="0032596A"/>
    <w:rsid w:val="003259A8"/>
    <w:rsid w:val="00325C69"/>
    <w:rsid w:val="00325FFF"/>
    <w:rsid w:val="00326002"/>
    <w:rsid w:val="003261DB"/>
    <w:rsid w:val="00326218"/>
    <w:rsid w:val="00326957"/>
    <w:rsid w:val="00326A3F"/>
    <w:rsid w:val="00326AE2"/>
    <w:rsid w:val="00326D42"/>
    <w:rsid w:val="003271B9"/>
    <w:rsid w:val="003273FF"/>
    <w:rsid w:val="00327BA4"/>
    <w:rsid w:val="00327F8F"/>
    <w:rsid w:val="00330099"/>
    <w:rsid w:val="00330285"/>
    <w:rsid w:val="00330688"/>
    <w:rsid w:val="00330B75"/>
    <w:rsid w:val="00331426"/>
    <w:rsid w:val="0033171D"/>
    <w:rsid w:val="003317BE"/>
    <w:rsid w:val="00331A94"/>
    <w:rsid w:val="00331F0A"/>
    <w:rsid w:val="00331FC3"/>
    <w:rsid w:val="003327CC"/>
    <w:rsid w:val="003330D7"/>
    <w:rsid w:val="0033335F"/>
    <w:rsid w:val="00333578"/>
    <w:rsid w:val="003336B3"/>
    <w:rsid w:val="00333786"/>
    <w:rsid w:val="00333D75"/>
    <w:rsid w:val="00333DDC"/>
    <w:rsid w:val="003352FC"/>
    <w:rsid w:val="0033537E"/>
    <w:rsid w:val="00335494"/>
    <w:rsid w:val="003357B8"/>
    <w:rsid w:val="0033590E"/>
    <w:rsid w:val="00335965"/>
    <w:rsid w:val="00335A05"/>
    <w:rsid w:val="00335B75"/>
    <w:rsid w:val="00335D8C"/>
    <w:rsid w:val="00336072"/>
    <w:rsid w:val="003363A1"/>
    <w:rsid w:val="00336734"/>
    <w:rsid w:val="00336D54"/>
    <w:rsid w:val="003373F5"/>
    <w:rsid w:val="0033747D"/>
    <w:rsid w:val="003377B7"/>
    <w:rsid w:val="003377FF"/>
    <w:rsid w:val="00340AA6"/>
    <w:rsid w:val="00340F6B"/>
    <w:rsid w:val="0034127A"/>
    <w:rsid w:val="00341324"/>
    <w:rsid w:val="00341695"/>
    <w:rsid w:val="003416D0"/>
    <w:rsid w:val="00341D5A"/>
    <w:rsid w:val="00341FF7"/>
    <w:rsid w:val="00342022"/>
    <w:rsid w:val="003420B2"/>
    <w:rsid w:val="0034226D"/>
    <w:rsid w:val="003423D7"/>
    <w:rsid w:val="003424F5"/>
    <w:rsid w:val="00342696"/>
    <w:rsid w:val="00342972"/>
    <w:rsid w:val="00342A6E"/>
    <w:rsid w:val="00342FDD"/>
    <w:rsid w:val="00343761"/>
    <w:rsid w:val="00343AC8"/>
    <w:rsid w:val="00343AD3"/>
    <w:rsid w:val="00343E02"/>
    <w:rsid w:val="00343F43"/>
    <w:rsid w:val="0034429B"/>
    <w:rsid w:val="00344866"/>
    <w:rsid w:val="003459CD"/>
    <w:rsid w:val="00345AC9"/>
    <w:rsid w:val="00345BFD"/>
    <w:rsid w:val="00345D95"/>
    <w:rsid w:val="00346287"/>
    <w:rsid w:val="0034638C"/>
    <w:rsid w:val="003468C1"/>
    <w:rsid w:val="00346F7F"/>
    <w:rsid w:val="00347789"/>
    <w:rsid w:val="00350096"/>
    <w:rsid w:val="00350108"/>
    <w:rsid w:val="00350632"/>
    <w:rsid w:val="003506B9"/>
    <w:rsid w:val="00350762"/>
    <w:rsid w:val="003507C4"/>
    <w:rsid w:val="00350921"/>
    <w:rsid w:val="00350BE8"/>
    <w:rsid w:val="0035108E"/>
    <w:rsid w:val="003511DC"/>
    <w:rsid w:val="00351430"/>
    <w:rsid w:val="00351873"/>
    <w:rsid w:val="003519A1"/>
    <w:rsid w:val="00351BAB"/>
    <w:rsid w:val="00351E3E"/>
    <w:rsid w:val="00351EA6"/>
    <w:rsid w:val="00352265"/>
    <w:rsid w:val="00352480"/>
    <w:rsid w:val="0035285D"/>
    <w:rsid w:val="00352936"/>
    <w:rsid w:val="00352C75"/>
    <w:rsid w:val="00352FC7"/>
    <w:rsid w:val="003530D2"/>
    <w:rsid w:val="0035331A"/>
    <w:rsid w:val="003534E1"/>
    <w:rsid w:val="0035369F"/>
    <w:rsid w:val="00353B10"/>
    <w:rsid w:val="00354333"/>
    <w:rsid w:val="003548D8"/>
    <w:rsid w:val="00355389"/>
    <w:rsid w:val="003554CA"/>
    <w:rsid w:val="00355FC4"/>
    <w:rsid w:val="003562ED"/>
    <w:rsid w:val="0035665E"/>
    <w:rsid w:val="00357410"/>
    <w:rsid w:val="0035786B"/>
    <w:rsid w:val="00357DD4"/>
    <w:rsid w:val="00360232"/>
    <w:rsid w:val="003602E0"/>
    <w:rsid w:val="00360D01"/>
    <w:rsid w:val="00360E01"/>
    <w:rsid w:val="003616B4"/>
    <w:rsid w:val="00362080"/>
    <w:rsid w:val="00362569"/>
    <w:rsid w:val="00362A10"/>
    <w:rsid w:val="00362C82"/>
    <w:rsid w:val="00362D48"/>
    <w:rsid w:val="00362DA3"/>
    <w:rsid w:val="00363214"/>
    <w:rsid w:val="00363448"/>
    <w:rsid w:val="00363661"/>
    <w:rsid w:val="003636CD"/>
    <w:rsid w:val="00363C2D"/>
    <w:rsid w:val="003640AC"/>
    <w:rsid w:val="0036442A"/>
    <w:rsid w:val="003644F6"/>
    <w:rsid w:val="0036487C"/>
    <w:rsid w:val="00364DB4"/>
    <w:rsid w:val="00364DD1"/>
    <w:rsid w:val="00365268"/>
    <w:rsid w:val="00365411"/>
    <w:rsid w:val="00365474"/>
    <w:rsid w:val="003656A4"/>
    <w:rsid w:val="00365794"/>
    <w:rsid w:val="00365A81"/>
    <w:rsid w:val="00365FA2"/>
    <w:rsid w:val="00365FEC"/>
    <w:rsid w:val="0036637E"/>
    <w:rsid w:val="00366AB5"/>
    <w:rsid w:val="00366C69"/>
    <w:rsid w:val="00366D60"/>
    <w:rsid w:val="00367441"/>
    <w:rsid w:val="003677D7"/>
    <w:rsid w:val="00367B1D"/>
    <w:rsid w:val="00367C07"/>
    <w:rsid w:val="00367CFF"/>
    <w:rsid w:val="00367F60"/>
    <w:rsid w:val="0037001A"/>
    <w:rsid w:val="0037006E"/>
    <w:rsid w:val="003705B2"/>
    <w:rsid w:val="00370C53"/>
    <w:rsid w:val="00370D04"/>
    <w:rsid w:val="00370D3A"/>
    <w:rsid w:val="00370DA7"/>
    <w:rsid w:val="00370E4F"/>
    <w:rsid w:val="00370EF7"/>
    <w:rsid w:val="00370FDA"/>
    <w:rsid w:val="00371215"/>
    <w:rsid w:val="00371834"/>
    <w:rsid w:val="00372058"/>
    <w:rsid w:val="0037271F"/>
    <w:rsid w:val="00372776"/>
    <w:rsid w:val="00372C1E"/>
    <w:rsid w:val="00372F0D"/>
    <w:rsid w:val="00373AF6"/>
    <w:rsid w:val="00373BF4"/>
    <w:rsid w:val="00373F49"/>
    <w:rsid w:val="00374059"/>
    <w:rsid w:val="0037408F"/>
    <w:rsid w:val="00374B72"/>
    <w:rsid w:val="00374CEB"/>
    <w:rsid w:val="00375338"/>
    <w:rsid w:val="0037535B"/>
    <w:rsid w:val="0037552D"/>
    <w:rsid w:val="003756DB"/>
    <w:rsid w:val="003757B4"/>
    <w:rsid w:val="00375868"/>
    <w:rsid w:val="00375894"/>
    <w:rsid w:val="00375B50"/>
    <w:rsid w:val="00375BD1"/>
    <w:rsid w:val="00376172"/>
    <w:rsid w:val="00376619"/>
    <w:rsid w:val="00376B43"/>
    <w:rsid w:val="00376DC7"/>
    <w:rsid w:val="003770BB"/>
    <w:rsid w:val="003771FA"/>
    <w:rsid w:val="0037771A"/>
    <w:rsid w:val="00377934"/>
    <w:rsid w:val="003779C0"/>
    <w:rsid w:val="00377A19"/>
    <w:rsid w:val="003800C6"/>
    <w:rsid w:val="003802DC"/>
    <w:rsid w:val="00380301"/>
    <w:rsid w:val="00380E4E"/>
    <w:rsid w:val="00380FBF"/>
    <w:rsid w:val="00381430"/>
    <w:rsid w:val="00381754"/>
    <w:rsid w:val="00382139"/>
    <w:rsid w:val="003822E9"/>
    <w:rsid w:val="00382448"/>
    <w:rsid w:val="00382A43"/>
    <w:rsid w:val="00382C20"/>
    <w:rsid w:val="00382D60"/>
    <w:rsid w:val="00382F29"/>
    <w:rsid w:val="003835BC"/>
    <w:rsid w:val="0038376F"/>
    <w:rsid w:val="00383C8D"/>
    <w:rsid w:val="00383D6C"/>
    <w:rsid w:val="00384092"/>
    <w:rsid w:val="0038470B"/>
    <w:rsid w:val="0038478C"/>
    <w:rsid w:val="00384AC8"/>
    <w:rsid w:val="00384D73"/>
    <w:rsid w:val="00384FFD"/>
    <w:rsid w:val="00385022"/>
    <w:rsid w:val="00385228"/>
    <w:rsid w:val="003852FB"/>
    <w:rsid w:val="00385429"/>
    <w:rsid w:val="003855E5"/>
    <w:rsid w:val="00385A95"/>
    <w:rsid w:val="00385B05"/>
    <w:rsid w:val="00385CE1"/>
    <w:rsid w:val="00385D27"/>
    <w:rsid w:val="00385DA0"/>
    <w:rsid w:val="0038614F"/>
    <w:rsid w:val="00386382"/>
    <w:rsid w:val="003865EF"/>
    <w:rsid w:val="0038662B"/>
    <w:rsid w:val="00386A45"/>
    <w:rsid w:val="00386ABB"/>
    <w:rsid w:val="00386BA9"/>
    <w:rsid w:val="003878E3"/>
    <w:rsid w:val="00387BB3"/>
    <w:rsid w:val="00387E40"/>
    <w:rsid w:val="00390017"/>
    <w:rsid w:val="003901A3"/>
    <w:rsid w:val="0039025E"/>
    <w:rsid w:val="00390398"/>
    <w:rsid w:val="0039072F"/>
    <w:rsid w:val="0039085C"/>
    <w:rsid w:val="00390DF5"/>
    <w:rsid w:val="00390EA3"/>
    <w:rsid w:val="00391133"/>
    <w:rsid w:val="003914D5"/>
    <w:rsid w:val="003917E0"/>
    <w:rsid w:val="00392064"/>
    <w:rsid w:val="003921A8"/>
    <w:rsid w:val="003940CE"/>
    <w:rsid w:val="003944F0"/>
    <w:rsid w:val="0039465F"/>
    <w:rsid w:val="00394BEB"/>
    <w:rsid w:val="00394DA9"/>
    <w:rsid w:val="00395100"/>
    <w:rsid w:val="00395163"/>
    <w:rsid w:val="003953FF"/>
    <w:rsid w:val="00395466"/>
    <w:rsid w:val="003968D9"/>
    <w:rsid w:val="00396D87"/>
    <w:rsid w:val="00396E17"/>
    <w:rsid w:val="003971B3"/>
    <w:rsid w:val="00397495"/>
    <w:rsid w:val="003978F8"/>
    <w:rsid w:val="00397C1D"/>
    <w:rsid w:val="00397C66"/>
    <w:rsid w:val="003A0EF4"/>
    <w:rsid w:val="003A113F"/>
    <w:rsid w:val="003A1734"/>
    <w:rsid w:val="003A180F"/>
    <w:rsid w:val="003A183A"/>
    <w:rsid w:val="003A1898"/>
    <w:rsid w:val="003A18DD"/>
    <w:rsid w:val="003A19E2"/>
    <w:rsid w:val="003A1AA7"/>
    <w:rsid w:val="003A20C8"/>
    <w:rsid w:val="003A24E4"/>
    <w:rsid w:val="003A2C29"/>
    <w:rsid w:val="003A2CAE"/>
    <w:rsid w:val="003A2D86"/>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B16"/>
    <w:rsid w:val="003A57C3"/>
    <w:rsid w:val="003A5DD7"/>
    <w:rsid w:val="003A62C6"/>
    <w:rsid w:val="003A660B"/>
    <w:rsid w:val="003A6830"/>
    <w:rsid w:val="003A6850"/>
    <w:rsid w:val="003A7350"/>
    <w:rsid w:val="003A73CC"/>
    <w:rsid w:val="003A7834"/>
    <w:rsid w:val="003A7B9C"/>
    <w:rsid w:val="003A7CDB"/>
    <w:rsid w:val="003B0B5B"/>
    <w:rsid w:val="003B0BFD"/>
    <w:rsid w:val="003B0DEC"/>
    <w:rsid w:val="003B0E79"/>
    <w:rsid w:val="003B1067"/>
    <w:rsid w:val="003B1434"/>
    <w:rsid w:val="003B19A2"/>
    <w:rsid w:val="003B1E1F"/>
    <w:rsid w:val="003B1E48"/>
    <w:rsid w:val="003B2223"/>
    <w:rsid w:val="003B2935"/>
    <w:rsid w:val="003B2EF3"/>
    <w:rsid w:val="003B2F9D"/>
    <w:rsid w:val="003B3575"/>
    <w:rsid w:val="003B36F5"/>
    <w:rsid w:val="003B4C38"/>
    <w:rsid w:val="003B4EE0"/>
    <w:rsid w:val="003B4EF5"/>
    <w:rsid w:val="003B4FAF"/>
    <w:rsid w:val="003B50BC"/>
    <w:rsid w:val="003B541E"/>
    <w:rsid w:val="003B57FF"/>
    <w:rsid w:val="003B5D97"/>
    <w:rsid w:val="003B5EFA"/>
    <w:rsid w:val="003B63A4"/>
    <w:rsid w:val="003B68B6"/>
    <w:rsid w:val="003B68EE"/>
    <w:rsid w:val="003B68FE"/>
    <w:rsid w:val="003B6D1C"/>
    <w:rsid w:val="003B6D7D"/>
    <w:rsid w:val="003B6E57"/>
    <w:rsid w:val="003B6F91"/>
    <w:rsid w:val="003B764E"/>
    <w:rsid w:val="003B76A8"/>
    <w:rsid w:val="003B7A6D"/>
    <w:rsid w:val="003B7D7E"/>
    <w:rsid w:val="003C0415"/>
    <w:rsid w:val="003C0714"/>
    <w:rsid w:val="003C0CF9"/>
    <w:rsid w:val="003C1012"/>
    <w:rsid w:val="003C11C9"/>
    <w:rsid w:val="003C1229"/>
    <w:rsid w:val="003C1814"/>
    <w:rsid w:val="003C1FD4"/>
    <w:rsid w:val="003C213D"/>
    <w:rsid w:val="003C214F"/>
    <w:rsid w:val="003C25AD"/>
    <w:rsid w:val="003C2D21"/>
    <w:rsid w:val="003C2FE9"/>
    <w:rsid w:val="003C306A"/>
    <w:rsid w:val="003C3330"/>
    <w:rsid w:val="003C355D"/>
    <w:rsid w:val="003C379F"/>
    <w:rsid w:val="003C38F8"/>
    <w:rsid w:val="003C3A9D"/>
    <w:rsid w:val="003C4142"/>
    <w:rsid w:val="003C419C"/>
    <w:rsid w:val="003C42B7"/>
    <w:rsid w:val="003C53EE"/>
    <w:rsid w:val="003C5792"/>
    <w:rsid w:val="003C584D"/>
    <w:rsid w:val="003C5B79"/>
    <w:rsid w:val="003C5E6B"/>
    <w:rsid w:val="003C627F"/>
    <w:rsid w:val="003C6B03"/>
    <w:rsid w:val="003C7A17"/>
    <w:rsid w:val="003C7AD7"/>
    <w:rsid w:val="003C7B45"/>
    <w:rsid w:val="003D0060"/>
    <w:rsid w:val="003D04C6"/>
    <w:rsid w:val="003D06AE"/>
    <w:rsid w:val="003D0814"/>
    <w:rsid w:val="003D0A9C"/>
    <w:rsid w:val="003D0E8C"/>
    <w:rsid w:val="003D0FC3"/>
    <w:rsid w:val="003D117F"/>
    <w:rsid w:val="003D14E0"/>
    <w:rsid w:val="003D17A1"/>
    <w:rsid w:val="003D17A3"/>
    <w:rsid w:val="003D19DC"/>
    <w:rsid w:val="003D1B00"/>
    <w:rsid w:val="003D1E34"/>
    <w:rsid w:val="003D21B9"/>
    <w:rsid w:val="003D2430"/>
    <w:rsid w:val="003D2958"/>
    <w:rsid w:val="003D2C1D"/>
    <w:rsid w:val="003D2C34"/>
    <w:rsid w:val="003D2FA9"/>
    <w:rsid w:val="003D3564"/>
    <w:rsid w:val="003D3BA8"/>
    <w:rsid w:val="003D3DDD"/>
    <w:rsid w:val="003D4C05"/>
    <w:rsid w:val="003D4C29"/>
    <w:rsid w:val="003D537C"/>
    <w:rsid w:val="003D53C0"/>
    <w:rsid w:val="003D5A23"/>
    <w:rsid w:val="003D5CBF"/>
    <w:rsid w:val="003D5D18"/>
    <w:rsid w:val="003D6371"/>
    <w:rsid w:val="003D66D2"/>
    <w:rsid w:val="003D6AEE"/>
    <w:rsid w:val="003D6BFF"/>
    <w:rsid w:val="003D744D"/>
    <w:rsid w:val="003D7628"/>
    <w:rsid w:val="003D772F"/>
    <w:rsid w:val="003D7960"/>
    <w:rsid w:val="003D79F9"/>
    <w:rsid w:val="003D7AD8"/>
    <w:rsid w:val="003D7EDC"/>
    <w:rsid w:val="003E062B"/>
    <w:rsid w:val="003E07AE"/>
    <w:rsid w:val="003E08CA"/>
    <w:rsid w:val="003E0AF0"/>
    <w:rsid w:val="003E0CBA"/>
    <w:rsid w:val="003E0F1E"/>
    <w:rsid w:val="003E14FC"/>
    <w:rsid w:val="003E15F2"/>
    <w:rsid w:val="003E165B"/>
    <w:rsid w:val="003E177A"/>
    <w:rsid w:val="003E18AB"/>
    <w:rsid w:val="003E2548"/>
    <w:rsid w:val="003E2976"/>
    <w:rsid w:val="003E2ADD"/>
    <w:rsid w:val="003E2B2D"/>
    <w:rsid w:val="003E2C39"/>
    <w:rsid w:val="003E333C"/>
    <w:rsid w:val="003E3806"/>
    <w:rsid w:val="003E3FDD"/>
    <w:rsid w:val="003E42DF"/>
    <w:rsid w:val="003E4719"/>
    <w:rsid w:val="003E4858"/>
    <w:rsid w:val="003E4D8D"/>
    <w:rsid w:val="003E5D36"/>
    <w:rsid w:val="003E5D4E"/>
    <w:rsid w:val="003E6316"/>
    <w:rsid w:val="003E6654"/>
    <w:rsid w:val="003E67AD"/>
    <w:rsid w:val="003E6884"/>
    <w:rsid w:val="003E68DE"/>
    <w:rsid w:val="003E6AC5"/>
    <w:rsid w:val="003E76B2"/>
    <w:rsid w:val="003E7A8C"/>
    <w:rsid w:val="003E7FCB"/>
    <w:rsid w:val="003F0096"/>
    <w:rsid w:val="003F0214"/>
    <w:rsid w:val="003F0639"/>
    <w:rsid w:val="003F07B2"/>
    <w:rsid w:val="003F0850"/>
    <w:rsid w:val="003F0D12"/>
    <w:rsid w:val="003F160C"/>
    <w:rsid w:val="003F19D5"/>
    <w:rsid w:val="003F1CE9"/>
    <w:rsid w:val="003F20CC"/>
    <w:rsid w:val="003F30FF"/>
    <w:rsid w:val="003F324F"/>
    <w:rsid w:val="003F33BC"/>
    <w:rsid w:val="003F3B15"/>
    <w:rsid w:val="003F3B9F"/>
    <w:rsid w:val="003F3D4E"/>
    <w:rsid w:val="003F402A"/>
    <w:rsid w:val="003F477E"/>
    <w:rsid w:val="003F4FEA"/>
    <w:rsid w:val="003F5375"/>
    <w:rsid w:val="003F55F3"/>
    <w:rsid w:val="003F5692"/>
    <w:rsid w:val="003F59AE"/>
    <w:rsid w:val="003F60C3"/>
    <w:rsid w:val="003F63EE"/>
    <w:rsid w:val="003F6562"/>
    <w:rsid w:val="003F6B1A"/>
    <w:rsid w:val="003F6C21"/>
    <w:rsid w:val="003F6CD2"/>
    <w:rsid w:val="003F710A"/>
    <w:rsid w:val="003F788D"/>
    <w:rsid w:val="003F78D1"/>
    <w:rsid w:val="003F7DFE"/>
    <w:rsid w:val="004000C7"/>
    <w:rsid w:val="004000F7"/>
    <w:rsid w:val="0040078A"/>
    <w:rsid w:val="00401203"/>
    <w:rsid w:val="0040126E"/>
    <w:rsid w:val="0040128C"/>
    <w:rsid w:val="004015EB"/>
    <w:rsid w:val="0040193E"/>
    <w:rsid w:val="00402092"/>
    <w:rsid w:val="004020D4"/>
    <w:rsid w:val="00402160"/>
    <w:rsid w:val="004021B6"/>
    <w:rsid w:val="00402863"/>
    <w:rsid w:val="00402A46"/>
    <w:rsid w:val="00402F83"/>
    <w:rsid w:val="00403531"/>
    <w:rsid w:val="00403861"/>
    <w:rsid w:val="0040387C"/>
    <w:rsid w:val="00403A81"/>
    <w:rsid w:val="00403BA1"/>
    <w:rsid w:val="00403FE1"/>
    <w:rsid w:val="004043A4"/>
    <w:rsid w:val="004047C4"/>
    <w:rsid w:val="00404898"/>
    <w:rsid w:val="0040570B"/>
    <w:rsid w:val="00405BAF"/>
    <w:rsid w:val="00405D16"/>
    <w:rsid w:val="00405EDB"/>
    <w:rsid w:val="00405FB1"/>
    <w:rsid w:val="00406460"/>
    <w:rsid w:val="004068AF"/>
    <w:rsid w:val="00406B2E"/>
    <w:rsid w:val="00410194"/>
    <w:rsid w:val="00410A69"/>
    <w:rsid w:val="00410E6A"/>
    <w:rsid w:val="00411240"/>
    <w:rsid w:val="00411CB4"/>
    <w:rsid w:val="004120EF"/>
    <w:rsid w:val="00412461"/>
    <w:rsid w:val="00412546"/>
    <w:rsid w:val="004126A2"/>
    <w:rsid w:val="00413053"/>
    <w:rsid w:val="0041319C"/>
    <w:rsid w:val="00413714"/>
    <w:rsid w:val="004137B6"/>
    <w:rsid w:val="00413A54"/>
    <w:rsid w:val="00413C10"/>
    <w:rsid w:val="00413CD9"/>
    <w:rsid w:val="00413F9A"/>
    <w:rsid w:val="004140CA"/>
    <w:rsid w:val="004143F0"/>
    <w:rsid w:val="0041451B"/>
    <w:rsid w:val="00414C65"/>
    <w:rsid w:val="00414CD7"/>
    <w:rsid w:val="004151EB"/>
    <w:rsid w:val="0041528C"/>
    <w:rsid w:val="00415488"/>
    <w:rsid w:val="004158D8"/>
    <w:rsid w:val="00415917"/>
    <w:rsid w:val="00415D76"/>
    <w:rsid w:val="00416665"/>
    <w:rsid w:val="00416976"/>
    <w:rsid w:val="00416A67"/>
    <w:rsid w:val="00416ACB"/>
    <w:rsid w:val="0041704B"/>
    <w:rsid w:val="00417D60"/>
    <w:rsid w:val="00417D91"/>
    <w:rsid w:val="00420066"/>
    <w:rsid w:val="004206C2"/>
    <w:rsid w:val="004217C0"/>
    <w:rsid w:val="00421BA1"/>
    <w:rsid w:val="00421BE5"/>
    <w:rsid w:val="00421CF9"/>
    <w:rsid w:val="00421DCF"/>
    <w:rsid w:val="0042212C"/>
    <w:rsid w:val="00422341"/>
    <w:rsid w:val="00422762"/>
    <w:rsid w:val="00423641"/>
    <w:rsid w:val="00424470"/>
    <w:rsid w:val="00424A8E"/>
    <w:rsid w:val="004259A3"/>
    <w:rsid w:val="00425B86"/>
    <w:rsid w:val="00425C3C"/>
    <w:rsid w:val="00425C4F"/>
    <w:rsid w:val="00425F6F"/>
    <w:rsid w:val="00426266"/>
    <w:rsid w:val="00426470"/>
    <w:rsid w:val="004266FE"/>
    <w:rsid w:val="004267ED"/>
    <w:rsid w:val="0042750A"/>
    <w:rsid w:val="00427752"/>
    <w:rsid w:val="00427CD0"/>
    <w:rsid w:val="004301C6"/>
    <w:rsid w:val="004304E4"/>
    <w:rsid w:val="00430A2D"/>
    <w:rsid w:val="00430EF9"/>
    <w:rsid w:val="00431505"/>
    <w:rsid w:val="0043182E"/>
    <w:rsid w:val="00431AF0"/>
    <w:rsid w:val="00431FD4"/>
    <w:rsid w:val="0043213A"/>
    <w:rsid w:val="004321E5"/>
    <w:rsid w:val="004323B2"/>
    <w:rsid w:val="00432A23"/>
    <w:rsid w:val="004330F4"/>
    <w:rsid w:val="00433345"/>
    <w:rsid w:val="00433367"/>
    <w:rsid w:val="00433590"/>
    <w:rsid w:val="0043365E"/>
    <w:rsid w:val="004337EF"/>
    <w:rsid w:val="0043393D"/>
    <w:rsid w:val="0043397B"/>
    <w:rsid w:val="00433C49"/>
    <w:rsid w:val="00433F52"/>
    <w:rsid w:val="004344C7"/>
    <w:rsid w:val="004346CB"/>
    <w:rsid w:val="0043490D"/>
    <w:rsid w:val="00434ACD"/>
    <w:rsid w:val="00434B82"/>
    <w:rsid w:val="00434DBE"/>
    <w:rsid w:val="00435167"/>
    <w:rsid w:val="00435274"/>
    <w:rsid w:val="004352AD"/>
    <w:rsid w:val="0043545D"/>
    <w:rsid w:val="00435C83"/>
    <w:rsid w:val="00435D62"/>
    <w:rsid w:val="00435FE2"/>
    <w:rsid w:val="00436334"/>
    <w:rsid w:val="00436682"/>
    <w:rsid w:val="004369BD"/>
    <w:rsid w:val="00436E2F"/>
    <w:rsid w:val="00436EAB"/>
    <w:rsid w:val="00436F6B"/>
    <w:rsid w:val="00437B6B"/>
    <w:rsid w:val="00437B99"/>
    <w:rsid w:val="00440B8D"/>
    <w:rsid w:val="00440BB9"/>
    <w:rsid w:val="00441618"/>
    <w:rsid w:val="00441AC3"/>
    <w:rsid w:val="00441D04"/>
    <w:rsid w:val="00441F80"/>
    <w:rsid w:val="00443C72"/>
    <w:rsid w:val="00443D85"/>
    <w:rsid w:val="00443F30"/>
    <w:rsid w:val="0044411A"/>
    <w:rsid w:val="00444B11"/>
    <w:rsid w:val="00444B27"/>
    <w:rsid w:val="00444BA6"/>
    <w:rsid w:val="00444BC7"/>
    <w:rsid w:val="00444E8D"/>
    <w:rsid w:val="004461D9"/>
    <w:rsid w:val="004464D8"/>
    <w:rsid w:val="0044653E"/>
    <w:rsid w:val="00446708"/>
    <w:rsid w:val="00446AC6"/>
    <w:rsid w:val="00446B23"/>
    <w:rsid w:val="00446E24"/>
    <w:rsid w:val="0044721A"/>
    <w:rsid w:val="0044759B"/>
    <w:rsid w:val="00447B6E"/>
    <w:rsid w:val="00447C23"/>
    <w:rsid w:val="00447C92"/>
    <w:rsid w:val="00447F54"/>
    <w:rsid w:val="00450B77"/>
    <w:rsid w:val="00450B7E"/>
    <w:rsid w:val="0045119F"/>
    <w:rsid w:val="0045136B"/>
    <w:rsid w:val="00451BE6"/>
    <w:rsid w:val="00451C23"/>
    <w:rsid w:val="00451C7E"/>
    <w:rsid w:val="004521B7"/>
    <w:rsid w:val="00452DE6"/>
    <w:rsid w:val="004530BF"/>
    <w:rsid w:val="00453242"/>
    <w:rsid w:val="004532FB"/>
    <w:rsid w:val="00453BB6"/>
    <w:rsid w:val="00453CAA"/>
    <w:rsid w:val="00454304"/>
    <w:rsid w:val="00454994"/>
    <w:rsid w:val="004549B2"/>
    <w:rsid w:val="00454D0E"/>
    <w:rsid w:val="00454F9F"/>
    <w:rsid w:val="0045502E"/>
    <w:rsid w:val="00455064"/>
    <w:rsid w:val="00455113"/>
    <w:rsid w:val="00455661"/>
    <w:rsid w:val="00455968"/>
    <w:rsid w:val="0045597A"/>
    <w:rsid w:val="004559AC"/>
    <w:rsid w:val="00455E5E"/>
    <w:rsid w:val="00455EBE"/>
    <w:rsid w:val="0045608F"/>
    <w:rsid w:val="00456421"/>
    <w:rsid w:val="00456551"/>
    <w:rsid w:val="004567E5"/>
    <w:rsid w:val="0045692F"/>
    <w:rsid w:val="00456DAB"/>
    <w:rsid w:val="004573E9"/>
    <w:rsid w:val="00457509"/>
    <w:rsid w:val="00457649"/>
    <w:rsid w:val="00457B9B"/>
    <w:rsid w:val="00457F70"/>
    <w:rsid w:val="0046016A"/>
    <w:rsid w:val="00460812"/>
    <w:rsid w:val="00460CC3"/>
    <w:rsid w:val="00460E86"/>
    <w:rsid w:val="0046164D"/>
    <w:rsid w:val="0046232D"/>
    <w:rsid w:val="0046290E"/>
    <w:rsid w:val="00462F6C"/>
    <w:rsid w:val="004631ED"/>
    <w:rsid w:val="004632DB"/>
    <w:rsid w:val="0046334F"/>
    <w:rsid w:val="004634B8"/>
    <w:rsid w:val="004635B0"/>
    <w:rsid w:val="00463919"/>
    <w:rsid w:val="00463F91"/>
    <w:rsid w:val="00464676"/>
    <w:rsid w:val="004646B4"/>
    <w:rsid w:val="0046498D"/>
    <w:rsid w:val="00464A88"/>
    <w:rsid w:val="004651A0"/>
    <w:rsid w:val="004651E7"/>
    <w:rsid w:val="00465422"/>
    <w:rsid w:val="004657BE"/>
    <w:rsid w:val="00465AAF"/>
    <w:rsid w:val="00466446"/>
    <w:rsid w:val="00466532"/>
    <w:rsid w:val="004670EA"/>
    <w:rsid w:val="004671CC"/>
    <w:rsid w:val="00467488"/>
    <w:rsid w:val="004676EE"/>
    <w:rsid w:val="00470320"/>
    <w:rsid w:val="0047083E"/>
    <w:rsid w:val="0047096C"/>
    <w:rsid w:val="00470B69"/>
    <w:rsid w:val="00470E93"/>
    <w:rsid w:val="00470EB5"/>
    <w:rsid w:val="0047111B"/>
    <w:rsid w:val="00471162"/>
    <w:rsid w:val="00471633"/>
    <w:rsid w:val="00471CC9"/>
    <w:rsid w:val="00471F6F"/>
    <w:rsid w:val="00472153"/>
    <w:rsid w:val="00472335"/>
    <w:rsid w:val="00472550"/>
    <w:rsid w:val="004725C3"/>
    <w:rsid w:val="00472859"/>
    <w:rsid w:val="0047286B"/>
    <w:rsid w:val="00472E27"/>
    <w:rsid w:val="0047362D"/>
    <w:rsid w:val="00473AFC"/>
    <w:rsid w:val="00474174"/>
    <w:rsid w:val="00474220"/>
    <w:rsid w:val="00474E33"/>
    <w:rsid w:val="0047504C"/>
    <w:rsid w:val="004752D3"/>
    <w:rsid w:val="004754E1"/>
    <w:rsid w:val="00475CE0"/>
    <w:rsid w:val="004760B8"/>
    <w:rsid w:val="00476332"/>
    <w:rsid w:val="00476827"/>
    <w:rsid w:val="00476BD4"/>
    <w:rsid w:val="004771CE"/>
    <w:rsid w:val="0047750D"/>
    <w:rsid w:val="00477C35"/>
    <w:rsid w:val="00480036"/>
    <w:rsid w:val="00480098"/>
    <w:rsid w:val="004806BF"/>
    <w:rsid w:val="00480740"/>
    <w:rsid w:val="004808AA"/>
    <w:rsid w:val="00480988"/>
    <w:rsid w:val="00480BE7"/>
    <w:rsid w:val="00480E05"/>
    <w:rsid w:val="00480FA0"/>
    <w:rsid w:val="00481AF5"/>
    <w:rsid w:val="00481B02"/>
    <w:rsid w:val="00481EA4"/>
    <w:rsid w:val="00482893"/>
    <w:rsid w:val="00482BBE"/>
    <w:rsid w:val="00482E12"/>
    <w:rsid w:val="00482F33"/>
    <w:rsid w:val="00482F44"/>
    <w:rsid w:val="00482FDD"/>
    <w:rsid w:val="004833E6"/>
    <w:rsid w:val="00483A12"/>
    <w:rsid w:val="0048413A"/>
    <w:rsid w:val="004843D9"/>
    <w:rsid w:val="004849A9"/>
    <w:rsid w:val="00484A77"/>
    <w:rsid w:val="00484D6D"/>
    <w:rsid w:val="0048540F"/>
    <w:rsid w:val="00485970"/>
    <w:rsid w:val="00485A0D"/>
    <w:rsid w:val="00485ADE"/>
    <w:rsid w:val="00485C0D"/>
    <w:rsid w:val="00485E0E"/>
    <w:rsid w:val="00485E79"/>
    <w:rsid w:val="00485F9E"/>
    <w:rsid w:val="00486575"/>
    <w:rsid w:val="004866D0"/>
    <w:rsid w:val="00486914"/>
    <w:rsid w:val="00486936"/>
    <w:rsid w:val="00486B42"/>
    <w:rsid w:val="00486DB8"/>
    <w:rsid w:val="00486FA0"/>
    <w:rsid w:val="00487632"/>
    <w:rsid w:val="0049064E"/>
    <w:rsid w:val="0049078B"/>
    <w:rsid w:val="004907B9"/>
    <w:rsid w:val="00490F9E"/>
    <w:rsid w:val="004911FD"/>
    <w:rsid w:val="00491238"/>
    <w:rsid w:val="004914F9"/>
    <w:rsid w:val="0049159B"/>
    <w:rsid w:val="00492175"/>
    <w:rsid w:val="004922FB"/>
    <w:rsid w:val="0049230A"/>
    <w:rsid w:val="00492421"/>
    <w:rsid w:val="00492E09"/>
    <w:rsid w:val="00492EF9"/>
    <w:rsid w:val="004931E3"/>
    <w:rsid w:val="0049355E"/>
    <w:rsid w:val="00493D6F"/>
    <w:rsid w:val="00493DBE"/>
    <w:rsid w:val="00494242"/>
    <w:rsid w:val="0049466F"/>
    <w:rsid w:val="00494CDF"/>
    <w:rsid w:val="00494E8E"/>
    <w:rsid w:val="004953B7"/>
    <w:rsid w:val="004955BC"/>
    <w:rsid w:val="004955E3"/>
    <w:rsid w:val="00495D63"/>
    <w:rsid w:val="00495EC3"/>
    <w:rsid w:val="004960EA"/>
    <w:rsid w:val="0049618F"/>
    <w:rsid w:val="0049620D"/>
    <w:rsid w:val="004962E8"/>
    <w:rsid w:val="0049648F"/>
    <w:rsid w:val="00496606"/>
    <w:rsid w:val="00496707"/>
    <w:rsid w:val="00496F05"/>
    <w:rsid w:val="0049722C"/>
    <w:rsid w:val="0049726C"/>
    <w:rsid w:val="00497370"/>
    <w:rsid w:val="004975BF"/>
    <w:rsid w:val="00497B60"/>
    <w:rsid w:val="004A0229"/>
    <w:rsid w:val="004A0A7B"/>
    <w:rsid w:val="004A0C07"/>
    <w:rsid w:val="004A0E87"/>
    <w:rsid w:val="004A0F39"/>
    <w:rsid w:val="004A0F5E"/>
    <w:rsid w:val="004A1269"/>
    <w:rsid w:val="004A1677"/>
    <w:rsid w:val="004A1857"/>
    <w:rsid w:val="004A1E6E"/>
    <w:rsid w:val="004A227F"/>
    <w:rsid w:val="004A251F"/>
    <w:rsid w:val="004A2647"/>
    <w:rsid w:val="004A271A"/>
    <w:rsid w:val="004A2804"/>
    <w:rsid w:val="004A2CAA"/>
    <w:rsid w:val="004A3302"/>
    <w:rsid w:val="004A3381"/>
    <w:rsid w:val="004A3BF1"/>
    <w:rsid w:val="004A3D44"/>
    <w:rsid w:val="004A3E42"/>
    <w:rsid w:val="004A44C2"/>
    <w:rsid w:val="004A44FF"/>
    <w:rsid w:val="004A4715"/>
    <w:rsid w:val="004A4982"/>
    <w:rsid w:val="004A4A91"/>
    <w:rsid w:val="004A4C70"/>
    <w:rsid w:val="004A5046"/>
    <w:rsid w:val="004A5066"/>
    <w:rsid w:val="004A516D"/>
    <w:rsid w:val="004A5170"/>
    <w:rsid w:val="004A530B"/>
    <w:rsid w:val="004A565E"/>
    <w:rsid w:val="004A5A6E"/>
    <w:rsid w:val="004A5DF3"/>
    <w:rsid w:val="004A6134"/>
    <w:rsid w:val="004A636E"/>
    <w:rsid w:val="004A6FA6"/>
    <w:rsid w:val="004A7092"/>
    <w:rsid w:val="004A767D"/>
    <w:rsid w:val="004B0215"/>
    <w:rsid w:val="004B0BD8"/>
    <w:rsid w:val="004B0E64"/>
    <w:rsid w:val="004B1333"/>
    <w:rsid w:val="004B1656"/>
    <w:rsid w:val="004B1931"/>
    <w:rsid w:val="004B1EB7"/>
    <w:rsid w:val="004B208B"/>
    <w:rsid w:val="004B268D"/>
    <w:rsid w:val="004B3148"/>
    <w:rsid w:val="004B340D"/>
    <w:rsid w:val="004B3549"/>
    <w:rsid w:val="004B3B82"/>
    <w:rsid w:val="004B49E6"/>
    <w:rsid w:val="004B4A22"/>
    <w:rsid w:val="004B4D69"/>
    <w:rsid w:val="004B507B"/>
    <w:rsid w:val="004B5321"/>
    <w:rsid w:val="004B6165"/>
    <w:rsid w:val="004B69A8"/>
    <w:rsid w:val="004B7048"/>
    <w:rsid w:val="004B71C9"/>
    <w:rsid w:val="004B75F3"/>
    <w:rsid w:val="004C01A8"/>
    <w:rsid w:val="004C0429"/>
    <w:rsid w:val="004C1315"/>
    <w:rsid w:val="004C1322"/>
    <w:rsid w:val="004C14CB"/>
    <w:rsid w:val="004C1840"/>
    <w:rsid w:val="004C24C9"/>
    <w:rsid w:val="004C288F"/>
    <w:rsid w:val="004C2982"/>
    <w:rsid w:val="004C2A53"/>
    <w:rsid w:val="004C2CE1"/>
    <w:rsid w:val="004C31B6"/>
    <w:rsid w:val="004C35B5"/>
    <w:rsid w:val="004C3C36"/>
    <w:rsid w:val="004C4030"/>
    <w:rsid w:val="004C4081"/>
    <w:rsid w:val="004C4583"/>
    <w:rsid w:val="004C4DB4"/>
    <w:rsid w:val="004C5100"/>
    <w:rsid w:val="004C51F0"/>
    <w:rsid w:val="004C5262"/>
    <w:rsid w:val="004C5319"/>
    <w:rsid w:val="004C53C6"/>
    <w:rsid w:val="004C5890"/>
    <w:rsid w:val="004C621F"/>
    <w:rsid w:val="004C66D4"/>
    <w:rsid w:val="004C6C72"/>
    <w:rsid w:val="004C6D42"/>
    <w:rsid w:val="004C6F24"/>
    <w:rsid w:val="004C7134"/>
    <w:rsid w:val="004C7948"/>
    <w:rsid w:val="004C7BB8"/>
    <w:rsid w:val="004C7C60"/>
    <w:rsid w:val="004C7FB0"/>
    <w:rsid w:val="004D0B6E"/>
    <w:rsid w:val="004D0C86"/>
    <w:rsid w:val="004D0DFE"/>
    <w:rsid w:val="004D0FE6"/>
    <w:rsid w:val="004D16B0"/>
    <w:rsid w:val="004D1828"/>
    <w:rsid w:val="004D1CE7"/>
    <w:rsid w:val="004D1D91"/>
    <w:rsid w:val="004D2163"/>
    <w:rsid w:val="004D22C3"/>
    <w:rsid w:val="004D24E7"/>
    <w:rsid w:val="004D277D"/>
    <w:rsid w:val="004D29CC"/>
    <w:rsid w:val="004D2EDE"/>
    <w:rsid w:val="004D30DB"/>
    <w:rsid w:val="004D32AC"/>
    <w:rsid w:val="004D3AC0"/>
    <w:rsid w:val="004D437B"/>
    <w:rsid w:val="004D4560"/>
    <w:rsid w:val="004D4A03"/>
    <w:rsid w:val="004D537C"/>
    <w:rsid w:val="004D55CA"/>
    <w:rsid w:val="004D584C"/>
    <w:rsid w:val="004D68FA"/>
    <w:rsid w:val="004D6EED"/>
    <w:rsid w:val="004D6F4D"/>
    <w:rsid w:val="004D6F95"/>
    <w:rsid w:val="004D719D"/>
    <w:rsid w:val="004D7262"/>
    <w:rsid w:val="004D72FE"/>
    <w:rsid w:val="004D7706"/>
    <w:rsid w:val="004D7E91"/>
    <w:rsid w:val="004E003A"/>
    <w:rsid w:val="004E0221"/>
    <w:rsid w:val="004E03B0"/>
    <w:rsid w:val="004E0768"/>
    <w:rsid w:val="004E07D9"/>
    <w:rsid w:val="004E152F"/>
    <w:rsid w:val="004E19DC"/>
    <w:rsid w:val="004E1A31"/>
    <w:rsid w:val="004E1B34"/>
    <w:rsid w:val="004E249B"/>
    <w:rsid w:val="004E26A7"/>
    <w:rsid w:val="004E2DE0"/>
    <w:rsid w:val="004E356E"/>
    <w:rsid w:val="004E3C34"/>
    <w:rsid w:val="004E4060"/>
    <w:rsid w:val="004E409A"/>
    <w:rsid w:val="004E4F43"/>
    <w:rsid w:val="004E56A9"/>
    <w:rsid w:val="004E5CEF"/>
    <w:rsid w:val="004E5FD9"/>
    <w:rsid w:val="004E6442"/>
    <w:rsid w:val="004E64C3"/>
    <w:rsid w:val="004E664C"/>
    <w:rsid w:val="004E69A4"/>
    <w:rsid w:val="004E6B95"/>
    <w:rsid w:val="004E77DF"/>
    <w:rsid w:val="004E7AA6"/>
    <w:rsid w:val="004F0205"/>
    <w:rsid w:val="004F02F3"/>
    <w:rsid w:val="004F0335"/>
    <w:rsid w:val="004F0631"/>
    <w:rsid w:val="004F07DF"/>
    <w:rsid w:val="004F0FB9"/>
    <w:rsid w:val="004F1116"/>
    <w:rsid w:val="004F1455"/>
    <w:rsid w:val="004F166F"/>
    <w:rsid w:val="004F1B37"/>
    <w:rsid w:val="004F1E56"/>
    <w:rsid w:val="004F20D3"/>
    <w:rsid w:val="004F24EA"/>
    <w:rsid w:val="004F2B8D"/>
    <w:rsid w:val="004F2F7E"/>
    <w:rsid w:val="004F32B5"/>
    <w:rsid w:val="004F3705"/>
    <w:rsid w:val="004F407E"/>
    <w:rsid w:val="004F4339"/>
    <w:rsid w:val="004F46B8"/>
    <w:rsid w:val="004F46FA"/>
    <w:rsid w:val="004F5479"/>
    <w:rsid w:val="004F5950"/>
    <w:rsid w:val="004F5D8D"/>
    <w:rsid w:val="004F60A5"/>
    <w:rsid w:val="004F64F0"/>
    <w:rsid w:val="004F6D88"/>
    <w:rsid w:val="004F713E"/>
    <w:rsid w:val="004F7528"/>
    <w:rsid w:val="004F7630"/>
    <w:rsid w:val="004F76B5"/>
    <w:rsid w:val="004F7BCA"/>
    <w:rsid w:val="004F7D89"/>
    <w:rsid w:val="004F7EA7"/>
    <w:rsid w:val="0050174D"/>
    <w:rsid w:val="00501981"/>
    <w:rsid w:val="005019B1"/>
    <w:rsid w:val="00501A85"/>
    <w:rsid w:val="00501BB3"/>
    <w:rsid w:val="005021DD"/>
    <w:rsid w:val="00502567"/>
    <w:rsid w:val="005026CA"/>
    <w:rsid w:val="005028F7"/>
    <w:rsid w:val="00502931"/>
    <w:rsid w:val="00502979"/>
    <w:rsid w:val="00502B72"/>
    <w:rsid w:val="00503259"/>
    <w:rsid w:val="00503518"/>
    <w:rsid w:val="00503F33"/>
    <w:rsid w:val="00503F9A"/>
    <w:rsid w:val="00504AEF"/>
    <w:rsid w:val="00504BC1"/>
    <w:rsid w:val="00505134"/>
    <w:rsid w:val="005051A6"/>
    <w:rsid w:val="00505C04"/>
    <w:rsid w:val="005067B9"/>
    <w:rsid w:val="00506B84"/>
    <w:rsid w:val="00507085"/>
    <w:rsid w:val="00507AE8"/>
    <w:rsid w:val="0051033B"/>
    <w:rsid w:val="005107AB"/>
    <w:rsid w:val="0051101B"/>
    <w:rsid w:val="005113A0"/>
    <w:rsid w:val="00511E99"/>
    <w:rsid w:val="00511F15"/>
    <w:rsid w:val="00512161"/>
    <w:rsid w:val="00512224"/>
    <w:rsid w:val="00512368"/>
    <w:rsid w:val="00512DE0"/>
    <w:rsid w:val="00512E15"/>
    <w:rsid w:val="00513143"/>
    <w:rsid w:val="0051318C"/>
    <w:rsid w:val="005131D4"/>
    <w:rsid w:val="00513786"/>
    <w:rsid w:val="00513B65"/>
    <w:rsid w:val="00513EB3"/>
    <w:rsid w:val="005142AC"/>
    <w:rsid w:val="005142C1"/>
    <w:rsid w:val="005142CD"/>
    <w:rsid w:val="005143C9"/>
    <w:rsid w:val="005149DD"/>
    <w:rsid w:val="005154CA"/>
    <w:rsid w:val="005157A9"/>
    <w:rsid w:val="00515807"/>
    <w:rsid w:val="0051596F"/>
    <w:rsid w:val="005169CE"/>
    <w:rsid w:val="005173A7"/>
    <w:rsid w:val="0051763B"/>
    <w:rsid w:val="005177E1"/>
    <w:rsid w:val="00517B4C"/>
    <w:rsid w:val="00517DEF"/>
    <w:rsid w:val="0052021F"/>
    <w:rsid w:val="00520859"/>
    <w:rsid w:val="00520B6E"/>
    <w:rsid w:val="00520BD3"/>
    <w:rsid w:val="00520C0A"/>
    <w:rsid w:val="00520C76"/>
    <w:rsid w:val="005212F8"/>
    <w:rsid w:val="005216A8"/>
    <w:rsid w:val="005218B6"/>
    <w:rsid w:val="005218EC"/>
    <w:rsid w:val="00521C7A"/>
    <w:rsid w:val="00522589"/>
    <w:rsid w:val="00522805"/>
    <w:rsid w:val="00522E7E"/>
    <w:rsid w:val="00523467"/>
    <w:rsid w:val="0052374D"/>
    <w:rsid w:val="00524545"/>
    <w:rsid w:val="00524B76"/>
    <w:rsid w:val="00524CCC"/>
    <w:rsid w:val="00524F23"/>
    <w:rsid w:val="00524F3B"/>
    <w:rsid w:val="005250AE"/>
    <w:rsid w:val="005252B9"/>
    <w:rsid w:val="005254DF"/>
    <w:rsid w:val="005255BF"/>
    <w:rsid w:val="005257DE"/>
    <w:rsid w:val="00525879"/>
    <w:rsid w:val="00525A65"/>
    <w:rsid w:val="0052632D"/>
    <w:rsid w:val="00526592"/>
    <w:rsid w:val="00526A1F"/>
    <w:rsid w:val="00527100"/>
    <w:rsid w:val="00527200"/>
    <w:rsid w:val="005275B6"/>
    <w:rsid w:val="005276AD"/>
    <w:rsid w:val="005278C4"/>
    <w:rsid w:val="00527C51"/>
    <w:rsid w:val="00527FCD"/>
    <w:rsid w:val="00530089"/>
    <w:rsid w:val="00530157"/>
    <w:rsid w:val="005302C4"/>
    <w:rsid w:val="0053087C"/>
    <w:rsid w:val="005308DA"/>
    <w:rsid w:val="00530972"/>
    <w:rsid w:val="00530DE2"/>
    <w:rsid w:val="005314C4"/>
    <w:rsid w:val="005317BE"/>
    <w:rsid w:val="00531A4D"/>
    <w:rsid w:val="00531B74"/>
    <w:rsid w:val="00531B8F"/>
    <w:rsid w:val="00531EBE"/>
    <w:rsid w:val="00532A2B"/>
    <w:rsid w:val="00532B9D"/>
    <w:rsid w:val="00532F8B"/>
    <w:rsid w:val="005336F3"/>
    <w:rsid w:val="00533737"/>
    <w:rsid w:val="00533A65"/>
    <w:rsid w:val="00534713"/>
    <w:rsid w:val="00534AEC"/>
    <w:rsid w:val="00534DF7"/>
    <w:rsid w:val="005350E4"/>
    <w:rsid w:val="005355D7"/>
    <w:rsid w:val="005357A9"/>
    <w:rsid w:val="0053596A"/>
    <w:rsid w:val="00535A7F"/>
    <w:rsid w:val="00535AC7"/>
    <w:rsid w:val="00535B79"/>
    <w:rsid w:val="00535D7C"/>
    <w:rsid w:val="0053642E"/>
    <w:rsid w:val="00536579"/>
    <w:rsid w:val="0053661F"/>
    <w:rsid w:val="005368F3"/>
    <w:rsid w:val="00536C1E"/>
    <w:rsid w:val="00537EEB"/>
    <w:rsid w:val="0054026C"/>
    <w:rsid w:val="0054099B"/>
    <w:rsid w:val="00540D62"/>
    <w:rsid w:val="00541211"/>
    <w:rsid w:val="0054137F"/>
    <w:rsid w:val="00541884"/>
    <w:rsid w:val="0054195F"/>
    <w:rsid w:val="00542022"/>
    <w:rsid w:val="005420E3"/>
    <w:rsid w:val="005427E5"/>
    <w:rsid w:val="005428A2"/>
    <w:rsid w:val="00542AAE"/>
    <w:rsid w:val="0054310A"/>
    <w:rsid w:val="0054343A"/>
    <w:rsid w:val="00543974"/>
    <w:rsid w:val="00543A2F"/>
    <w:rsid w:val="00543E3B"/>
    <w:rsid w:val="00543EBF"/>
    <w:rsid w:val="00543FB8"/>
    <w:rsid w:val="0054414F"/>
    <w:rsid w:val="005443C0"/>
    <w:rsid w:val="00544459"/>
    <w:rsid w:val="00544683"/>
    <w:rsid w:val="00544738"/>
    <w:rsid w:val="005448F6"/>
    <w:rsid w:val="00544ABA"/>
    <w:rsid w:val="00544CFE"/>
    <w:rsid w:val="0054540C"/>
    <w:rsid w:val="005456E6"/>
    <w:rsid w:val="0054593A"/>
    <w:rsid w:val="00546172"/>
    <w:rsid w:val="005462C6"/>
    <w:rsid w:val="0054649B"/>
    <w:rsid w:val="005464EA"/>
    <w:rsid w:val="005464FB"/>
    <w:rsid w:val="005467FB"/>
    <w:rsid w:val="00546AE9"/>
    <w:rsid w:val="00546E45"/>
    <w:rsid w:val="005470BC"/>
    <w:rsid w:val="005470E5"/>
    <w:rsid w:val="00547989"/>
    <w:rsid w:val="0054799E"/>
    <w:rsid w:val="005479FF"/>
    <w:rsid w:val="005500C4"/>
    <w:rsid w:val="0055018C"/>
    <w:rsid w:val="005508F2"/>
    <w:rsid w:val="00550DF5"/>
    <w:rsid w:val="00551320"/>
    <w:rsid w:val="00551508"/>
    <w:rsid w:val="00551650"/>
    <w:rsid w:val="005518A4"/>
    <w:rsid w:val="00551956"/>
    <w:rsid w:val="00551A7B"/>
    <w:rsid w:val="005520FC"/>
    <w:rsid w:val="0055268E"/>
    <w:rsid w:val="00552768"/>
    <w:rsid w:val="00552877"/>
    <w:rsid w:val="00552935"/>
    <w:rsid w:val="00552F9D"/>
    <w:rsid w:val="00553127"/>
    <w:rsid w:val="00553284"/>
    <w:rsid w:val="00553312"/>
    <w:rsid w:val="00553748"/>
    <w:rsid w:val="005537D5"/>
    <w:rsid w:val="005540AF"/>
    <w:rsid w:val="00554A94"/>
    <w:rsid w:val="00554BE7"/>
    <w:rsid w:val="005553D1"/>
    <w:rsid w:val="005557E7"/>
    <w:rsid w:val="00555925"/>
    <w:rsid w:val="00555BF4"/>
    <w:rsid w:val="00555E7D"/>
    <w:rsid w:val="00556229"/>
    <w:rsid w:val="00556314"/>
    <w:rsid w:val="005563D6"/>
    <w:rsid w:val="005566D8"/>
    <w:rsid w:val="00556A19"/>
    <w:rsid w:val="00556BAD"/>
    <w:rsid w:val="00556D68"/>
    <w:rsid w:val="005570F8"/>
    <w:rsid w:val="00557173"/>
    <w:rsid w:val="00557511"/>
    <w:rsid w:val="005576A1"/>
    <w:rsid w:val="00557A64"/>
    <w:rsid w:val="0056054E"/>
    <w:rsid w:val="00560569"/>
    <w:rsid w:val="005605C0"/>
    <w:rsid w:val="0056074E"/>
    <w:rsid w:val="00560C5C"/>
    <w:rsid w:val="00560D23"/>
    <w:rsid w:val="00560F12"/>
    <w:rsid w:val="00561131"/>
    <w:rsid w:val="0056140A"/>
    <w:rsid w:val="005615D8"/>
    <w:rsid w:val="005618ED"/>
    <w:rsid w:val="00561DBD"/>
    <w:rsid w:val="00561F63"/>
    <w:rsid w:val="005620CF"/>
    <w:rsid w:val="005626D6"/>
    <w:rsid w:val="00562AF5"/>
    <w:rsid w:val="005635B0"/>
    <w:rsid w:val="005638D4"/>
    <w:rsid w:val="0056406B"/>
    <w:rsid w:val="00564EBA"/>
    <w:rsid w:val="005656ED"/>
    <w:rsid w:val="00565C63"/>
    <w:rsid w:val="00566170"/>
    <w:rsid w:val="00566544"/>
    <w:rsid w:val="00566608"/>
    <w:rsid w:val="0056686C"/>
    <w:rsid w:val="00566C83"/>
    <w:rsid w:val="00566E05"/>
    <w:rsid w:val="00567445"/>
    <w:rsid w:val="005674D9"/>
    <w:rsid w:val="005679F7"/>
    <w:rsid w:val="00567F0E"/>
    <w:rsid w:val="005700FE"/>
    <w:rsid w:val="00570567"/>
    <w:rsid w:val="005709D8"/>
    <w:rsid w:val="00570D3D"/>
    <w:rsid w:val="00570DD9"/>
    <w:rsid w:val="00570E24"/>
    <w:rsid w:val="00570E27"/>
    <w:rsid w:val="005710DD"/>
    <w:rsid w:val="00571255"/>
    <w:rsid w:val="00571887"/>
    <w:rsid w:val="005718AA"/>
    <w:rsid w:val="00571AC1"/>
    <w:rsid w:val="005721FE"/>
    <w:rsid w:val="00572760"/>
    <w:rsid w:val="0057280F"/>
    <w:rsid w:val="00572860"/>
    <w:rsid w:val="00573925"/>
    <w:rsid w:val="00573BF2"/>
    <w:rsid w:val="00573C49"/>
    <w:rsid w:val="00573D5D"/>
    <w:rsid w:val="00573EB4"/>
    <w:rsid w:val="00573F28"/>
    <w:rsid w:val="005743DE"/>
    <w:rsid w:val="0057494D"/>
    <w:rsid w:val="00574AF6"/>
    <w:rsid w:val="00574CF5"/>
    <w:rsid w:val="00574F3F"/>
    <w:rsid w:val="005752C3"/>
    <w:rsid w:val="005755A4"/>
    <w:rsid w:val="0057562C"/>
    <w:rsid w:val="005759F6"/>
    <w:rsid w:val="00575E3E"/>
    <w:rsid w:val="005765F5"/>
    <w:rsid w:val="00576B43"/>
    <w:rsid w:val="00576D6C"/>
    <w:rsid w:val="00577A2E"/>
    <w:rsid w:val="00577EFC"/>
    <w:rsid w:val="00580698"/>
    <w:rsid w:val="005807A7"/>
    <w:rsid w:val="005808B1"/>
    <w:rsid w:val="00580E48"/>
    <w:rsid w:val="00580F0A"/>
    <w:rsid w:val="005811A6"/>
    <w:rsid w:val="00581246"/>
    <w:rsid w:val="00581351"/>
    <w:rsid w:val="005814A1"/>
    <w:rsid w:val="00581603"/>
    <w:rsid w:val="0058187E"/>
    <w:rsid w:val="0058192E"/>
    <w:rsid w:val="00582029"/>
    <w:rsid w:val="0058236A"/>
    <w:rsid w:val="005827CF"/>
    <w:rsid w:val="00582A01"/>
    <w:rsid w:val="00582C3A"/>
    <w:rsid w:val="00582CB9"/>
    <w:rsid w:val="00582E1A"/>
    <w:rsid w:val="00583047"/>
    <w:rsid w:val="00583147"/>
    <w:rsid w:val="0058316D"/>
    <w:rsid w:val="0058340B"/>
    <w:rsid w:val="005836A0"/>
    <w:rsid w:val="0058428C"/>
    <w:rsid w:val="00584416"/>
    <w:rsid w:val="00584788"/>
    <w:rsid w:val="00584B15"/>
    <w:rsid w:val="00584B39"/>
    <w:rsid w:val="00584D85"/>
    <w:rsid w:val="00585028"/>
    <w:rsid w:val="0058541F"/>
    <w:rsid w:val="005854D1"/>
    <w:rsid w:val="005856A6"/>
    <w:rsid w:val="00585D64"/>
    <w:rsid w:val="00585E77"/>
    <w:rsid w:val="00585F5B"/>
    <w:rsid w:val="00586014"/>
    <w:rsid w:val="0058620A"/>
    <w:rsid w:val="005862E5"/>
    <w:rsid w:val="00586304"/>
    <w:rsid w:val="0058642E"/>
    <w:rsid w:val="00586474"/>
    <w:rsid w:val="005866AA"/>
    <w:rsid w:val="00586C7C"/>
    <w:rsid w:val="00586DEE"/>
    <w:rsid w:val="00586E8E"/>
    <w:rsid w:val="00586FB7"/>
    <w:rsid w:val="005871C2"/>
    <w:rsid w:val="00587580"/>
    <w:rsid w:val="0058795B"/>
    <w:rsid w:val="00587FC0"/>
    <w:rsid w:val="0059024B"/>
    <w:rsid w:val="005903B6"/>
    <w:rsid w:val="0059055D"/>
    <w:rsid w:val="005906AD"/>
    <w:rsid w:val="00590956"/>
    <w:rsid w:val="00590BB4"/>
    <w:rsid w:val="00590DA6"/>
    <w:rsid w:val="00590EE4"/>
    <w:rsid w:val="00591C7D"/>
    <w:rsid w:val="00591D32"/>
    <w:rsid w:val="0059284D"/>
    <w:rsid w:val="00592B03"/>
    <w:rsid w:val="005935F9"/>
    <w:rsid w:val="005936A4"/>
    <w:rsid w:val="00593AB9"/>
    <w:rsid w:val="00593E7B"/>
    <w:rsid w:val="00594AAE"/>
    <w:rsid w:val="00594ABB"/>
    <w:rsid w:val="00594B9D"/>
    <w:rsid w:val="00594D1C"/>
    <w:rsid w:val="00594E36"/>
    <w:rsid w:val="00594F0A"/>
    <w:rsid w:val="0059525E"/>
    <w:rsid w:val="00595887"/>
    <w:rsid w:val="00595C44"/>
    <w:rsid w:val="00595CA5"/>
    <w:rsid w:val="005960A0"/>
    <w:rsid w:val="005961F7"/>
    <w:rsid w:val="00596B9C"/>
    <w:rsid w:val="005971D0"/>
    <w:rsid w:val="005973F8"/>
    <w:rsid w:val="005A0295"/>
    <w:rsid w:val="005A02ED"/>
    <w:rsid w:val="005A054D"/>
    <w:rsid w:val="005A0A46"/>
    <w:rsid w:val="005A0AD3"/>
    <w:rsid w:val="005A0B0D"/>
    <w:rsid w:val="005A10B9"/>
    <w:rsid w:val="005A11EA"/>
    <w:rsid w:val="005A1969"/>
    <w:rsid w:val="005A1B77"/>
    <w:rsid w:val="005A269F"/>
    <w:rsid w:val="005A2EE3"/>
    <w:rsid w:val="005A3001"/>
    <w:rsid w:val="005A305E"/>
    <w:rsid w:val="005A30BB"/>
    <w:rsid w:val="005A37A5"/>
    <w:rsid w:val="005A3887"/>
    <w:rsid w:val="005A3A16"/>
    <w:rsid w:val="005A4452"/>
    <w:rsid w:val="005A45F0"/>
    <w:rsid w:val="005A45F5"/>
    <w:rsid w:val="005A4AC4"/>
    <w:rsid w:val="005A55C9"/>
    <w:rsid w:val="005A57AE"/>
    <w:rsid w:val="005A5A64"/>
    <w:rsid w:val="005A5BFF"/>
    <w:rsid w:val="005A5DE5"/>
    <w:rsid w:val="005A5DEB"/>
    <w:rsid w:val="005A5FBD"/>
    <w:rsid w:val="005A61F2"/>
    <w:rsid w:val="005A64D0"/>
    <w:rsid w:val="005A6CD1"/>
    <w:rsid w:val="005A6FB6"/>
    <w:rsid w:val="005A771B"/>
    <w:rsid w:val="005B032C"/>
    <w:rsid w:val="005B0542"/>
    <w:rsid w:val="005B0A77"/>
    <w:rsid w:val="005B0BE9"/>
    <w:rsid w:val="005B12A7"/>
    <w:rsid w:val="005B14AF"/>
    <w:rsid w:val="005B151A"/>
    <w:rsid w:val="005B1968"/>
    <w:rsid w:val="005B1BC1"/>
    <w:rsid w:val="005B1E97"/>
    <w:rsid w:val="005B2225"/>
    <w:rsid w:val="005B22CC"/>
    <w:rsid w:val="005B231A"/>
    <w:rsid w:val="005B23D2"/>
    <w:rsid w:val="005B2415"/>
    <w:rsid w:val="005B2456"/>
    <w:rsid w:val="005B2799"/>
    <w:rsid w:val="005B2818"/>
    <w:rsid w:val="005B28AA"/>
    <w:rsid w:val="005B29B2"/>
    <w:rsid w:val="005B2A19"/>
    <w:rsid w:val="005B2A45"/>
    <w:rsid w:val="005B2B77"/>
    <w:rsid w:val="005B2E20"/>
    <w:rsid w:val="005B30EA"/>
    <w:rsid w:val="005B341A"/>
    <w:rsid w:val="005B36CA"/>
    <w:rsid w:val="005B36E7"/>
    <w:rsid w:val="005B3831"/>
    <w:rsid w:val="005B3B5B"/>
    <w:rsid w:val="005B3D4A"/>
    <w:rsid w:val="005B4194"/>
    <w:rsid w:val="005B4B24"/>
    <w:rsid w:val="005B4C60"/>
    <w:rsid w:val="005B4D87"/>
    <w:rsid w:val="005B510B"/>
    <w:rsid w:val="005B5EC5"/>
    <w:rsid w:val="005B62D3"/>
    <w:rsid w:val="005B6429"/>
    <w:rsid w:val="005B692A"/>
    <w:rsid w:val="005B6A8E"/>
    <w:rsid w:val="005B7623"/>
    <w:rsid w:val="005B7D65"/>
    <w:rsid w:val="005B7DD1"/>
    <w:rsid w:val="005C00A0"/>
    <w:rsid w:val="005C01BA"/>
    <w:rsid w:val="005C0A7A"/>
    <w:rsid w:val="005C15DA"/>
    <w:rsid w:val="005C1601"/>
    <w:rsid w:val="005C17C2"/>
    <w:rsid w:val="005C1A19"/>
    <w:rsid w:val="005C28FA"/>
    <w:rsid w:val="005C2C8C"/>
    <w:rsid w:val="005C31C5"/>
    <w:rsid w:val="005C338E"/>
    <w:rsid w:val="005C33C6"/>
    <w:rsid w:val="005C3483"/>
    <w:rsid w:val="005C40F4"/>
    <w:rsid w:val="005C43BE"/>
    <w:rsid w:val="005C44F3"/>
    <w:rsid w:val="005C46A2"/>
    <w:rsid w:val="005C4A28"/>
    <w:rsid w:val="005C4FD8"/>
    <w:rsid w:val="005C5243"/>
    <w:rsid w:val="005C52D1"/>
    <w:rsid w:val="005C58D4"/>
    <w:rsid w:val="005C5D1A"/>
    <w:rsid w:val="005C661A"/>
    <w:rsid w:val="005C712D"/>
    <w:rsid w:val="005C7C75"/>
    <w:rsid w:val="005D046B"/>
    <w:rsid w:val="005D04D9"/>
    <w:rsid w:val="005D0994"/>
    <w:rsid w:val="005D0AD7"/>
    <w:rsid w:val="005D0E4F"/>
    <w:rsid w:val="005D1D72"/>
    <w:rsid w:val="005D1E32"/>
    <w:rsid w:val="005D1FC2"/>
    <w:rsid w:val="005D206B"/>
    <w:rsid w:val="005D22B7"/>
    <w:rsid w:val="005D26A2"/>
    <w:rsid w:val="005D2B93"/>
    <w:rsid w:val="005D2BDE"/>
    <w:rsid w:val="005D2E02"/>
    <w:rsid w:val="005D3046"/>
    <w:rsid w:val="005D3D76"/>
    <w:rsid w:val="005D3DB7"/>
    <w:rsid w:val="005D4134"/>
    <w:rsid w:val="005D4578"/>
    <w:rsid w:val="005D4EFA"/>
    <w:rsid w:val="005D4FA8"/>
    <w:rsid w:val="005D5095"/>
    <w:rsid w:val="005D55BA"/>
    <w:rsid w:val="005D56F3"/>
    <w:rsid w:val="005D579F"/>
    <w:rsid w:val="005D5ADB"/>
    <w:rsid w:val="005D5E7E"/>
    <w:rsid w:val="005D648A"/>
    <w:rsid w:val="005D6AE4"/>
    <w:rsid w:val="005D7285"/>
    <w:rsid w:val="005D7309"/>
    <w:rsid w:val="005D792B"/>
    <w:rsid w:val="005D795D"/>
    <w:rsid w:val="005D7A6B"/>
    <w:rsid w:val="005D7BF4"/>
    <w:rsid w:val="005D7E0D"/>
    <w:rsid w:val="005E08A3"/>
    <w:rsid w:val="005E1098"/>
    <w:rsid w:val="005E1269"/>
    <w:rsid w:val="005E1D2D"/>
    <w:rsid w:val="005E1E25"/>
    <w:rsid w:val="005E234A"/>
    <w:rsid w:val="005E27AB"/>
    <w:rsid w:val="005E2BCA"/>
    <w:rsid w:val="005E2FD6"/>
    <w:rsid w:val="005E323E"/>
    <w:rsid w:val="005E3286"/>
    <w:rsid w:val="005E35CC"/>
    <w:rsid w:val="005E371E"/>
    <w:rsid w:val="005E40FD"/>
    <w:rsid w:val="005E45FD"/>
    <w:rsid w:val="005E4BEE"/>
    <w:rsid w:val="005E4E85"/>
    <w:rsid w:val="005E525B"/>
    <w:rsid w:val="005E53F9"/>
    <w:rsid w:val="005E5779"/>
    <w:rsid w:val="005E59AB"/>
    <w:rsid w:val="005E65A5"/>
    <w:rsid w:val="005E67D9"/>
    <w:rsid w:val="005E6C18"/>
    <w:rsid w:val="005E6DC1"/>
    <w:rsid w:val="005E7156"/>
    <w:rsid w:val="005E73F7"/>
    <w:rsid w:val="005E775D"/>
    <w:rsid w:val="005E7996"/>
    <w:rsid w:val="005E7F37"/>
    <w:rsid w:val="005F0476"/>
    <w:rsid w:val="005F0A43"/>
    <w:rsid w:val="005F0D8D"/>
    <w:rsid w:val="005F1814"/>
    <w:rsid w:val="005F1F0A"/>
    <w:rsid w:val="005F2436"/>
    <w:rsid w:val="005F26F5"/>
    <w:rsid w:val="005F27BF"/>
    <w:rsid w:val="005F284C"/>
    <w:rsid w:val="005F2C0B"/>
    <w:rsid w:val="005F2C5A"/>
    <w:rsid w:val="005F2EA5"/>
    <w:rsid w:val="005F2FE9"/>
    <w:rsid w:val="005F3266"/>
    <w:rsid w:val="005F3A63"/>
    <w:rsid w:val="005F3AD4"/>
    <w:rsid w:val="005F3F34"/>
    <w:rsid w:val="005F3FB2"/>
    <w:rsid w:val="005F4100"/>
    <w:rsid w:val="005F4171"/>
    <w:rsid w:val="005F43C3"/>
    <w:rsid w:val="005F46D6"/>
    <w:rsid w:val="005F4AED"/>
    <w:rsid w:val="005F4B17"/>
    <w:rsid w:val="005F4C09"/>
    <w:rsid w:val="005F4DD6"/>
    <w:rsid w:val="005F509B"/>
    <w:rsid w:val="005F50D8"/>
    <w:rsid w:val="005F52D5"/>
    <w:rsid w:val="005F53A1"/>
    <w:rsid w:val="005F5F76"/>
    <w:rsid w:val="005F69E3"/>
    <w:rsid w:val="005F6B72"/>
    <w:rsid w:val="005F6B76"/>
    <w:rsid w:val="005F6B77"/>
    <w:rsid w:val="005F6EFE"/>
    <w:rsid w:val="005F6F09"/>
    <w:rsid w:val="005F7275"/>
    <w:rsid w:val="005F73EF"/>
    <w:rsid w:val="005F7487"/>
    <w:rsid w:val="005F77AB"/>
    <w:rsid w:val="005F7CC2"/>
    <w:rsid w:val="005F7E5C"/>
    <w:rsid w:val="005F7ED5"/>
    <w:rsid w:val="006002C7"/>
    <w:rsid w:val="0060038F"/>
    <w:rsid w:val="006003D7"/>
    <w:rsid w:val="00600CF6"/>
    <w:rsid w:val="00600F95"/>
    <w:rsid w:val="0060121F"/>
    <w:rsid w:val="006012AD"/>
    <w:rsid w:val="006013E1"/>
    <w:rsid w:val="00601664"/>
    <w:rsid w:val="00601839"/>
    <w:rsid w:val="00601ADB"/>
    <w:rsid w:val="00602506"/>
    <w:rsid w:val="00602759"/>
    <w:rsid w:val="0060277A"/>
    <w:rsid w:val="00602B7C"/>
    <w:rsid w:val="00602FB3"/>
    <w:rsid w:val="00603312"/>
    <w:rsid w:val="00603343"/>
    <w:rsid w:val="00604627"/>
    <w:rsid w:val="00604DC7"/>
    <w:rsid w:val="00604E47"/>
    <w:rsid w:val="00604F30"/>
    <w:rsid w:val="00605441"/>
    <w:rsid w:val="006057D4"/>
    <w:rsid w:val="006058FD"/>
    <w:rsid w:val="0060591D"/>
    <w:rsid w:val="00605AE5"/>
    <w:rsid w:val="00605DE4"/>
    <w:rsid w:val="00606281"/>
    <w:rsid w:val="00606970"/>
    <w:rsid w:val="00606A20"/>
    <w:rsid w:val="00606F30"/>
    <w:rsid w:val="00607006"/>
    <w:rsid w:val="006071CD"/>
    <w:rsid w:val="006072C6"/>
    <w:rsid w:val="00607A2E"/>
    <w:rsid w:val="00607AA2"/>
    <w:rsid w:val="00607AC6"/>
    <w:rsid w:val="00607DAC"/>
    <w:rsid w:val="006102F8"/>
    <w:rsid w:val="00610543"/>
    <w:rsid w:val="006108FC"/>
    <w:rsid w:val="006123F3"/>
    <w:rsid w:val="006130F7"/>
    <w:rsid w:val="006131B6"/>
    <w:rsid w:val="0061329A"/>
    <w:rsid w:val="00613355"/>
    <w:rsid w:val="0061360D"/>
    <w:rsid w:val="00613734"/>
    <w:rsid w:val="00613AF8"/>
    <w:rsid w:val="00613CEF"/>
    <w:rsid w:val="00613D8E"/>
    <w:rsid w:val="00613DB9"/>
    <w:rsid w:val="0061409F"/>
    <w:rsid w:val="006142E0"/>
    <w:rsid w:val="00614427"/>
    <w:rsid w:val="0061467D"/>
    <w:rsid w:val="00614EA0"/>
    <w:rsid w:val="0061577D"/>
    <w:rsid w:val="00615E5F"/>
    <w:rsid w:val="00616112"/>
    <w:rsid w:val="0061680A"/>
    <w:rsid w:val="006169DE"/>
    <w:rsid w:val="00616F5F"/>
    <w:rsid w:val="006170F6"/>
    <w:rsid w:val="00617FEB"/>
    <w:rsid w:val="006205CA"/>
    <w:rsid w:val="006206CB"/>
    <w:rsid w:val="006212D6"/>
    <w:rsid w:val="0062159F"/>
    <w:rsid w:val="00621E4B"/>
    <w:rsid w:val="00621F53"/>
    <w:rsid w:val="006227DE"/>
    <w:rsid w:val="00622805"/>
    <w:rsid w:val="00622949"/>
    <w:rsid w:val="00622E2A"/>
    <w:rsid w:val="00622FA7"/>
    <w:rsid w:val="00623089"/>
    <w:rsid w:val="0062308E"/>
    <w:rsid w:val="006234C4"/>
    <w:rsid w:val="006237C1"/>
    <w:rsid w:val="00623E0E"/>
    <w:rsid w:val="006242C5"/>
    <w:rsid w:val="006244C9"/>
    <w:rsid w:val="006244FF"/>
    <w:rsid w:val="006245F6"/>
    <w:rsid w:val="006246D4"/>
    <w:rsid w:val="0062472C"/>
    <w:rsid w:val="0062475D"/>
    <w:rsid w:val="006248EC"/>
    <w:rsid w:val="0062495F"/>
    <w:rsid w:val="00624976"/>
    <w:rsid w:val="00626315"/>
    <w:rsid w:val="00626362"/>
    <w:rsid w:val="0062660B"/>
    <w:rsid w:val="00626AD1"/>
    <w:rsid w:val="00626B32"/>
    <w:rsid w:val="006271D9"/>
    <w:rsid w:val="00627A1E"/>
    <w:rsid w:val="00627BB2"/>
    <w:rsid w:val="00627EE3"/>
    <w:rsid w:val="006304BC"/>
    <w:rsid w:val="00630DCE"/>
    <w:rsid w:val="0063109D"/>
    <w:rsid w:val="006310EC"/>
    <w:rsid w:val="0063120A"/>
    <w:rsid w:val="0063150B"/>
    <w:rsid w:val="00631585"/>
    <w:rsid w:val="006315DB"/>
    <w:rsid w:val="00631745"/>
    <w:rsid w:val="00631770"/>
    <w:rsid w:val="00631D27"/>
    <w:rsid w:val="00633DE0"/>
    <w:rsid w:val="00633EE7"/>
    <w:rsid w:val="006345A3"/>
    <w:rsid w:val="00634758"/>
    <w:rsid w:val="00634A8E"/>
    <w:rsid w:val="00634ACF"/>
    <w:rsid w:val="00634F80"/>
    <w:rsid w:val="00635035"/>
    <w:rsid w:val="0063580D"/>
    <w:rsid w:val="00635B9D"/>
    <w:rsid w:val="00635CAE"/>
    <w:rsid w:val="006361B1"/>
    <w:rsid w:val="00636A7D"/>
    <w:rsid w:val="00636C18"/>
    <w:rsid w:val="00636FBD"/>
    <w:rsid w:val="00637240"/>
    <w:rsid w:val="00640387"/>
    <w:rsid w:val="00642022"/>
    <w:rsid w:val="00642441"/>
    <w:rsid w:val="00642D89"/>
    <w:rsid w:val="0064316B"/>
    <w:rsid w:val="00643317"/>
    <w:rsid w:val="00643660"/>
    <w:rsid w:val="00643AC4"/>
    <w:rsid w:val="0064463C"/>
    <w:rsid w:val="00644A23"/>
    <w:rsid w:val="00645915"/>
    <w:rsid w:val="00645A51"/>
    <w:rsid w:val="00645DC2"/>
    <w:rsid w:val="00645E8F"/>
    <w:rsid w:val="00646341"/>
    <w:rsid w:val="006464E7"/>
    <w:rsid w:val="00646584"/>
    <w:rsid w:val="006465EE"/>
    <w:rsid w:val="006468EB"/>
    <w:rsid w:val="00646C65"/>
    <w:rsid w:val="00647137"/>
    <w:rsid w:val="00647218"/>
    <w:rsid w:val="006479A4"/>
    <w:rsid w:val="006479E5"/>
    <w:rsid w:val="00647BBC"/>
    <w:rsid w:val="00647BE3"/>
    <w:rsid w:val="00650139"/>
    <w:rsid w:val="0065052B"/>
    <w:rsid w:val="006508E9"/>
    <w:rsid w:val="00651A18"/>
    <w:rsid w:val="00652192"/>
    <w:rsid w:val="00652756"/>
    <w:rsid w:val="00652A21"/>
    <w:rsid w:val="00652AD8"/>
    <w:rsid w:val="00652B79"/>
    <w:rsid w:val="006532A6"/>
    <w:rsid w:val="006532F5"/>
    <w:rsid w:val="006533C3"/>
    <w:rsid w:val="0065349A"/>
    <w:rsid w:val="00653897"/>
    <w:rsid w:val="00653910"/>
    <w:rsid w:val="00653AE1"/>
    <w:rsid w:val="00653B24"/>
    <w:rsid w:val="00654068"/>
    <w:rsid w:val="00654333"/>
    <w:rsid w:val="00654B38"/>
    <w:rsid w:val="00654B83"/>
    <w:rsid w:val="00654F08"/>
    <w:rsid w:val="00655061"/>
    <w:rsid w:val="0065510C"/>
    <w:rsid w:val="00655B63"/>
    <w:rsid w:val="00655D39"/>
    <w:rsid w:val="00656051"/>
    <w:rsid w:val="006562EA"/>
    <w:rsid w:val="006564F4"/>
    <w:rsid w:val="006571F6"/>
    <w:rsid w:val="0066066B"/>
    <w:rsid w:val="00660848"/>
    <w:rsid w:val="00660A9B"/>
    <w:rsid w:val="00661124"/>
    <w:rsid w:val="006613A4"/>
    <w:rsid w:val="006618CC"/>
    <w:rsid w:val="00662111"/>
    <w:rsid w:val="00662118"/>
    <w:rsid w:val="00662620"/>
    <w:rsid w:val="00662E93"/>
    <w:rsid w:val="00663177"/>
    <w:rsid w:val="0066381E"/>
    <w:rsid w:val="006638AD"/>
    <w:rsid w:val="00663BF6"/>
    <w:rsid w:val="00663E2F"/>
    <w:rsid w:val="00663E60"/>
    <w:rsid w:val="00663FCB"/>
    <w:rsid w:val="006641FE"/>
    <w:rsid w:val="0066434F"/>
    <w:rsid w:val="00664366"/>
    <w:rsid w:val="0066446E"/>
    <w:rsid w:val="00664DB2"/>
    <w:rsid w:val="00664F78"/>
    <w:rsid w:val="00665BE4"/>
    <w:rsid w:val="00666150"/>
    <w:rsid w:val="00666381"/>
    <w:rsid w:val="00666AEB"/>
    <w:rsid w:val="006671C4"/>
    <w:rsid w:val="0066732C"/>
    <w:rsid w:val="006677DA"/>
    <w:rsid w:val="00667928"/>
    <w:rsid w:val="006679F5"/>
    <w:rsid w:val="00667B77"/>
    <w:rsid w:val="00667CAD"/>
    <w:rsid w:val="00667EC2"/>
    <w:rsid w:val="00670BB6"/>
    <w:rsid w:val="00670C05"/>
    <w:rsid w:val="00671424"/>
    <w:rsid w:val="006716DA"/>
    <w:rsid w:val="00671AE2"/>
    <w:rsid w:val="00672194"/>
    <w:rsid w:val="006722B1"/>
    <w:rsid w:val="006723F7"/>
    <w:rsid w:val="006728ED"/>
    <w:rsid w:val="006732B1"/>
    <w:rsid w:val="00673A3F"/>
    <w:rsid w:val="00673CC0"/>
    <w:rsid w:val="0067446F"/>
    <w:rsid w:val="006744EB"/>
    <w:rsid w:val="00674614"/>
    <w:rsid w:val="006746A4"/>
    <w:rsid w:val="00674793"/>
    <w:rsid w:val="00674EC9"/>
    <w:rsid w:val="00675558"/>
    <w:rsid w:val="00675611"/>
    <w:rsid w:val="00675A60"/>
    <w:rsid w:val="00675C45"/>
    <w:rsid w:val="00675CEB"/>
    <w:rsid w:val="006761E1"/>
    <w:rsid w:val="006768B3"/>
    <w:rsid w:val="0067697E"/>
    <w:rsid w:val="00676C3D"/>
    <w:rsid w:val="00677143"/>
    <w:rsid w:val="00677443"/>
    <w:rsid w:val="00677476"/>
    <w:rsid w:val="0067769A"/>
    <w:rsid w:val="00677939"/>
    <w:rsid w:val="006802A2"/>
    <w:rsid w:val="006802B2"/>
    <w:rsid w:val="006806A3"/>
    <w:rsid w:val="006806A6"/>
    <w:rsid w:val="00681211"/>
    <w:rsid w:val="0068191D"/>
    <w:rsid w:val="00681B36"/>
    <w:rsid w:val="00681D8D"/>
    <w:rsid w:val="006824A7"/>
    <w:rsid w:val="006824FF"/>
    <w:rsid w:val="00682CC5"/>
    <w:rsid w:val="00682E14"/>
    <w:rsid w:val="0068348B"/>
    <w:rsid w:val="00683B28"/>
    <w:rsid w:val="00683D02"/>
    <w:rsid w:val="0068436C"/>
    <w:rsid w:val="00684548"/>
    <w:rsid w:val="00684861"/>
    <w:rsid w:val="00684B30"/>
    <w:rsid w:val="00684C7E"/>
    <w:rsid w:val="0068545E"/>
    <w:rsid w:val="00685513"/>
    <w:rsid w:val="006856D7"/>
    <w:rsid w:val="006859BB"/>
    <w:rsid w:val="00685AE4"/>
    <w:rsid w:val="00685FD4"/>
    <w:rsid w:val="0068648F"/>
    <w:rsid w:val="00686570"/>
    <w:rsid w:val="00686612"/>
    <w:rsid w:val="0068661E"/>
    <w:rsid w:val="0068675E"/>
    <w:rsid w:val="00686EEF"/>
    <w:rsid w:val="006874D2"/>
    <w:rsid w:val="00687EA7"/>
    <w:rsid w:val="00687FEE"/>
    <w:rsid w:val="00690A49"/>
    <w:rsid w:val="00690BB6"/>
    <w:rsid w:val="00690DC8"/>
    <w:rsid w:val="006919F7"/>
    <w:rsid w:val="00691B30"/>
    <w:rsid w:val="00691D83"/>
    <w:rsid w:val="00691DB5"/>
    <w:rsid w:val="006923CF"/>
    <w:rsid w:val="0069274F"/>
    <w:rsid w:val="00692BB7"/>
    <w:rsid w:val="00692C5E"/>
    <w:rsid w:val="00693A42"/>
    <w:rsid w:val="00693E1F"/>
    <w:rsid w:val="00693ECB"/>
    <w:rsid w:val="00693EFF"/>
    <w:rsid w:val="006942FD"/>
    <w:rsid w:val="00694797"/>
    <w:rsid w:val="006949FD"/>
    <w:rsid w:val="00694EDC"/>
    <w:rsid w:val="006956FE"/>
    <w:rsid w:val="00695832"/>
    <w:rsid w:val="00695887"/>
    <w:rsid w:val="00695AB4"/>
    <w:rsid w:val="00695D8E"/>
    <w:rsid w:val="00696741"/>
    <w:rsid w:val="00696788"/>
    <w:rsid w:val="00696D6D"/>
    <w:rsid w:val="006970E0"/>
    <w:rsid w:val="00697447"/>
    <w:rsid w:val="00697733"/>
    <w:rsid w:val="00697F25"/>
    <w:rsid w:val="006A01B9"/>
    <w:rsid w:val="006A02B7"/>
    <w:rsid w:val="006A07CA"/>
    <w:rsid w:val="006A0CE7"/>
    <w:rsid w:val="006A14B6"/>
    <w:rsid w:val="006A1897"/>
    <w:rsid w:val="006A19C3"/>
    <w:rsid w:val="006A1B70"/>
    <w:rsid w:val="006A1CC8"/>
    <w:rsid w:val="006A1D9A"/>
    <w:rsid w:val="006A241B"/>
    <w:rsid w:val="006A254E"/>
    <w:rsid w:val="006A2C30"/>
    <w:rsid w:val="006A301C"/>
    <w:rsid w:val="006A3059"/>
    <w:rsid w:val="006A3355"/>
    <w:rsid w:val="006A3629"/>
    <w:rsid w:val="006A38D5"/>
    <w:rsid w:val="006A3913"/>
    <w:rsid w:val="006A3B8C"/>
    <w:rsid w:val="006A3E06"/>
    <w:rsid w:val="006A3E2B"/>
    <w:rsid w:val="006A417D"/>
    <w:rsid w:val="006A4252"/>
    <w:rsid w:val="006A4E0B"/>
    <w:rsid w:val="006A5321"/>
    <w:rsid w:val="006A53CF"/>
    <w:rsid w:val="006A5D59"/>
    <w:rsid w:val="006A682A"/>
    <w:rsid w:val="006A6AA3"/>
    <w:rsid w:val="006A6E17"/>
    <w:rsid w:val="006A6F3E"/>
    <w:rsid w:val="006A74B5"/>
    <w:rsid w:val="006A7787"/>
    <w:rsid w:val="006A7886"/>
    <w:rsid w:val="006A7B13"/>
    <w:rsid w:val="006A7DC1"/>
    <w:rsid w:val="006A7E9C"/>
    <w:rsid w:val="006B040D"/>
    <w:rsid w:val="006B0943"/>
    <w:rsid w:val="006B0BF6"/>
    <w:rsid w:val="006B0F98"/>
    <w:rsid w:val="006B120D"/>
    <w:rsid w:val="006B1326"/>
    <w:rsid w:val="006B15EB"/>
    <w:rsid w:val="006B17E7"/>
    <w:rsid w:val="006B18C1"/>
    <w:rsid w:val="006B19E8"/>
    <w:rsid w:val="006B1A8A"/>
    <w:rsid w:val="006B1B60"/>
    <w:rsid w:val="006B1FD5"/>
    <w:rsid w:val="006B2277"/>
    <w:rsid w:val="006B2279"/>
    <w:rsid w:val="006B28BF"/>
    <w:rsid w:val="006B2AB5"/>
    <w:rsid w:val="006B2E8D"/>
    <w:rsid w:val="006B3038"/>
    <w:rsid w:val="006B3AC7"/>
    <w:rsid w:val="006B3D60"/>
    <w:rsid w:val="006B48D0"/>
    <w:rsid w:val="006B555A"/>
    <w:rsid w:val="006B5F15"/>
    <w:rsid w:val="006B600A"/>
    <w:rsid w:val="006B64C0"/>
    <w:rsid w:val="006B6635"/>
    <w:rsid w:val="006B6901"/>
    <w:rsid w:val="006B6B7C"/>
    <w:rsid w:val="006B6CB9"/>
    <w:rsid w:val="006B7084"/>
    <w:rsid w:val="006B72A2"/>
    <w:rsid w:val="006B7671"/>
    <w:rsid w:val="006B7C02"/>
    <w:rsid w:val="006B7D22"/>
    <w:rsid w:val="006B7D2C"/>
    <w:rsid w:val="006B7EB4"/>
    <w:rsid w:val="006B7F72"/>
    <w:rsid w:val="006C04D0"/>
    <w:rsid w:val="006C057A"/>
    <w:rsid w:val="006C066C"/>
    <w:rsid w:val="006C0DB7"/>
    <w:rsid w:val="006C1019"/>
    <w:rsid w:val="006C13DC"/>
    <w:rsid w:val="006C16AA"/>
    <w:rsid w:val="006C189F"/>
    <w:rsid w:val="006C1C72"/>
    <w:rsid w:val="006C238E"/>
    <w:rsid w:val="006C27FF"/>
    <w:rsid w:val="006C2A67"/>
    <w:rsid w:val="006C2BB5"/>
    <w:rsid w:val="006C2BEE"/>
    <w:rsid w:val="006C2EFA"/>
    <w:rsid w:val="006C3584"/>
    <w:rsid w:val="006C365C"/>
    <w:rsid w:val="006C36C0"/>
    <w:rsid w:val="006C3A82"/>
    <w:rsid w:val="006C3AD8"/>
    <w:rsid w:val="006C4039"/>
    <w:rsid w:val="006C4325"/>
    <w:rsid w:val="006C445E"/>
    <w:rsid w:val="006C4516"/>
    <w:rsid w:val="006C4556"/>
    <w:rsid w:val="006C455E"/>
    <w:rsid w:val="006C4B6D"/>
    <w:rsid w:val="006C4F47"/>
    <w:rsid w:val="006C58AC"/>
    <w:rsid w:val="006C5958"/>
    <w:rsid w:val="006C5B4F"/>
    <w:rsid w:val="006C5C68"/>
    <w:rsid w:val="006C6114"/>
    <w:rsid w:val="006C643C"/>
    <w:rsid w:val="006C64B0"/>
    <w:rsid w:val="006C6673"/>
    <w:rsid w:val="006C6CC5"/>
    <w:rsid w:val="006C6E36"/>
    <w:rsid w:val="006C6E3A"/>
    <w:rsid w:val="006C6E65"/>
    <w:rsid w:val="006C6F77"/>
    <w:rsid w:val="006C6FD7"/>
    <w:rsid w:val="006C7057"/>
    <w:rsid w:val="006C70F5"/>
    <w:rsid w:val="006C768C"/>
    <w:rsid w:val="006C7A87"/>
    <w:rsid w:val="006D00DB"/>
    <w:rsid w:val="006D01D9"/>
    <w:rsid w:val="006D0361"/>
    <w:rsid w:val="006D04B8"/>
    <w:rsid w:val="006D04D4"/>
    <w:rsid w:val="006D0CB8"/>
    <w:rsid w:val="006D1356"/>
    <w:rsid w:val="006D1575"/>
    <w:rsid w:val="006D16B0"/>
    <w:rsid w:val="006D16DE"/>
    <w:rsid w:val="006D1794"/>
    <w:rsid w:val="006D1810"/>
    <w:rsid w:val="006D1A18"/>
    <w:rsid w:val="006D2182"/>
    <w:rsid w:val="006D2444"/>
    <w:rsid w:val="006D254B"/>
    <w:rsid w:val="006D2748"/>
    <w:rsid w:val="006D289B"/>
    <w:rsid w:val="006D2AD8"/>
    <w:rsid w:val="006D339E"/>
    <w:rsid w:val="006D3BE1"/>
    <w:rsid w:val="006D3E58"/>
    <w:rsid w:val="006D43AF"/>
    <w:rsid w:val="006D43CF"/>
    <w:rsid w:val="006D48FC"/>
    <w:rsid w:val="006D4EE6"/>
    <w:rsid w:val="006D51A0"/>
    <w:rsid w:val="006D569C"/>
    <w:rsid w:val="006D62BC"/>
    <w:rsid w:val="006D6450"/>
    <w:rsid w:val="006D64E7"/>
    <w:rsid w:val="006D6775"/>
    <w:rsid w:val="006D6939"/>
    <w:rsid w:val="006D73C0"/>
    <w:rsid w:val="006D7550"/>
    <w:rsid w:val="006D7E03"/>
    <w:rsid w:val="006D7EB0"/>
    <w:rsid w:val="006D7F87"/>
    <w:rsid w:val="006E0138"/>
    <w:rsid w:val="006E0BB0"/>
    <w:rsid w:val="006E12C3"/>
    <w:rsid w:val="006E12FD"/>
    <w:rsid w:val="006E18CB"/>
    <w:rsid w:val="006E1F1A"/>
    <w:rsid w:val="006E2529"/>
    <w:rsid w:val="006E295E"/>
    <w:rsid w:val="006E2E03"/>
    <w:rsid w:val="006E3258"/>
    <w:rsid w:val="006E38D9"/>
    <w:rsid w:val="006E38F4"/>
    <w:rsid w:val="006E4544"/>
    <w:rsid w:val="006E45F3"/>
    <w:rsid w:val="006E4A2F"/>
    <w:rsid w:val="006E4A7B"/>
    <w:rsid w:val="006E4ACD"/>
    <w:rsid w:val="006E4ED4"/>
    <w:rsid w:val="006E50B1"/>
    <w:rsid w:val="006E521C"/>
    <w:rsid w:val="006E56C8"/>
    <w:rsid w:val="006E5E19"/>
    <w:rsid w:val="006E5F64"/>
    <w:rsid w:val="006E61C3"/>
    <w:rsid w:val="006E640F"/>
    <w:rsid w:val="006E68A7"/>
    <w:rsid w:val="006E6988"/>
    <w:rsid w:val="006E6A99"/>
    <w:rsid w:val="006E7794"/>
    <w:rsid w:val="006E779B"/>
    <w:rsid w:val="006E799D"/>
    <w:rsid w:val="006E7AE8"/>
    <w:rsid w:val="006E7CDB"/>
    <w:rsid w:val="006F0468"/>
    <w:rsid w:val="006F0593"/>
    <w:rsid w:val="006F1064"/>
    <w:rsid w:val="006F1654"/>
    <w:rsid w:val="006F1EB7"/>
    <w:rsid w:val="006F1FF9"/>
    <w:rsid w:val="006F2949"/>
    <w:rsid w:val="006F364E"/>
    <w:rsid w:val="006F47F3"/>
    <w:rsid w:val="006F4BE5"/>
    <w:rsid w:val="006F52E5"/>
    <w:rsid w:val="006F53F5"/>
    <w:rsid w:val="006F5459"/>
    <w:rsid w:val="006F57DD"/>
    <w:rsid w:val="006F59BC"/>
    <w:rsid w:val="006F6002"/>
    <w:rsid w:val="006F6066"/>
    <w:rsid w:val="006F636B"/>
    <w:rsid w:val="006F6400"/>
    <w:rsid w:val="006F6850"/>
    <w:rsid w:val="006F6995"/>
    <w:rsid w:val="006F6AC8"/>
    <w:rsid w:val="006F6B25"/>
    <w:rsid w:val="006F6CAF"/>
    <w:rsid w:val="006F707E"/>
    <w:rsid w:val="006F79D4"/>
    <w:rsid w:val="006F7BB6"/>
    <w:rsid w:val="006F7F13"/>
    <w:rsid w:val="006F7F63"/>
    <w:rsid w:val="007001DC"/>
    <w:rsid w:val="0070075B"/>
    <w:rsid w:val="00700A0B"/>
    <w:rsid w:val="00700C1B"/>
    <w:rsid w:val="00700D6A"/>
    <w:rsid w:val="00700FBB"/>
    <w:rsid w:val="007025CB"/>
    <w:rsid w:val="007027F4"/>
    <w:rsid w:val="0070298F"/>
    <w:rsid w:val="00702D07"/>
    <w:rsid w:val="00702D28"/>
    <w:rsid w:val="00703365"/>
    <w:rsid w:val="007034AA"/>
    <w:rsid w:val="00703C9D"/>
    <w:rsid w:val="00703D62"/>
    <w:rsid w:val="00704480"/>
    <w:rsid w:val="0070472A"/>
    <w:rsid w:val="007048D8"/>
    <w:rsid w:val="0070490C"/>
    <w:rsid w:val="00704B05"/>
    <w:rsid w:val="00704D83"/>
    <w:rsid w:val="00704F1A"/>
    <w:rsid w:val="0070515C"/>
    <w:rsid w:val="0070543E"/>
    <w:rsid w:val="00705C38"/>
    <w:rsid w:val="00706465"/>
    <w:rsid w:val="0070670C"/>
    <w:rsid w:val="007067BD"/>
    <w:rsid w:val="0070695A"/>
    <w:rsid w:val="0070713C"/>
    <w:rsid w:val="007072A8"/>
    <w:rsid w:val="0070782D"/>
    <w:rsid w:val="007078AD"/>
    <w:rsid w:val="00707D38"/>
    <w:rsid w:val="00710792"/>
    <w:rsid w:val="007109C2"/>
    <w:rsid w:val="00710B49"/>
    <w:rsid w:val="00711213"/>
    <w:rsid w:val="00711217"/>
    <w:rsid w:val="007112AC"/>
    <w:rsid w:val="00711340"/>
    <w:rsid w:val="0071156B"/>
    <w:rsid w:val="007118F1"/>
    <w:rsid w:val="00711EDE"/>
    <w:rsid w:val="0071200F"/>
    <w:rsid w:val="00712085"/>
    <w:rsid w:val="00712416"/>
    <w:rsid w:val="00712C42"/>
    <w:rsid w:val="007130ED"/>
    <w:rsid w:val="007134F4"/>
    <w:rsid w:val="007134FF"/>
    <w:rsid w:val="00713748"/>
    <w:rsid w:val="00713942"/>
    <w:rsid w:val="00713DE4"/>
    <w:rsid w:val="007140D3"/>
    <w:rsid w:val="00714272"/>
    <w:rsid w:val="00714C47"/>
    <w:rsid w:val="00714CC3"/>
    <w:rsid w:val="00715B49"/>
    <w:rsid w:val="00715C3A"/>
    <w:rsid w:val="00715C4D"/>
    <w:rsid w:val="00715C63"/>
    <w:rsid w:val="00715C92"/>
    <w:rsid w:val="00715F24"/>
    <w:rsid w:val="007163F3"/>
    <w:rsid w:val="00716462"/>
    <w:rsid w:val="007164B2"/>
    <w:rsid w:val="00716627"/>
    <w:rsid w:val="00716AA2"/>
    <w:rsid w:val="00716B92"/>
    <w:rsid w:val="0071705C"/>
    <w:rsid w:val="007170C9"/>
    <w:rsid w:val="0071728B"/>
    <w:rsid w:val="00717A96"/>
    <w:rsid w:val="0072015C"/>
    <w:rsid w:val="007204B5"/>
    <w:rsid w:val="00720C73"/>
    <w:rsid w:val="00720CD6"/>
    <w:rsid w:val="00720EAA"/>
    <w:rsid w:val="00721084"/>
    <w:rsid w:val="00721262"/>
    <w:rsid w:val="007214DE"/>
    <w:rsid w:val="0072178A"/>
    <w:rsid w:val="00721807"/>
    <w:rsid w:val="00721995"/>
    <w:rsid w:val="00721A5F"/>
    <w:rsid w:val="00721D9B"/>
    <w:rsid w:val="00721E9A"/>
    <w:rsid w:val="00721E9C"/>
    <w:rsid w:val="00722121"/>
    <w:rsid w:val="007221EE"/>
    <w:rsid w:val="00722318"/>
    <w:rsid w:val="007224B9"/>
    <w:rsid w:val="007225A0"/>
    <w:rsid w:val="0072290E"/>
    <w:rsid w:val="00722A73"/>
    <w:rsid w:val="00722F94"/>
    <w:rsid w:val="00723078"/>
    <w:rsid w:val="00723AA7"/>
    <w:rsid w:val="00723B58"/>
    <w:rsid w:val="0072432E"/>
    <w:rsid w:val="007249F9"/>
    <w:rsid w:val="00724A35"/>
    <w:rsid w:val="0072513E"/>
    <w:rsid w:val="00725495"/>
    <w:rsid w:val="00726036"/>
    <w:rsid w:val="0072603F"/>
    <w:rsid w:val="00726279"/>
    <w:rsid w:val="00726A9B"/>
    <w:rsid w:val="007270FF"/>
    <w:rsid w:val="0072742C"/>
    <w:rsid w:val="00727530"/>
    <w:rsid w:val="007279C4"/>
    <w:rsid w:val="00727C2C"/>
    <w:rsid w:val="00727C94"/>
    <w:rsid w:val="00727EA8"/>
    <w:rsid w:val="00730248"/>
    <w:rsid w:val="0073096C"/>
    <w:rsid w:val="00731047"/>
    <w:rsid w:val="00731E7C"/>
    <w:rsid w:val="00731FFC"/>
    <w:rsid w:val="00732278"/>
    <w:rsid w:val="00732523"/>
    <w:rsid w:val="007325FF"/>
    <w:rsid w:val="007329EF"/>
    <w:rsid w:val="00732B36"/>
    <w:rsid w:val="0073327A"/>
    <w:rsid w:val="0073394B"/>
    <w:rsid w:val="00733FD4"/>
    <w:rsid w:val="00734603"/>
    <w:rsid w:val="00734EBE"/>
    <w:rsid w:val="00735348"/>
    <w:rsid w:val="007353BB"/>
    <w:rsid w:val="0073601D"/>
    <w:rsid w:val="0073674A"/>
    <w:rsid w:val="00736984"/>
    <w:rsid w:val="00736DA0"/>
    <w:rsid w:val="00736DD8"/>
    <w:rsid w:val="00737BE6"/>
    <w:rsid w:val="00740558"/>
    <w:rsid w:val="007405EB"/>
    <w:rsid w:val="0074076A"/>
    <w:rsid w:val="007408AC"/>
    <w:rsid w:val="007411AA"/>
    <w:rsid w:val="0074196A"/>
    <w:rsid w:val="00741AF4"/>
    <w:rsid w:val="00741DCC"/>
    <w:rsid w:val="00741E66"/>
    <w:rsid w:val="0074203A"/>
    <w:rsid w:val="007424CA"/>
    <w:rsid w:val="007427B5"/>
    <w:rsid w:val="00742865"/>
    <w:rsid w:val="0074296C"/>
    <w:rsid w:val="007429D8"/>
    <w:rsid w:val="00742C83"/>
    <w:rsid w:val="00742FD5"/>
    <w:rsid w:val="00743197"/>
    <w:rsid w:val="00743240"/>
    <w:rsid w:val="0074360F"/>
    <w:rsid w:val="007444D0"/>
    <w:rsid w:val="00744A64"/>
    <w:rsid w:val="00744D47"/>
    <w:rsid w:val="00744EA0"/>
    <w:rsid w:val="00745B8D"/>
    <w:rsid w:val="00746212"/>
    <w:rsid w:val="0074638D"/>
    <w:rsid w:val="00746484"/>
    <w:rsid w:val="00746FCF"/>
    <w:rsid w:val="0074704F"/>
    <w:rsid w:val="00747425"/>
    <w:rsid w:val="00747C93"/>
    <w:rsid w:val="00747F42"/>
    <w:rsid w:val="00747F48"/>
    <w:rsid w:val="00747F4C"/>
    <w:rsid w:val="0075018B"/>
    <w:rsid w:val="00750568"/>
    <w:rsid w:val="00750E78"/>
    <w:rsid w:val="00751091"/>
    <w:rsid w:val="00751320"/>
    <w:rsid w:val="007513EF"/>
    <w:rsid w:val="00751B83"/>
    <w:rsid w:val="00751C43"/>
    <w:rsid w:val="00751E0C"/>
    <w:rsid w:val="00752133"/>
    <w:rsid w:val="0075268D"/>
    <w:rsid w:val="00752710"/>
    <w:rsid w:val="00752769"/>
    <w:rsid w:val="007527AD"/>
    <w:rsid w:val="00752818"/>
    <w:rsid w:val="00752A94"/>
    <w:rsid w:val="00752B64"/>
    <w:rsid w:val="00752C25"/>
    <w:rsid w:val="00752F09"/>
    <w:rsid w:val="007530D5"/>
    <w:rsid w:val="007536B4"/>
    <w:rsid w:val="007537D7"/>
    <w:rsid w:val="00753A17"/>
    <w:rsid w:val="00753DCD"/>
    <w:rsid w:val="0075406E"/>
    <w:rsid w:val="00754359"/>
    <w:rsid w:val="007543F7"/>
    <w:rsid w:val="00754411"/>
    <w:rsid w:val="007544A7"/>
    <w:rsid w:val="00754537"/>
    <w:rsid w:val="007545B7"/>
    <w:rsid w:val="00754933"/>
    <w:rsid w:val="00754BD9"/>
    <w:rsid w:val="00754D42"/>
    <w:rsid w:val="00754E7A"/>
    <w:rsid w:val="00755292"/>
    <w:rsid w:val="007552CD"/>
    <w:rsid w:val="0075540C"/>
    <w:rsid w:val="00755DB1"/>
    <w:rsid w:val="00756C2B"/>
    <w:rsid w:val="00756ED4"/>
    <w:rsid w:val="007574FC"/>
    <w:rsid w:val="00757587"/>
    <w:rsid w:val="00757864"/>
    <w:rsid w:val="00757B29"/>
    <w:rsid w:val="00757F12"/>
    <w:rsid w:val="00760271"/>
    <w:rsid w:val="00760975"/>
    <w:rsid w:val="00760C04"/>
    <w:rsid w:val="00760D6B"/>
    <w:rsid w:val="0076103A"/>
    <w:rsid w:val="007612D8"/>
    <w:rsid w:val="007612E4"/>
    <w:rsid w:val="0076195D"/>
    <w:rsid w:val="00761FDA"/>
    <w:rsid w:val="007621FF"/>
    <w:rsid w:val="00762746"/>
    <w:rsid w:val="00762A6B"/>
    <w:rsid w:val="00763319"/>
    <w:rsid w:val="007634E3"/>
    <w:rsid w:val="007635A1"/>
    <w:rsid w:val="00763A57"/>
    <w:rsid w:val="00763C92"/>
    <w:rsid w:val="00764112"/>
    <w:rsid w:val="00764194"/>
    <w:rsid w:val="00764B46"/>
    <w:rsid w:val="007650C9"/>
    <w:rsid w:val="00765BF4"/>
    <w:rsid w:val="00765D1A"/>
    <w:rsid w:val="00765ED3"/>
    <w:rsid w:val="0076651E"/>
    <w:rsid w:val="00766595"/>
    <w:rsid w:val="0076681D"/>
    <w:rsid w:val="00766A65"/>
    <w:rsid w:val="00766DE3"/>
    <w:rsid w:val="007671F5"/>
    <w:rsid w:val="00767578"/>
    <w:rsid w:val="007676B8"/>
    <w:rsid w:val="00767AAF"/>
    <w:rsid w:val="00767CC5"/>
    <w:rsid w:val="0077027C"/>
    <w:rsid w:val="0077039C"/>
    <w:rsid w:val="0077058F"/>
    <w:rsid w:val="0077160D"/>
    <w:rsid w:val="007716EF"/>
    <w:rsid w:val="0077175C"/>
    <w:rsid w:val="007717EE"/>
    <w:rsid w:val="00771870"/>
    <w:rsid w:val="00771BF9"/>
    <w:rsid w:val="0077208E"/>
    <w:rsid w:val="007724B0"/>
    <w:rsid w:val="00772607"/>
    <w:rsid w:val="00772F8A"/>
    <w:rsid w:val="007739C6"/>
    <w:rsid w:val="0077415C"/>
    <w:rsid w:val="0077423A"/>
    <w:rsid w:val="00774482"/>
    <w:rsid w:val="0077450A"/>
    <w:rsid w:val="00774751"/>
    <w:rsid w:val="00774889"/>
    <w:rsid w:val="00774F14"/>
    <w:rsid w:val="00774FF5"/>
    <w:rsid w:val="00775030"/>
    <w:rsid w:val="007750B3"/>
    <w:rsid w:val="007750EA"/>
    <w:rsid w:val="007752DB"/>
    <w:rsid w:val="00775404"/>
    <w:rsid w:val="00775984"/>
    <w:rsid w:val="00775F76"/>
    <w:rsid w:val="007761DF"/>
    <w:rsid w:val="0077623D"/>
    <w:rsid w:val="00776274"/>
    <w:rsid w:val="007764F1"/>
    <w:rsid w:val="00776882"/>
    <w:rsid w:val="00776A5C"/>
    <w:rsid w:val="00776AEA"/>
    <w:rsid w:val="00776CE0"/>
    <w:rsid w:val="007770AA"/>
    <w:rsid w:val="007775EF"/>
    <w:rsid w:val="00777997"/>
    <w:rsid w:val="00777A68"/>
    <w:rsid w:val="00777BA0"/>
    <w:rsid w:val="00777DA8"/>
    <w:rsid w:val="00777ED7"/>
    <w:rsid w:val="007803BD"/>
    <w:rsid w:val="007809F0"/>
    <w:rsid w:val="00780F20"/>
    <w:rsid w:val="007811DC"/>
    <w:rsid w:val="0078147A"/>
    <w:rsid w:val="00781ED9"/>
    <w:rsid w:val="00781F09"/>
    <w:rsid w:val="007820FA"/>
    <w:rsid w:val="00782448"/>
    <w:rsid w:val="00782648"/>
    <w:rsid w:val="00782802"/>
    <w:rsid w:val="0078285F"/>
    <w:rsid w:val="00783207"/>
    <w:rsid w:val="00783B89"/>
    <w:rsid w:val="00783E1D"/>
    <w:rsid w:val="00784189"/>
    <w:rsid w:val="00784190"/>
    <w:rsid w:val="00784394"/>
    <w:rsid w:val="00784395"/>
    <w:rsid w:val="0078483B"/>
    <w:rsid w:val="007848CF"/>
    <w:rsid w:val="00784CDD"/>
    <w:rsid w:val="00784EED"/>
    <w:rsid w:val="00784F47"/>
    <w:rsid w:val="00784F81"/>
    <w:rsid w:val="00785900"/>
    <w:rsid w:val="007859D6"/>
    <w:rsid w:val="007862CC"/>
    <w:rsid w:val="007866A0"/>
    <w:rsid w:val="00786958"/>
    <w:rsid w:val="00786C92"/>
    <w:rsid w:val="00786E71"/>
    <w:rsid w:val="00786F60"/>
    <w:rsid w:val="0078714E"/>
    <w:rsid w:val="0078716E"/>
    <w:rsid w:val="00787420"/>
    <w:rsid w:val="00787875"/>
    <w:rsid w:val="007878A6"/>
    <w:rsid w:val="00790491"/>
    <w:rsid w:val="00790C36"/>
    <w:rsid w:val="00790D7B"/>
    <w:rsid w:val="00791118"/>
    <w:rsid w:val="007912EF"/>
    <w:rsid w:val="0079162F"/>
    <w:rsid w:val="007916E7"/>
    <w:rsid w:val="007919C5"/>
    <w:rsid w:val="007922D6"/>
    <w:rsid w:val="007926BD"/>
    <w:rsid w:val="00792B6D"/>
    <w:rsid w:val="00792F21"/>
    <w:rsid w:val="00793608"/>
    <w:rsid w:val="00793882"/>
    <w:rsid w:val="00793909"/>
    <w:rsid w:val="00793981"/>
    <w:rsid w:val="00793A70"/>
    <w:rsid w:val="007941D0"/>
    <w:rsid w:val="007945C7"/>
    <w:rsid w:val="00794837"/>
    <w:rsid w:val="00794846"/>
    <w:rsid w:val="00794924"/>
    <w:rsid w:val="00794BE9"/>
    <w:rsid w:val="00794C8C"/>
    <w:rsid w:val="00794F3C"/>
    <w:rsid w:val="00795CB3"/>
    <w:rsid w:val="00795EEE"/>
    <w:rsid w:val="007961C2"/>
    <w:rsid w:val="007963C2"/>
    <w:rsid w:val="007963FE"/>
    <w:rsid w:val="0079684F"/>
    <w:rsid w:val="00796BDD"/>
    <w:rsid w:val="00797315"/>
    <w:rsid w:val="0079795B"/>
    <w:rsid w:val="007979B1"/>
    <w:rsid w:val="007A0B6A"/>
    <w:rsid w:val="007A0BC2"/>
    <w:rsid w:val="007A0CBF"/>
    <w:rsid w:val="007A134D"/>
    <w:rsid w:val="007A1646"/>
    <w:rsid w:val="007A1F44"/>
    <w:rsid w:val="007A20C9"/>
    <w:rsid w:val="007A2326"/>
    <w:rsid w:val="007A23FF"/>
    <w:rsid w:val="007A2741"/>
    <w:rsid w:val="007A295B"/>
    <w:rsid w:val="007A2988"/>
    <w:rsid w:val="007A3269"/>
    <w:rsid w:val="007A3424"/>
    <w:rsid w:val="007A35EF"/>
    <w:rsid w:val="007A38CC"/>
    <w:rsid w:val="007A3AF2"/>
    <w:rsid w:val="007A3BAF"/>
    <w:rsid w:val="007A43A2"/>
    <w:rsid w:val="007A4648"/>
    <w:rsid w:val="007A4892"/>
    <w:rsid w:val="007A4A0E"/>
    <w:rsid w:val="007A4D04"/>
    <w:rsid w:val="007A515D"/>
    <w:rsid w:val="007A5457"/>
    <w:rsid w:val="007A56D6"/>
    <w:rsid w:val="007A57CC"/>
    <w:rsid w:val="007A57DB"/>
    <w:rsid w:val="007A5883"/>
    <w:rsid w:val="007A5914"/>
    <w:rsid w:val="007A6516"/>
    <w:rsid w:val="007A6EE3"/>
    <w:rsid w:val="007A7043"/>
    <w:rsid w:val="007A7A96"/>
    <w:rsid w:val="007A7B4D"/>
    <w:rsid w:val="007A7C75"/>
    <w:rsid w:val="007A7CD9"/>
    <w:rsid w:val="007B03AF"/>
    <w:rsid w:val="007B03C2"/>
    <w:rsid w:val="007B0DFE"/>
    <w:rsid w:val="007B1543"/>
    <w:rsid w:val="007B15F3"/>
    <w:rsid w:val="007B17CE"/>
    <w:rsid w:val="007B1AC0"/>
    <w:rsid w:val="007B1C9B"/>
    <w:rsid w:val="007B21BF"/>
    <w:rsid w:val="007B22EA"/>
    <w:rsid w:val="007B24DC"/>
    <w:rsid w:val="007B270A"/>
    <w:rsid w:val="007B272C"/>
    <w:rsid w:val="007B2903"/>
    <w:rsid w:val="007B2D3B"/>
    <w:rsid w:val="007B2D56"/>
    <w:rsid w:val="007B384D"/>
    <w:rsid w:val="007B40A5"/>
    <w:rsid w:val="007B40FC"/>
    <w:rsid w:val="007B49A6"/>
    <w:rsid w:val="007B5117"/>
    <w:rsid w:val="007B5197"/>
    <w:rsid w:val="007B52CD"/>
    <w:rsid w:val="007B5A74"/>
    <w:rsid w:val="007B609C"/>
    <w:rsid w:val="007B6227"/>
    <w:rsid w:val="007B6812"/>
    <w:rsid w:val="007B6C7F"/>
    <w:rsid w:val="007B7962"/>
    <w:rsid w:val="007B7DC1"/>
    <w:rsid w:val="007B7EDB"/>
    <w:rsid w:val="007B7FE8"/>
    <w:rsid w:val="007C0FBC"/>
    <w:rsid w:val="007C1376"/>
    <w:rsid w:val="007C1380"/>
    <w:rsid w:val="007C19AD"/>
    <w:rsid w:val="007C1A71"/>
    <w:rsid w:val="007C233F"/>
    <w:rsid w:val="007C28F5"/>
    <w:rsid w:val="007C2E0E"/>
    <w:rsid w:val="007C3598"/>
    <w:rsid w:val="007C36CA"/>
    <w:rsid w:val="007C373A"/>
    <w:rsid w:val="007C3B51"/>
    <w:rsid w:val="007C3B8A"/>
    <w:rsid w:val="007C3DF1"/>
    <w:rsid w:val="007C3F4F"/>
    <w:rsid w:val="007C3FA8"/>
    <w:rsid w:val="007C4D0A"/>
    <w:rsid w:val="007C4DB3"/>
    <w:rsid w:val="007C4F95"/>
    <w:rsid w:val="007C52CA"/>
    <w:rsid w:val="007C57A7"/>
    <w:rsid w:val="007C5F43"/>
    <w:rsid w:val="007C68B2"/>
    <w:rsid w:val="007C68DA"/>
    <w:rsid w:val="007C694C"/>
    <w:rsid w:val="007C6AFB"/>
    <w:rsid w:val="007C6F32"/>
    <w:rsid w:val="007C7553"/>
    <w:rsid w:val="007C7940"/>
    <w:rsid w:val="007C7A97"/>
    <w:rsid w:val="007C7F79"/>
    <w:rsid w:val="007D0093"/>
    <w:rsid w:val="007D05A3"/>
    <w:rsid w:val="007D0973"/>
    <w:rsid w:val="007D131B"/>
    <w:rsid w:val="007D1A20"/>
    <w:rsid w:val="007D229A"/>
    <w:rsid w:val="007D248B"/>
    <w:rsid w:val="007D2EFF"/>
    <w:rsid w:val="007D2F44"/>
    <w:rsid w:val="007D2F4D"/>
    <w:rsid w:val="007D3686"/>
    <w:rsid w:val="007D37A7"/>
    <w:rsid w:val="007D3A69"/>
    <w:rsid w:val="007D4178"/>
    <w:rsid w:val="007D41C4"/>
    <w:rsid w:val="007D4278"/>
    <w:rsid w:val="007D4330"/>
    <w:rsid w:val="007D4D33"/>
    <w:rsid w:val="007D546F"/>
    <w:rsid w:val="007D5986"/>
    <w:rsid w:val="007D59A8"/>
    <w:rsid w:val="007D673F"/>
    <w:rsid w:val="007D7175"/>
    <w:rsid w:val="007D72F1"/>
    <w:rsid w:val="007D7454"/>
    <w:rsid w:val="007D7611"/>
    <w:rsid w:val="007D78A2"/>
    <w:rsid w:val="007D7CFA"/>
    <w:rsid w:val="007E076F"/>
    <w:rsid w:val="007E0B26"/>
    <w:rsid w:val="007E0CD6"/>
    <w:rsid w:val="007E0FF9"/>
    <w:rsid w:val="007E134E"/>
    <w:rsid w:val="007E1369"/>
    <w:rsid w:val="007E1455"/>
    <w:rsid w:val="007E1A1B"/>
    <w:rsid w:val="007E1A88"/>
    <w:rsid w:val="007E1B11"/>
    <w:rsid w:val="007E2899"/>
    <w:rsid w:val="007E36C5"/>
    <w:rsid w:val="007E373E"/>
    <w:rsid w:val="007E3F2A"/>
    <w:rsid w:val="007E41F8"/>
    <w:rsid w:val="007E43EF"/>
    <w:rsid w:val="007E4678"/>
    <w:rsid w:val="007E46A1"/>
    <w:rsid w:val="007E473F"/>
    <w:rsid w:val="007E4795"/>
    <w:rsid w:val="007E4C65"/>
    <w:rsid w:val="007E4C88"/>
    <w:rsid w:val="007E4C95"/>
    <w:rsid w:val="007E539E"/>
    <w:rsid w:val="007E585E"/>
    <w:rsid w:val="007E5CA9"/>
    <w:rsid w:val="007E5E49"/>
    <w:rsid w:val="007E6571"/>
    <w:rsid w:val="007E67AE"/>
    <w:rsid w:val="007E6AF5"/>
    <w:rsid w:val="007E6BEB"/>
    <w:rsid w:val="007E6FC4"/>
    <w:rsid w:val="007E7434"/>
    <w:rsid w:val="007E747E"/>
    <w:rsid w:val="007E7619"/>
    <w:rsid w:val="007E7A47"/>
    <w:rsid w:val="007E7B10"/>
    <w:rsid w:val="007E7D3A"/>
    <w:rsid w:val="007E7DB7"/>
    <w:rsid w:val="007E7DDF"/>
    <w:rsid w:val="007F01ED"/>
    <w:rsid w:val="007F0F81"/>
    <w:rsid w:val="007F11C8"/>
    <w:rsid w:val="007F11EE"/>
    <w:rsid w:val="007F1C1F"/>
    <w:rsid w:val="007F1CFB"/>
    <w:rsid w:val="007F202C"/>
    <w:rsid w:val="007F20CC"/>
    <w:rsid w:val="007F220B"/>
    <w:rsid w:val="007F22E9"/>
    <w:rsid w:val="007F27DD"/>
    <w:rsid w:val="007F30DC"/>
    <w:rsid w:val="007F34B3"/>
    <w:rsid w:val="007F359B"/>
    <w:rsid w:val="007F3838"/>
    <w:rsid w:val="007F38A4"/>
    <w:rsid w:val="007F3D0E"/>
    <w:rsid w:val="007F428C"/>
    <w:rsid w:val="007F437F"/>
    <w:rsid w:val="007F4AE1"/>
    <w:rsid w:val="007F4B5E"/>
    <w:rsid w:val="007F4C2F"/>
    <w:rsid w:val="007F5247"/>
    <w:rsid w:val="007F543E"/>
    <w:rsid w:val="007F581B"/>
    <w:rsid w:val="007F5A8C"/>
    <w:rsid w:val="007F5D62"/>
    <w:rsid w:val="007F685B"/>
    <w:rsid w:val="007F6880"/>
    <w:rsid w:val="007F68B5"/>
    <w:rsid w:val="007F717A"/>
    <w:rsid w:val="007F74CD"/>
    <w:rsid w:val="007F75D2"/>
    <w:rsid w:val="007F76B4"/>
    <w:rsid w:val="008001B4"/>
    <w:rsid w:val="00800769"/>
    <w:rsid w:val="00800ED2"/>
    <w:rsid w:val="0080128B"/>
    <w:rsid w:val="00801605"/>
    <w:rsid w:val="008017CB"/>
    <w:rsid w:val="00801D51"/>
    <w:rsid w:val="008020ED"/>
    <w:rsid w:val="0080220D"/>
    <w:rsid w:val="008022E7"/>
    <w:rsid w:val="008026D2"/>
    <w:rsid w:val="008026F9"/>
    <w:rsid w:val="00802A95"/>
    <w:rsid w:val="00802E74"/>
    <w:rsid w:val="00802F09"/>
    <w:rsid w:val="00803C39"/>
    <w:rsid w:val="00803DC2"/>
    <w:rsid w:val="00804095"/>
    <w:rsid w:val="008044CB"/>
    <w:rsid w:val="00804B92"/>
    <w:rsid w:val="00804E21"/>
    <w:rsid w:val="00805092"/>
    <w:rsid w:val="00805170"/>
    <w:rsid w:val="00805330"/>
    <w:rsid w:val="00805614"/>
    <w:rsid w:val="00805960"/>
    <w:rsid w:val="00805FF3"/>
    <w:rsid w:val="008060A7"/>
    <w:rsid w:val="00806717"/>
    <w:rsid w:val="008067AC"/>
    <w:rsid w:val="00806937"/>
    <w:rsid w:val="00806AAF"/>
    <w:rsid w:val="00806F60"/>
    <w:rsid w:val="00807007"/>
    <w:rsid w:val="008070AC"/>
    <w:rsid w:val="0080780D"/>
    <w:rsid w:val="00807A7E"/>
    <w:rsid w:val="008101FD"/>
    <w:rsid w:val="00810AE0"/>
    <w:rsid w:val="00810D8D"/>
    <w:rsid w:val="00810F35"/>
    <w:rsid w:val="00810F5A"/>
    <w:rsid w:val="008111CC"/>
    <w:rsid w:val="00811401"/>
    <w:rsid w:val="00811835"/>
    <w:rsid w:val="00811862"/>
    <w:rsid w:val="00811B04"/>
    <w:rsid w:val="0081225C"/>
    <w:rsid w:val="00812602"/>
    <w:rsid w:val="008128F2"/>
    <w:rsid w:val="00812D17"/>
    <w:rsid w:val="00812E6B"/>
    <w:rsid w:val="00812F25"/>
    <w:rsid w:val="008139A2"/>
    <w:rsid w:val="00814034"/>
    <w:rsid w:val="008146CC"/>
    <w:rsid w:val="0081493B"/>
    <w:rsid w:val="00814EB6"/>
    <w:rsid w:val="0081521A"/>
    <w:rsid w:val="00815392"/>
    <w:rsid w:val="00815709"/>
    <w:rsid w:val="0081581D"/>
    <w:rsid w:val="008159BC"/>
    <w:rsid w:val="00816019"/>
    <w:rsid w:val="00816490"/>
    <w:rsid w:val="008167B7"/>
    <w:rsid w:val="00816D11"/>
    <w:rsid w:val="00816DBA"/>
    <w:rsid w:val="008172BE"/>
    <w:rsid w:val="00817B71"/>
    <w:rsid w:val="00817BC9"/>
    <w:rsid w:val="00817C96"/>
    <w:rsid w:val="00820198"/>
    <w:rsid w:val="00820244"/>
    <w:rsid w:val="008207F1"/>
    <w:rsid w:val="00820CA3"/>
    <w:rsid w:val="00820F36"/>
    <w:rsid w:val="008214F5"/>
    <w:rsid w:val="00821671"/>
    <w:rsid w:val="008217F5"/>
    <w:rsid w:val="00821C2F"/>
    <w:rsid w:val="0082210D"/>
    <w:rsid w:val="008221B3"/>
    <w:rsid w:val="00822311"/>
    <w:rsid w:val="0082248E"/>
    <w:rsid w:val="008229D5"/>
    <w:rsid w:val="00822EA4"/>
    <w:rsid w:val="00823083"/>
    <w:rsid w:val="00823099"/>
    <w:rsid w:val="00823136"/>
    <w:rsid w:val="00823365"/>
    <w:rsid w:val="00823B53"/>
    <w:rsid w:val="00823FB3"/>
    <w:rsid w:val="00824FDF"/>
    <w:rsid w:val="00825125"/>
    <w:rsid w:val="00825440"/>
    <w:rsid w:val="008255F5"/>
    <w:rsid w:val="008257CC"/>
    <w:rsid w:val="008263CA"/>
    <w:rsid w:val="00826B04"/>
    <w:rsid w:val="00826DC9"/>
    <w:rsid w:val="00826E72"/>
    <w:rsid w:val="00826ECC"/>
    <w:rsid w:val="008274BF"/>
    <w:rsid w:val="008275A6"/>
    <w:rsid w:val="00827BFC"/>
    <w:rsid w:val="00827EE8"/>
    <w:rsid w:val="00827F6A"/>
    <w:rsid w:val="0083056A"/>
    <w:rsid w:val="00830B96"/>
    <w:rsid w:val="00830B9A"/>
    <w:rsid w:val="00830DC3"/>
    <w:rsid w:val="00831014"/>
    <w:rsid w:val="00831170"/>
    <w:rsid w:val="0083119B"/>
    <w:rsid w:val="008312DB"/>
    <w:rsid w:val="00831555"/>
    <w:rsid w:val="00831F52"/>
    <w:rsid w:val="00831F79"/>
    <w:rsid w:val="00832154"/>
    <w:rsid w:val="008324D7"/>
    <w:rsid w:val="0083250F"/>
    <w:rsid w:val="0083270F"/>
    <w:rsid w:val="00832CEE"/>
    <w:rsid w:val="00832F5C"/>
    <w:rsid w:val="008333FC"/>
    <w:rsid w:val="00833536"/>
    <w:rsid w:val="008336B5"/>
    <w:rsid w:val="00833E29"/>
    <w:rsid w:val="00834112"/>
    <w:rsid w:val="00834342"/>
    <w:rsid w:val="00834AFD"/>
    <w:rsid w:val="00835092"/>
    <w:rsid w:val="00835380"/>
    <w:rsid w:val="0083543A"/>
    <w:rsid w:val="008359CD"/>
    <w:rsid w:val="008359E0"/>
    <w:rsid w:val="0083690A"/>
    <w:rsid w:val="008376F6"/>
    <w:rsid w:val="00837AA3"/>
    <w:rsid w:val="00837D5B"/>
    <w:rsid w:val="00840061"/>
    <w:rsid w:val="0084023B"/>
    <w:rsid w:val="008402B4"/>
    <w:rsid w:val="0084045B"/>
    <w:rsid w:val="00840607"/>
    <w:rsid w:val="00840AF7"/>
    <w:rsid w:val="00840C43"/>
    <w:rsid w:val="00840C8C"/>
    <w:rsid w:val="00841280"/>
    <w:rsid w:val="00841294"/>
    <w:rsid w:val="008413AA"/>
    <w:rsid w:val="00841792"/>
    <w:rsid w:val="00841A03"/>
    <w:rsid w:val="00841CD2"/>
    <w:rsid w:val="00842513"/>
    <w:rsid w:val="008429C0"/>
    <w:rsid w:val="00842B77"/>
    <w:rsid w:val="0084309F"/>
    <w:rsid w:val="0084325C"/>
    <w:rsid w:val="008437A6"/>
    <w:rsid w:val="00843E1E"/>
    <w:rsid w:val="00843E5A"/>
    <w:rsid w:val="00844336"/>
    <w:rsid w:val="00844AFF"/>
    <w:rsid w:val="0084534A"/>
    <w:rsid w:val="0084548F"/>
    <w:rsid w:val="008456CA"/>
    <w:rsid w:val="008456E8"/>
    <w:rsid w:val="008457C9"/>
    <w:rsid w:val="00845B3B"/>
    <w:rsid w:val="00845C12"/>
    <w:rsid w:val="00845DA2"/>
    <w:rsid w:val="0084624C"/>
    <w:rsid w:val="0084661C"/>
    <w:rsid w:val="00846749"/>
    <w:rsid w:val="008469D9"/>
    <w:rsid w:val="00846DC0"/>
    <w:rsid w:val="008474A7"/>
    <w:rsid w:val="0084792D"/>
    <w:rsid w:val="0084796F"/>
    <w:rsid w:val="00847C08"/>
    <w:rsid w:val="00847CA8"/>
    <w:rsid w:val="00847CDF"/>
    <w:rsid w:val="0085013E"/>
    <w:rsid w:val="008503E2"/>
    <w:rsid w:val="008506B6"/>
    <w:rsid w:val="008507FA"/>
    <w:rsid w:val="00850AE0"/>
    <w:rsid w:val="00850C2A"/>
    <w:rsid w:val="00850C59"/>
    <w:rsid w:val="00850F34"/>
    <w:rsid w:val="008512D3"/>
    <w:rsid w:val="008517D9"/>
    <w:rsid w:val="0085196D"/>
    <w:rsid w:val="0085228C"/>
    <w:rsid w:val="008524D2"/>
    <w:rsid w:val="008527DB"/>
    <w:rsid w:val="008529C0"/>
    <w:rsid w:val="00852E19"/>
    <w:rsid w:val="00853706"/>
    <w:rsid w:val="00853EDD"/>
    <w:rsid w:val="0085401F"/>
    <w:rsid w:val="00854209"/>
    <w:rsid w:val="008547F6"/>
    <w:rsid w:val="00854C7F"/>
    <w:rsid w:val="008554D3"/>
    <w:rsid w:val="008557B5"/>
    <w:rsid w:val="00855C87"/>
    <w:rsid w:val="00855E12"/>
    <w:rsid w:val="00855F1F"/>
    <w:rsid w:val="00856833"/>
    <w:rsid w:val="00856840"/>
    <w:rsid w:val="00856D9B"/>
    <w:rsid w:val="0085777B"/>
    <w:rsid w:val="008577AC"/>
    <w:rsid w:val="008579E1"/>
    <w:rsid w:val="008606CD"/>
    <w:rsid w:val="0086087C"/>
    <w:rsid w:val="0086098A"/>
    <w:rsid w:val="00860D8E"/>
    <w:rsid w:val="00860DED"/>
    <w:rsid w:val="00861101"/>
    <w:rsid w:val="008612CF"/>
    <w:rsid w:val="00861B1F"/>
    <w:rsid w:val="008625D5"/>
    <w:rsid w:val="008626E2"/>
    <w:rsid w:val="0086275E"/>
    <w:rsid w:val="0086299A"/>
    <w:rsid w:val="00862F10"/>
    <w:rsid w:val="00863A70"/>
    <w:rsid w:val="00863FA6"/>
    <w:rsid w:val="00864186"/>
    <w:rsid w:val="00864440"/>
    <w:rsid w:val="008648F2"/>
    <w:rsid w:val="00864CEC"/>
    <w:rsid w:val="00864D76"/>
    <w:rsid w:val="008650FC"/>
    <w:rsid w:val="00865AF0"/>
    <w:rsid w:val="00865D77"/>
    <w:rsid w:val="008660A3"/>
    <w:rsid w:val="008665CF"/>
    <w:rsid w:val="0086666D"/>
    <w:rsid w:val="00866902"/>
    <w:rsid w:val="00866BC9"/>
    <w:rsid w:val="00866EB3"/>
    <w:rsid w:val="00866FA2"/>
    <w:rsid w:val="0086701A"/>
    <w:rsid w:val="00867A0D"/>
    <w:rsid w:val="00867AEA"/>
    <w:rsid w:val="00867BD2"/>
    <w:rsid w:val="00867C5F"/>
    <w:rsid w:val="00867ED1"/>
    <w:rsid w:val="0087070C"/>
    <w:rsid w:val="00870A2C"/>
    <w:rsid w:val="0087103D"/>
    <w:rsid w:val="008712FD"/>
    <w:rsid w:val="008714A4"/>
    <w:rsid w:val="008714B8"/>
    <w:rsid w:val="008715A5"/>
    <w:rsid w:val="008716A1"/>
    <w:rsid w:val="008716D6"/>
    <w:rsid w:val="00872BEC"/>
    <w:rsid w:val="00872D3F"/>
    <w:rsid w:val="00872E1E"/>
    <w:rsid w:val="00872F71"/>
    <w:rsid w:val="008733E4"/>
    <w:rsid w:val="00873CDE"/>
    <w:rsid w:val="00873F15"/>
    <w:rsid w:val="00874096"/>
    <w:rsid w:val="008749AE"/>
    <w:rsid w:val="008751E9"/>
    <w:rsid w:val="008756A4"/>
    <w:rsid w:val="00875A8C"/>
    <w:rsid w:val="00875F73"/>
    <w:rsid w:val="00876120"/>
    <w:rsid w:val="00877906"/>
    <w:rsid w:val="0088032E"/>
    <w:rsid w:val="00880F30"/>
    <w:rsid w:val="008813D8"/>
    <w:rsid w:val="00881452"/>
    <w:rsid w:val="00881566"/>
    <w:rsid w:val="00881CC1"/>
    <w:rsid w:val="0088260B"/>
    <w:rsid w:val="008829CB"/>
    <w:rsid w:val="00882E02"/>
    <w:rsid w:val="00883304"/>
    <w:rsid w:val="008833E8"/>
    <w:rsid w:val="00883746"/>
    <w:rsid w:val="0088448B"/>
    <w:rsid w:val="008846F1"/>
    <w:rsid w:val="00885473"/>
    <w:rsid w:val="00885945"/>
    <w:rsid w:val="00885DF6"/>
    <w:rsid w:val="00886AA2"/>
    <w:rsid w:val="00886B29"/>
    <w:rsid w:val="00886ED5"/>
    <w:rsid w:val="0088776C"/>
    <w:rsid w:val="008879E2"/>
    <w:rsid w:val="00887B48"/>
    <w:rsid w:val="008909BF"/>
    <w:rsid w:val="00890A2C"/>
    <w:rsid w:val="00890EB7"/>
    <w:rsid w:val="008912E8"/>
    <w:rsid w:val="0089176E"/>
    <w:rsid w:val="008917E0"/>
    <w:rsid w:val="0089187A"/>
    <w:rsid w:val="00892321"/>
    <w:rsid w:val="00892365"/>
    <w:rsid w:val="008926E3"/>
    <w:rsid w:val="0089290B"/>
    <w:rsid w:val="00892A03"/>
    <w:rsid w:val="00892BE5"/>
    <w:rsid w:val="00892D55"/>
    <w:rsid w:val="00893581"/>
    <w:rsid w:val="0089387C"/>
    <w:rsid w:val="00893AFD"/>
    <w:rsid w:val="00893CB1"/>
    <w:rsid w:val="00894439"/>
    <w:rsid w:val="0089444E"/>
    <w:rsid w:val="008948F8"/>
    <w:rsid w:val="008949DF"/>
    <w:rsid w:val="00894C51"/>
    <w:rsid w:val="00894CDF"/>
    <w:rsid w:val="008951DB"/>
    <w:rsid w:val="008952C5"/>
    <w:rsid w:val="00895684"/>
    <w:rsid w:val="0089574D"/>
    <w:rsid w:val="00895D82"/>
    <w:rsid w:val="00895EE1"/>
    <w:rsid w:val="00896A17"/>
    <w:rsid w:val="00896C81"/>
    <w:rsid w:val="00896D41"/>
    <w:rsid w:val="00896D83"/>
    <w:rsid w:val="008970B4"/>
    <w:rsid w:val="00897B07"/>
    <w:rsid w:val="008A0244"/>
    <w:rsid w:val="008A0417"/>
    <w:rsid w:val="008A0AB2"/>
    <w:rsid w:val="008A0CFC"/>
    <w:rsid w:val="008A11C6"/>
    <w:rsid w:val="008A12FE"/>
    <w:rsid w:val="008A1326"/>
    <w:rsid w:val="008A1AC7"/>
    <w:rsid w:val="008A1D5F"/>
    <w:rsid w:val="008A1E75"/>
    <w:rsid w:val="008A236E"/>
    <w:rsid w:val="008A28B6"/>
    <w:rsid w:val="008A2915"/>
    <w:rsid w:val="008A2BB1"/>
    <w:rsid w:val="008A2CC7"/>
    <w:rsid w:val="008A2F36"/>
    <w:rsid w:val="008A31BE"/>
    <w:rsid w:val="008A32F6"/>
    <w:rsid w:val="008A3466"/>
    <w:rsid w:val="008A373A"/>
    <w:rsid w:val="008A389F"/>
    <w:rsid w:val="008A3A2A"/>
    <w:rsid w:val="008A3ADF"/>
    <w:rsid w:val="008A3D02"/>
    <w:rsid w:val="008A432B"/>
    <w:rsid w:val="008A45D1"/>
    <w:rsid w:val="008A5018"/>
    <w:rsid w:val="008A52AE"/>
    <w:rsid w:val="008A534E"/>
    <w:rsid w:val="008A5940"/>
    <w:rsid w:val="008A6244"/>
    <w:rsid w:val="008A6366"/>
    <w:rsid w:val="008A64B0"/>
    <w:rsid w:val="008A66CE"/>
    <w:rsid w:val="008A6A10"/>
    <w:rsid w:val="008A6E23"/>
    <w:rsid w:val="008A73B2"/>
    <w:rsid w:val="008B043F"/>
    <w:rsid w:val="008B078D"/>
    <w:rsid w:val="008B0808"/>
    <w:rsid w:val="008B0AEC"/>
    <w:rsid w:val="008B0BD9"/>
    <w:rsid w:val="008B10C3"/>
    <w:rsid w:val="008B10DC"/>
    <w:rsid w:val="008B10FC"/>
    <w:rsid w:val="008B1224"/>
    <w:rsid w:val="008B12BF"/>
    <w:rsid w:val="008B1D42"/>
    <w:rsid w:val="008B1E53"/>
    <w:rsid w:val="008B1E5B"/>
    <w:rsid w:val="008B295F"/>
    <w:rsid w:val="008B2AD1"/>
    <w:rsid w:val="008B2C95"/>
    <w:rsid w:val="008B2CA2"/>
    <w:rsid w:val="008B389D"/>
    <w:rsid w:val="008B3C5C"/>
    <w:rsid w:val="008B5299"/>
    <w:rsid w:val="008B53AD"/>
    <w:rsid w:val="008B5978"/>
    <w:rsid w:val="008B5A5F"/>
    <w:rsid w:val="008B5AB0"/>
    <w:rsid w:val="008B5BDC"/>
    <w:rsid w:val="008B6054"/>
    <w:rsid w:val="008B6A2F"/>
    <w:rsid w:val="008B6BF0"/>
    <w:rsid w:val="008B73A1"/>
    <w:rsid w:val="008B770F"/>
    <w:rsid w:val="008B7B08"/>
    <w:rsid w:val="008C074D"/>
    <w:rsid w:val="008C0E76"/>
    <w:rsid w:val="008C0FF4"/>
    <w:rsid w:val="008C13F0"/>
    <w:rsid w:val="008C143B"/>
    <w:rsid w:val="008C1673"/>
    <w:rsid w:val="008C16C1"/>
    <w:rsid w:val="008C1F26"/>
    <w:rsid w:val="008C2936"/>
    <w:rsid w:val="008C2940"/>
    <w:rsid w:val="008C2A3A"/>
    <w:rsid w:val="008C2B6B"/>
    <w:rsid w:val="008C32FC"/>
    <w:rsid w:val="008C333E"/>
    <w:rsid w:val="008C34FF"/>
    <w:rsid w:val="008C377A"/>
    <w:rsid w:val="008C3C0B"/>
    <w:rsid w:val="008C4C7E"/>
    <w:rsid w:val="008C59FC"/>
    <w:rsid w:val="008C5A2B"/>
    <w:rsid w:val="008C5C1A"/>
    <w:rsid w:val="008C5C46"/>
    <w:rsid w:val="008C5C8D"/>
    <w:rsid w:val="008C5D90"/>
    <w:rsid w:val="008C6184"/>
    <w:rsid w:val="008C6479"/>
    <w:rsid w:val="008C6CD7"/>
    <w:rsid w:val="008C6DBD"/>
    <w:rsid w:val="008C72AA"/>
    <w:rsid w:val="008C750E"/>
    <w:rsid w:val="008C785E"/>
    <w:rsid w:val="008C79B3"/>
    <w:rsid w:val="008C7A33"/>
    <w:rsid w:val="008C7ABA"/>
    <w:rsid w:val="008C7ADC"/>
    <w:rsid w:val="008D0715"/>
    <w:rsid w:val="008D085D"/>
    <w:rsid w:val="008D094F"/>
    <w:rsid w:val="008D0AFB"/>
    <w:rsid w:val="008D0D50"/>
    <w:rsid w:val="008D0E86"/>
    <w:rsid w:val="008D113B"/>
    <w:rsid w:val="008D124C"/>
    <w:rsid w:val="008D1511"/>
    <w:rsid w:val="008D16FE"/>
    <w:rsid w:val="008D23A6"/>
    <w:rsid w:val="008D2407"/>
    <w:rsid w:val="008D274C"/>
    <w:rsid w:val="008D2761"/>
    <w:rsid w:val="008D32DF"/>
    <w:rsid w:val="008D35E9"/>
    <w:rsid w:val="008D3781"/>
    <w:rsid w:val="008D385D"/>
    <w:rsid w:val="008D3959"/>
    <w:rsid w:val="008D3966"/>
    <w:rsid w:val="008D3D85"/>
    <w:rsid w:val="008D3F61"/>
    <w:rsid w:val="008D4352"/>
    <w:rsid w:val="008D4B03"/>
    <w:rsid w:val="008D55F7"/>
    <w:rsid w:val="008D5EFF"/>
    <w:rsid w:val="008D60BC"/>
    <w:rsid w:val="008D6AD4"/>
    <w:rsid w:val="008D6D7B"/>
    <w:rsid w:val="008D7149"/>
    <w:rsid w:val="008D721F"/>
    <w:rsid w:val="008D7EB7"/>
    <w:rsid w:val="008E0EB8"/>
    <w:rsid w:val="008E0FD9"/>
    <w:rsid w:val="008E10A6"/>
    <w:rsid w:val="008E1271"/>
    <w:rsid w:val="008E12E2"/>
    <w:rsid w:val="008E1AC5"/>
    <w:rsid w:val="008E1E62"/>
    <w:rsid w:val="008E20BF"/>
    <w:rsid w:val="008E2251"/>
    <w:rsid w:val="008E2388"/>
    <w:rsid w:val="008E242F"/>
    <w:rsid w:val="008E24B3"/>
    <w:rsid w:val="008E24CA"/>
    <w:rsid w:val="008E24F0"/>
    <w:rsid w:val="008E2F6E"/>
    <w:rsid w:val="008E31F8"/>
    <w:rsid w:val="008E36A7"/>
    <w:rsid w:val="008E38AD"/>
    <w:rsid w:val="008E3972"/>
    <w:rsid w:val="008E3B5B"/>
    <w:rsid w:val="008E3C8F"/>
    <w:rsid w:val="008E3CF8"/>
    <w:rsid w:val="008E3EEC"/>
    <w:rsid w:val="008E4069"/>
    <w:rsid w:val="008E4ADA"/>
    <w:rsid w:val="008E5112"/>
    <w:rsid w:val="008E526F"/>
    <w:rsid w:val="008E53E1"/>
    <w:rsid w:val="008E54E1"/>
    <w:rsid w:val="008E5BF2"/>
    <w:rsid w:val="008E5C81"/>
    <w:rsid w:val="008E62A1"/>
    <w:rsid w:val="008E6502"/>
    <w:rsid w:val="008E654C"/>
    <w:rsid w:val="008E659E"/>
    <w:rsid w:val="008E6B72"/>
    <w:rsid w:val="008E6CCC"/>
    <w:rsid w:val="008E6E9C"/>
    <w:rsid w:val="008E6EE7"/>
    <w:rsid w:val="008E75E2"/>
    <w:rsid w:val="008E7609"/>
    <w:rsid w:val="008E79A2"/>
    <w:rsid w:val="008E7FD1"/>
    <w:rsid w:val="008F021E"/>
    <w:rsid w:val="008F0220"/>
    <w:rsid w:val="008F080B"/>
    <w:rsid w:val="008F0879"/>
    <w:rsid w:val="008F0A38"/>
    <w:rsid w:val="008F0F84"/>
    <w:rsid w:val="008F1014"/>
    <w:rsid w:val="008F10DB"/>
    <w:rsid w:val="008F11C9"/>
    <w:rsid w:val="008F1AB9"/>
    <w:rsid w:val="008F1ACF"/>
    <w:rsid w:val="008F1E2A"/>
    <w:rsid w:val="008F23D8"/>
    <w:rsid w:val="008F2813"/>
    <w:rsid w:val="008F2A1F"/>
    <w:rsid w:val="008F2EF5"/>
    <w:rsid w:val="008F2FD5"/>
    <w:rsid w:val="008F3123"/>
    <w:rsid w:val="008F33E8"/>
    <w:rsid w:val="008F37E1"/>
    <w:rsid w:val="008F37E5"/>
    <w:rsid w:val="008F4589"/>
    <w:rsid w:val="008F48C2"/>
    <w:rsid w:val="008F4CD1"/>
    <w:rsid w:val="008F534F"/>
    <w:rsid w:val="008F5840"/>
    <w:rsid w:val="008F5EEF"/>
    <w:rsid w:val="008F61BC"/>
    <w:rsid w:val="008F66FE"/>
    <w:rsid w:val="008F6B66"/>
    <w:rsid w:val="008F6E3C"/>
    <w:rsid w:val="008F72CC"/>
    <w:rsid w:val="008F72CD"/>
    <w:rsid w:val="008F72FD"/>
    <w:rsid w:val="008F7541"/>
    <w:rsid w:val="008F79E7"/>
    <w:rsid w:val="008F7A4E"/>
    <w:rsid w:val="008F7E15"/>
    <w:rsid w:val="00900AC2"/>
    <w:rsid w:val="00900B45"/>
    <w:rsid w:val="00900B5F"/>
    <w:rsid w:val="00900BE8"/>
    <w:rsid w:val="00901E11"/>
    <w:rsid w:val="00901F16"/>
    <w:rsid w:val="009023A3"/>
    <w:rsid w:val="009025E1"/>
    <w:rsid w:val="009036D8"/>
    <w:rsid w:val="00903802"/>
    <w:rsid w:val="0090396A"/>
    <w:rsid w:val="00903D37"/>
    <w:rsid w:val="00904021"/>
    <w:rsid w:val="0090438F"/>
    <w:rsid w:val="00904AEB"/>
    <w:rsid w:val="00905537"/>
    <w:rsid w:val="00905B44"/>
    <w:rsid w:val="0090696D"/>
    <w:rsid w:val="00906A36"/>
    <w:rsid w:val="00906CD6"/>
    <w:rsid w:val="00906E4D"/>
    <w:rsid w:val="00906F31"/>
    <w:rsid w:val="00906F6C"/>
    <w:rsid w:val="009078B3"/>
    <w:rsid w:val="00907A77"/>
    <w:rsid w:val="00907E00"/>
    <w:rsid w:val="009100DC"/>
    <w:rsid w:val="0091012F"/>
    <w:rsid w:val="009104BA"/>
    <w:rsid w:val="0091088D"/>
    <w:rsid w:val="00910F19"/>
    <w:rsid w:val="00910FA4"/>
    <w:rsid w:val="00910FC9"/>
    <w:rsid w:val="00911389"/>
    <w:rsid w:val="0091156D"/>
    <w:rsid w:val="009117B8"/>
    <w:rsid w:val="00911926"/>
    <w:rsid w:val="0091246A"/>
    <w:rsid w:val="00912502"/>
    <w:rsid w:val="009127EA"/>
    <w:rsid w:val="0091291A"/>
    <w:rsid w:val="00912964"/>
    <w:rsid w:val="00912CBB"/>
    <w:rsid w:val="00913377"/>
    <w:rsid w:val="00913612"/>
    <w:rsid w:val="0091366A"/>
    <w:rsid w:val="00913824"/>
    <w:rsid w:val="00914927"/>
    <w:rsid w:val="00914D7F"/>
    <w:rsid w:val="00915757"/>
    <w:rsid w:val="009159B3"/>
    <w:rsid w:val="00915A77"/>
    <w:rsid w:val="00916013"/>
    <w:rsid w:val="0091602C"/>
    <w:rsid w:val="0091613E"/>
    <w:rsid w:val="00916181"/>
    <w:rsid w:val="009166D5"/>
    <w:rsid w:val="00917128"/>
    <w:rsid w:val="00917274"/>
    <w:rsid w:val="00917986"/>
    <w:rsid w:val="00917B94"/>
    <w:rsid w:val="00917F68"/>
    <w:rsid w:val="00920400"/>
    <w:rsid w:val="009204C5"/>
    <w:rsid w:val="0092096E"/>
    <w:rsid w:val="00920C39"/>
    <w:rsid w:val="00921796"/>
    <w:rsid w:val="0092180D"/>
    <w:rsid w:val="00921885"/>
    <w:rsid w:val="009219B2"/>
    <w:rsid w:val="009219D6"/>
    <w:rsid w:val="009221FD"/>
    <w:rsid w:val="00922472"/>
    <w:rsid w:val="0092285E"/>
    <w:rsid w:val="0092319A"/>
    <w:rsid w:val="009232C9"/>
    <w:rsid w:val="00923608"/>
    <w:rsid w:val="0092365A"/>
    <w:rsid w:val="009238E5"/>
    <w:rsid w:val="00923F12"/>
    <w:rsid w:val="0092415B"/>
    <w:rsid w:val="009246BC"/>
    <w:rsid w:val="00924C3B"/>
    <w:rsid w:val="00924FA8"/>
    <w:rsid w:val="00924FF8"/>
    <w:rsid w:val="00925BA8"/>
    <w:rsid w:val="00925BD4"/>
    <w:rsid w:val="009260CB"/>
    <w:rsid w:val="00926630"/>
    <w:rsid w:val="00926DA7"/>
    <w:rsid w:val="00926FDE"/>
    <w:rsid w:val="009275C1"/>
    <w:rsid w:val="00927F8B"/>
    <w:rsid w:val="0093008A"/>
    <w:rsid w:val="0093036A"/>
    <w:rsid w:val="0093094D"/>
    <w:rsid w:val="009309FE"/>
    <w:rsid w:val="00930A72"/>
    <w:rsid w:val="009313D2"/>
    <w:rsid w:val="00931688"/>
    <w:rsid w:val="00931FE9"/>
    <w:rsid w:val="00932293"/>
    <w:rsid w:val="00932576"/>
    <w:rsid w:val="009326B6"/>
    <w:rsid w:val="009328C7"/>
    <w:rsid w:val="00932B22"/>
    <w:rsid w:val="00933618"/>
    <w:rsid w:val="009336EC"/>
    <w:rsid w:val="00933F56"/>
    <w:rsid w:val="00934C13"/>
    <w:rsid w:val="00934FE2"/>
    <w:rsid w:val="009351F3"/>
    <w:rsid w:val="00935228"/>
    <w:rsid w:val="00935482"/>
    <w:rsid w:val="009355A2"/>
    <w:rsid w:val="009355A4"/>
    <w:rsid w:val="00935D3E"/>
    <w:rsid w:val="00935F9E"/>
    <w:rsid w:val="0093629E"/>
    <w:rsid w:val="009362B9"/>
    <w:rsid w:val="009363CB"/>
    <w:rsid w:val="0093649B"/>
    <w:rsid w:val="009364EC"/>
    <w:rsid w:val="00936CA6"/>
    <w:rsid w:val="00936D36"/>
    <w:rsid w:val="00936D98"/>
    <w:rsid w:val="0093709C"/>
    <w:rsid w:val="009370F5"/>
    <w:rsid w:val="009377E4"/>
    <w:rsid w:val="00937AE4"/>
    <w:rsid w:val="00937FF5"/>
    <w:rsid w:val="0094151C"/>
    <w:rsid w:val="00941ACA"/>
    <w:rsid w:val="00941B72"/>
    <w:rsid w:val="00941BDF"/>
    <w:rsid w:val="00941D50"/>
    <w:rsid w:val="009426CA"/>
    <w:rsid w:val="00942795"/>
    <w:rsid w:val="00942975"/>
    <w:rsid w:val="00942B09"/>
    <w:rsid w:val="00942C80"/>
    <w:rsid w:val="00943197"/>
    <w:rsid w:val="009434C0"/>
    <w:rsid w:val="009435F2"/>
    <w:rsid w:val="00943867"/>
    <w:rsid w:val="00944485"/>
    <w:rsid w:val="00944B39"/>
    <w:rsid w:val="00944B4E"/>
    <w:rsid w:val="00944BE0"/>
    <w:rsid w:val="00945180"/>
    <w:rsid w:val="00945581"/>
    <w:rsid w:val="009455FF"/>
    <w:rsid w:val="00945630"/>
    <w:rsid w:val="0094590C"/>
    <w:rsid w:val="00945ED2"/>
    <w:rsid w:val="00946355"/>
    <w:rsid w:val="009468B7"/>
    <w:rsid w:val="00947231"/>
    <w:rsid w:val="0094724E"/>
    <w:rsid w:val="00947973"/>
    <w:rsid w:val="00947BE6"/>
    <w:rsid w:val="00950135"/>
    <w:rsid w:val="0095048D"/>
    <w:rsid w:val="009509A1"/>
    <w:rsid w:val="00950BE5"/>
    <w:rsid w:val="00950FDF"/>
    <w:rsid w:val="009512A2"/>
    <w:rsid w:val="00951441"/>
    <w:rsid w:val="00951ADB"/>
    <w:rsid w:val="009529D7"/>
    <w:rsid w:val="009535CB"/>
    <w:rsid w:val="009536AC"/>
    <w:rsid w:val="0095375B"/>
    <w:rsid w:val="0095380C"/>
    <w:rsid w:val="00953AE7"/>
    <w:rsid w:val="00953B36"/>
    <w:rsid w:val="00953DF5"/>
    <w:rsid w:val="00954353"/>
    <w:rsid w:val="00954468"/>
    <w:rsid w:val="009545DB"/>
    <w:rsid w:val="009556DC"/>
    <w:rsid w:val="00955B33"/>
    <w:rsid w:val="00955C0A"/>
    <w:rsid w:val="00955C19"/>
    <w:rsid w:val="00955C4F"/>
    <w:rsid w:val="0095664E"/>
    <w:rsid w:val="00956821"/>
    <w:rsid w:val="00956A84"/>
    <w:rsid w:val="009602E9"/>
    <w:rsid w:val="0096038F"/>
    <w:rsid w:val="00960690"/>
    <w:rsid w:val="00960836"/>
    <w:rsid w:val="0096084D"/>
    <w:rsid w:val="009610B4"/>
    <w:rsid w:val="00961189"/>
    <w:rsid w:val="00961414"/>
    <w:rsid w:val="009614CE"/>
    <w:rsid w:val="00961F7E"/>
    <w:rsid w:val="00962143"/>
    <w:rsid w:val="0096260D"/>
    <w:rsid w:val="00962972"/>
    <w:rsid w:val="00962B5B"/>
    <w:rsid w:val="009631A6"/>
    <w:rsid w:val="009631F4"/>
    <w:rsid w:val="0096343B"/>
    <w:rsid w:val="009637A6"/>
    <w:rsid w:val="00963881"/>
    <w:rsid w:val="00964A12"/>
    <w:rsid w:val="00964AA2"/>
    <w:rsid w:val="00964EC2"/>
    <w:rsid w:val="00965137"/>
    <w:rsid w:val="009651CC"/>
    <w:rsid w:val="0096541E"/>
    <w:rsid w:val="009657F1"/>
    <w:rsid w:val="009658A6"/>
    <w:rsid w:val="00965BD7"/>
    <w:rsid w:val="00966094"/>
    <w:rsid w:val="00966125"/>
    <w:rsid w:val="009661CC"/>
    <w:rsid w:val="0096625D"/>
    <w:rsid w:val="009663F8"/>
    <w:rsid w:val="00966D25"/>
    <w:rsid w:val="00966DCA"/>
    <w:rsid w:val="0096720D"/>
    <w:rsid w:val="00967240"/>
    <w:rsid w:val="00967F49"/>
    <w:rsid w:val="00970018"/>
    <w:rsid w:val="00970123"/>
    <w:rsid w:val="009709F8"/>
    <w:rsid w:val="00970E4A"/>
    <w:rsid w:val="0097123F"/>
    <w:rsid w:val="009712A7"/>
    <w:rsid w:val="0097130E"/>
    <w:rsid w:val="009721F7"/>
    <w:rsid w:val="00972929"/>
    <w:rsid w:val="00972F91"/>
    <w:rsid w:val="00973065"/>
    <w:rsid w:val="0097381F"/>
    <w:rsid w:val="00973827"/>
    <w:rsid w:val="00973C1C"/>
    <w:rsid w:val="009742D3"/>
    <w:rsid w:val="009745A0"/>
    <w:rsid w:val="009749FC"/>
    <w:rsid w:val="00974A1E"/>
    <w:rsid w:val="00974E88"/>
    <w:rsid w:val="00974F47"/>
    <w:rsid w:val="0097536D"/>
    <w:rsid w:val="009754BE"/>
    <w:rsid w:val="009757FB"/>
    <w:rsid w:val="00975840"/>
    <w:rsid w:val="00975C54"/>
    <w:rsid w:val="00976249"/>
    <w:rsid w:val="00976453"/>
    <w:rsid w:val="00976A82"/>
    <w:rsid w:val="00976EF6"/>
    <w:rsid w:val="00977342"/>
    <w:rsid w:val="00977BA7"/>
    <w:rsid w:val="00977E5E"/>
    <w:rsid w:val="00980517"/>
    <w:rsid w:val="0098072C"/>
    <w:rsid w:val="00980DAE"/>
    <w:rsid w:val="00980E74"/>
    <w:rsid w:val="009815CB"/>
    <w:rsid w:val="00981855"/>
    <w:rsid w:val="009818A0"/>
    <w:rsid w:val="0098194F"/>
    <w:rsid w:val="00981BE5"/>
    <w:rsid w:val="009823F2"/>
    <w:rsid w:val="00982564"/>
    <w:rsid w:val="009826C8"/>
    <w:rsid w:val="00982722"/>
    <w:rsid w:val="00982A0D"/>
    <w:rsid w:val="009836E4"/>
    <w:rsid w:val="009837AC"/>
    <w:rsid w:val="009837B6"/>
    <w:rsid w:val="00983CAB"/>
    <w:rsid w:val="009840EE"/>
    <w:rsid w:val="0098412F"/>
    <w:rsid w:val="00984605"/>
    <w:rsid w:val="00984AD7"/>
    <w:rsid w:val="00984C54"/>
    <w:rsid w:val="00985F28"/>
    <w:rsid w:val="00986149"/>
    <w:rsid w:val="00986176"/>
    <w:rsid w:val="0098643F"/>
    <w:rsid w:val="0098649F"/>
    <w:rsid w:val="00986B9B"/>
    <w:rsid w:val="00986D33"/>
    <w:rsid w:val="00986E7F"/>
    <w:rsid w:val="00987139"/>
    <w:rsid w:val="00987536"/>
    <w:rsid w:val="009875D5"/>
    <w:rsid w:val="00987819"/>
    <w:rsid w:val="00987C86"/>
    <w:rsid w:val="00987CB1"/>
    <w:rsid w:val="00987DF2"/>
    <w:rsid w:val="00990267"/>
    <w:rsid w:val="00990441"/>
    <w:rsid w:val="009904B6"/>
    <w:rsid w:val="009907B0"/>
    <w:rsid w:val="00990867"/>
    <w:rsid w:val="00990BD5"/>
    <w:rsid w:val="0099196F"/>
    <w:rsid w:val="00991C9C"/>
    <w:rsid w:val="00991DCD"/>
    <w:rsid w:val="0099213F"/>
    <w:rsid w:val="00992171"/>
    <w:rsid w:val="0099223F"/>
    <w:rsid w:val="00992601"/>
    <w:rsid w:val="00992B61"/>
    <w:rsid w:val="00992B98"/>
    <w:rsid w:val="00992C57"/>
    <w:rsid w:val="0099359F"/>
    <w:rsid w:val="009940E4"/>
    <w:rsid w:val="0099428D"/>
    <w:rsid w:val="00994871"/>
    <w:rsid w:val="0099499A"/>
    <w:rsid w:val="00994E08"/>
    <w:rsid w:val="009951F9"/>
    <w:rsid w:val="009955FB"/>
    <w:rsid w:val="009958B0"/>
    <w:rsid w:val="00995C95"/>
    <w:rsid w:val="00995E85"/>
    <w:rsid w:val="00996468"/>
    <w:rsid w:val="009967B7"/>
    <w:rsid w:val="00996850"/>
    <w:rsid w:val="00996876"/>
    <w:rsid w:val="00996E03"/>
    <w:rsid w:val="00996FFA"/>
    <w:rsid w:val="009973F1"/>
    <w:rsid w:val="009973F3"/>
    <w:rsid w:val="00997B04"/>
    <w:rsid w:val="00997F0E"/>
    <w:rsid w:val="009A010D"/>
    <w:rsid w:val="009A0637"/>
    <w:rsid w:val="009A067A"/>
    <w:rsid w:val="009A0ADD"/>
    <w:rsid w:val="009A0C6F"/>
    <w:rsid w:val="009A14EF"/>
    <w:rsid w:val="009A1CD3"/>
    <w:rsid w:val="009A224F"/>
    <w:rsid w:val="009A2C79"/>
    <w:rsid w:val="009A2D5E"/>
    <w:rsid w:val="009A2DF9"/>
    <w:rsid w:val="009A344F"/>
    <w:rsid w:val="009A3A86"/>
    <w:rsid w:val="009A410D"/>
    <w:rsid w:val="009A4780"/>
    <w:rsid w:val="009A4869"/>
    <w:rsid w:val="009A4AC8"/>
    <w:rsid w:val="009A5080"/>
    <w:rsid w:val="009A5458"/>
    <w:rsid w:val="009A5983"/>
    <w:rsid w:val="009A5D7A"/>
    <w:rsid w:val="009A606E"/>
    <w:rsid w:val="009A6A6B"/>
    <w:rsid w:val="009A737B"/>
    <w:rsid w:val="009A77F1"/>
    <w:rsid w:val="009B0BA6"/>
    <w:rsid w:val="009B0FBF"/>
    <w:rsid w:val="009B1B6A"/>
    <w:rsid w:val="009B1EF9"/>
    <w:rsid w:val="009B242B"/>
    <w:rsid w:val="009B2515"/>
    <w:rsid w:val="009B26AC"/>
    <w:rsid w:val="009B2926"/>
    <w:rsid w:val="009B37E2"/>
    <w:rsid w:val="009B3CC2"/>
    <w:rsid w:val="009B3ECE"/>
    <w:rsid w:val="009B440F"/>
    <w:rsid w:val="009B4514"/>
    <w:rsid w:val="009B4519"/>
    <w:rsid w:val="009B506B"/>
    <w:rsid w:val="009B510A"/>
    <w:rsid w:val="009B54E7"/>
    <w:rsid w:val="009B57EF"/>
    <w:rsid w:val="009B5B85"/>
    <w:rsid w:val="009B5F54"/>
    <w:rsid w:val="009B6DC8"/>
    <w:rsid w:val="009B7204"/>
    <w:rsid w:val="009B773F"/>
    <w:rsid w:val="009B7AE2"/>
    <w:rsid w:val="009B7D8F"/>
    <w:rsid w:val="009C0074"/>
    <w:rsid w:val="009C0564"/>
    <w:rsid w:val="009C0937"/>
    <w:rsid w:val="009C0D69"/>
    <w:rsid w:val="009C19A4"/>
    <w:rsid w:val="009C1A99"/>
    <w:rsid w:val="009C209C"/>
    <w:rsid w:val="009C25DB"/>
    <w:rsid w:val="009C2685"/>
    <w:rsid w:val="009C3321"/>
    <w:rsid w:val="009C385B"/>
    <w:rsid w:val="009C39BC"/>
    <w:rsid w:val="009C40E6"/>
    <w:rsid w:val="009C4BC2"/>
    <w:rsid w:val="009C4D01"/>
    <w:rsid w:val="009C4D22"/>
    <w:rsid w:val="009C4F40"/>
    <w:rsid w:val="009C5356"/>
    <w:rsid w:val="009C5F17"/>
    <w:rsid w:val="009C63F2"/>
    <w:rsid w:val="009C6699"/>
    <w:rsid w:val="009C66A0"/>
    <w:rsid w:val="009C6F5C"/>
    <w:rsid w:val="009C7320"/>
    <w:rsid w:val="009C7A12"/>
    <w:rsid w:val="009C7D97"/>
    <w:rsid w:val="009D06C4"/>
    <w:rsid w:val="009D0729"/>
    <w:rsid w:val="009D078A"/>
    <w:rsid w:val="009D0846"/>
    <w:rsid w:val="009D0E12"/>
    <w:rsid w:val="009D0F66"/>
    <w:rsid w:val="009D0F82"/>
    <w:rsid w:val="009D1222"/>
    <w:rsid w:val="009D18C3"/>
    <w:rsid w:val="009D1A06"/>
    <w:rsid w:val="009D1BA4"/>
    <w:rsid w:val="009D1CF5"/>
    <w:rsid w:val="009D22E4"/>
    <w:rsid w:val="009D22F7"/>
    <w:rsid w:val="009D297E"/>
    <w:rsid w:val="009D316E"/>
    <w:rsid w:val="009D319C"/>
    <w:rsid w:val="009D32DF"/>
    <w:rsid w:val="009D387C"/>
    <w:rsid w:val="009D4316"/>
    <w:rsid w:val="009D4872"/>
    <w:rsid w:val="009D4F75"/>
    <w:rsid w:val="009D4F8F"/>
    <w:rsid w:val="009D56B7"/>
    <w:rsid w:val="009D5BAB"/>
    <w:rsid w:val="009D5CD2"/>
    <w:rsid w:val="009D64A1"/>
    <w:rsid w:val="009D66B1"/>
    <w:rsid w:val="009D6A0A"/>
    <w:rsid w:val="009D6A72"/>
    <w:rsid w:val="009D77C0"/>
    <w:rsid w:val="009D7CA8"/>
    <w:rsid w:val="009E012B"/>
    <w:rsid w:val="009E058F"/>
    <w:rsid w:val="009E0A9E"/>
    <w:rsid w:val="009E0ACD"/>
    <w:rsid w:val="009E0CEA"/>
    <w:rsid w:val="009E11E2"/>
    <w:rsid w:val="009E1917"/>
    <w:rsid w:val="009E19A2"/>
    <w:rsid w:val="009E26B9"/>
    <w:rsid w:val="009E2838"/>
    <w:rsid w:val="009E29D0"/>
    <w:rsid w:val="009E29EE"/>
    <w:rsid w:val="009E2B6F"/>
    <w:rsid w:val="009E3553"/>
    <w:rsid w:val="009E3AFD"/>
    <w:rsid w:val="009E3C1A"/>
    <w:rsid w:val="009E3CDD"/>
    <w:rsid w:val="009E4A5E"/>
    <w:rsid w:val="009E4B16"/>
    <w:rsid w:val="009E5C60"/>
    <w:rsid w:val="009E5E88"/>
    <w:rsid w:val="009E6092"/>
    <w:rsid w:val="009E64DB"/>
    <w:rsid w:val="009E6794"/>
    <w:rsid w:val="009E6E4F"/>
    <w:rsid w:val="009E7189"/>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27AD"/>
    <w:rsid w:val="009F2A16"/>
    <w:rsid w:val="009F30DC"/>
    <w:rsid w:val="009F3150"/>
    <w:rsid w:val="009F361D"/>
    <w:rsid w:val="009F3AC9"/>
    <w:rsid w:val="009F3BC6"/>
    <w:rsid w:val="009F3BD7"/>
    <w:rsid w:val="009F3E90"/>
    <w:rsid w:val="009F3EDB"/>
    <w:rsid w:val="009F3FB5"/>
    <w:rsid w:val="009F3FC0"/>
    <w:rsid w:val="009F40B3"/>
    <w:rsid w:val="009F4282"/>
    <w:rsid w:val="009F473D"/>
    <w:rsid w:val="009F4764"/>
    <w:rsid w:val="009F4B08"/>
    <w:rsid w:val="009F4BA1"/>
    <w:rsid w:val="009F521F"/>
    <w:rsid w:val="009F5252"/>
    <w:rsid w:val="009F5314"/>
    <w:rsid w:val="009F553C"/>
    <w:rsid w:val="009F59F8"/>
    <w:rsid w:val="009F5A15"/>
    <w:rsid w:val="009F5CBB"/>
    <w:rsid w:val="009F5F67"/>
    <w:rsid w:val="009F688D"/>
    <w:rsid w:val="009F71ED"/>
    <w:rsid w:val="009F798B"/>
    <w:rsid w:val="00A002D7"/>
    <w:rsid w:val="00A005B0"/>
    <w:rsid w:val="00A00B80"/>
    <w:rsid w:val="00A00CED"/>
    <w:rsid w:val="00A0102D"/>
    <w:rsid w:val="00A017AC"/>
    <w:rsid w:val="00A01A6D"/>
    <w:rsid w:val="00A01F17"/>
    <w:rsid w:val="00A022A5"/>
    <w:rsid w:val="00A02351"/>
    <w:rsid w:val="00A026BF"/>
    <w:rsid w:val="00A02B02"/>
    <w:rsid w:val="00A02EAD"/>
    <w:rsid w:val="00A0314B"/>
    <w:rsid w:val="00A031E8"/>
    <w:rsid w:val="00A03A22"/>
    <w:rsid w:val="00A03A3B"/>
    <w:rsid w:val="00A03BD7"/>
    <w:rsid w:val="00A03C2E"/>
    <w:rsid w:val="00A03E97"/>
    <w:rsid w:val="00A040E9"/>
    <w:rsid w:val="00A04601"/>
    <w:rsid w:val="00A04634"/>
    <w:rsid w:val="00A04705"/>
    <w:rsid w:val="00A04AE7"/>
    <w:rsid w:val="00A050C9"/>
    <w:rsid w:val="00A05501"/>
    <w:rsid w:val="00A05502"/>
    <w:rsid w:val="00A06119"/>
    <w:rsid w:val="00A075C0"/>
    <w:rsid w:val="00A077DB"/>
    <w:rsid w:val="00A0786A"/>
    <w:rsid w:val="00A07948"/>
    <w:rsid w:val="00A07A48"/>
    <w:rsid w:val="00A07B3D"/>
    <w:rsid w:val="00A07E86"/>
    <w:rsid w:val="00A1061A"/>
    <w:rsid w:val="00A108EE"/>
    <w:rsid w:val="00A10BB8"/>
    <w:rsid w:val="00A10CA2"/>
    <w:rsid w:val="00A11038"/>
    <w:rsid w:val="00A11F92"/>
    <w:rsid w:val="00A1200D"/>
    <w:rsid w:val="00A12410"/>
    <w:rsid w:val="00A1283E"/>
    <w:rsid w:val="00A12908"/>
    <w:rsid w:val="00A12D3B"/>
    <w:rsid w:val="00A12EED"/>
    <w:rsid w:val="00A133DC"/>
    <w:rsid w:val="00A137E4"/>
    <w:rsid w:val="00A138F9"/>
    <w:rsid w:val="00A13A0C"/>
    <w:rsid w:val="00A13C09"/>
    <w:rsid w:val="00A13E53"/>
    <w:rsid w:val="00A142AB"/>
    <w:rsid w:val="00A146B2"/>
    <w:rsid w:val="00A14813"/>
    <w:rsid w:val="00A148EF"/>
    <w:rsid w:val="00A14B74"/>
    <w:rsid w:val="00A15183"/>
    <w:rsid w:val="00A15503"/>
    <w:rsid w:val="00A1566A"/>
    <w:rsid w:val="00A156FD"/>
    <w:rsid w:val="00A161B9"/>
    <w:rsid w:val="00A16204"/>
    <w:rsid w:val="00A165BF"/>
    <w:rsid w:val="00A1677F"/>
    <w:rsid w:val="00A1689E"/>
    <w:rsid w:val="00A16A94"/>
    <w:rsid w:val="00A16E82"/>
    <w:rsid w:val="00A170A2"/>
    <w:rsid w:val="00A172E8"/>
    <w:rsid w:val="00A179FF"/>
    <w:rsid w:val="00A17A22"/>
    <w:rsid w:val="00A20F3A"/>
    <w:rsid w:val="00A2112C"/>
    <w:rsid w:val="00A2192D"/>
    <w:rsid w:val="00A21A36"/>
    <w:rsid w:val="00A221D6"/>
    <w:rsid w:val="00A226B7"/>
    <w:rsid w:val="00A22BC6"/>
    <w:rsid w:val="00A2329A"/>
    <w:rsid w:val="00A23913"/>
    <w:rsid w:val="00A244FA"/>
    <w:rsid w:val="00A25294"/>
    <w:rsid w:val="00A254EE"/>
    <w:rsid w:val="00A25BE7"/>
    <w:rsid w:val="00A25D6C"/>
    <w:rsid w:val="00A261B2"/>
    <w:rsid w:val="00A26E87"/>
    <w:rsid w:val="00A27008"/>
    <w:rsid w:val="00A273D0"/>
    <w:rsid w:val="00A2756D"/>
    <w:rsid w:val="00A276ED"/>
    <w:rsid w:val="00A27C99"/>
    <w:rsid w:val="00A27CDF"/>
    <w:rsid w:val="00A302B8"/>
    <w:rsid w:val="00A30541"/>
    <w:rsid w:val="00A309C6"/>
    <w:rsid w:val="00A30D13"/>
    <w:rsid w:val="00A30E46"/>
    <w:rsid w:val="00A30FCB"/>
    <w:rsid w:val="00A314F9"/>
    <w:rsid w:val="00A31772"/>
    <w:rsid w:val="00A319D0"/>
    <w:rsid w:val="00A31F8F"/>
    <w:rsid w:val="00A32148"/>
    <w:rsid w:val="00A32178"/>
    <w:rsid w:val="00A32316"/>
    <w:rsid w:val="00A32B75"/>
    <w:rsid w:val="00A3303B"/>
    <w:rsid w:val="00A33172"/>
    <w:rsid w:val="00A333AB"/>
    <w:rsid w:val="00A33DB4"/>
    <w:rsid w:val="00A34155"/>
    <w:rsid w:val="00A3432B"/>
    <w:rsid w:val="00A34621"/>
    <w:rsid w:val="00A346BA"/>
    <w:rsid w:val="00A34BCC"/>
    <w:rsid w:val="00A34C67"/>
    <w:rsid w:val="00A34D62"/>
    <w:rsid w:val="00A356F0"/>
    <w:rsid w:val="00A35BB8"/>
    <w:rsid w:val="00A3611D"/>
    <w:rsid w:val="00A36339"/>
    <w:rsid w:val="00A3643B"/>
    <w:rsid w:val="00A364DD"/>
    <w:rsid w:val="00A366E4"/>
    <w:rsid w:val="00A36732"/>
    <w:rsid w:val="00A369CB"/>
    <w:rsid w:val="00A36FED"/>
    <w:rsid w:val="00A371ED"/>
    <w:rsid w:val="00A40023"/>
    <w:rsid w:val="00A403C1"/>
    <w:rsid w:val="00A40B01"/>
    <w:rsid w:val="00A4118F"/>
    <w:rsid w:val="00A413F2"/>
    <w:rsid w:val="00A41D70"/>
    <w:rsid w:val="00A426C9"/>
    <w:rsid w:val="00A42B0D"/>
    <w:rsid w:val="00A42BA2"/>
    <w:rsid w:val="00A42EE5"/>
    <w:rsid w:val="00A435E2"/>
    <w:rsid w:val="00A4376F"/>
    <w:rsid w:val="00A439C5"/>
    <w:rsid w:val="00A43F4C"/>
    <w:rsid w:val="00A44B01"/>
    <w:rsid w:val="00A44CE2"/>
    <w:rsid w:val="00A44E15"/>
    <w:rsid w:val="00A44EBD"/>
    <w:rsid w:val="00A4549F"/>
    <w:rsid w:val="00A45A74"/>
    <w:rsid w:val="00A45B9B"/>
    <w:rsid w:val="00A45DBF"/>
    <w:rsid w:val="00A45F0F"/>
    <w:rsid w:val="00A46141"/>
    <w:rsid w:val="00A462FE"/>
    <w:rsid w:val="00A46FB0"/>
    <w:rsid w:val="00A47039"/>
    <w:rsid w:val="00A47234"/>
    <w:rsid w:val="00A47A73"/>
    <w:rsid w:val="00A50182"/>
    <w:rsid w:val="00A501C9"/>
    <w:rsid w:val="00A50443"/>
    <w:rsid w:val="00A50506"/>
    <w:rsid w:val="00A506A2"/>
    <w:rsid w:val="00A50AE8"/>
    <w:rsid w:val="00A515DB"/>
    <w:rsid w:val="00A51737"/>
    <w:rsid w:val="00A52096"/>
    <w:rsid w:val="00A52923"/>
    <w:rsid w:val="00A52C78"/>
    <w:rsid w:val="00A531F8"/>
    <w:rsid w:val="00A533D8"/>
    <w:rsid w:val="00A53629"/>
    <w:rsid w:val="00A53F55"/>
    <w:rsid w:val="00A5417B"/>
    <w:rsid w:val="00A54599"/>
    <w:rsid w:val="00A54B5E"/>
    <w:rsid w:val="00A54B82"/>
    <w:rsid w:val="00A54C8B"/>
    <w:rsid w:val="00A54CC6"/>
    <w:rsid w:val="00A54D21"/>
    <w:rsid w:val="00A55733"/>
    <w:rsid w:val="00A55F23"/>
    <w:rsid w:val="00A569D4"/>
    <w:rsid w:val="00A56E80"/>
    <w:rsid w:val="00A56E9C"/>
    <w:rsid w:val="00A56EC5"/>
    <w:rsid w:val="00A5792A"/>
    <w:rsid w:val="00A57969"/>
    <w:rsid w:val="00A579EB"/>
    <w:rsid w:val="00A57BD2"/>
    <w:rsid w:val="00A57C4E"/>
    <w:rsid w:val="00A57F1A"/>
    <w:rsid w:val="00A6012C"/>
    <w:rsid w:val="00A60163"/>
    <w:rsid w:val="00A6038D"/>
    <w:rsid w:val="00A60AEB"/>
    <w:rsid w:val="00A60B48"/>
    <w:rsid w:val="00A60CF0"/>
    <w:rsid w:val="00A60DB0"/>
    <w:rsid w:val="00A61429"/>
    <w:rsid w:val="00A61514"/>
    <w:rsid w:val="00A61645"/>
    <w:rsid w:val="00A6186A"/>
    <w:rsid w:val="00A61A13"/>
    <w:rsid w:val="00A61A80"/>
    <w:rsid w:val="00A62080"/>
    <w:rsid w:val="00A62AB8"/>
    <w:rsid w:val="00A630A2"/>
    <w:rsid w:val="00A632B8"/>
    <w:rsid w:val="00A63BF3"/>
    <w:rsid w:val="00A64450"/>
    <w:rsid w:val="00A64699"/>
    <w:rsid w:val="00A64942"/>
    <w:rsid w:val="00A65025"/>
    <w:rsid w:val="00A657AA"/>
    <w:rsid w:val="00A65911"/>
    <w:rsid w:val="00A66160"/>
    <w:rsid w:val="00A66356"/>
    <w:rsid w:val="00A6643C"/>
    <w:rsid w:val="00A669F5"/>
    <w:rsid w:val="00A66EFE"/>
    <w:rsid w:val="00A673CB"/>
    <w:rsid w:val="00A67544"/>
    <w:rsid w:val="00A67876"/>
    <w:rsid w:val="00A6794F"/>
    <w:rsid w:val="00A67FF4"/>
    <w:rsid w:val="00A7025E"/>
    <w:rsid w:val="00A7075B"/>
    <w:rsid w:val="00A70864"/>
    <w:rsid w:val="00A70918"/>
    <w:rsid w:val="00A70E44"/>
    <w:rsid w:val="00A7155C"/>
    <w:rsid w:val="00A71CE6"/>
    <w:rsid w:val="00A71D23"/>
    <w:rsid w:val="00A725A0"/>
    <w:rsid w:val="00A72603"/>
    <w:rsid w:val="00A72901"/>
    <w:rsid w:val="00A7333A"/>
    <w:rsid w:val="00A73806"/>
    <w:rsid w:val="00A73AFB"/>
    <w:rsid w:val="00A73D0D"/>
    <w:rsid w:val="00A7407F"/>
    <w:rsid w:val="00A74275"/>
    <w:rsid w:val="00A74848"/>
    <w:rsid w:val="00A74A00"/>
    <w:rsid w:val="00A74A84"/>
    <w:rsid w:val="00A74A92"/>
    <w:rsid w:val="00A74AE1"/>
    <w:rsid w:val="00A751DD"/>
    <w:rsid w:val="00A7558D"/>
    <w:rsid w:val="00A75CC1"/>
    <w:rsid w:val="00A75CCE"/>
    <w:rsid w:val="00A75D4E"/>
    <w:rsid w:val="00A75E88"/>
    <w:rsid w:val="00A75EBD"/>
    <w:rsid w:val="00A761F4"/>
    <w:rsid w:val="00A7629E"/>
    <w:rsid w:val="00A762BF"/>
    <w:rsid w:val="00A764FE"/>
    <w:rsid w:val="00A76AB4"/>
    <w:rsid w:val="00A76B87"/>
    <w:rsid w:val="00A76BE5"/>
    <w:rsid w:val="00A773D9"/>
    <w:rsid w:val="00A77885"/>
    <w:rsid w:val="00A800CE"/>
    <w:rsid w:val="00A80457"/>
    <w:rsid w:val="00A8056E"/>
    <w:rsid w:val="00A8094B"/>
    <w:rsid w:val="00A80B74"/>
    <w:rsid w:val="00A81375"/>
    <w:rsid w:val="00A81956"/>
    <w:rsid w:val="00A81A37"/>
    <w:rsid w:val="00A81EBE"/>
    <w:rsid w:val="00A81F98"/>
    <w:rsid w:val="00A82033"/>
    <w:rsid w:val="00A82530"/>
    <w:rsid w:val="00A82660"/>
    <w:rsid w:val="00A828D7"/>
    <w:rsid w:val="00A82D58"/>
    <w:rsid w:val="00A8399D"/>
    <w:rsid w:val="00A83E3D"/>
    <w:rsid w:val="00A843D3"/>
    <w:rsid w:val="00A8443A"/>
    <w:rsid w:val="00A8479C"/>
    <w:rsid w:val="00A847AA"/>
    <w:rsid w:val="00A85019"/>
    <w:rsid w:val="00A8505D"/>
    <w:rsid w:val="00A8557B"/>
    <w:rsid w:val="00A85775"/>
    <w:rsid w:val="00A85A05"/>
    <w:rsid w:val="00A85F62"/>
    <w:rsid w:val="00A86039"/>
    <w:rsid w:val="00A8666A"/>
    <w:rsid w:val="00A86974"/>
    <w:rsid w:val="00A869E5"/>
    <w:rsid w:val="00A86B81"/>
    <w:rsid w:val="00A86D63"/>
    <w:rsid w:val="00A86D87"/>
    <w:rsid w:val="00A86EDE"/>
    <w:rsid w:val="00A8741F"/>
    <w:rsid w:val="00A874BC"/>
    <w:rsid w:val="00A8751B"/>
    <w:rsid w:val="00A87797"/>
    <w:rsid w:val="00A87D91"/>
    <w:rsid w:val="00A90351"/>
    <w:rsid w:val="00A9067B"/>
    <w:rsid w:val="00A90CC5"/>
    <w:rsid w:val="00A90E72"/>
    <w:rsid w:val="00A90EC1"/>
    <w:rsid w:val="00A912C7"/>
    <w:rsid w:val="00A9136C"/>
    <w:rsid w:val="00A915CF"/>
    <w:rsid w:val="00A9174A"/>
    <w:rsid w:val="00A922A2"/>
    <w:rsid w:val="00A92CCD"/>
    <w:rsid w:val="00A931B4"/>
    <w:rsid w:val="00A93205"/>
    <w:rsid w:val="00A9327B"/>
    <w:rsid w:val="00A93688"/>
    <w:rsid w:val="00A9369F"/>
    <w:rsid w:val="00A93B69"/>
    <w:rsid w:val="00A945EC"/>
    <w:rsid w:val="00A947FB"/>
    <w:rsid w:val="00A950B5"/>
    <w:rsid w:val="00A963C7"/>
    <w:rsid w:val="00A96BD9"/>
    <w:rsid w:val="00A96C4A"/>
    <w:rsid w:val="00A976E9"/>
    <w:rsid w:val="00A97759"/>
    <w:rsid w:val="00A977EF"/>
    <w:rsid w:val="00A97941"/>
    <w:rsid w:val="00A97958"/>
    <w:rsid w:val="00A97CB2"/>
    <w:rsid w:val="00A97F38"/>
    <w:rsid w:val="00AA0337"/>
    <w:rsid w:val="00AA04A7"/>
    <w:rsid w:val="00AA0938"/>
    <w:rsid w:val="00AA11CE"/>
    <w:rsid w:val="00AA1626"/>
    <w:rsid w:val="00AA18A3"/>
    <w:rsid w:val="00AA1C25"/>
    <w:rsid w:val="00AA1F9E"/>
    <w:rsid w:val="00AA232A"/>
    <w:rsid w:val="00AA243F"/>
    <w:rsid w:val="00AA2DC0"/>
    <w:rsid w:val="00AA2E16"/>
    <w:rsid w:val="00AA3853"/>
    <w:rsid w:val="00AA3DB7"/>
    <w:rsid w:val="00AA3FBB"/>
    <w:rsid w:val="00AA51F5"/>
    <w:rsid w:val="00AA5C8A"/>
    <w:rsid w:val="00AA5E3B"/>
    <w:rsid w:val="00AA5F09"/>
    <w:rsid w:val="00AA6006"/>
    <w:rsid w:val="00AA6281"/>
    <w:rsid w:val="00AA6424"/>
    <w:rsid w:val="00AA68B4"/>
    <w:rsid w:val="00AA720F"/>
    <w:rsid w:val="00AA727D"/>
    <w:rsid w:val="00AA759F"/>
    <w:rsid w:val="00AA7B7B"/>
    <w:rsid w:val="00AB007B"/>
    <w:rsid w:val="00AB0354"/>
    <w:rsid w:val="00AB04D6"/>
    <w:rsid w:val="00AB0543"/>
    <w:rsid w:val="00AB0881"/>
    <w:rsid w:val="00AB0AC9"/>
    <w:rsid w:val="00AB166A"/>
    <w:rsid w:val="00AB185A"/>
    <w:rsid w:val="00AB18B9"/>
    <w:rsid w:val="00AB1AC8"/>
    <w:rsid w:val="00AB1BA7"/>
    <w:rsid w:val="00AB1D15"/>
    <w:rsid w:val="00AB1DBC"/>
    <w:rsid w:val="00AB1E04"/>
    <w:rsid w:val="00AB2291"/>
    <w:rsid w:val="00AB2961"/>
    <w:rsid w:val="00AB29CF"/>
    <w:rsid w:val="00AB2FCF"/>
    <w:rsid w:val="00AB3113"/>
    <w:rsid w:val="00AB331B"/>
    <w:rsid w:val="00AB348A"/>
    <w:rsid w:val="00AB3F38"/>
    <w:rsid w:val="00AB43EC"/>
    <w:rsid w:val="00AB484B"/>
    <w:rsid w:val="00AB4890"/>
    <w:rsid w:val="00AB4AAC"/>
    <w:rsid w:val="00AB4BF4"/>
    <w:rsid w:val="00AB4C93"/>
    <w:rsid w:val="00AB4ED8"/>
    <w:rsid w:val="00AB53D0"/>
    <w:rsid w:val="00AB5ADF"/>
    <w:rsid w:val="00AB5E57"/>
    <w:rsid w:val="00AB5ECF"/>
    <w:rsid w:val="00AB637F"/>
    <w:rsid w:val="00AB63CA"/>
    <w:rsid w:val="00AB647A"/>
    <w:rsid w:val="00AB6583"/>
    <w:rsid w:val="00AB6AC9"/>
    <w:rsid w:val="00AB6B70"/>
    <w:rsid w:val="00AB725F"/>
    <w:rsid w:val="00AB7416"/>
    <w:rsid w:val="00AB7F7D"/>
    <w:rsid w:val="00AC022B"/>
    <w:rsid w:val="00AC0705"/>
    <w:rsid w:val="00AC109B"/>
    <w:rsid w:val="00AC153C"/>
    <w:rsid w:val="00AC1DF0"/>
    <w:rsid w:val="00AC24F4"/>
    <w:rsid w:val="00AC26A9"/>
    <w:rsid w:val="00AC2767"/>
    <w:rsid w:val="00AC2B19"/>
    <w:rsid w:val="00AC3274"/>
    <w:rsid w:val="00AC329F"/>
    <w:rsid w:val="00AC3571"/>
    <w:rsid w:val="00AC362F"/>
    <w:rsid w:val="00AC38E3"/>
    <w:rsid w:val="00AC3B25"/>
    <w:rsid w:val="00AC3CFE"/>
    <w:rsid w:val="00AC3DB6"/>
    <w:rsid w:val="00AC3F58"/>
    <w:rsid w:val="00AC45B3"/>
    <w:rsid w:val="00AC4CD1"/>
    <w:rsid w:val="00AC532E"/>
    <w:rsid w:val="00AC5386"/>
    <w:rsid w:val="00AC572D"/>
    <w:rsid w:val="00AC598E"/>
    <w:rsid w:val="00AC5A9C"/>
    <w:rsid w:val="00AC6527"/>
    <w:rsid w:val="00AC6929"/>
    <w:rsid w:val="00AC74DA"/>
    <w:rsid w:val="00AC76AA"/>
    <w:rsid w:val="00AC7A2B"/>
    <w:rsid w:val="00AC7B51"/>
    <w:rsid w:val="00AC7C25"/>
    <w:rsid w:val="00AC7D24"/>
    <w:rsid w:val="00AD0299"/>
    <w:rsid w:val="00AD0443"/>
    <w:rsid w:val="00AD0A51"/>
    <w:rsid w:val="00AD0B37"/>
    <w:rsid w:val="00AD11F2"/>
    <w:rsid w:val="00AD11F7"/>
    <w:rsid w:val="00AD13A3"/>
    <w:rsid w:val="00AD14E2"/>
    <w:rsid w:val="00AD167D"/>
    <w:rsid w:val="00AD1735"/>
    <w:rsid w:val="00AD1977"/>
    <w:rsid w:val="00AD1DB7"/>
    <w:rsid w:val="00AD2852"/>
    <w:rsid w:val="00AD28C0"/>
    <w:rsid w:val="00AD2BEB"/>
    <w:rsid w:val="00AD3976"/>
    <w:rsid w:val="00AD3B48"/>
    <w:rsid w:val="00AD3B67"/>
    <w:rsid w:val="00AD3BE4"/>
    <w:rsid w:val="00AD3DE3"/>
    <w:rsid w:val="00AD3F03"/>
    <w:rsid w:val="00AD4042"/>
    <w:rsid w:val="00AD4AAA"/>
    <w:rsid w:val="00AD4D2A"/>
    <w:rsid w:val="00AD4FC6"/>
    <w:rsid w:val="00AD507C"/>
    <w:rsid w:val="00AD542F"/>
    <w:rsid w:val="00AD5B2C"/>
    <w:rsid w:val="00AD5D12"/>
    <w:rsid w:val="00AD61CC"/>
    <w:rsid w:val="00AD6297"/>
    <w:rsid w:val="00AD6806"/>
    <w:rsid w:val="00AD6EE6"/>
    <w:rsid w:val="00AD702B"/>
    <w:rsid w:val="00AD7305"/>
    <w:rsid w:val="00AD777D"/>
    <w:rsid w:val="00AD77E9"/>
    <w:rsid w:val="00AD7E64"/>
    <w:rsid w:val="00AD7EBC"/>
    <w:rsid w:val="00AD7F8B"/>
    <w:rsid w:val="00AD7F94"/>
    <w:rsid w:val="00AE0755"/>
    <w:rsid w:val="00AE0C56"/>
    <w:rsid w:val="00AE0CE1"/>
    <w:rsid w:val="00AE1367"/>
    <w:rsid w:val="00AE149E"/>
    <w:rsid w:val="00AE165B"/>
    <w:rsid w:val="00AE17E1"/>
    <w:rsid w:val="00AE1BC6"/>
    <w:rsid w:val="00AE1CF6"/>
    <w:rsid w:val="00AE1D97"/>
    <w:rsid w:val="00AE1F55"/>
    <w:rsid w:val="00AE22F2"/>
    <w:rsid w:val="00AE27D3"/>
    <w:rsid w:val="00AE2909"/>
    <w:rsid w:val="00AE29FC"/>
    <w:rsid w:val="00AE2F3F"/>
    <w:rsid w:val="00AE3088"/>
    <w:rsid w:val="00AE31EB"/>
    <w:rsid w:val="00AE369B"/>
    <w:rsid w:val="00AE3705"/>
    <w:rsid w:val="00AE3985"/>
    <w:rsid w:val="00AE3B4E"/>
    <w:rsid w:val="00AE3B5B"/>
    <w:rsid w:val="00AE3D22"/>
    <w:rsid w:val="00AE44B5"/>
    <w:rsid w:val="00AE44BB"/>
    <w:rsid w:val="00AE45B2"/>
    <w:rsid w:val="00AE49A9"/>
    <w:rsid w:val="00AE4C42"/>
    <w:rsid w:val="00AE4F60"/>
    <w:rsid w:val="00AE5072"/>
    <w:rsid w:val="00AE59EC"/>
    <w:rsid w:val="00AE61D0"/>
    <w:rsid w:val="00AE62F6"/>
    <w:rsid w:val="00AE67B3"/>
    <w:rsid w:val="00AE7864"/>
    <w:rsid w:val="00AE7949"/>
    <w:rsid w:val="00AE7F3E"/>
    <w:rsid w:val="00AF079B"/>
    <w:rsid w:val="00AF08D3"/>
    <w:rsid w:val="00AF120C"/>
    <w:rsid w:val="00AF1FC7"/>
    <w:rsid w:val="00AF25D5"/>
    <w:rsid w:val="00AF31D1"/>
    <w:rsid w:val="00AF3384"/>
    <w:rsid w:val="00AF3412"/>
    <w:rsid w:val="00AF390D"/>
    <w:rsid w:val="00AF3BC1"/>
    <w:rsid w:val="00AF3DBB"/>
    <w:rsid w:val="00AF424E"/>
    <w:rsid w:val="00AF4559"/>
    <w:rsid w:val="00AF46ED"/>
    <w:rsid w:val="00AF4733"/>
    <w:rsid w:val="00AF4766"/>
    <w:rsid w:val="00AF4817"/>
    <w:rsid w:val="00AF4CFB"/>
    <w:rsid w:val="00AF5194"/>
    <w:rsid w:val="00AF53EF"/>
    <w:rsid w:val="00AF56C7"/>
    <w:rsid w:val="00AF5988"/>
    <w:rsid w:val="00AF59C9"/>
    <w:rsid w:val="00AF5BF5"/>
    <w:rsid w:val="00AF5C5C"/>
    <w:rsid w:val="00AF5EC5"/>
    <w:rsid w:val="00AF5F44"/>
    <w:rsid w:val="00AF61BE"/>
    <w:rsid w:val="00AF64BE"/>
    <w:rsid w:val="00AF6598"/>
    <w:rsid w:val="00AF69A8"/>
    <w:rsid w:val="00AF6CAE"/>
    <w:rsid w:val="00AF723A"/>
    <w:rsid w:val="00AF73C3"/>
    <w:rsid w:val="00AF745E"/>
    <w:rsid w:val="00AF795C"/>
    <w:rsid w:val="00AF7B6D"/>
    <w:rsid w:val="00B00639"/>
    <w:rsid w:val="00B00752"/>
    <w:rsid w:val="00B00AE4"/>
    <w:rsid w:val="00B01372"/>
    <w:rsid w:val="00B020CC"/>
    <w:rsid w:val="00B026C1"/>
    <w:rsid w:val="00B02B16"/>
    <w:rsid w:val="00B02B9C"/>
    <w:rsid w:val="00B02C91"/>
    <w:rsid w:val="00B0353B"/>
    <w:rsid w:val="00B03979"/>
    <w:rsid w:val="00B03EFF"/>
    <w:rsid w:val="00B040B2"/>
    <w:rsid w:val="00B04A54"/>
    <w:rsid w:val="00B05A87"/>
    <w:rsid w:val="00B05AFF"/>
    <w:rsid w:val="00B0635D"/>
    <w:rsid w:val="00B06E9E"/>
    <w:rsid w:val="00B0726F"/>
    <w:rsid w:val="00B07489"/>
    <w:rsid w:val="00B075C8"/>
    <w:rsid w:val="00B076EC"/>
    <w:rsid w:val="00B07BCE"/>
    <w:rsid w:val="00B07C9A"/>
    <w:rsid w:val="00B10558"/>
    <w:rsid w:val="00B1069D"/>
    <w:rsid w:val="00B10EBA"/>
    <w:rsid w:val="00B11369"/>
    <w:rsid w:val="00B128C3"/>
    <w:rsid w:val="00B129B9"/>
    <w:rsid w:val="00B12BE9"/>
    <w:rsid w:val="00B12E2D"/>
    <w:rsid w:val="00B13276"/>
    <w:rsid w:val="00B1343A"/>
    <w:rsid w:val="00B13550"/>
    <w:rsid w:val="00B1357F"/>
    <w:rsid w:val="00B13582"/>
    <w:rsid w:val="00B13D04"/>
    <w:rsid w:val="00B13ED6"/>
    <w:rsid w:val="00B141D1"/>
    <w:rsid w:val="00B142B7"/>
    <w:rsid w:val="00B143B9"/>
    <w:rsid w:val="00B1458E"/>
    <w:rsid w:val="00B1489B"/>
    <w:rsid w:val="00B1546C"/>
    <w:rsid w:val="00B1568F"/>
    <w:rsid w:val="00B156A9"/>
    <w:rsid w:val="00B15884"/>
    <w:rsid w:val="00B15F66"/>
    <w:rsid w:val="00B15F83"/>
    <w:rsid w:val="00B160FF"/>
    <w:rsid w:val="00B16322"/>
    <w:rsid w:val="00B1662E"/>
    <w:rsid w:val="00B16A6F"/>
    <w:rsid w:val="00B16B19"/>
    <w:rsid w:val="00B16F01"/>
    <w:rsid w:val="00B17053"/>
    <w:rsid w:val="00B17282"/>
    <w:rsid w:val="00B1774F"/>
    <w:rsid w:val="00B17C47"/>
    <w:rsid w:val="00B17E42"/>
    <w:rsid w:val="00B2006D"/>
    <w:rsid w:val="00B21DBC"/>
    <w:rsid w:val="00B220F5"/>
    <w:rsid w:val="00B22630"/>
    <w:rsid w:val="00B22C0D"/>
    <w:rsid w:val="00B23AF4"/>
    <w:rsid w:val="00B23C15"/>
    <w:rsid w:val="00B23C36"/>
    <w:rsid w:val="00B23CDD"/>
    <w:rsid w:val="00B2413C"/>
    <w:rsid w:val="00B24174"/>
    <w:rsid w:val="00B2422E"/>
    <w:rsid w:val="00B244D1"/>
    <w:rsid w:val="00B24C43"/>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300A9"/>
    <w:rsid w:val="00B3013F"/>
    <w:rsid w:val="00B30257"/>
    <w:rsid w:val="00B305FA"/>
    <w:rsid w:val="00B30B4E"/>
    <w:rsid w:val="00B31246"/>
    <w:rsid w:val="00B31712"/>
    <w:rsid w:val="00B31A5D"/>
    <w:rsid w:val="00B326FF"/>
    <w:rsid w:val="00B33096"/>
    <w:rsid w:val="00B33108"/>
    <w:rsid w:val="00B33543"/>
    <w:rsid w:val="00B33BB3"/>
    <w:rsid w:val="00B340AA"/>
    <w:rsid w:val="00B347F0"/>
    <w:rsid w:val="00B34A9F"/>
    <w:rsid w:val="00B34B80"/>
    <w:rsid w:val="00B34C99"/>
    <w:rsid w:val="00B34FB5"/>
    <w:rsid w:val="00B35124"/>
    <w:rsid w:val="00B353C6"/>
    <w:rsid w:val="00B35C64"/>
    <w:rsid w:val="00B35CDA"/>
    <w:rsid w:val="00B35E01"/>
    <w:rsid w:val="00B3619B"/>
    <w:rsid w:val="00B3650D"/>
    <w:rsid w:val="00B36744"/>
    <w:rsid w:val="00B3680D"/>
    <w:rsid w:val="00B36A7D"/>
    <w:rsid w:val="00B36B41"/>
    <w:rsid w:val="00B3742D"/>
    <w:rsid w:val="00B3789B"/>
    <w:rsid w:val="00B37ACE"/>
    <w:rsid w:val="00B37C00"/>
    <w:rsid w:val="00B37C6E"/>
    <w:rsid w:val="00B37D97"/>
    <w:rsid w:val="00B401AE"/>
    <w:rsid w:val="00B4020E"/>
    <w:rsid w:val="00B40C58"/>
    <w:rsid w:val="00B411BD"/>
    <w:rsid w:val="00B41559"/>
    <w:rsid w:val="00B418E8"/>
    <w:rsid w:val="00B41989"/>
    <w:rsid w:val="00B41C1D"/>
    <w:rsid w:val="00B41E16"/>
    <w:rsid w:val="00B420F2"/>
    <w:rsid w:val="00B4225E"/>
    <w:rsid w:val="00B42285"/>
    <w:rsid w:val="00B42327"/>
    <w:rsid w:val="00B423EF"/>
    <w:rsid w:val="00B42624"/>
    <w:rsid w:val="00B4274B"/>
    <w:rsid w:val="00B42A13"/>
    <w:rsid w:val="00B42B1B"/>
    <w:rsid w:val="00B4326A"/>
    <w:rsid w:val="00B4327C"/>
    <w:rsid w:val="00B4339E"/>
    <w:rsid w:val="00B435B1"/>
    <w:rsid w:val="00B43631"/>
    <w:rsid w:val="00B4367F"/>
    <w:rsid w:val="00B438BA"/>
    <w:rsid w:val="00B43B36"/>
    <w:rsid w:val="00B43ECD"/>
    <w:rsid w:val="00B43F67"/>
    <w:rsid w:val="00B44763"/>
    <w:rsid w:val="00B44F99"/>
    <w:rsid w:val="00B4519F"/>
    <w:rsid w:val="00B4539D"/>
    <w:rsid w:val="00B45543"/>
    <w:rsid w:val="00B45876"/>
    <w:rsid w:val="00B45FB1"/>
    <w:rsid w:val="00B46010"/>
    <w:rsid w:val="00B46756"/>
    <w:rsid w:val="00B46E02"/>
    <w:rsid w:val="00B4700F"/>
    <w:rsid w:val="00B470B6"/>
    <w:rsid w:val="00B47136"/>
    <w:rsid w:val="00B47395"/>
    <w:rsid w:val="00B4793B"/>
    <w:rsid w:val="00B47B55"/>
    <w:rsid w:val="00B47E31"/>
    <w:rsid w:val="00B508A1"/>
    <w:rsid w:val="00B509E4"/>
    <w:rsid w:val="00B50F2F"/>
    <w:rsid w:val="00B50FD3"/>
    <w:rsid w:val="00B512F9"/>
    <w:rsid w:val="00B514CB"/>
    <w:rsid w:val="00B51542"/>
    <w:rsid w:val="00B51A07"/>
    <w:rsid w:val="00B51D1D"/>
    <w:rsid w:val="00B52282"/>
    <w:rsid w:val="00B523D1"/>
    <w:rsid w:val="00B52689"/>
    <w:rsid w:val="00B52916"/>
    <w:rsid w:val="00B52A91"/>
    <w:rsid w:val="00B530E4"/>
    <w:rsid w:val="00B5310E"/>
    <w:rsid w:val="00B53901"/>
    <w:rsid w:val="00B53FE9"/>
    <w:rsid w:val="00B540D1"/>
    <w:rsid w:val="00B540D2"/>
    <w:rsid w:val="00B542A5"/>
    <w:rsid w:val="00B544F6"/>
    <w:rsid w:val="00B547B2"/>
    <w:rsid w:val="00B54ACC"/>
    <w:rsid w:val="00B54B9A"/>
    <w:rsid w:val="00B54DCB"/>
    <w:rsid w:val="00B55AC2"/>
    <w:rsid w:val="00B5607C"/>
    <w:rsid w:val="00B560C9"/>
    <w:rsid w:val="00B56533"/>
    <w:rsid w:val="00B56795"/>
    <w:rsid w:val="00B567D9"/>
    <w:rsid w:val="00B56C0E"/>
    <w:rsid w:val="00B56CFC"/>
    <w:rsid w:val="00B5717F"/>
    <w:rsid w:val="00B574B5"/>
    <w:rsid w:val="00B57777"/>
    <w:rsid w:val="00B57A17"/>
    <w:rsid w:val="00B57BA6"/>
    <w:rsid w:val="00B601FC"/>
    <w:rsid w:val="00B60E2F"/>
    <w:rsid w:val="00B615B3"/>
    <w:rsid w:val="00B61BE2"/>
    <w:rsid w:val="00B6266F"/>
    <w:rsid w:val="00B62C82"/>
    <w:rsid w:val="00B62E0B"/>
    <w:rsid w:val="00B63400"/>
    <w:rsid w:val="00B635C3"/>
    <w:rsid w:val="00B63B37"/>
    <w:rsid w:val="00B63C32"/>
    <w:rsid w:val="00B64215"/>
    <w:rsid w:val="00B64434"/>
    <w:rsid w:val="00B646F9"/>
    <w:rsid w:val="00B64C25"/>
    <w:rsid w:val="00B65301"/>
    <w:rsid w:val="00B65909"/>
    <w:rsid w:val="00B65BFA"/>
    <w:rsid w:val="00B65C57"/>
    <w:rsid w:val="00B65F53"/>
    <w:rsid w:val="00B664AA"/>
    <w:rsid w:val="00B66F77"/>
    <w:rsid w:val="00B67040"/>
    <w:rsid w:val="00B671A1"/>
    <w:rsid w:val="00B67A94"/>
    <w:rsid w:val="00B705E6"/>
    <w:rsid w:val="00B70AAC"/>
    <w:rsid w:val="00B70CF9"/>
    <w:rsid w:val="00B711CE"/>
    <w:rsid w:val="00B71D5D"/>
    <w:rsid w:val="00B71DC8"/>
    <w:rsid w:val="00B71FBD"/>
    <w:rsid w:val="00B72216"/>
    <w:rsid w:val="00B72823"/>
    <w:rsid w:val="00B72A8B"/>
    <w:rsid w:val="00B72C95"/>
    <w:rsid w:val="00B72D82"/>
    <w:rsid w:val="00B731C1"/>
    <w:rsid w:val="00B741E2"/>
    <w:rsid w:val="00B742F2"/>
    <w:rsid w:val="00B74592"/>
    <w:rsid w:val="00B746C6"/>
    <w:rsid w:val="00B74CF7"/>
    <w:rsid w:val="00B75DB7"/>
    <w:rsid w:val="00B7604C"/>
    <w:rsid w:val="00B7652C"/>
    <w:rsid w:val="00B766BF"/>
    <w:rsid w:val="00B76ABF"/>
    <w:rsid w:val="00B76BC4"/>
    <w:rsid w:val="00B76FA6"/>
    <w:rsid w:val="00B774B7"/>
    <w:rsid w:val="00B77608"/>
    <w:rsid w:val="00B77F0F"/>
    <w:rsid w:val="00B800BF"/>
    <w:rsid w:val="00B80910"/>
    <w:rsid w:val="00B80CEF"/>
    <w:rsid w:val="00B80F31"/>
    <w:rsid w:val="00B814ED"/>
    <w:rsid w:val="00B818F4"/>
    <w:rsid w:val="00B81901"/>
    <w:rsid w:val="00B81AB5"/>
    <w:rsid w:val="00B81BC9"/>
    <w:rsid w:val="00B82106"/>
    <w:rsid w:val="00B82193"/>
    <w:rsid w:val="00B8222F"/>
    <w:rsid w:val="00B82615"/>
    <w:rsid w:val="00B83444"/>
    <w:rsid w:val="00B8365B"/>
    <w:rsid w:val="00B836ED"/>
    <w:rsid w:val="00B83835"/>
    <w:rsid w:val="00B8407B"/>
    <w:rsid w:val="00B840A9"/>
    <w:rsid w:val="00B840B2"/>
    <w:rsid w:val="00B842B8"/>
    <w:rsid w:val="00B84845"/>
    <w:rsid w:val="00B84DEB"/>
    <w:rsid w:val="00B85188"/>
    <w:rsid w:val="00B853BE"/>
    <w:rsid w:val="00B857EE"/>
    <w:rsid w:val="00B85A71"/>
    <w:rsid w:val="00B85AFB"/>
    <w:rsid w:val="00B85DA2"/>
    <w:rsid w:val="00B86176"/>
    <w:rsid w:val="00B86371"/>
    <w:rsid w:val="00B86433"/>
    <w:rsid w:val="00B86476"/>
    <w:rsid w:val="00B864E9"/>
    <w:rsid w:val="00B865FE"/>
    <w:rsid w:val="00B86A3D"/>
    <w:rsid w:val="00B86ABB"/>
    <w:rsid w:val="00B86B6C"/>
    <w:rsid w:val="00B86DE0"/>
    <w:rsid w:val="00B871B6"/>
    <w:rsid w:val="00B875C7"/>
    <w:rsid w:val="00B87D4B"/>
    <w:rsid w:val="00B9023A"/>
    <w:rsid w:val="00B90768"/>
    <w:rsid w:val="00B90964"/>
    <w:rsid w:val="00B90B43"/>
    <w:rsid w:val="00B90D10"/>
    <w:rsid w:val="00B90E14"/>
    <w:rsid w:val="00B90E50"/>
    <w:rsid w:val="00B90FE5"/>
    <w:rsid w:val="00B90FF2"/>
    <w:rsid w:val="00B910BF"/>
    <w:rsid w:val="00B915F1"/>
    <w:rsid w:val="00B91746"/>
    <w:rsid w:val="00B919AD"/>
    <w:rsid w:val="00B91A2B"/>
    <w:rsid w:val="00B91AD4"/>
    <w:rsid w:val="00B92AD9"/>
    <w:rsid w:val="00B92B5D"/>
    <w:rsid w:val="00B93204"/>
    <w:rsid w:val="00B9347D"/>
    <w:rsid w:val="00B93C0F"/>
    <w:rsid w:val="00B94E17"/>
    <w:rsid w:val="00B95158"/>
    <w:rsid w:val="00B9526F"/>
    <w:rsid w:val="00B952EA"/>
    <w:rsid w:val="00B95698"/>
    <w:rsid w:val="00B9569F"/>
    <w:rsid w:val="00B957FE"/>
    <w:rsid w:val="00B95F02"/>
    <w:rsid w:val="00B965E8"/>
    <w:rsid w:val="00B96950"/>
    <w:rsid w:val="00B96BEF"/>
    <w:rsid w:val="00B96C6E"/>
    <w:rsid w:val="00B96FC0"/>
    <w:rsid w:val="00B97254"/>
    <w:rsid w:val="00B97260"/>
    <w:rsid w:val="00B973CB"/>
    <w:rsid w:val="00B97648"/>
    <w:rsid w:val="00B97904"/>
    <w:rsid w:val="00B97A69"/>
    <w:rsid w:val="00B97A81"/>
    <w:rsid w:val="00BA05F6"/>
    <w:rsid w:val="00BA0632"/>
    <w:rsid w:val="00BA0AAA"/>
    <w:rsid w:val="00BA0DFB"/>
    <w:rsid w:val="00BA0FCF"/>
    <w:rsid w:val="00BA15A8"/>
    <w:rsid w:val="00BA1925"/>
    <w:rsid w:val="00BA1C43"/>
    <w:rsid w:val="00BA2354"/>
    <w:rsid w:val="00BA2FEF"/>
    <w:rsid w:val="00BA39A0"/>
    <w:rsid w:val="00BA3C77"/>
    <w:rsid w:val="00BA3CE4"/>
    <w:rsid w:val="00BA3D73"/>
    <w:rsid w:val="00BA42EB"/>
    <w:rsid w:val="00BA4D2A"/>
    <w:rsid w:val="00BA4F08"/>
    <w:rsid w:val="00BA5B06"/>
    <w:rsid w:val="00BA5CAA"/>
    <w:rsid w:val="00BA5D22"/>
    <w:rsid w:val="00BA6357"/>
    <w:rsid w:val="00BA66CC"/>
    <w:rsid w:val="00BA6ABC"/>
    <w:rsid w:val="00BA6C09"/>
    <w:rsid w:val="00BA7124"/>
    <w:rsid w:val="00BA716A"/>
    <w:rsid w:val="00BA760C"/>
    <w:rsid w:val="00BA782C"/>
    <w:rsid w:val="00BA7875"/>
    <w:rsid w:val="00BA7AA6"/>
    <w:rsid w:val="00BB032F"/>
    <w:rsid w:val="00BB0C39"/>
    <w:rsid w:val="00BB1548"/>
    <w:rsid w:val="00BB1739"/>
    <w:rsid w:val="00BB1CE7"/>
    <w:rsid w:val="00BB1D0F"/>
    <w:rsid w:val="00BB1E2C"/>
    <w:rsid w:val="00BB2048"/>
    <w:rsid w:val="00BB22F7"/>
    <w:rsid w:val="00BB275C"/>
    <w:rsid w:val="00BB2788"/>
    <w:rsid w:val="00BB2D0A"/>
    <w:rsid w:val="00BB2D8A"/>
    <w:rsid w:val="00BB2FD3"/>
    <w:rsid w:val="00BB2FDF"/>
    <w:rsid w:val="00BB2FFF"/>
    <w:rsid w:val="00BB361C"/>
    <w:rsid w:val="00BB4B92"/>
    <w:rsid w:val="00BB4DAC"/>
    <w:rsid w:val="00BB500D"/>
    <w:rsid w:val="00BB5FCB"/>
    <w:rsid w:val="00BB6027"/>
    <w:rsid w:val="00BB604B"/>
    <w:rsid w:val="00BB6C46"/>
    <w:rsid w:val="00BB75BD"/>
    <w:rsid w:val="00BB761A"/>
    <w:rsid w:val="00BB7680"/>
    <w:rsid w:val="00BB76C3"/>
    <w:rsid w:val="00BB7A13"/>
    <w:rsid w:val="00BB7AA1"/>
    <w:rsid w:val="00BB7C21"/>
    <w:rsid w:val="00BB7C33"/>
    <w:rsid w:val="00BC0079"/>
    <w:rsid w:val="00BC00EC"/>
    <w:rsid w:val="00BC0155"/>
    <w:rsid w:val="00BC0759"/>
    <w:rsid w:val="00BC076B"/>
    <w:rsid w:val="00BC08C5"/>
    <w:rsid w:val="00BC098A"/>
    <w:rsid w:val="00BC0F49"/>
    <w:rsid w:val="00BC1044"/>
    <w:rsid w:val="00BC12FB"/>
    <w:rsid w:val="00BC1BE8"/>
    <w:rsid w:val="00BC1C3C"/>
    <w:rsid w:val="00BC1D4C"/>
    <w:rsid w:val="00BC24FB"/>
    <w:rsid w:val="00BC2568"/>
    <w:rsid w:val="00BC267C"/>
    <w:rsid w:val="00BC2919"/>
    <w:rsid w:val="00BC2B7E"/>
    <w:rsid w:val="00BC2C1C"/>
    <w:rsid w:val="00BC2F50"/>
    <w:rsid w:val="00BC307F"/>
    <w:rsid w:val="00BC3159"/>
    <w:rsid w:val="00BC3257"/>
    <w:rsid w:val="00BC32A9"/>
    <w:rsid w:val="00BC369C"/>
    <w:rsid w:val="00BC36D7"/>
    <w:rsid w:val="00BC39DB"/>
    <w:rsid w:val="00BC3A32"/>
    <w:rsid w:val="00BC3B07"/>
    <w:rsid w:val="00BC3B63"/>
    <w:rsid w:val="00BC3C12"/>
    <w:rsid w:val="00BC3E83"/>
    <w:rsid w:val="00BC3F20"/>
    <w:rsid w:val="00BC4169"/>
    <w:rsid w:val="00BC43C8"/>
    <w:rsid w:val="00BC46EF"/>
    <w:rsid w:val="00BC46FC"/>
    <w:rsid w:val="00BC47F4"/>
    <w:rsid w:val="00BC497F"/>
    <w:rsid w:val="00BC4FCC"/>
    <w:rsid w:val="00BC5142"/>
    <w:rsid w:val="00BC57E7"/>
    <w:rsid w:val="00BC6768"/>
    <w:rsid w:val="00BC6CAA"/>
    <w:rsid w:val="00BC6E1B"/>
    <w:rsid w:val="00BC6FD6"/>
    <w:rsid w:val="00BC7692"/>
    <w:rsid w:val="00BC7A4A"/>
    <w:rsid w:val="00BD008E"/>
    <w:rsid w:val="00BD0258"/>
    <w:rsid w:val="00BD13B7"/>
    <w:rsid w:val="00BD1CF1"/>
    <w:rsid w:val="00BD2E76"/>
    <w:rsid w:val="00BD2F3B"/>
    <w:rsid w:val="00BD2F41"/>
    <w:rsid w:val="00BD3372"/>
    <w:rsid w:val="00BD3D09"/>
    <w:rsid w:val="00BD3D63"/>
    <w:rsid w:val="00BD43CA"/>
    <w:rsid w:val="00BD466D"/>
    <w:rsid w:val="00BD46E8"/>
    <w:rsid w:val="00BD4BED"/>
    <w:rsid w:val="00BD50AA"/>
    <w:rsid w:val="00BD5135"/>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A75"/>
    <w:rsid w:val="00BE0B19"/>
    <w:rsid w:val="00BE0DD8"/>
    <w:rsid w:val="00BE0EF0"/>
    <w:rsid w:val="00BE13F0"/>
    <w:rsid w:val="00BE19B7"/>
    <w:rsid w:val="00BE1D82"/>
    <w:rsid w:val="00BE1EE4"/>
    <w:rsid w:val="00BE1F8B"/>
    <w:rsid w:val="00BE2381"/>
    <w:rsid w:val="00BE27B4"/>
    <w:rsid w:val="00BE2B4F"/>
    <w:rsid w:val="00BE2BFF"/>
    <w:rsid w:val="00BE2F39"/>
    <w:rsid w:val="00BE332D"/>
    <w:rsid w:val="00BE33D6"/>
    <w:rsid w:val="00BE3BBF"/>
    <w:rsid w:val="00BE3CF1"/>
    <w:rsid w:val="00BE3F76"/>
    <w:rsid w:val="00BE477F"/>
    <w:rsid w:val="00BE4B20"/>
    <w:rsid w:val="00BE51A3"/>
    <w:rsid w:val="00BE561D"/>
    <w:rsid w:val="00BE56EF"/>
    <w:rsid w:val="00BE5FC4"/>
    <w:rsid w:val="00BE6468"/>
    <w:rsid w:val="00BE7213"/>
    <w:rsid w:val="00BE7C4D"/>
    <w:rsid w:val="00BE7F6A"/>
    <w:rsid w:val="00BF0274"/>
    <w:rsid w:val="00BF0574"/>
    <w:rsid w:val="00BF08C4"/>
    <w:rsid w:val="00BF09F3"/>
    <w:rsid w:val="00BF0BAF"/>
    <w:rsid w:val="00BF0D2A"/>
    <w:rsid w:val="00BF19CE"/>
    <w:rsid w:val="00BF1F0C"/>
    <w:rsid w:val="00BF24EE"/>
    <w:rsid w:val="00BF2573"/>
    <w:rsid w:val="00BF2580"/>
    <w:rsid w:val="00BF2935"/>
    <w:rsid w:val="00BF2B6F"/>
    <w:rsid w:val="00BF2BE4"/>
    <w:rsid w:val="00BF2C78"/>
    <w:rsid w:val="00BF351A"/>
    <w:rsid w:val="00BF3914"/>
    <w:rsid w:val="00BF3A79"/>
    <w:rsid w:val="00BF41DC"/>
    <w:rsid w:val="00BF459D"/>
    <w:rsid w:val="00BF4758"/>
    <w:rsid w:val="00BF49B1"/>
    <w:rsid w:val="00BF4FCE"/>
    <w:rsid w:val="00BF5552"/>
    <w:rsid w:val="00BF5CEF"/>
    <w:rsid w:val="00BF627F"/>
    <w:rsid w:val="00BF6503"/>
    <w:rsid w:val="00BF65CD"/>
    <w:rsid w:val="00BF682B"/>
    <w:rsid w:val="00BF6914"/>
    <w:rsid w:val="00BF6C00"/>
    <w:rsid w:val="00BF6C35"/>
    <w:rsid w:val="00BF6C71"/>
    <w:rsid w:val="00BF6D33"/>
    <w:rsid w:val="00BF73F2"/>
    <w:rsid w:val="00BF75D4"/>
    <w:rsid w:val="00BF7C06"/>
    <w:rsid w:val="00C00A7B"/>
    <w:rsid w:val="00C01671"/>
    <w:rsid w:val="00C01B40"/>
    <w:rsid w:val="00C01CD1"/>
    <w:rsid w:val="00C02419"/>
    <w:rsid w:val="00C02766"/>
    <w:rsid w:val="00C029F4"/>
    <w:rsid w:val="00C03107"/>
    <w:rsid w:val="00C034F4"/>
    <w:rsid w:val="00C03C34"/>
    <w:rsid w:val="00C03EE8"/>
    <w:rsid w:val="00C03FDF"/>
    <w:rsid w:val="00C0466C"/>
    <w:rsid w:val="00C04885"/>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C9E"/>
    <w:rsid w:val="00C06E7D"/>
    <w:rsid w:val="00C0727F"/>
    <w:rsid w:val="00C072AE"/>
    <w:rsid w:val="00C073B3"/>
    <w:rsid w:val="00C0780A"/>
    <w:rsid w:val="00C07855"/>
    <w:rsid w:val="00C07939"/>
    <w:rsid w:val="00C102FE"/>
    <w:rsid w:val="00C105C4"/>
    <w:rsid w:val="00C107A3"/>
    <w:rsid w:val="00C10ABC"/>
    <w:rsid w:val="00C1112B"/>
    <w:rsid w:val="00C11314"/>
    <w:rsid w:val="00C117D7"/>
    <w:rsid w:val="00C11A88"/>
    <w:rsid w:val="00C11B0B"/>
    <w:rsid w:val="00C11F0C"/>
    <w:rsid w:val="00C12012"/>
    <w:rsid w:val="00C12031"/>
    <w:rsid w:val="00C1235C"/>
    <w:rsid w:val="00C12874"/>
    <w:rsid w:val="00C12AB7"/>
    <w:rsid w:val="00C12BC1"/>
    <w:rsid w:val="00C13771"/>
    <w:rsid w:val="00C13BDA"/>
    <w:rsid w:val="00C13FFD"/>
    <w:rsid w:val="00C144F8"/>
    <w:rsid w:val="00C14632"/>
    <w:rsid w:val="00C146BB"/>
    <w:rsid w:val="00C15428"/>
    <w:rsid w:val="00C155ED"/>
    <w:rsid w:val="00C157B3"/>
    <w:rsid w:val="00C158A7"/>
    <w:rsid w:val="00C159B5"/>
    <w:rsid w:val="00C15B5E"/>
    <w:rsid w:val="00C164C7"/>
    <w:rsid w:val="00C16C30"/>
    <w:rsid w:val="00C16D07"/>
    <w:rsid w:val="00C17B61"/>
    <w:rsid w:val="00C17C8D"/>
    <w:rsid w:val="00C20169"/>
    <w:rsid w:val="00C202E1"/>
    <w:rsid w:val="00C20A00"/>
    <w:rsid w:val="00C21673"/>
    <w:rsid w:val="00C21772"/>
    <w:rsid w:val="00C21A32"/>
    <w:rsid w:val="00C21C7A"/>
    <w:rsid w:val="00C22C96"/>
    <w:rsid w:val="00C22E98"/>
    <w:rsid w:val="00C23130"/>
    <w:rsid w:val="00C2319A"/>
    <w:rsid w:val="00C232BA"/>
    <w:rsid w:val="00C23560"/>
    <w:rsid w:val="00C237C7"/>
    <w:rsid w:val="00C2387C"/>
    <w:rsid w:val="00C2410C"/>
    <w:rsid w:val="00C246CD"/>
    <w:rsid w:val="00C24DBB"/>
    <w:rsid w:val="00C2519C"/>
    <w:rsid w:val="00C255A5"/>
    <w:rsid w:val="00C2584B"/>
    <w:rsid w:val="00C25942"/>
    <w:rsid w:val="00C25DD9"/>
    <w:rsid w:val="00C2663F"/>
    <w:rsid w:val="00C268E4"/>
    <w:rsid w:val="00C26BC8"/>
    <w:rsid w:val="00C26BEB"/>
    <w:rsid w:val="00C26DB8"/>
    <w:rsid w:val="00C27300"/>
    <w:rsid w:val="00C27782"/>
    <w:rsid w:val="00C27B3F"/>
    <w:rsid w:val="00C300E3"/>
    <w:rsid w:val="00C30A9A"/>
    <w:rsid w:val="00C30BB3"/>
    <w:rsid w:val="00C31638"/>
    <w:rsid w:val="00C318FD"/>
    <w:rsid w:val="00C31B56"/>
    <w:rsid w:val="00C3260F"/>
    <w:rsid w:val="00C32738"/>
    <w:rsid w:val="00C328B8"/>
    <w:rsid w:val="00C32910"/>
    <w:rsid w:val="00C32A77"/>
    <w:rsid w:val="00C333A2"/>
    <w:rsid w:val="00C3381C"/>
    <w:rsid w:val="00C3384F"/>
    <w:rsid w:val="00C33C9F"/>
    <w:rsid w:val="00C3400F"/>
    <w:rsid w:val="00C34149"/>
    <w:rsid w:val="00C34379"/>
    <w:rsid w:val="00C343F9"/>
    <w:rsid w:val="00C34B64"/>
    <w:rsid w:val="00C34C36"/>
    <w:rsid w:val="00C352B3"/>
    <w:rsid w:val="00C35B6D"/>
    <w:rsid w:val="00C360F8"/>
    <w:rsid w:val="00C3654C"/>
    <w:rsid w:val="00C3698F"/>
    <w:rsid w:val="00C36BF5"/>
    <w:rsid w:val="00C36DBC"/>
    <w:rsid w:val="00C36DFD"/>
    <w:rsid w:val="00C37594"/>
    <w:rsid w:val="00C375A5"/>
    <w:rsid w:val="00C376BA"/>
    <w:rsid w:val="00C37AFF"/>
    <w:rsid w:val="00C37B86"/>
    <w:rsid w:val="00C37EFF"/>
    <w:rsid w:val="00C37F21"/>
    <w:rsid w:val="00C40373"/>
    <w:rsid w:val="00C4073A"/>
    <w:rsid w:val="00C4082D"/>
    <w:rsid w:val="00C408F8"/>
    <w:rsid w:val="00C40AE6"/>
    <w:rsid w:val="00C40B9A"/>
    <w:rsid w:val="00C40C32"/>
    <w:rsid w:val="00C411AF"/>
    <w:rsid w:val="00C411ED"/>
    <w:rsid w:val="00C4123C"/>
    <w:rsid w:val="00C4138D"/>
    <w:rsid w:val="00C41A0C"/>
    <w:rsid w:val="00C41E3A"/>
    <w:rsid w:val="00C4294E"/>
    <w:rsid w:val="00C42EB4"/>
    <w:rsid w:val="00C42FD7"/>
    <w:rsid w:val="00C4304C"/>
    <w:rsid w:val="00C43315"/>
    <w:rsid w:val="00C440B5"/>
    <w:rsid w:val="00C442DD"/>
    <w:rsid w:val="00C44805"/>
    <w:rsid w:val="00C44915"/>
    <w:rsid w:val="00C452F5"/>
    <w:rsid w:val="00C4532C"/>
    <w:rsid w:val="00C45B34"/>
    <w:rsid w:val="00C4603B"/>
    <w:rsid w:val="00C4639F"/>
    <w:rsid w:val="00C46538"/>
    <w:rsid w:val="00C46555"/>
    <w:rsid w:val="00C466FB"/>
    <w:rsid w:val="00C46A75"/>
    <w:rsid w:val="00C46B15"/>
    <w:rsid w:val="00C46EB3"/>
    <w:rsid w:val="00C46F7D"/>
    <w:rsid w:val="00C471DE"/>
    <w:rsid w:val="00C479B5"/>
    <w:rsid w:val="00C479D3"/>
    <w:rsid w:val="00C50242"/>
    <w:rsid w:val="00C5034D"/>
    <w:rsid w:val="00C5050E"/>
    <w:rsid w:val="00C50705"/>
    <w:rsid w:val="00C507C5"/>
    <w:rsid w:val="00C509E3"/>
    <w:rsid w:val="00C50B7F"/>
    <w:rsid w:val="00C50E99"/>
    <w:rsid w:val="00C51088"/>
    <w:rsid w:val="00C51176"/>
    <w:rsid w:val="00C5124B"/>
    <w:rsid w:val="00C514C9"/>
    <w:rsid w:val="00C51797"/>
    <w:rsid w:val="00C5183C"/>
    <w:rsid w:val="00C51D61"/>
    <w:rsid w:val="00C523AD"/>
    <w:rsid w:val="00C52744"/>
    <w:rsid w:val="00C52BEB"/>
    <w:rsid w:val="00C52C40"/>
    <w:rsid w:val="00C52F72"/>
    <w:rsid w:val="00C52FAB"/>
    <w:rsid w:val="00C53089"/>
    <w:rsid w:val="00C53298"/>
    <w:rsid w:val="00C53B58"/>
    <w:rsid w:val="00C53EB3"/>
    <w:rsid w:val="00C542D4"/>
    <w:rsid w:val="00C5462C"/>
    <w:rsid w:val="00C54642"/>
    <w:rsid w:val="00C54677"/>
    <w:rsid w:val="00C54C67"/>
    <w:rsid w:val="00C54CF8"/>
    <w:rsid w:val="00C54D71"/>
    <w:rsid w:val="00C54DCA"/>
    <w:rsid w:val="00C54DD7"/>
    <w:rsid w:val="00C5545D"/>
    <w:rsid w:val="00C55751"/>
    <w:rsid w:val="00C55975"/>
    <w:rsid w:val="00C55FED"/>
    <w:rsid w:val="00C56329"/>
    <w:rsid w:val="00C563F5"/>
    <w:rsid w:val="00C56B1B"/>
    <w:rsid w:val="00C56D01"/>
    <w:rsid w:val="00C56D05"/>
    <w:rsid w:val="00C570F7"/>
    <w:rsid w:val="00C572B3"/>
    <w:rsid w:val="00C57479"/>
    <w:rsid w:val="00C577AF"/>
    <w:rsid w:val="00C57CAE"/>
    <w:rsid w:val="00C60283"/>
    <w:rsid w:val="00C60713"/>
    <w:rsid w:val="00C6120D"/>
    <w:rsid w:val="00C614D7"/>
    <w:rsid w:val="00C6157B"/>
    <w:rsid w:val="00C61ADC"/>
    <w:rsid w:val="00C61B39"/>
    <w:rsid w:val="00C61FBF"/>
    <w:rsid w:val="00C62194"/>
    <w:rsid w:val="00C62628"/>
    <w:rsid w:val="00C62B25"/>
    <w:rsid w:val="00C62C94"/>
    <w:rsid w:val="00C62CD5"/>
    <w:rsid w:val="00C63087"/>
    <w:rsid w:val="00C633F4"/>
    <w:rsid w:val="00C634D9"/>
    <w:rsid w:val="00C636E6"/>
    <w:rsid w:val="00C639D6"/>
    <w:rsid w:val="00C63A30"/>
    <w:rsid w:val="00C63BE9"/>
    <w:rsid w:val="00C63CA0"/>
    <w:rsid w:val="00C63F8E"/>
    <w:rsid w:val="00C64161"/>
    <w:rsid w:val="00C641C2"/>
    <w:rsid w:val="00C645C0"/>
    <w:rsid w:val="00C6477A"/>
    <w:rsid w:val="00C6477E"/>
    <w:rsid w:val="00C647FB"/>
    <w:rsid w:val="00C64886"/>
    <w:rsid w:val="00C651E3"/>
    <w:rsid w:val="00C652C4"/>
    <w:rsid w:val="00C654E0"/>
    <w:rsid w:val="00C656D4"/>
    <w:rsid w:val="00C65A9E"/>
    <w:rsid w:val="00C660A7"/>
    <w:rsid w:val="00C6613F"/>
    <w:rsid w:val="00C66C3F"/>
    <w:rsid w:val="00C67666"/>
    <w:rsid w:val="00C67A04"/>
    <w:rsid w:val="00C67EAB"/>
    <w:rsid w:val="00C7008C"/>
    <w:rsid w:val="00C70882"/>
    <w:rsid w:val="00C708B9"/>
    <w:rsid w:val="00C70CB7"/>
    <w:rsid w:val="00C70DFF"/>
    <w:rsid w:val="00C710F1"/>
    <w:rsid w:val="00C7116C"/>
    <w:rsid w:val="00C71318"/>
    <w:rsid w:val="00C71F85"/>
    <w:rsid w:val="00C720F5"/>
    <w:rsid w:val="00C7342D"/>
    <w:rsid w:val="00C7343C"/>
    <w:rsid w:val="00C73934"/>
    <w:rsid w:val="00C73AD0"/>
    <w:rsid w:val="00C742D9"/>
    <w:rsid w:val="00C7499D"/>
    <w:rsid w:val="00C74C2E"/>
    <w:rsid w:val="00C7510B"/>
    <w:rsid w:val="00C75A6B"/>
    <w:rsid w:val="00C75AB2"/>
    <w:rsid w:val="00C75B32"/>
    <w:rsid w:val="00C763B6"/>
    <w:rsid w:val="00C7644F"/>
    <w:rsid w:val="00C768F6"/>
    <w:rsid w:val="00C76E62"/>
    <w:rsid w:val="00C77309"/>
    <w:rsid w:val="00C77BE0"/>
    <w:rsid w:val="00C80073"/>
    <w:rsid w:val="00C80740"/>
    <w:rsid w:val="00C80777"/>
    <w:rsid w:val="00C80A56"/>
    <w:rsid w:val="00C80B6D"/>
    <w:rsid w:val="00C80DEA"/>
    <w:rsid w:val="00C81223"/>
    <w:rsid w:val="00C814CE"/>
    <w:rsid w:val="00C822A5"/>
    <w:rsid w:val="00C82658"/>
    <w:rsid w:val="00C82850"/>
    <w:rsid w:val="00C82E3D"/>
    <w:rsid w:val="00C832DC"/>
    <w:rsid w:val="00C835D8"/>
    <w:rsid w:val="00C8377F"/>
    <w:rsid w:val="00C83CBD"/>
    <w:rsid w:val="00C848B2"/>
    <w:rsid w:val="00C849EA"/>
    <w:rsid w:val="00C85CC7"/>
    <w:rsid w:val="00C85F9A"/>
    <w:rsid w:val="00C863C0"/>
    <w:rsid w:val="00C8646D"/>
    <w:rsid w:val="00C86789"/>
    <w:rsid w:val="00C868D5"/>
    <w:rsid w:val="00C86D7F"/>
    <w:rsid w:val="00C86E28"/>
    <w:rsid w:val="00C8765A"/>
    <w:rsid w:val="00C87D01"/>
    <w:rsid w:val="00C900D3"/>
    <w:rsid w:val="00C90976"/>
    <w:rsid w:val="00C90A53"/>
    <w:rsid w:val="00C9101C"/>
    <w:rsid w:val="00C91763"/>
    <w:rsid w:val="00C91DE3"/>
    <w:rsid w:val="00C91F30"/>
    <w:rsid w:val="00C9243C"/>
    <w:rsid w:val="00C92791"/>
    <w:rsid w:val="00C92C7F"/>
    <w:rsid w:val="00C92FD0"/>
    <w:rsid w:val="00C9369D"/>
    <w:rsid w:val="00C937D2"/>
    <w:rsid w:val="00C93A5E"/>
    <w:rsid w:val="00C93C90"/>
    <w:rsid w:val="00C9442B"/>
    <w:rsid w:val="00C944FA"/>
    <w:rsid w:val="00C944FE"/>
    <w:rsid w:val="00C9486B"/>
    <w:rsid w:val="00C94D55"/>
    <w:rsid w:val="00C94E97"/>
    <w:rsid w:val="00C95355"/>
    <w:rsid w:val="00C95516"/>
    <w:rsid w:val="00C95569"/>
    <w:rsid w:val="00C9561B"/>
    <w:rsid w:val="00C95854"/>
    <w:rsid w:val="00C95952"/>
    <w:rsid w:val="00C95EFF"/>
    <w:rsid w:val="00C960C9"/>
    <w:rsid w:val="00C96122"/>
    <w:rsid w:val="00C9621D"/>
    <w:rsid w:val="00C96A37"/>
    <w:rsid w:val="00C96D1D"/>
    <w:rsid w:val="00C96E6F"/>
    <w:rsid w:val="00C96EB2"/>
    <w:rsid w:val="00C96F28"/>
    <w:rsid w:val="00C96F75"/>
    <w:rsid w:val="00C97419"/>
    <w:rsid w:val="00C977F2"/>
    <w:rsid w:val="00C97872"/>
    <w:rsid w:val="00C979DA"/>
    <w:rsid w:val="00C97C7A"/>
    <w:rsid w:val="00CA0293"/>
    <w:rsid w:val="00CA02F0"/>
    <w:rsid w:val="00CA0532"/>
    <w:rsid w:val="00CA07FD"/>
    <w:rsid w:val="00CA220D"/>
    <w:rsid w:val="00CA2241"/>
    <w:rsid w:val="00CA2290"/>
    <w:rsid w:val="00CA22CA"/>
    <w:rsid w:val="00CA233A"/>
    <w:rsid w:val="00CA25A4"/>
    <w:rsid w:val="00CA2A1E"/>
    <w:rsid w:val="00CA2D46"/>
    <w:rsid w:val="00CA2FE5"/>
    <w:rsid w:val="00CA30C9"/>
    <w:rsid w:val="00CA3478"/>
    <w:rsid w:val="00CA3976"/>
    <w:rsid w:val="00CA3CDD"/>
    <w:rsid w:val="00CA403B"/>
    <w:rsid w:val="00CA448B"/>
    <w:rsid w:val="00CA4AA2"/>
    <w:rsid w:val="00CA4AC0"/>
    <w:rsid w:val="00CA505A"/>
    <w:rsid w:val="00CA54EB"/>
    <w:rsid w:val="00CA59DD"/>
    <w:rsid w:val="00CA5C0A"/>
    <w:rsid w:val="00CA6103"/>
    <w:rsid w:val="00CA6671"/>
    <w:rsid w:val="00CA6F39"/>
    <w:rsid w:val="00CB008E"/>
    <w:rsid w:val="00CB01FA"/>
    <w:rsid w:val="00CB03C5"/>
    <w:rsid w:val="00CB0737"/>
    <w:rsid w:val="00CB097A"/>
    <w:rsid w:val="00CB0E9D"/>
    <w:rsid w:val="00CB12E2"/>
    <w:rsid w:val="00CB17E2"/>
    <w:rsid w:val="00CB258F"/>
    <w:rsid w:val="00CB26E4"/>
    <w:rsid w:val="00CB26EC"/>
    <w:rsid w:val="00CB2D2A"/>
    <w:rsid w:val="00CB39B7"/>
    <w:rsid w:val="00CB3E90"/>
    <w:rsid w:val="00CB3F12"/>
    <w:rsid w:val="00CB3FD1"/>
    <w:rsid w:val="00CB416F"/>
    <w:rsid w:val="00CB4776"/>
    <w:rsid w:val="00CB509F"/>
    <w:rsid w:val="00CB5606"/>
    <w:rsid w:val="00CB5682"/>
    <w:rsid w:val="00CB58AD"/>
    <w:rsid w:val="00CB5B1E"/>
    <w:rsid w:val="00CB670C"/>
    <w:rsid w:val="00CB69FB"/>
    <w:rsid w:val="00CB6F3E"/>
    <w:rsid w:val="00CB6FD0"/>
    <w:rsid w:val="00CB7229"/>
    <w:rsid w:val="00CB787A"/>
    <w:rsid w:val="00CB7898"/>
    <w:rsid w:val="00CB7B99"/>
    <w:rsid w:val="00CB7CD0"/>
    <w:rsid w:val="00CB7D97"/>
    <w:rsid w:val="00CB7E70"/>
    <w:rsid w:val="00CB7F72"/>
    <w:rsid w:val="00CC06E1"/>
    <w:rsid w:val="00CC0C4A"/>
    <w:rsid w:val="00CC125B"/>
    <w:rsid w:val="00CC17F0"/>
    <w:rsid w:val="00CC1853"/>
    <w:rsid w:val="00CC1AE2"/>
    <w:rsid w:val="00CC1CF9"/>
    <w:rsid w:val="00CC1D1A"/>
    <w:rsid w:val="00CC1FAE"/>
    <w:rsid w:val="00CC24E6"/>
    <w:rsid w:val="00CC2AF5"/>
    <w:rsid w:val="00CC2B39"/>
    <w:rsid w:val="00CC338D"/>
    <w:rsid w:val="00CC3A23"/>
    <w:rsid w:val="00CC3A64"/>
    <w:rsid w:val="00CC3F91"/>
    <w:rsid w:val="00CC4791"/>
    <w:rsid w:val="00CC4882"/>
    <w:rsid w:val="00CC4A0D"/>
    <w:rsid w:val="00CC4EFA"/>
    <w:rsid w:val="00CC51E4"/>
    <w:rsid w:val="00CC551E"/>
    <w:rsid w:val="00CC5837"/>
    <w:rsid w:val="00CC6627"/>
    <w:rsid w:val="00CC7244"/>
    <w:rsid w:val="00CC737C"/>
    <w:rsid w:val="00CC73AE"/>
    <w:rsid w:val="00CC7744"/>
    <w:rsid w:val="00CC794E"/>
    <w:rsid w:val="00CC79C3"/>
    <w:rsid w:val="00CC7A7C"/>
    <w:rsid w:val="00CC7B34"/>
    <w:rsid w:val="00CC7D1D"/>
    <w:rsid w:val="00CD05E8"/>
    <w:rsid w:val="00CD087D"/>
    <w:rsid w:val="00CD0F5D"/>
    <w:rsid w:val="00CD1049"/>
    <w:rsid w:val="00CD1181"/>
    <w:rsid w:val="00CD16E2"/>
    <w:rsid w:val="00CD1C0B"/>
    <w:rsid w:val="00CD223E"/>
    <w:rsid w:val="00CD239A"/>
    <w:rsid w:val="00CD2468"/>
    <w:rsid w:val="00CD25FF"/>
    <w:rsid w:val="00CD2957"/>
    <w:rsid w:val="00CD308A"/>
    <w:rsid w:val="00CD30A0"/>
    <w:rsid w:val="00CD30B3"/>
    <w:rsid w:val="00CD3592"/>
    <w:rsid w:val="00CD38B6"/>
    <w:rsid w:val="00CD3D1C"/>
    <w:rsid w:val="00CD44DE"/>
    <w:rsid w:val="00CD4641"/>
    <w:rsid w:val="00CD4C06"/>
    <w:rsid w:val="00CD5512"/>
    <w:rsid w:val="00CD5B32"/>
    <w:rsid w:val="00CD5EE0"/>
    <w:rsid w:val="00CD645C"/>
    <w:rsid w:val="00CD6B02"/>
    <w:rsid w:val="00CD6E3D"/>
    <w:rsid w:val="00CD70C2"/>
    <w:rsid w:val="00CD70E9"/>
    <w:rsid w:val="00CD71AB"/>
    <w:rsid w:val="00CE0109"/>
    <w:rsid w:val="00CE09ED"/>
    <w:rsid w:val="00CE0F09"/>
    <w:rsid w:val="00CE19C4"/>
    <w:rsid w:val="00CE1B3F"/>
    <w:rsid w:val="00CE1FC5"/>
    <w:rsid w:val="00CE2192"/>
    <w:rsid w:val="00CE239B"/>
    <w:rsid w:val="00CE2574"/>
    <w:rsid w:val="00CE2645"/>
    <w:rsid w:val="00CE2B77"/>
    <w:rsid w:val="00CE2F7C"/>
    <w:rsid w:val="00CE313C"/>
    <w:rsid w:val="00CE339A"/>
    <w:rsid w:val="00CE3576"/>
    <w:rsid w:val="00CE42C9"/>
    <w:rsid w:val="00CE437E"/>
    <w:rsid w:val="00CE46E5"/>
    <w:rsid w:val="00CE485A"/>
    <w:rsid w:val="00CE4C0E"/>
    <w:rsid w:val="00CE5279"/>
    <w:rsid w:val="00CE5A78"/>
    <w:rsid w:val="00CE5FE9"/>
    <w:rsid w:val="00CE6188"/>
    <w:rsid w:val="00CE656F"/>
    <w:rsid w:val="00CE6C2B"/>
    <w:rsid w:val="00CE6E53"/>
    <w:rsid w:val="00CE6F49"/>
    <w:rsid w:val="00CE7280"/>
    <w:rsid w:val="00CE72DB"/>
    <w:rsid w:val="00CE7353"/>
    <w:rsid w:val="00CE78AE"/>
    <w:rsid w:val="00CE7E62"/>
    <w:rsid w:val="00CF038B"/>
    <w:rsid w:val="00CF05DD"/>
    <w:rsid w:val="00CF0BBA"/>
    <w:rsid w:val="00CF1245"/>
    <w:rsid w:val="00CF1314"/>
    <w:rsid w:val="00CF14DA"/>
    <w:rsid w:val="00CF195E"/>
    <w:rsid w:val="00CF19DA"/>
    <w:rsid w:val="00CF1C7F"/>
    <w:rsid w:val="00CF1CC0"/>
    <w:rsid w:val="00CF21B5"/>
    <w:rsid w:val="00CF2265"/>
    <w:rsid w:val="00CF234C"/>
    <w:rsid w:val="00CF24F8"/>
    <w:rsid w:val="00CF2653"/>
    <w:rsid w:val="00CF28DE"/>
    <w:rsid w:val="00CF2B0C"/>
    <w:rsid w:val="00CF2C8F"/>
    <w:rsid w:val="00CF2CE9"/>
    <w:rsid w:val="00CF34FE"/>
    <w:rsid w:val="00CF3504"/>
    <w:rsid w:val="00CF371D"/>
    <w:rsid w:val="00CF4247"/>
    <w:rsid w:val="00CF4455"/>
    <w:rsid w:val="00CF4E9A"/>
    <w:rsid w:val="00CF517D"/>
    <w:rsid w:val="00CF5263"/>
    <w:rsid w:val="00CF5745"/>
    <w:rsid w:val="00CF5747"/>
    <w:rsid w:val="00CF60B5"/>
    <w:rsid w:val="00CF612A"/>
    <w:rsid w:val="00CF6B41"/>
    <w:rsid w:val="00CF6C23"/>
    <w:rsid w:val="00CF6E48"/>
    <w:rsid w:val="00CF72AD"/>
    <w:rsid w:val="00CF75A1"/>
    <w:rsid w:val="00CF7B6E"/>
    <w:rsid w:val="00CF7D1A"/>
    <w:rsid w:val="00D004FA"/>
    <w:rsid w:val="00D01139"/>
    <w:rsid w:val="00D01B21"/>
    <w:rsid w:val="00D01E2F"/>
    <w:rsid w:val="00D02893"/>
    <w:rsid w:val="00D02987"/>
    <w:rsid w:val="00D03102"/>
    <w:rsid w:val="00D03727"/>
    <w:rsid w:val="00D0378A"/>
    <w:rsid w:val="00D038D5"/>
    <w:rsid w:val="00D03AD8"/>
    <w:rsid w:val="00D03B1A"/>
    <w:rsid w:val="00D03FA7"/>
    <w:rsid w:val="00D041D3"/>
    <w:rsid w:val="00D041D7"/>
    <w:rsid w:val="00D047C0"/>
    <w:rsid w:val="00D04B97"/>
    <w:rsid w:val="00D050FA"/>
    <w:rsid w:val="00D05132"/>
    <w:rsid w:val="00D052EE"/>
    <w:rsid w:val="00D057F3"/>
    <w:rsid w:val="00D05B46"/>
    <w:rsid w:val="00D05B68"/>
    <w:rsid w:val="00D05BE3"/>
    <w:rsid w:val="00D05EA9"/>
    <w:rsid w:val="00D06407"/>
    <w:rsid w:val="00D06DB3"/>
    <w:rsid w:val="00D071F8"/>
    <w:rsid w:val="00D07252"/>
    <w:rsid w:val="00D07313"/>
    <w:rsid w:val="00D074F4"/>
    <w:rsid w:val="00D076A7"/>
    <w:rsid w:val="00D07CDC"/>
    <w:rsid w:val="00D07CE1"/>
    <w:rsid w:val="00D1026A"/>
    <w:rsid w:val="00D1047D"/>
    <w:rsid w:val="00D1068D"/>
    <w:rsid w:val="00D1077B"/>
    <w:rsid w:val="00D1077F"/>
    <w:rsid w:val="00D107CF"/>
    <w:rsid w:val="00D10B85"/>
    <w:rsid w:val="00D10F5D"/>
    <w:rsid w:val="00D10FE4"/>
    <w:rsid w:val="00D11323"/>
    <w:rsid w:val="00D11A64"/>
    <w:rsid w:val="00D11B0B"/>
    <w:rsid w:val="00D12216"/>
    <w:rsid w:val="00D12293"/>
    <w:rsid w:val="00D126D9"/>
    <w:rsid w:val="00D12B14"/>
    <w:rsid w:val="00D13260"/>
    <w:rsid w:val="00D13322"/>
    <w:rsid w:val="00D139A9"/>
    <w:rsid w:val="00D13EE4"/>
    <w:rsid w:val="00D1416A"/>
    <w:rsid w:val="00D14236"/>
    <w:rsid w:val="00D143C4"/>
    <w:rsid w:val="00D14473"/>
    <w:rsid w:val="00D14553"/>
    <w:rsid w:val="00D14BF5"/>
    <w:rsid w:val="00D14D65"/>
    <w:rsid w:val="00D14DB1"/>
    <w:rsid w:val="00D1508C"/>
    <w:rsid w:val="00D15BFE"/>
    <w:rsid w:val="00D15F43"/>
    <w:rsid w:val="00D16862"/>
    <w:rsid w:val="00D16E87"/>
    <w:rsid w:val="00D174CD"/>
    <w:rsid w:val="00D1777D"/>
    <w:rsid w:val="00D17965"/>
    <w:rsid w:val="00D17AF8"/>
    <w:rsid w:val="00D20156"/>
    <w:rsid w:val="00D205FB"/>
    <w:rsid w:val="00D2080B"/>
    <w:rsid w:val="00D20B8B"/>
    <w:rsid w:val="00D20D52"/>
    <w:rsid w:val="00D211D8"/>
    <w:rsid w:val="00D21205"/>
    <w:rsid w:val="00D2162C"/>
    <w:rsid w:val="00D21A3C"/>
    <w:rsid w:val="00D22129"/>
    <w:rsid w:val="00D22B55"/>
    <w:rsid w:val="00D233F1"/>
    <w:rsid w:val="00D2365D"/>
    <w:rsid w:val="00D23EB5"/>
    <w:rsid w:val="00D243A7"/>
    <w:rsid w:val="00D243D3"/>
    <w:rsid w:val="00D243E0"/>
    <w:rsid w:val="00D246ED"/>
    <w:rsid w:val="00D2493D"/>
    <w:rsid w:val="00D25400"/>
    <w:rsid w:val="00D256F8"/>
    <w:rsid w:val="00D25DA2"/>
    <w:rsid w:val="00D26086"/>
    <w:rsid w:val="00D262FD"/>
    <w:rsid w:val="00D26367"/>
    <w:rsid w:val="00D266AE"/>
    <w:rsid w:val="00D2685C"/>
    <w:rsid w:val="00D26A3B"/>
    <w:rsid w:val="00D26E1D"/>
    <w:rsid w:val="00D27CF1"/>
    <w:rsid w:val="00D27D5D"/>
    <w:rsid w:val="00D27F9C"/>
    <w:rsid w:val="00D302FD"/>
    <w:rsid w:val="00D3038A"/>
    <w:rsid w:val="00D3080F"/>
    <w:rsid w:val="00D3098D"/>
    <w:rsid w:val="00D30AEA"/>
    <w:rsid w:val="00D314B4"/>
    <w:rsid w:val="00D31865"/>
    <w:rsid w:val="00D31A02"/>
    <w:rsid w:val="00D31DEA"/>
    <w:rsid w:val="00D323B5"/>
    <w:rsid w:val="00D32651"/>
    <w:rsid w:val="00D326C2"/>
    <w:rsid w:val="00D32E6D"/>
    <w:rsid w:val="00D33126"/>
    <w:rsid w:val="00D3323C"/>
    <w:rsid w:val="00D33456"/>
    <w:rsid w:val="00D3396F"/>
    <w:rsid w:val="00D33CE6"/>
    <w:rsid w:val="00D33D4D"/>
    <w:rsid w:val="00D34227"/>
    <w:rsid w:val="00D34323"/>
    <w:rsid w:val="00D34A0B"/>
    <w:rsid w:val="00D361F5"/>
    <w:rsid w:val="00D36234"/>
    <w:rsid w:val="00D36371"/>
    <w:rsid w:val="00D36426"/>
    <w:rsid w:val="00D36643"/>
    <w:rsid w:val="00D36824"/>
    <w:rsid w:val="00D36921"/>
    <w:rsid w:val="00D36C15"/>
    <w:rsid w:val="00D36E08"/>
    <w:rsid w:val="00D36EA1"/>
    <w:rsid w:val="00D40406"/>
    <w:rsid w:val="00D40DFC"/>
    <w:rsid w:val="00D41BED"/>
    <w:rsid w:val="00D41C95"/>
    <w:rsid w:val="00D42546"/>
    <w:rsid w:val="00D433EC"/>
    <w:rsid w:val="00D43611"/>
    <w:rsid w:val="00D437D8"/>
    <w:rsid w:val="00D44904"/>
    <w:rsid w:val="00D44994"/>
    <w:rsid w:val="00D453BD"/>
    <w:rsid w:val="00D454B2"/>
    <w:rsid w:val="00D45647"/>
    <w:rsid w:val="00D45DF3"/>
    <w:rsid w:val="00D46174"/>
    <w:rsid w:val="00D46D56"/>
    <w:rsid w:val="00D46F03"/>
    <w:rsid w:val="00D4704A"/>
    <w:rsid w:val="00D47AEE"/>
    <w:rsid w:val="00D47DD0"/>
    <w:rsid w:val="00D50183"/>
    <w:rsid w:val="00D5046D"/>
    <w:rsid w:val="00D50EC9"/>
    <w:rsid w:val="00D51460"/>
    <w:rsid w:val="00D51884"/>
    <w:rsid w:val="00D51C58"/>
    <w:rsid w:val="00D51D12"/>
    <w:rsid w:val="00D52658"/>
    <w:rsid w:val="00D52C3E"/>
    <w:rsid w:val="00D5362B"/>
    <w:rsid w:val="00D5395E"/>
    <w:rsid w:val="00D53CAA"/>
    <w:rsid w:val="00D5423D"/>
    <w:rsid w:val="00D54893"/>
    <w:rsid w:val="00D54986"/>
    <w:rsid w:val="00D549C5"/>
    <w:rsid w:val="00D54D1D"/>
    <w:rsid w:val="00D54DA8"/>
    <w:rsid w:val="00D55072"/>
    <w:rsid w:val="00D551B5"/>
    <w:rsid w:val="00D551F5"/>
    <w:rsid w:val="00D55548"/>
    <w:rsid w:val="00D5638E"/>
    <w:rsid w:val="00D564ED"/>
    <w:rsid w:val="00D566DB"/>
    <w:rsid w:val="00D567E3"/>
    <w:rsid w:val="00D56861"/>
    <w:rsid w:val="00D56A14"/>
    <w:rsid w:val="00D56DB2"/>
    <w:rsid w:val="00D5747F"/>
    <w:rsid w:val="00D57495"/>
    <w:rsid w:val="00D574FA"/>
    <w:rsid w:val="00D57853"/>
    <w:rsid w:val="00D57970"/>
    <w:rsid w:val="00D60C8D"/>
    <w:rsid w:val="00D60D09"/>
    <w:rsid w:val="00D61153"/>
    <w:rsid w:val="00D61374"/>
    <w:rsid w:val="00D6168A"/>
    <w:rsid w:val="00D616A5"/>
    <w:rsid w:val="00D61FF0"/>
    <w:rsid w:val="00D6211D"/>
    <w:rsid w:val="00D62394"/>
    <w:rsid w:val="00D62C97"/>
    <w:rsid w:val="00D62CC8"/>
    <w:rsid w:val="00D63517"/>
    <w:rsid w:val="00D63B75"/>
    <w:rsid w:val="00D63F02"/>
    <w:rsid w:val="00D64261"/>
    <w:rsid w:val="00D644B8"/>
    <w:rsid w:val="00D64DFA"/>
    <w:rsid w:val="00D64E59"/>
    <w:rsid w:val="00D65685"/>
    <w:rsid w:val="00D657CF"/>
    <w:rsid w:val="00D659B1"/>
    <w:rsid w:val="00D65B77"/>
    <w:rsid w:val="00D6670A"/>
    <w:rsid w:val="00D66A66"/>
    <w:rsid w:val="00D66B0F"/>
    <w:rsid w:val="00D66B88"/>
    <w:rsid w:val="00D66E18"/>
    <w:rsid w:val="00D6734D"/>
    <w:rsid w:val="00D679CF"/>
    <w:rsid w:val="00D679D3"/>
    <w:rsid w:val="00D706C3"/>
    <w:rsid w:val="00D710CD"/>
    <w:rsid w:val="00D7255F"/>
    <w:rsid w:val="00D72E0B"/>
    <w:rsid w:val="00D72EE3"/>
    <w:rsid w:val="00D72F3B"/>
    <w:rsid w:val="00D7356F"/>
    <w:rsid w:val="00D73587"/>
    <w:rsid w:val="00D739BF"/>
    <w:rsid w:val="00D73EBB"/>
    <w:rsid w:val="00D74B69"/>
    <w:rsid w:val="00D751FB"/>
    <w:rsid w:val="00D754D6"/>
    <w:rsid w:val="00D7587E"/>
    <w:rsid w:val="00D75D9F"/>
    <w:rsid w:val="00D7613B"/>
    <w:rsid w:val="00D761AA"/>
    <w:rsid w:val="00D76759"/>
    <w:rsid w:val="00D76FAE"/>
    <w:rsid w:val="00D77105"/>
    <w:rsid w:val="00D7713C"/>
    <w:rsid w:val="00D777D7"/>
    <w:rsid w:val="00D77D3D"/>
    <w:rsid w:val="00D80665"/>
    <w:rsid w:val="00D80AB8"/>
    <w:rsid w:val="00D80B3E"/>
    <w:rsid w:val="00D814FD"/>
    <w:rsid w:val="00D81792"/>
    <w:rsid w:val="00D819B1"/>
    <w:rsid w:val="00D81F87"/>
    <w:rsid w:val="00D82386"/>
    <w:rsid w:val="00D82442"/>
    <w:rsid w:val="00D82494"/>
    <w:rsid w:val="00D82524"/>
    <w:rsid w:val="00D82702"/>
    <w:rsid w:val="00D82DAE"/>
    <w:rsid w:val="00D83143"/>
    <w:rsid w:val="00D833CA"/>
    <w:rsid w:val="00D833DD"/>
    <w:rsid w:val="00D83522"/>
    <w:rsid w:val="00D83ADF"/>
    <w:rsid w:val="00D83AE9"/>
    <w:rsid w:val="00D83B5E"/>
    <w:rsid w:val="00D83B89"/>
    <w:rsid w:val="00D83F0D"/>
    <w:rsid w:val="00D844DB"/>
    <w:rsid w:val="00D84899"/>
    <w:rsid w:val="00D849D7"/>
    <w:rsid w:val="00D849EE"/>
    <w:rsid w:val="00D85439"/>
    <w:rsid w:val="00D857B8"/>
    <w:rsid w:val="00D85EA1"/>
    <w:rsid w:val="00D86167"/>
    <w:rsid w:val="00D86581"/>
    <w:rsid w:val="00D86723"/>
    <w:rsid w:val="00D86977"/>
    <w:rsid w:val="00D86D45"/>
    <w:rsid w:val="00D86E36"/>
    <w:rsid w:val="00D87052"/>
    <w:rsid w:val="00D87175"/>
    <w:rsid w:val="00D87306"/>
    <w:rsid w:val="00D874E4"/>
    <w:rsid w:val="00D875A7"/>
    <w:rsid w:val="00D87ABF"/>
    <w:rsid w:val="00D87BFB"/>
    <w:rsid w:val="00D90AEC"/>
    <w:rsid w:val="00D90CD3"/>
    <w:rsid w:val="00D91861"/>
    <w:rsid w:val="00D919A2"/>
    <w:rsid w:val="00D919E6"/>
    <w:rsid w:val="00D91BE1"/>
    <w:rsid w:val="00D91D8A"/>
    <w:rsid w:val="00D9223A"/>
    <w:rsid w:val="00D9260A"/>
    <w:rsid w:val="00D9282C"/>
    <w:rsid w:val="00D92C29"/>
    <w:rsid w:val="00D92C5B"/>
    <w:rsid w:val="00D92C75"/>
    <w:rsid w:val="00D936E2"/>
    <w:rsid w:val="00D93BAE"/>
    <w:rsid w:val="00D95104"/>
    <w:rsid w:val="00D95600"/>
    <w:rsid w:val="00D95F75"/>
    <w:rsid w:val="00D96125"/>
    <w:rsid w:val="00D9654A"/>
    <w:rsid w:val="00D9683C"/>
    <w:rsid w:val="00D96D25"/>
    <w:rsid w:val="00D96FC5"/>
    <w:rsid w:val="00D96FCF"/>
    <w:rsid w:val="00D97843"/>
    <w:rsid w:val="00D97884"/>
    <w:rsid w:val="00D97C5E"/>
    <w:rsid w:val="00DA034F"/>
    <w:rsid w:val="00DA0A56"/>
    <w:rsid w:val="00DA0A7F"/>
    <w:rsid w:val="00DA0E2A"/>
    <w:rsid w:val="00DA1624"/>
    <w:rsid w:val="00DA19B3"/>
    <w:rsid w:val="00DA1A94"/>
    <w:rsid w:val="00DA1ABA"/>
    <w:rsid w:val="00DA1B0E"/>
    <w:rsid w:val="00DA1C31"/>
    <w:rsid w:val="00DA1ECD"/>
    <w:rsid w:val="00DA2044"/>
    <w:rsid w:val="00DA20BC"/>
    <w:rsid w:val="00DA25C4"/>
    <w:rsid w:val="00DA2D98"/>
    <w:rsid w:val="00DA2ED7"/>
    <w:rsid w:val="00DA3642"/>
    <w:rsid w:val="00DA3711"/>
    <w:rsid w:val="00DA3E7A"/>
    <w:rsid w:val="00DA430C"/>
    <w:rsid w:val="00DA46EB"/>
    <w:rsid w:val="00DA4C21"/>
    <w:rsid w:val="00DA615D"/>
    <w:rsid w:val="00DA6598"/>
    <w:rsid w:val="00DA6B57"/>
    <w:rsid w:val="00DA6C0F"/>
    <w:rsid w:val="00DA6C1C"/>
    <w:rsid w:val="00DA6D92"/>
    <w:rsid w:val="00DA702F"/>
    <w:rsid w:val="00DA7362"/>
    <w:rsid w:val="00DA7571"/>
    <w:rsid w:val="00DA7765"/>
    <w:rsid w:val="00DA7E82"/>
    <w:rsid w:val="00DA7F8A"/>
    <w:rsid w:val="00DB0176"/>
    <w:rsid w:val="00DB0404"/>
    <w:rsid w:val="00DB05E2"/>
    <w:rsid w:val="00DB09AD"/>
    <w:rsid w:val="00DB0E53"/>
    <w:rsid w:val="00DB0F4F"/>
    <w:rsid w:val="00DB11F8"/>
    <w:rsid w:val="00DB122D"/>
    <w:rsid w:val="00DB12A2"/>
    <w:rsid w:val="00DB18F8"/>
    <w:rsid w:val="00DB1AEF"/>
    <w:rsid w:val="00DB1CFD"/>
    <w:rsid w:val="00DB1D08"/>
    <w:rsid w:val="00DB1EE7"/>
    <w:rsid w:val="00DB1F2A"/>
    <w:rsid w:val="00DB2097"/>
    <w:rsid w:val="00DB2893"/>
    <w:rsid w:val="00DB297F"/>
    <w:rsid w:val="00DB2DE5"/>
    <w:rsid w:val="00DB3153"/>
    <w:rsid w:val="00DB317A"/>
    <w:rsid w:val="00DB344A"/>
    <w:rsid w:val="00DB37B4"/>
    <w:rsid w:val="00DB39C2"/>
    <w:rsid w:val="00DB3B82"/>
    <w:rsid w:val="00DB3FF2"/>
    <w:rsid w:val="00DB4165"/>
    <w:rsid w:val="00DB46C5"/>
    <w:rsid w:val="00DB485D"/>
    <w:rsid w:val="00DB4988"/>
    <w:rsid w:val="00DB5239"/>
    <w:rsid w:val="00DB64EF"/>
    <w:rsid w:val="00DB65B3"/>
    <w:rsid w:val="00DB71D4"/>
    <w:rsid w:val="00DB750B"/>
    <w:rsid w:val="00DC031E"/>
    <w:rsid w:val="00DC03D9"/>
    <w:rsid w:val="00DC0AEA"/>
    <w:rsid w:val="00DC0CC5"/>
    <w:rsid w:val="00DC1327"/>
    <w:rsid w:val="00DC1350"/>
    <w:rsid w:val="00DC169A"/>
    <w:rsid w:val="00DC1FE8"/>
    <w:rsid w:val="00DC2DA1"/>
    <w:rsid w:val="00DC3237"/>
    <w:rsid w:val="00DC3272"/>
    <w:rsid w:val="00DC393C"/>
    <w:rsid w:val="00DC3BC4"/>
    <w:rsid w:val="00DC3E9B"/>
    <w:rsid w:val="00DC41A4"/>
    <w:rsid w:val="00DC4287"/>
    <w:rsid w:val="00DC4312"/>
    <w:rsid w:val="00DC46AA"/>
    <w:rsid w:val="00DC487A"/>
    <w:rsid w:val="00DC4B6F"/>
    <w:rsid w:val="00DC4D4B"/>
    <w:rsid w:val="00DC5672"/>
    <w:rsid w:val="00DC5772"/>
    <w:rsid w:val="00DC5C05"/>
    <w:rsid w:val="00DC5EEB"/>
    <w:rsid w:val="00DC5FAE"/>
    <w:rsid w:val="00DC5FF6"/>
    <w:rsid w:val="00DC60A2"/>
    <w:rsid w:val="00DC638F"/>
    <w:rsid w:val="00DC6600"/>
    <w:rsid w:val="00DC662E"/>
    <w:rsid w:val="00DC67BD"/>
    <w:rsid w:val="00DC6924"/>
    <w:rsid w:val="00DC71F2"/>
    <w:rsid w:val="00DC723E"/>
    <w:rsid w:val="00DC724E"/>
    <w:rsid w:val="00DC7943"/>
    <w:rsid w:val="00DC7C9E"/>
    <w:rsid w:val="00DC7CA6"/>
    <w:rsid w:val="00DD0818"/>
    <w:rsid w:val="00DD0D34"/>
    <w:rsid w:val="00DD0F6F"/>
    <w:rsid w:val="00DD0F81"/>
    <w:rsid w:val="00DD101E"/>
    <w:rsid w:val="00DD2025"/>
    <w:rsid w:val="00DD22EA"/>
    <w:rsid w:val="00DD23A0"/>
    <w:rsid w:val="00DD2AE4"/>
    <w:rsid w:val="00DD3392"/>
    <w:rsid w:val="00DD3B4E"/>
    <w:rsid w:val="00DD3EF5"/>
    <w:rsid w:val="00DD4E57"/>
    <w:rsid w:val="00DD53FA"/>
    <w:rsid w:val="00DD5C73"/>
    <w:rsid w:val="00DD5F42"/>
    <w:rsid w:val="00DD5F88"/>
    <w:rsid w:val="00DD6069"/>
    <w:rsid w:val="00DD617B"/>
    <w:rsid w:val="00DD6795"/>
    <w:rsid w:val="00DD6D59"/>
    <w:rsid w:val="00DD71BA"/>
    <w:rsid w:val="00DD72BB"/>
    <w:rsid w:val="00DD7401"/>
    <w:rsid w:val="00DE04F2"/>
    <w:rsid w:val="00DE068C"/>
    <w:rsid w:val="00DE082B"/>
    <w:rsid w:val="00DE0E59"/>
    <w:rsid w:val="00DE0F6C"/>
    <w:rsid w:val="00DE1074"/>
    <w:rsid w:val="00DE199C"/>
    <w:rsid w:val="00DE1AD1"/>
    <w:rsid w:val="00DE215F"/>
    <w:rsid w:val="00DE219B"/>
    <w:rsid w:val="00DE23C2"/>
    <w:rsid w:val="00DE27BE"/>
    <w:rsid w:val="00DE2CDF"/>
    <w:rsid w:val="00DE3119"/>
    <w:rsid w:val="00DE353C"/>
    <w:rsid w:val="00DE37A2"/>
    <w:rsid w:val="00DE3E88"/>
    <w:rsid w:val="00DE4066"/>
    <w:rsid w:val="00DE43A5"/>
    <w:rsid w:val="00DE4468"/>
    <w:rsid w:val="00DE4544"/>
    <w:rsid w:val="00DE47A0"/>
    <w:rsid w:val="00DE47DC"/>
    <w:rsid w:val="00DE491B"/>
    <w:rsid w:val="00DE4A53"/>
    <w:rsid w:val="00DE4D48"/>
    <w:rsid w:val="00DE4F22"/>
    <w:rsid w:val="00DE52E3"/>
    <w:rsid w:val="00DE5651"/>
    <w:rsid w:val="00DE59BD"/>
    <w:rsid w:val="00DE5AD4"/>
    <w:rsid w:val="00DE5B62"/>
    <w:rsid w:val="00DE5E80"/>
    <w:rsid w:val="00DE6124"/>
    <w:rsid w:val="00DE6171"/>
    <w:rsid w:val="00DE64AA"/>
    <w:rsid w:val="00DE6C0D"/>
    <w:rsid w:val="00DE7101"/>
    <w:rsid w:val="00DE712D"/>
    <w:rsid w:val="00DE786B"/>
    <w:rsid w:val="00DE7C00"/>
    <w:rsid w:val="00DF03E9"/>
    <w:rsid w:val="00DF03ED"/>
    <w:rsid w:val="00DF04EE"/>
    <w:rsid w:val="00DF0677"/>
    <w:rsid w:val="00DF0B5C"/>
    <w:rsid w:val="00DF0BF4"/>
    <w:rsid w:val="00DF0DCC"/>
    <w:rsid w:val="00DF179D"/>
    <w:rsid w:val="00DF1CC0"/>
    <w:rsid w:val="00DF1D4E"/>
    <w:rsid w:val="00DF1E9C"/>
    <w:rsid w:val="00DF276E"/>
    <w:rsid w:val="00DF284B"/>
    <w:rsid w:val="00DF2E7F"/>
    <w:rsid w:val="00DF311B"/>
    <w:rsid w:val="00DF4572"/>
    <w:rsid w:val="00DF4658"/>
    <w:rsid w:val="00DF5020"/>
    <w:rsid w:val="00DF51B5"/>
    <w:rsid w:val="00DF5231"/>
    <w:rsid w:val="00DF52F4"/>
    <w:rsid w:val="00DF554D"/>
    <w:rsid w:val="00DF598B"/>
    <w:rsid w:val="00DF5D2D"/>
    <w:rsid w:val="00DF641A"/>
    <w:rsid w:val="00DF6A20"/>
    <w:rsid w:val="00DF6C8B"/>
    <w:rsid w:val="00DF6D0C"/>
    <w:rsid w:val="00DF6D69"/>
    <w:rsid w:val="00DF6F17"/>
    <w:rsid w:val="00DF76A7"/>
    <w:rsid w:val="00DF78FA"/>
    <w:rsid w:val="00DF7B76"/>
    <w:rsid w:val="00DF7CE5"/>
    <w:rsid w:val="00DF7F50"/>
    <w:rsid w:val="00E002F1"/>
    <w:rsid w:val="00E00323"/>
    <w:rsid w:val="00E0082C"/>
    <w:rsid w:val="00E01779"/>
    <w:rsid w:val="00E01915"/>
    <w:rsid w:val="00E01ACE"/>
    <w:rsid w:val="00E01DAA"/>
    <w:rsid w:val="00E023E5"/>
    <w:rsid w:val="00E02432"/>
    <w:rsid w:val="00E0245C"/>
    <w:rsid w:val="00E0268F"/>
    <w:rsid w:val="00E029E2"/>
    <w:rsid w:val="00E02BA1"/>
    <w:rsid w:val="00E02D51"/>
    <w:rsid w:val="00E03528"/>
    <w:rsid w:val="00E03DD7"/>
    <w:rsid w:val="00E04022"/>
    <w:rsid w:val="00E042D0"/>
    <w:rsid w:val="00E043C1"/>
    <w:rsid w:val="00E0454D"/>
    <w:rsid w:val="00E04A5D"/>
    <w:rsid w:val="00E04CF4"/>
    <w:rsid w:val="00E05066"/>
    <w:rsid w:val="00E05C88"/>
    <w:rsid w:val="00E061D4"/>
    <w:rsid w:val="00E06B00"/>
    <w:rsid w:val="00E06CAD"/>
    <w:rsid w:val="00E06E05"/>
    <w:rsid w:val="00E0728F"/>
    <w:rsid w:val="00E0755C"/>
    <w:rsid w:val="00E07718"/>
    <w:rsid w:val="00E07AB1"/>
    <w:rsid w:val="00E10293"/>
    <w:rsid w:val="00E105E2"/>
    <w:rsid w:val="00E11448"/>
    <w:rsid w:val="00E118A8"/>
    <w:rsid w:val="00E1192B"/>
    <w:rsid w:val="00E128CC"/>
    <w:rsid w:val="00E1305F"/>
    <w:rsid w:val="00E130AC"/>
    <w:rsid w:val="00E13186"/>
    <w:rsid w:val="00E13379"/>
    <w:rsid w:val="00E13E0D"/>
    <w:rsid w:val="00E143CF"/>
    <w:rsid w:val="00E14A7E"/>
    <w:rsid w:val="00E14ADA"/>
    <w:rsid w:val="00E14CDD"/>
    <w:rsid w:val="00E14FBE"/>
    <w:rsid w:val="00E151E1"/>
    <w:rsid w:val="00E152E9"/>
    <w:rsid w:val="00E1552E"/>
    <w:rsid w:val="00E1566B"/>
    <w:rsid w:val="00E156E2"/>
    <w:rsid w:val="00E1575D"/>
    <w:rsid w:val="00E16153"/>
    <w:rsid w:val="00E163C6"/>
    <w:rsid w:val="00E16AB2"/>
    <w:rsid w:val="00E16CFC"/>
    <w:rsid w:val="00E17239"/>
    <w:rsid w:val="00E17619"/>
    <w:rsid w:val="00E17805"/>
    <w:rsid w:val="00E17A8D"/>
    <w:rsid w:val="00E17E2A"/>
    <w:rsid w:val="00E202FA"/>
    <w:rsid w:val="00E204FB"/>
    <w:rsid w:val="00E20974"/>
    <w:rsid w:val="00E209D7"/>
    <w:rsid w:val="00E20EC6"/>
    <w:rsid w:val="00E20F79"/>
    <w:rsid w:val="00E21278"/>
    <w:rsid w:val="00E215A8"/>
    <w:rsid w:val="00E216FA"/>
    <w:rsid w:val="00E2176B"/>
    <w:rsid w:val="00E217FE"/>
    <w:rsid w:val="00E21D84"/>
    <w:rsid w:val="00E21E6F"/>
    <w:rsid w:val="00E22687"/>
    <w:rsid w:val="00E22CCD"/>
    <w:rsid w:val="00E22F68"/>
    <w:rsid w:val="00E23179"/>
    <w:rsid w:val="00E231E1"/>
    <w:rsid w:val="00E235E3"/>
    <w:rsid w:val="00E23972"/>
    <w:rsid w:val="00E23A11"/>
    <w:rsid w:val="00E23FB7"/>
    <w:rsid w:val="00E24A27"/>
    <w:rsid w:val="00E24C44"/>
    <w:rsid w:val="00E25175"/>
    <w:rsid w:val="00E25707"/>
    <w:rsid w:val="00E257E5"/>
    <w:rsid w:val="00E25CF8"/>
    <w:rsid w:val="00E25F89"/>
    <w:rsid w:val="00E26842"/>
    <w:rsid w:val="00E274B1"/>
    <w:rsid w:val="00E2762C"/>
    <w:rsid w:val="00E2770D"/>
    <w:rsid w:val="00E27A5E"/>
    <w:rsid w:val="00E27BEC"/>
    <w:rsid w:val="00E27EA1"/>
    <w:rsid w:val="00E27FFA"/>
    <w:rsid w:val="00E318B9"/>
    <w:rsid w:val="00E31922"/>
    <w:rsid w:val="00E3195C"/>
    <w:rsid w:val="00E31C44"/>
    <w:rsid w:val="00E3214D"/>
    <w:rsid w:val="00E32D62"/>
    <w:rsid w:val="00E33411"/>
    <w:rsid w:val="00E33584"/>
    <w:rsid w:val="00E33687"/>
    <w:rsid w:val="00E339DC"/>
    <w:rsid w:val="00E33CEF"/>
    <w:rsid w:val="00E33E15"/>
    <w:rsid w:val="00E33E33"/>
    <w:rsid w:val="00E33F24"/>
    <w:rsid w:val="00E3408D"/>
    <w:rsid w:val="00E34763"/>
    <w:rsid w:val="00E357BE"/>
    <w:rsid w:val="00E35831"/>
    <w:rsid w:val="00E361B8"/>
    <w:rsid w:val="00E362D5"/>
    <w:rsid w:val="00E363A2"/>
    <w:rsid w:val="00E3652F"/>
    <w:rsid w:val="00E36A1B"/>
    <w:rsid w:val="00E37076"/>
    <w:rsid w:val="00E3727C"/>
    <w:rsid w:val="00E37994"/>
    <w:rsid w:val="00E401AA"/>
    <w:rsid w:val="00E40213"/>
    <w:rsid w:val="00E402E2"/>
    <w:rsid w:val="00E40607"/>
    <w:rsid w:val="00E40AEF"/>
    <w:rsid w:val="00E40C03"/>
    <w:rsid w:val="00E40D4A"/>
    <w:rsid w:val="00E41655"/>
    <w:rsid w:val="00E41894"/>
    <w:rsid w:val="00E42169"/>
    <w:rsid w:val="00E4267A"/>
    <w:rsid w:val="00E429ED"/>
    <w:rsid w:val="00E4393F"/>
    <w:rsid w:val="00E439B1"/>
    <w:rsid w:val="00E43F37"/>
    <w:rsid w:val="00E43F78"/>
    <w:rsid w:val="00E4411D"/>
    <w:rsid w:val="00E441B8"/>
    <w:rsid w:val="00E445B9"/>
    <w:rsid w:val="00E450ED"/>
    <w:rsid w:val="00E45155"/>
    <w:rsid w:val="00E451CB"/>
    <w:rsid w:val="00E460C5"/>
    <w:rsid w:val="00E46A64"/>
    <w:rsid w:val="00E47104"/>
    <w:rsid w:val="00E475F9"/>
    <w:rsid w:val="00E4791B"/>
    <w:rsid w:val="00E47A74"/>
    <w:rsid w:val="00E47B89"/>
    <w:rsid w:val="00E47BC7"/>
    <w:rsid w:val="00E47E31"/>
    <w:rsid w:val="00E5005A"/>
    <w:rsid w:val="00E505E4"/>
    <w:rsid w:val="00E50AC6"/>
    <w:rsid w:val="00E50BC8"/>
    <w:rsid w:val="00E50C7B"/>
    <w:rsid w:val="00E50C91"/>
    <w:rsid w:val="00E51045"/>
    <w:rsid w:val="00E51087"/>
    <w:rsid w:val="00E51DDD"/>
    <w:rsid w:val="00E51FDD"/>
    <w:rsid w:val="00E52226"/>
    <w:rsid w:val="00E52435"/>
    <w:rsid w:val="00E52774"/>
    <w:rsid w:val="00E52B90"/>
    <w:rsid w:val="00E53122"/>
    <w:rsid w:val="00E534B6"/>
    <w:rsid w:val="00E5351B"/>
    <w:rsid w:val="00E53ADB"/>
    <w:rsid w:val="00E53F27"/>
    <w:rsid w:val="00E53FA9"/>
    <w:rsid w:val="00E5414C"/>
    <w:rsid w:val="00E54178"/>
    <w:rsid w:val="00E5422E"/>
    <w:rsid w:val="00E5431C"/>
    <w:rsid w:val="00E547B3"/>
    <w:rsid w:val="00E5486E"/>
    <w:rsid w:val="00E54AFD"/>
    <w:rsid w:val="00E54BC8"/>
    <w:rsid w:val="00E54FF7"/>
    <w:rsid w:val="00E551C1"/>
    <w:rsid w:val="00E5525B"/>
    <w:rsid w:val="00E56BD5"/>
    <w:rsid w:val="00E5733D"/>
    <w:rsid w:val="00E57E33"/>
    <w:rsid w:val="00E60955"/>
    <w:rsid w:val="00E61CC0"/>
    <w:rsid w:val="00E61D96"/>
    <w:rsid w:val="00E6242B"/>
    <w:rsid w:val="00E62614"/>
    <w:rsid w:val="00E6277B"/>
    <w:rsid w:val="00E6342A"/>
    <w:rsid w:val="00E642D5"/>
    <w:rsid w:val="00E64424"/>
    <w:rsid w:val="00E644D8"/>
    <w:rsid w:val="00E64C99"/>
    <w:rsid w:val="00E64CD3"/>
    <w:rsid w:val="00E64FD9"/>
    <w:rsid w:val="00E655D3"/>
    <w:rsid w:val="00E65E98"/>
    <w:rsid w:val="00E660AF"/>
    <w:rsid w:val="00E66C51"/>
    <w:rsid w:val="00E671C9"/>
    <w:rsid w:val="00E6743F"/>
    <w:rsid w:val="00E6758E"/>
    <w:rsid w:val="00E675D1"/>
    <w:rsid w:val="00E67E23"/>
    <w:rsid w:val="00E70016"/>
    <w:rsid w:val="00E70086"/>
    <w:rsid w:val="00E701E1"/>
    <w:rsid w:val="00E70515"/>
    <w:rsid w:val="00E70BC7"/>
    <w:rsid w:val="00E70FBC"/>
    <w:rsid w:val="00E71251"/>
    <w:rsid w:val="00E713AA"/>
    <w:rsid w:val="00E713F2"/>
    <w:rsid w:val="00E71520"/>
    <w:rsid w:val="00E71FF9"/>
    <w:rsid w:val="00E72C01"/>
    <w:rsid w:val="00E73731"/>
    <w:rsid w:val="00E73BEE"/>
    <w:rsid w:val="00E73CD8"/>
    <w:rsid w:val="00E73EA2"/>
    <w:rsid w:val="00E741AC"/>
    <w:rsid w:val="00E743B4"/>
    <w:rsid w:val="00E74E0C"/>
    <w:rsid w:val="00E75174"/>
    <w:rsid w:val="00E7539D"/>
    <w:rsid w:val="00E7576E"/>
    <w:rsid w:val="00E75C98"/>
    <w:rsid w:val="00E75EBA"/>
    <w:rsid w:val="00E7624E"/>
    <w:rsid w:val="00E763B4"/>
    <w:rsid w:val="00E7640C"/>
    <w:rsid w:val="00E76457"/>
    <w:rsid w:val="00E7672E"/>
    <w:rsid w:val="00E76B1A"/>
    <w:rsid w:val="00E76C8A"/>
    <w:rsid w:val="00E76D40"/>
    <w:rsid w:val="00E76D80"/>
    <w:rsid w:val="00E7714E"/>
    <w:rsid w:val="00E77396"/>
    <w:rsid w:val="00E77421"/>
    <w:rsid w:val="00E777C0"/>
    <w:rsid w:val="00E77848"/>
    <w:rsid w:val="00E77997"/>
    <w:rsid w:val="00E80514"/>
    <w:rsid w:val="00E80E5B"/>
    <w:rsid w:val="00E81500"/>
    <w:rsid w:val="00E81685"/>
    <w:rsid w:val="00E816C5"/>
    <w:rsid w:val="00E81939"/>
    <w:rsid w:val="00E81CE0"/>
    <w:rsid w:val="00E81E7C"/>
    <w:rsid w:val="00E8224D"/>
    <w:rsid w:val="00E82949"/>
    <w:rsid w:val="00E829C2"/>
    <w:rsid w:val="00E82B3C"/>
    <w:rsid w:val="00E833F2"/>
    <w:rsid w:val="00E83415"/>
    <w:rsid w:val="00E83891"/>
    <w:rsid w:val="00E83BDB"/>
    <w:rsid w:val="00E83E8D"/>
    <w:rsid w:val="00E849FF"/>
    <w:rsid w:val="00E84CEF"/>
    <w:rsid w:val="00E8519F"/>
    <w:rsid w:val="00E8537B"/>
    <w:rsid w:val="00E859FB"/>
    <w:rsid w:val="00E85AF0"/>
    <w:rsid w:val="00E85CC3"/>
    <w:rsid w:val="00E85D95"/>
    <w:rsid w:val="00E85DAB"/>
    <w:rsid w:val="00E85E40"/>
    <w:rsid w:val="00E85EEE"/>
    <w:rsid w:val="00E86238"/>
    <w:rsid w:val="00E8644A"/>
    <w:rsid w:val="00E86453"/>
    <w:rsid w:val="00E86645"/>
    <w:rsid w:val="00E871D9"/>
    <w:rsid w:val="00E878C1"/>
    <w:rsid w:val="00E90159"/>
    <w:rsid w:val="00E90279"/>
    <w:rsid w:val="00E902BA"/>
    <w:rsid w:val="00E903A4"/>
    <w:rsid w:val="00E90635"/>
    <w:rsid w:val="00E90687"/>
    <w:rsid w:val="00E909A1"/>
    <w:rsid w:val="00E90BFF"/>
    <w:rsid w:val="00E90F46"/>
    <w:rsid w:val="00E91385"/>
    <w:rsid w:val="00E91CD3"/>
    <w:rsid w:val="00E91F04"/>
    <w:rsid w:val="00E91F35"/>
    <w:rsid w:val="00E92D44"/>
    <w:rsid w:val="00E9303F"/>
    <w:rsid w:val="00E9325D"/>
    <w:rsid w:val="00E93592"/>
    <w:rsid w:val="00E93AB8"/>
    <w:rsid w:val="00E93D25"/>
    <w:rsid w:val="00E93DE9"/>
    <w:rsid w:val="00E93E9A"/>
    <w:rsid w:val="00E940A8"/>
    <w:rsid w:val="00E94222"/>
    <w:rsid w:val="00E9455D"/>
    <w:rsid w:val="00E947E6"/>
    <w:rsid w:val="00E94CBF"/>
    <w:rsid w:val="00E94E62"/>
    <w:rsid w:val="00E95964"/>
    <w:rsid w:val="00E95BA6"/>
    <w:rsid w:val="00E95CA3"/>
    <w:rsid w:val="00E96367"/>
    <w:rsid w:val="00E9673A"/>
    <w:rsid w:val="00E96A25"/>
    <w:rsid w:val="00E96D3F"/>
    <w:rsid w:val="00E97052"/>
    <w:rsid w:val="00E9711E"/>
    <w:rsid w:val="00E9712C"/>
    <w:rsid w:val="00E972CA"/>
    <w:rsid w:val="00E97648"/>
    <w:rsid w:val="00E97A04"/>
    <w:rsid w:val="00E97C02"/>
    <w:rsid w:val="00EA02A4"/>
    <w:rsid w:val="00EA0831"/>
    <w:rsid w:val="00EA0D58"/>
    <w:rsid w:val="00EA0E4A"/>
    <w:rsid w:val="00EA1936"/>
    <w:rsid w:val="00EA1A54"/>
    <w:rsid w:val="00EA1E24"/>
    <w:rsid w:val="00EA1FAA"/>
    <w:rsid w:val="00EA2226"/>
    <w:rsid w:val="00EA26FC"/>
    <w:rsid w:val="00EA3544"/>
    <w:rsid w:val="00EA36F6"/>
    <w:rsid w:val="00EA39C8"/>
    <w:rsid w:val="00EA3B5A"/>
    <w:rsid w:val="00EA3BAB"/>
    <w:rsid w:val="00EA40BE"/>
    <w:rsid w:val="00EA410E"/>
    <w:rsid w:val="00EA4CAF"/>
    <w:rsid w:val="00EA4EE6"/>
    <w:rsid w:val="00EA4FD1"/>
    <w:rsid w:val="00EA53C2"/>
    <w:rsid w:val="00EA5695"/>
    <w:rsid w:val="00EA5875"/>
    <w:rsid w:val="00EA5B0A"/>
    <w:rsid w:val="00EA6064"/>
    <w:rsid w:val="00EA6141"/>
    <w:rsid w:val="00EA65AD"/>
    <w:rsid w:val="00EA6A0C"/>
    <w:rsid w:val="00EA6C4C"/>
    <w:rsid w:val="00EA75CD"/>
    <w:rsid w:val="00EA7631"/>
    <w:rsid w:val="00EA7FCF"/>
    <w:rsid w:val="00EB0389"/>
    <w:rsid w:val="00EB0909"/>
    <w:rsid w:val="00EB0CA3"/>
    <w:rsid w:val="00EB104F"/>
    <w:rsid w:val="00EB1098"/>
    <w:rsid w:val="00EB1B27"/>
    <w:rsid w:val="00EB1DA8"/>
    <w:rsid w:val="00EB2139"/>
    <w:rsid w:val="00EB218A"/>
    <w:rsid w:val="00EB2757"/>
    <w:rsid w:val="00EB3C7F"/>
    <w:rsid w:val="00EB4174"/>
    <w:rsid w:val="00EB4247"/>
    <w:rsid w:val="00EB4BA5"/>
    <w:rsid w:val="00EB4CFF"/>
    <w:rsid w:val="00EB4D4C"/>
    <w:rsid w:val="00EB4FFB"/>
    <w:rsid w:val="00EB51D3"/>
    <w:rsid w:val="00EB5278"/>
    <w:rsid w:val="00EB5308"/>
    <w:rsid w:val="00EB5476"/>
    <w:rsid w:val="00EB5A59"/>
    <w:rsid w:val="00EB5FA9"/>
    <w:rsid w:val="00EB6935"/>
    <w:rsid w:val="00EB6947"/>
    <w:rsid w:val="00EB6BC4"/>
    <w:rsid w:val="00EB70B0"/>
    <w:rsid w:val="00EB7438"/>
    <w:rsid w:val="00EB7630"/>
    <w:rsid w:val="00EB7633"/>
    <w:rsid w:val="00EB7736"/>
    <w:rsid w:val="00EC059A"/>
    <w:rsid w:val="00EC0775"/>
    <w:rsid w:val="00EC0DDE"/>
    <w:rsid w:val="00EC10AF"/>
    <w:rsid w:val="00EC14E5"/>
    <w:rsid w:val="00EC1F7F"/>
    <w:rsid w:val="00EC2050"/>
    <w:rsid w:val="00EC20C5"/>
    <w:rsid w:val="00EC2E2D"/>
    <w:rsid w:val="00EC2E65"/>
    <w:rsid w:val="00EC33E7"/>
    <w:rsid w:val="00EC36E0"/>
    <w:rsid w:val="00EC3CAB"/>
    <w:rsid w:val="00EC3D8F"/>
    <w:rsid w:val="00EC3DC2"/>
    <w:rsid w:val="00EC45B0"/>
    <w:rsid w:val="00EC462B"/>
    <w:rsid w:val="00EC4723"/>
    <w:rsid w:val="00EC4CEC"/>
    <w:rsid w:val="00EC4E3F"/>
    <w:rsid w:val="00EC522D"/>
    <w:rsid w:val="00EC55BF"/>
    <w:rsid w:val="00EC56E0"/>
    <w:rsid w:val="00EC5DD7"/>
    <w:rsid w:val="00EC6057"/>
    <w:rsid w:val="00EC6847"/>
    <w:rsid w:val="00EC6864"/>
    <w:rsid w:val="00EC6EE5"/>
    <w:rsid w:val="00EC728E"/>
    <w:rsid w:val="00EC749C"/>
    <w:rsid w:val="00EC79DC"/>
    <w:rsid w:val="00EC7DB6"/>
    <w:rsid w:val="00EC7E62"/>
    <w:rsid w:val="00ED05C8"/>
    <w:rsid w:val="00ED0B76"/>
    <w:rsid w:val="00ED14AC"/>
    <w:rsid w:val="00ED162F"/>
    <w:rsid w:val="00ED2787"/>
    <w:rsid w:val="00ED2A70"/>
    <w:rsid w:val="00ED2B58"/>
    <w:rsid w:val="00ED2B81"/>
    <w:rsid w:val="00ED2DB9"/>
    <w:rsid w:val="00ED2E52"/>
    <w:rsid w:val="00ED3024"/>
    <w:rsid w:val="00ED366F"/>
    <w:rsid w:val="00ED36D0"/>
    <w:rsid w:val="00ED3B64"/>
    <w:rsid w:val="00ED45A4"/>
    <w:rsid w:val="00ED46A1"/>
    <w:rsid w:val="00ED4CE8"/>
    <w:rsid w:val="00ED5385"/>
    <w:rsid w:val="00ED565C"/>
    <w:rsid w:val="00ED57F3"/>
    <w:rsid w:val="00ED58C8"/>
    <w:rsid w:val="00ED58F9"/>
    <w:rsid w:val="00ED5BFC"/>
    <w:rsid w:val="00ED5DB3"/>
    <w:rsid w:val="00ED5FE4"/>
    <w:rsid w:val="00ED62C1"/>
    <w:rsid w:val="00ED6F2B"/>
    <w:rsid w:val="00ED715C"/>
    <w:rsid w:val="00ED71C5"/>
    <w:rsid w:val="00ED76D8"/>
    <w:rsid w:val="00ED7996"/>
    <w:rsid w:val="00ED7A6F"/>
    <w:rsid w:val="00EE043A"/>
    <w:rsid w:val="00EE0778"/>
    <w:rsid w:val="00EE0A24"/>
    <w:rsid w:val="00EE147C"/>
    <w:rsid w:val="00EE16FA"/>
    <w:rsid w:val="00EE17E4"/>
    <w:rsid w:val="00EE17FE"/>
    <w:rsid w:val="00EE1DCB"/>
    <w:rsid w:val="00EE2535"/>
    <w:rsid w:val="00EE2B11"/>
    <w:rsid w:val="00EE2CB2"/>
    <w:rsid w:val="00EE2F49"/>
    <w:rsid w:val="00EE31CA"/>
    <w:rsid w:val="00EE3BCD"/>
    <w:rsid w:val="00EE3BD9"/>
    <w:rsid w:val="00EE3C42"/>
    <w:rsid w:val="00EE3D4F"/>
    <w:rsid w:val="00EE3D88"/>
    <w:rsid w:val="00EE4557"/>
    <w:rsid w:val="00EE484E"/>
    <w:rsid w:val="00EE517B"/>
    <w:rsid w:val="00EE534D"/>
    <w:rsid w:val="00EE5560"/>
    <w:rsid w:val="00EE55B8"/>
    <w:rsid w:val="00EE5654"/>
    <w:rsid w:val="00EE5AA5"/>
    <w:rsid w:val="00EE6459"/>
    <w:rsid w:val="00EE647C"/>
    <w:rsid w:val="00EE6702"/>
    <w:rsid w:val="00EE6B1A"/>
    <w:rsid w:val="00EE6CCE"/>
    <w:rsid w:val="00EE6E53"/>
    <w:rsid w:val="00EE6F1E"/>
    <w:rsid w:val="00EE7666"/>
    <w:rsid w:val="00EE7A6F"/>
    <w:rsid w:val="00EE7C37"/>
    <w:rsid w:val="00EE7DAA"/>
    <w:rsid w:val="00EE7E9B"/>
    <w:rsid w:val="00EE7FFB"/>
    <w:rsid w:val="00EF0348"/>
    <w:rsid w:val="00EF0647"/>
    <w:rsid w:val="00EF0822"/>
    <w:rsid w:val="00EF1846"/>
    <w:rsid w:val="00EF188F"/>
    <w:rsid w:val="00EF18FD"/>
    <w:rsid w:val="00EF19D6"/>
    <w:rsid w:val="00EF1D4E"/>
    <w:rsid w:val="00EF1F9C"/>
    <w:rsid w:val="00EF25CE"/>
    <w:rsid w:val="00EF2897"/>
    <w:rsid w:val="00EF28DB"/>
    <w:rsid w:val="00EF2D62"/>
    <w:rsid w:val="00EF2E0F"/>
    <w:rsid w:val="00EF2E7F"/>
    <w:rsid w:val="00EF30E6"/>
    <w:rsid w:val="00EF32C3"/>
    <w:rsid w:val="00EF3451"/>
    <w:rsid w:val="00EF34F2"/>
    <w:rsid w:val="00EF38AE"/>
    <w:rsid w:val="00EF3F78"/>
    <w:rsid w:val="00EF4352"/>
    <w:rsid w:val="00EF4366"/>
    <w:rsid w:val="00EF4422"/>
    <w:rsid w:val="00EF4CD6"/>
    <w:rsid w:val="00EF4F29"/>
    <w:rsid w:val="00EF55A0"/>
    <w:rsid w:val="00EF5A7B"/>
    <w:rsid w:val="00EF6074"/>
    <w:rsid w:val="00EF63D1"/>
    <w:rsid w:val="00EF6418"/>
    <w:rsid w:val="00EF6513"/>
    <w:rsid w:val="00EF6683"/>
    <w:rsid w:val="00EF7002"/>
    <w:rsid w:val="00EF7412"/>
    <w:rsid w:val="00EF7666"/>
    <w:rsid w:val="00EF769B"/>
    <w:rsid w:val="00EF7E50"/>
    <w:rsid w:val="00F00082"/>
    <w:rsid w:val="00F00393"/>
    <w:rsid w:val="00F00F4F"/>
    <w:rsid w:val="00F0142D"/>
    <w:rsid w:val="00F0164B"/>
    <w:rsid w:val="00F016E1"/>
    <w:rsid w:val="00F01D90"/>
    <w:rsid w:val="00F01F2C"/>
    <w:rsid w:val="00F01FBD"/>
    <w:rsid w:val="00F027BA"/>
    <w:rsid w:val="00F02A4F"/>
    <w:rsid w:val="00F02F9F"/>
    <w:rsid w:val="00F03292"/>
    <w:rsid w:val="00F03431"/>
    <w:rsid w:val="00F03464"/>
    <w:rsid w:val="00F03952"/>
    <w:rsid w:val="00F0395E"/>
    <w:rsid w:val="00F03E79"/>
    <w:rsid w:val="00F03E82"/>
    <w:rsid w:val="00F046D6"/>
    <w:rsid w:val="00F04965"/>
    <w:rsid w:val="00F0511E"/>
    <w:rsid w:val="00F057B5"/>
    <w:rsid w:val="00F05D24"/>
    <w:rsid w:val="00F06127"/>
    <w:rsid w:val="00F0628D"/>
    <w:rsid w:val="00F06651"/>
    <w:rsid w:val="00F0665D"/>
    <w:rsid w:val="00F06A53"/>
    <w:rsid w:val="00F07936"/>
    <w:rsid w:val="00F07DE6"/>
    <w:rsid w:val="00F10291"/>
    <w:rsid w:val="00F1056C"/>
    <w:rsid w:val="00F107F1"/>
    <w:rsid w:val="00F10985"/>
    <w:rsid w:val="00F10DA5"/>
    <w:rsid w:val="00F10FC1"/>
    <w:rsid w:val="00F111F1"/>
    <w:rsid w:val="00F112FD"/>
    <w:rsid w:val="00F117D5"/>
    <w:rsid w:val="00F11D79"/>
    <w:rsid w:val="00F129C3"/>
    <w:rsid w:val="00F12B62"/>
    <w:rsid w:val="00F12D94"/>
    <w:rsid w:val="00F12FA9"/>
    <w:rsid w:val="00F133A1"/>
    <w:rsid w:val="00F133FC"/>
    <w:rsid w:val="00F13B24"/>
    <w:rsid w:val="00F13ECD"/>
    <w:rsid w:val="00F14328"/>
    <w:rsid w:val="00F143FE"/>
    <w:rsid w:val="00F14CE0"/>
    <w:rsid w:val="00F14E78"/>
    <w:rsid w:val="00F1530B"/>
    <w:rsid w:val="00F155CE"/>
    <w:rsid w:val="00F1587A"/>
    <w:rsid w:val="00F15CF7"/>
    <w:rsid w:val="00F16BF2"/>
    <w:rsid w:val="00F16E0A"/>
    <w:rsid w:val="00F17534"/>
    <w:rsid w:val="00F178C8"/>
    <w:rsid w:val="00F17EAE"/>
    <w:rsid w:val="00F20370"/>
    <w:rsid w:val="00F20688"/>
    <w:rsid w:val="00F20818"/>
    <w:rsid w:val="00F2093B"/>
    <w:rsid w:val="00F20B9E"/>
    <w:rsid w:val="00F20C05"/>
    <w:rsid w:val="00F20DC7"/>
    <w:rsid w:val="00F20E90"/>
    <w:rsid w:val="00F2124A"/>
    <w:rsid w:val="00F218D4"/>
    <w:rsid w:val="00F22384"/>
    <w:rsid w:val="00F2250A"/>
    <w:rsid w:val="00F22BCE"/>
    <w:rsid w:val="00F22CC4"/>
    <w:rsid w:val="00F23D8E"/>
    <w:rsid w:val="00F23DCA"/>
    <w:rsid w:val="00F240FE"/>
    <w:rsid w:val="00F24222"/>
    <w:rsid w:val="00F24788"/>
    <w:rsid w:val="00F25478"/>
    <w:rsid w:val="00F25958"/>
    <w:rsid w:val="00F25E73"/>
    <w:rsid w:val="00F26077"/>
    <w:rsid w:val="00F263F2"/>
    <w:rsid w:val="00F2640F"/>
    <w:rsid w:val="00F264CB"/>
    <w:rsid w:val="00F266F3"/>
    <w:rsid w:val="00F26764"/>
    <w:rsid w:val="00F2693A"/>
    <w:rsid w:val="00F26BDE"/>
    <w:rsid w:val="00F26CEF"/>
    <w:rsid w:val="00F26DFD"/>
    <w:rsid w:val="00F27094"/>
    <w:rsid w:val="00F273DE"/>
    <w:rsid w:val="00F27C34"/>
    <w:rsid w:val="00F27DB4"/>
    <w:rsid w:val="00F27E46"/>
    <w:rsid w:val="00F301C2"/>
    <w:rsid w:val="00F302E1"/>
    <w:rsid w:val="00F30860"/>
    <w:rsid w:val="00F308EE"/>
    <w:rsid w:val="00F30E97"/>
    <w:rsid w:val="00F3156C"/>
    <w:rsid w:val="00F31B22"/>
    <w:rsid w:val="00F31B49"/>
    <w:rsid w:val="00F321ED"/>
    <w:rsid w:val="00F32716"/>
    <w:rsid w:val="00F32B74"/>
    <w:rsid w:val="00F32CC4"/>
    <w:rsid w:val="00F32F56"/>
    <w:rsid w:val="00F33268"/>
    <w:rsid w:val="00F33788"/>
    <w:rsid w:val="00F33AE5"/>
    <w:rsid w:val="00F33CA9"/>
    <w:rsid w:val="00F33D4F"/>
    <w:rsid w:val="00F33E88"/>
    <w:rsid w:val="00F34071"/>
    <w:rsid w:val="00F34395"/>
    <w:rsid w:val="00F34570"/>
    <w:rsid w:val="00F348D4"/>
    <w:rsid w:val="00F34CD6"/>
    <w:rsid w:val="00F3575E"/>
    <w:rsid w:val="00F35873"/>
    <w:rsid w:val="00F35920"/>
    <w:rsid w:val="00F36479"/>
    <w:rsid w:val="00F366A5"/>
    <w:rsid w:val="00F36B8A"/>
    <w:rsid w:val="00F36C5F"/>
    <w:rsid w:val="00F37259"/>
    <w:rsid w:val="00F3729E"/>
    <w:rsid w:val="00F40081"/>
    <w:rsid w:val="00F40215"/>
    <w:rsid w:val="00F40456"/>
    <w:rsid w:val="00F405A4"/>
    <w:rsid w:val="00F40BA6"/>
    <w:rsid w:val="00F40D15"/>
    <w:rsid w:val="00F40DE0"/>
    <w:rsid w:val="00F41286"/>
    <w:rsid w:val="00F4135F"/>
    <w:rsid w:val="00F414D9"/>
    <w:rsid w:val="00F41F05"/>
    <w:rsid w:val="00F420E3"/>
    <w:rsid w:val="00F42ECC"/>
    <w:rsid w:val="00F432A5"/>
    <w:rsid w:val="00F433A6"/>
    <w:rsid w:val="00F433BD"/>
    <w:rsid w:val="00F437A3"/>
    <w:rsid w:val="00F4410C"/>
    <w:rsid w:val="00F44EC5"/>
    <w:rsid w:val="00F454EA"/>
    <w:rsid w:val="00F4576F"/>
    <w:rsid w:val="00F45A87"/>
    <w:rsid w:val="00F45F76"/>
    <w:rsid w:val="00F4686E"/>
    <w:rsid w:val="00F4692D"/>
    <w:rsid w:val="00F46A3A"/>
    <w:rsid w:val="00F4742D"/>
    <w:rsid w:val="00F47498"/>
    <w:rsid w:val="00F47656"/>
    <w:rsid w:val="00F47946"/>
    <w:rsid w:val="00F47CCE"/>
    <w:rsid w:val="00F50066"/>
    <w:rsid w:val="00F5016D"/>
    <w:rsid w:val="00F50C54"/>
    <w:rsid w:val="00F511A5"/>
    <w:rsid w:val="00F511AF"/>
    <w:rsid w:val="00F512B2"/>
    <w:rsid w:val="00F5218F"/>
    <w:rsid w:val="00F521EF"/>
    <w:rsid w:val="00F52483"/>
    <w:rsid w:val="00F5283D"/>
    <w:rsid w:val="00F52ABA"/>
    <w:rsid w:val="00F52BC7"/>
    <w:rsid w:val="00F53BF4"/>
    <w:rsid w:val="00F53EDE"/>
    <w:rsid w:val="00F54143"/>
    <w:rsid w:val="00F54266"/>
    <w:rsid w:val="00F54335"/>
    <w:rsid w:val="00F54473"/>
    <w:rsid w:val="00F547FE"/>
    <w:rsid w:val="00F54809"/>
    <w:rsid w:val="00F55043"/>
    <w:rsid w:val="00F55418"/>
    <w:rsid w:val="00F556D3"/>
    <w:rsid w:val="00F55CD4"/>
    <w:rsid w:val="00F56778"/>
    <w:rsid w:val="00F56C2E"/>
    <w:rsid w:val="00F56C5B"/>
    <w:rsid w:val="00F56DCF"/>
    <w:rsid w:val="00F56ECD"/>
    <w:rsid w:val="00F57034"/>
    <w:rsid w:val="00F57659"/>
    <w:rsid w:val="00F5776C"/>
    <w:rsid w:val="00F60497"/>
    <w:rsid w:val="00F60A5D"/>
    <w:rsid w:val="00F60B05"/>
    <w:rsid w:val="00F60BE9"/>
    <w:rsid w:val="00F60C16"/>
    <w:rsid w:val="00F61EB2"/>
    <w:rsid w:val="00F61FD8"/>
    <w:rsid w:val="00F6246C"/>
    <w:rsid w:val="00F62713"/>
    <w:rsid w:val="00F62790"/>
    <w:rsid w:val="00F62DBF"/>
    <w:rsid w:val="00F637D1"/>
    <w:rsid w:val="00F63ED3"/>
    <w:rsid w:val="00F641FC"/>
    <w:rsid w:val="00F645CF"/>
    <w:rsid w:val="00F646BC"/>
    <w:rsid w:val="00F647F7"/>
    <w:rsid w:val="00F64ACC"/>
    <w:rsid w:val="00F64B50"/>
    <w:rsid w:val="00F650DB"/>
    <w:rsid w:val="00F655FB"/>
    <w:rsid w:val="00F6583C"/>
    <w:rsid w:val="00F6589A"/>
    <w:rsid w:val="00F65D28"/>
    <w:rsid w:val="00F65D97"/>
    <w:rsid w:val="00F65F52"/>
    <w:rsid w:val="00F660C0"/>
    <w:rsid w:val="00F6655A"/>
    <w:rsid w:val="00F66FE0"/>
    <w:rsid w:val="00F671E1"/>
    <w:rsid w:val="00F6783E"/>
    <w:rsid w:val="00F67AC0"/>
    <w:rsid w:val="00F67C98"/>
    <w:rsid w:val="00F67FAF"/>
    <w:rsid w:val="00F7025B"/>
    <w:rsid w:val="00F705DA"/>
    <w:rsid w:val="00F706EF"/>
    <w:rsid w:val="00F70DBE"/>
    <w:rsid w:val="00F70F50"/>
    <w:rsid w:val="00F71124"/>
    <w:rsid w:val="00F7122E"/>
    <w:rsid w:val="00F715C1"/>
    <w:rsid w:val="00F715D8"/>
    <w:rsid w:val="00F71888"/>
    <w:rsid w:val="00F718A3"/>
    <w:rsid w:val="00F719CD"/>
    <w:rsid w:val="00F71BB8"/>
    <w:rsid w:val="00F7242B"/>
    <w:rsid w:val="00F72437"/>
    <w:rsid w:val="00F72554"/>
    <w:rsid w:val="00F72584"/>
    <w:rsid w:val="00F7290D"/>
    <w:rsid w:val="00F729B9"/>
    <w:rsid w:val="00F7302F"/>
    <w:rsid w:val="00F731C6"/>
    <w:rsid w:val="00F731F1"/>
    <w:rsid w:val="00F732EC"/>
    <w:rsid w:val="00F73644"/>
    <w:rsid w:val="00F73771"/>
    <w:rsid w:val="00F73D08"/>
    <w:rsid w:val="00F73D77"/>
    <w:rsid w:val="00F7494B"/>
    <w:rsid w:val="00F74C61"/>
    <w:rsid w:val="00F75060"/>
    <w:rsid w:val="00F750A9"/>
    <w:rsid w:val="00F7586B"/>
    <w:rsid w:val="00F75B98"/>
    <w:rsid w:val="00F75D37"/>
    <w:rsid w:val="00F75F10"/>
    <w:rsid w:val="00F75F2F"/>
    <w:rsid w:val="00F7630C"/>
    <w:rsid w:val="00F76445"/>
    <w:rsid w:val="00F76779"/>
    <w:rsid w:val="00F768E0"/>
    <w:rsid w:val="00F76E0A"/>
    <w:rsid w:val="00F76ECC"/>
    <w:rsid w:val="00F778DA"/>
    <w:rsid w:val="00F77A40"/>
    <w:rsid w:val="00F77A45"/>
    <w:rsid w:val="00F77B11"/>
    <w:rsid w:val="00F77BB5"/>
    <w:rsid w:val="00F8008B"/>
    <w:rsid w:val="00F8011D"/>
    <w:rsid w:val="00F80246"/>
    <w:rsid w:val="00F80399"/>
    <w:rsid w:val="00F80479"/>
    <w:rsid w:val="00F8098F"/>
    <w:rsid w:val="00F80D4E"/>
    <w:rsid w:val="00F81078"/>
    <w:rsid w:val="00F812C8"/>
    <w:rsid w:val="00F8132D"/>
    <w:rsid w:val="00F81554"/>
    <w:rsid w:val="00F81808"/>
    <w:rsid w:val="00F818AE"/>
    <w:rsid w:val="00F81940"/>
    <w:rsid w:val="00F81B40"/>
    <w:rsid w:val="00F81C70"/>
    <w:rsid w:val="00F81D3E"/>
    <w:rsid w:val="00F820C4"/>
    <w:rsid w:val="00F83318"/>
    <w:rsid w:val="00F834C7"/>
    <w:rsid w:val="00F83601"/>
    <w:rsid w:val="00F83829"/>
    <w:rsid w:val="00F84069"/>
    <w:rsid w:val="00F843D7"/>
    <w:rsid w:val="00F84EB4"/>
    <w:rsid w:val="00F851CB"/>
    <w:rsid w:val="00F853E7"/>
    <w:rsid w:val="00F85536"/>
    <w:rsid w:val="00F85E87"/>
    <w:rsid w:val="00F85FEC"/>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209"/>
    <w:rsid w:val="00F9168B"/>
    <w:rsid w:val="00F917B1"/>
    <w:rsid w:val="00F917BF"/>
    <w:rsid w:val="00F918D1"/>
    <w:rsid w:val="00F91C75"/>
    <w:rsid w:val="00F920BB"/>
    <w:rsid w:val="00F9221F"/>
    <w:rsid w:val="00F9225F"/>
    <w:rsid w:val="00F92319"/>
    <w:rsid w:val="00F925E9"/>
    <w:rsid w:val="00F929B4"/>
    <w:rsid w:val="00F92B84"/>
    <w:rsid w:val="00F92CF7"/>
    <w:rsid w:val="00F92EB1"/>
    <w:rsid w:val="00F9310F"/>
    <w:rsid w:val="00F931C7"/>
    <w:rsid w:val="00F93559"/>
    <w:rsid w:val="00F93892"/>
    <w:rsid w:val="00F93D72"/>
    <w:rsid w:val="00F93E65"/>
    <w:rsid w:val="00F93E87"/>
    <w:rsid w:val="00F94070"/>
    <w:rsid w:val="00F94380"/>
    <w:rsid w:val="00F94DB4"/>
    <w:rsid w:val="00F950B5"/>
    <w:rsid w:val="00F9513F"/>
    <w:rsid w:val="00F95583"/>
    <w:rsid w:val="00F95C92"/>
    <w:rsid w:val="00F967FC"/>
    <w:rsid w:val="00F96888"/>
    <w:rsid w:val="00F97908"/>
    <w:rsid w:val="00F979DA"/>
    <w:rsid w:val="00F97B43"/>
    <w:rsid w:val="00F97C5F"/>
    <w:rsid w:val="00F97DF2"/>
    <w:rsid w:val="00FA0231"/>
    <w:rsid w:val="00FA034C"/>
    <w:rsid w:val="00FA07F8"/>
    <w:rsid w:val="00FA08F8"/>
    <w:rsid w:val="00FA105C"/>
    <w:rsid w:val="00FA11E8"/>
    <w:rsid w:val="00FA1475"/>
    <w:rsid w:val="00FA148A"/>
    <w:rsid w:val="00FA169F"/>
    <w:rsid w:val="00FA1C64"/>
    <w:rsid w:val="00FA27C8"/>
    <w:rsid w:val="00FA2A9B"/>
    <w:rsid w:val="00FA2BE6"/>
    <w:rsid w:val="00FA3B76"/>
    <w:rsid w:val="00FA49E5"/>
    <w:rsid w:val="00FA4CC8"/>
    <w:rsid w:val="00FA4D01"/>
    <w:rsid w:val="00FA4D66"/>
    <w:rsid w:val="00FA4D93"/>
    <w:rsid w:val="00FA56CD"/>
    <w:rsid w:val="00FA5970"/>
    <w:rsid w:val="00FA5A4E"/>
    <w:rsid w:val="00FA6602"/>
    <w:rsid w:val="00FA67CC"/>
    <w:rsid w:val="00FA7FB9"/>
    <w:rsid w:val="00FB0082"/>
    <w:rsid w:val="00FB0243"/>
    <w:rsid w:val="00FB0DF3"/>
    <w:rsid w:val="00FB0E0D"/>
    <w:rsid w:val="00FB1189"/>
    <w:rsid w:val="00FB12B3"/>
    <w:rsid w:val="00FB1527"/>
    <w:rsid w:val="00FB157B"/>
    <w:rsid w:val="00FB1BA5"/>
    <w:rsid w:val="00FB212A"/>
    <w:rsid w:val="00FB2537"/>
    <w:rsid w:val="00FB2E0E"/>
    <w:rsid w:val="00FB33DC"/>
    <w:rsid w:val="00FB3717"/>
    <w:rsid w:val="00FB3E29"/>
    <w:rsid w:val="00FB4338"/>
    <w:rsid w:val="00FB477E"/>
    <w:rsid w:val="00FB4C4C"/>
    <w:rsid w:val="00FB4C9C"/>
    <w:rsid w:val="00FB506E"/>
    <w:rsid w:val="00FB5AF8"/>
    <w:rsid w:val="00FB6165"/>
    <w:rsid w:val="00FB71CB"/>
    <w:rsid w:val="00FB752D"/>
    <w:rsid w:val="00FB763F"/>
    <w:rsid w:val="00FC0150"/>
    <w:rsid w:val="00FC03AB"/>
    <w:rsid w:val="00FC0ED7"/>
    <w:rsid w:val="00FC0F39"/>
    <w:rsid w:val="00FC13E5"/>
    <w:rsid w:val="00FC172D"/>
    <w:rsid w:val="00FC1B57"/>
    <w:rsid w:val="00FC1C29"/>
    <w:rsid w:val="00FC1E7F"/>
    <w:rsid w:val="00FC204E"/>
    <w:rsid w:val="00FC2072"/>
    <w:rsid w:val="00FC20E2"/>
    <w:rsid w:val="00FC224C"/>
    <w:rsid w:val="00FC2A15"/>
    <w:rsid w:val="00FC2A65"/>
    <w:rsid w:val="00FC2BE1"/>
    <w:rsid w:val="00FC33F1"/>
    <w:rsid w:val="00FC381E"/>
    <w:rsid w:val="00FC390D"/>
    <w:rsid w:val="00FC3DCD"/>
    <w:rsid w:val="00FC3F96"/>
    <w:rsid w:val="00FC4347"/>
    <w:rsid w:val="00FC43C8"/>
    <w:rsid w:val="00FC46C0"/>
    <w:rsid w:val="00FC4729"/>
    <w:rsid w:val="00FC4A8C"/>
    <w:rsid w:val="00FC4FE4"/>
    <w:rsid w:val="00FC5322"/>
    <w:rsid w:val="00FC53CA"/>
    <w:rsid w:val="00FC53DB"/>
    <w:rsid w:val="00FC5736"/>
    <w:rsid w:val="00FC5819"/>
    <w:rsid w:val="00FC5FC2"/>
    <w:rsid w:val="00FC6177"/>
    <w:rsid w:val="00FC6360"/>
    <w:rsid w:val="00FC63D1"/>
    <w:rsid w:val="00FC6B0A"/>
    <w:rsid w:val="00FC6B77"/>
    <w:rsid w:val="00FC7528"/>
    <w:rsid w:val="00FC7D81"/>
    <w:rsid w:val="00FD048E"/>
    <w:rsid w:val="00FD0572"/>
    <w:rsid w:val="00FD0789"/>
    <w:rsid w:val="00FD0903"/>
    <w:rsid w:val="00FD09A7"/>
    <w:rsid w:val="00FD0AAA"/>
    <w:rsid w:val="00FD0C02"/>
    <w:rsid w:val="00FD0C21"/>
    <w:rsid w:val="00FD10AB"/>
    <w:rsid w:val="00FD18B3"/>
    <w:rsid w:val="00FD1A97"/>
    <w:rsid w:val="00FD1DD3"/>
    <w:rsid w:val="00FD26E2"/>
    <w:rsid w:val="00FD2C0F"/>
    <w:rsid w:val="00FD2D7B"/>
    <w:rsid w:val="00FD3356"/>
    <w:rsid w:val="00FD35D3"/>
    <w:rsid w:val="00FD37F6"/>
    <w:rsid w:val="00FD3B37"/>
    <w:rsid w:val="00FD414B"/>
    <w:rsid w:val="00FD4589"/>
    <w:rsid w:val="00FD473E"/>
    <w:rsid w:val="00FD4768"/>
    <w:rsid w:val="00FD5051"/>
    <w:rsid w:val="00FD5666"/>
    <w:rsid w:val="00FD57AF"/>
    <w:rsid w:val="00FD58EB"/>
    <w:rsid w:val="00FD5CAF"/>
    <w:rsid w:val="00FD62BE"/>
    <w:rsid w:val="00FD69F3"/>
    <w:rsid w:val="00FD6E4E"/>
    <w:rsid w:val="00FD76E8"/>
    <w:rsid w:val="00FD7C68"/>
    <w:rsid w:val="00FD7C85"/>
    <w:rsid w:val="00FD7DF9"/>
    <w:rsid w:val="00FD7FAE"/>
    <w:rsid w:val="00FD7FE9"/>
    <w:rsid w:val="00FE059A"/>
    <w:rsid w:val="00FE0786"/>
    <w:rsid w:val="00FE0B24"/>
    <w:rsid w:val="00FE0B51"/>
    <w:rsid w:val="00FE0B78"/>
    <w:rsid w:val="00FE0ED4"/>
    <w:rsid w:val="00FE1BF2"/>
    <w:rsid w:val="00FE1E0D"/>
    <w:rsid w:val="00FE1E1A"/>
    <w:rsid w:val="00FE1EAB"/>
    <w:rsid w:val="00FE2078"/>
    <w:rsid w:val="00FE25CA"/>
    <w:rsid w:val="00FE27D0"/>
    <w:rsid w:val="00FE2A65"/>
    <w:rsid w:val="00FE2D5E"/>
    <w:rsid w:val="00FE3465"/>
    <w:rsid w:val="00FE3727"/>
    <w:rsid w:val="00FE3AF5"/>
    <w:rsid w:val="00FE3E4D"/>
    <w:rsid w:val="00FE454B"/>
    <w:rsid w:val="00FE56AA"/>
    <w:rsid w:val="00FE585E"/>
    <w:rsid w:val="00FE6703"/>
    <w:rsid w:val="00FE67CF"/>
    <w:rsid w:val="00FE6966"/>
    <w:rsid w:val="00FE6D20"/>
    <w:rsid w:val="00FE6FB9"/>
    <w:rsid w:val="00FE7142"/>
    <w:rsid w:val="00FE7549"/>
    <w:rsid w:val="00FE78C4"/>
    <w:rsid w:val="00FE7BCC"/>
    <w:rsid w:val="00FE7E45"/>
    <w:rsid w:val="00FF01BB"/>
    <w:rsid w:val="00FF0464"/>
    <w:rsid w:val="00FF10C7"/>
    <w:rsid w:val="00FF126D"/>
    <w:rsid w:val="00FF1780"/>
    <w:rsid w:val="00FF1E69"/>
    <w:rsid w:val="00FF2300"/>
    <w:rsid w:val="00FF2310"/>
    <w:rsid w:val="00FF24D9"/>
    <w:rsid w:val="00FF2E73"/>
    <w:rsid w:val="00FF30D4"/>
    <w:rsid w:val="00FF35C2"/>
    <w:rsid w:val="00FF39A3"/>
    <w:rsid w:val="00FF465E"/>
    <w:rsid w:val="00FF4A5E"/>
    <w:rsid w:val="00FF4A9D"/>
    <w:rsid w:val="00FF4AE2"/>
    <w:rsid w:val="00FF50A8"/>
    <w:rsid w:val="00FF5581"/>
    <w:rsid w:val="00FF5609"/>
    <w:rsid w:val="00FF571E"/>
    <w:rsid w:val="00FF57B8"/>
    <w:rsid w:val="00FF5D32"/>
    <w:rsid w:val="00FF6254"/>
    <w:rsid w:val="00FF67F7"/>
    <w:rsid w:val="00FF6BD1"/>
    <w:rsid w:val="00FF6BF8"/>
    <w:rsid w:val="00FF6CC0"/>
    <w:rsid w:val="00FF6D18"/>
    <w:rsid w:val="00FF7006"/>
    <w:rsid w:val="00FF7063"/>
    <w:rsid w:val="00FF714F"/>
    <w:rsid w:val="00FF7188"/>
    <w:rsid w:val="00FF7512"/>
    <w:rsid w:val="00FF7563"/>
    <w:rsid w:val="00FF762D"/>
    <w:rsid w:val="00FF7726"/>
    <w:rsid w:val="00FF773E"/>
    <w:rsid w:val="016E3A3A"/>
    <w:rsid w:val="0293624E"/>
    <w:rsid w:val="03C94F45"/>
    <w:rsid w:val="049D7AC7"/>
    <w:rsid w:val="053C39E8"/>
    <w:rsid w:val="06014EBA"/>
    <w:rsid w:val="060A2EF6"/>
    <w:rsid w:val="06571269"/>
    <w:rsid w:val="08CD5DC6"/>
    <w:rsid w:val="08DB214E"/>
    <w:rsid w:val="095429DE"/>
    <w:rsid w:val="0A66281E"/>
    <w:rsid w:val="0AD35956"/>
    <w:rsid w:val="0AE87B50"/>
    <w:rsid w:val="0CA85A56"/>
    <w:rsid w:val="0CBB2574"/>
    <w:rsid w:val="0D4D0ACB"/>
    <w:rsid w:val="0DDF4087"/>
    <w:rsid w:val="111C7EBE"/>
    <w:rsid w:val="128061C6"/>
    <w:rsid w:val="145806CA"/>
    <w:rsid w:val="14F427FF"/>
    <w:rsid w:val="154C2E70"/>
    <w:rsid w:val="159D5C5E"/>
    <w:rsid w:val="176F55B0"/>
    <w:rsid w:val="18306BFC"/>
    <w:rsid w:val="18422DD0"/>
    <w:rsid w:val="18AE18B4"/>
    <w:rsid w:val="194C1E6C"/>
    <w:rsid w:val="19C050C4"/>
    <w:rsid w:val="1A2058C3"/>
    <w:rsid w:val="1A235970"/>
    <w:rsid w:val="1A4C0504"/>
    <w:rsid w:val="1AA54DC4"/>
    <w:rsid w:val="20CB32E8"/>
    <w:rsid w:val="20E433EA"/>
    <w:rsid w:val="215369B7"/>
    <w:rsid w:val="21DC2ADA"/>
    <w:rsid w:val="246A04D2"/>
    <w:rsid w:val="25356E63"/>
    <w:rsid w:val="259F7FE3"/>
    <w:rsid w:val="286F13DD"/>
    <w:rsid w:val="29CC221B"/>
    <w:rsid w:val="29D93E33"/>
    <w:rsid w:val="2B1D535A"/>
    <w:rsid w:val="2B466AA7"/>
    <w:rsid w:val="2CB522C6"/>
    <w:rsid w:val="2D0E0C46"/>
    <w:rsid w:val="2D910338"/>
    <w:rsid w:val="2E497CFE"/>
    <w:rsid w:val="2EA230F1"/>
    <w:rsid w:val="2F1A68F3"/>
    <w:rsid w:val="2F9865A8"/>
    <w:rsid w:val="31D60D11"/>
    <w:rsid w:val="36786DC7"/>
    <w:rsid w:val="385D2DC1"/>
    <w:rsid w:val="3B53405D"/>
    <w:rsid w:val="3B8B7120"/>
    <w:rsid w:val="3DB24760"/>
    <w:rsid w:val="3EBA21C4"/>
    <w:rsid w:val="3EDB7A5D"/>
    <w:rsid w:val="4080467C"/>
    <w:rsid w:val="40867A59"/>
    <w:rsid w:val="41CE5653"/>
    <w:rsid w:val="44531210"/>
    <w:rsid w:val="447F5EC2"/>
    <w:rsid w:val="45580278"/>
    <w:rsid w:val="460541F9"/>
    <w:rsid w:val="47527CB9"/>
    <w:rsid w:val="48035BB1"/>
    <w:rsid w:val="48231F4D"/>
    <w:rsid w:val="497152EE"/>
    <w:rsid w:val="4AA02FDF"/>
    <w:rsid w:val="4CAB1239"/>
    <w:rsid w:val="4D1826AA"/>
    <w:rsid w:val="4E1D1CDC"/>
    <w:rsid w:val="50913665"/>
    <w:rsid w:val="52DB37FC"/>
    <w:rsid w:val="532F6902"/>
    <w:rsid w:val="568E01E7"/>
    <w:rsid w:val="58B167C8"/>
    <w:rsid w:val="59BC66C3"/>
    <w:rsid w:val="5C32289F"/>
    <w:rsid w:val="5CE37FB0"/>
    <w:rsid w:val="5E9F1B94"/>
    <w:rsid w:val="5F430BDE"/>
    <w:rsid w:val="5FC97733"/>
    <w:rsid w:val="612831B4"/>
    <w:rsid w:val="62035E1A"/>
    <w:rsid w:val="624F1F14"/>
    <w:rsid w:val="62865532"/>
    <w:rsid w:val="63A71051"/>
    <w:rsid w:val="640239FC"/>
    <w:rsid w:val="640F6ADA"/>
    <w:rsid w:val="65B46710"/>
    <w:rsid w:val="684569A7"/>
    <w:rsid w:val="6C2C3A02"/>
    <w:rsid w:val="6C5F5DFC"/>
    <w:rsid w:val="6C7D2C4A"/>
    <w:rsid w:val="6CE9713F"/>
    <w:rsid w:val="6D3A5130"/>
    <w:rsid w:val="6DBF2A73"/>
    <w:rsid w:val="6EE22481"/>
    <w:rsid w:val="70764064"/>
    <w:rsid w:val="70BE2F7D"/>
    <w:rsid w:val="70C3117C"/>
    <w:rsid w:val="70EA55CF"/>
    <w:rsid w:val="710D5CEC"/>
    <w:rsid w:val="7396703D"/>
    <w:rsid w:val="75F35C9A"/>
    <w:rsid w:val="77C02E9D"/>
    <w:rsid w:val="79C318FE"/>
    <w:rsid w:val="7A242AFD"/>
    <w:rsid w:val="7AC60C11"/>
    <w:rsid w:val="7BC01B7E"/>
    <w:rsid w:val="7D211DE8"/>
    <w:rsid w:val="7D6A0482"/>
    <w:rsid w:val="7D936208"/>
    <w:rsid w:val="7F243A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51"/>
    <w:qFormat/>
    <w:uiPriority w:val="0"/>
    <w:pPr>
      <w:keepNext/>
      <w:numPr>
        <w:ilvl w:val="0"/>
        <w:numId w:val="1"/>
      </w:numPr>
      <w:spacing w:before="120"/>
      <w:outlineLvl w:val="0"/>
    </w:pPr>
    <w:rPr>
      <w:b/>
      <w:bCs/>
      <w:sz w:val="28"/>
      <w:szCs w:val="28"/>
    </w:rPr>
  </w:style>
  <w:style w:type="paragraph" w:styleId="3">
    <w:name w:val="heading 2"/>
    <w:basedOn w:val="2"/>
    <w:next w:val="1"/>
    <w:link w:val="52"/>
    <w:qFormat/>
    <w:uiPriority w:val="0"/>
    <w:pPr>
      <w:numPr>
        <w:ilvl w:val="1"/>
      </w:numPr>
      <w:tabs>
        <w:tab w:val="clear" w:pos="432"/>
      </w:tabs>
      <w:outlineLvl w:val="1"/>
    </w:pPr>
    <w:rPr>
      <w:sz w:val="24"/>
    </w:rPr>
  </w:style>
  <w:style w:type="paragraph" w:styleId="4">
    <w:name w:val="heading 3"/>
    <w:basedOn w:val="1"/>
    <w:next w:val="1"/>
    <w:qFormat/>
    <w:uiPriority w:val="0"/>
    <w:pPr>
      <w:keepNext/>
      <w:numPr>
        <w:ilvl w:val="2"/>
        <w:numId w:val="1"/>
      </w:numPr>
      <w:spacing w:before="120"/>
      <w:outlineLvl w:val="2"/>
    </w:pPr>
    <w:rPr>
      <w:b/>
    </w:rPr>
  </w:style>
  <w:style w:type="paragraph" w:styleId="5">
    <w:name w:val="heading 4"/>
    <w:basedOn w:val="1"/>
    <w:next w:val="1"/>
    <w:qFormat/>
    <w:uiPriority w:val="0"/>
    <w:pPr>
      <w:keepNext/>
      <w:numPr>
        <w:ilvl w:val="3"/>
        <w:numId w:val="1"/>
      </w:numPr>
      <w:spacing w:before="120"/>
      <w:outlineLvl w:val="3"/>
    </w:pPr>
    <w:rPr>
      <w:b/>
      <w:bCs/>
      <w:szCs w:val="28"/>
    </w:rPr>
  </w:style>
  <w:style w:type="paragraph" w:styleId="6">
    <w:name w:val="heading 5"/>
    <w:basedOn w:val="1"/>
    <w:next w:val="1"/>
    <w:qFormat/>
    <w:uiPriority w:val="0"/>
    <w:pPr>
      <w:keepNext/>
      <w:numPr>
        <w:ilvl w:val="4"/>
        <w:numId w:val="1"/>
      </w:numPr>
      <w:spacing w:before="1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5"/>
    <w:qFormat/>
    <w:uiPriority w:val="0"/>
    <w:pPr>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lang w:val="en-GB"/>
    </w:rPr>
  </w:style>
  <w:style w:type="paragraph" w:styleId="13">
    <w:name w:val="List"/>
    <w:basedOn w:val="1"/>
    <w:qFormat/>
    <w:uiPriority w:val="0"/>
    <w:pPr>
      <w:ind w:left="360" w:hanging="360"/>
    </w:pPr>
  </w:style>
  <w:style w:type="paragraph" w:styleId="14">
    <w:name w:val="annotation text"/>
    <w:basedOn w:val="1"/>
    <w:link w:val="47"/>
    <w:unhideWhenUsed/>
    <w:qFormat/>
    <w:uiPriority w:val="99"/>
    <w:pPr>
      <w:jc w:val="left"/>
    </w:pPr>
  </w:style>
  <w:style w:type="paragraph" w:styleId="15">
    <w:name w:val="Body Text"/>
    <w:basedOn w:val="1"/>
    <w:link w:val="34"/>
    <w:qFormat/>
    <w:uiPriority w:val="0"/>
    <w:rPr>
      <w:sz w:val="20"/>
      <w:szCs w:val="20"/>
    </w:rPr>
  </w:style>
  <w:style w:type="paragraph" w:styleId="16">
    <w:name w:val="Balloon Text"/>
    <w:basedOn w:val="1"/>
    <w:semiHidden/>
    <w:qFormat/>
    <w:uiPriority w:val="0"/>
    <w:rPr>
      <w:rFonts w:ascii="Tahoma" w:hAnsi="Tahoma" w:cs="Tahoma"/>
      <w:sz w:val="16"/>
      <w:szCs w:val="16"/>
    </w:rPr>
  </w:style>
  <w:style w:type="paragraph" w:styleId="17">
    <w:name w:val="footer"/>
    <w:basedOn w:val="1"/>
    <w:link w:val="42"/>
    <w:qFormat/>
    <w:uiPriority w:val="0"/>
    <w:pPr>
      <w:tabs>
        <w:tab w:val="center" w:pos="4680"/>
        <w:tab w:val="right" w:pos="9360"/>
      </w:tabs>
    </w:pPr>
  </w:style>
  <w:style w:type="paragraph" w:styleId="18">
    <w:name w:val="header"/>
    <w:basedOn w:val="1"/>
    <w:link w:val="41"/>
    <w:qFormat/>
    <w:uiPriority w:val="0"/>
    <w:pPr>
      <w:tabs>
        <w:tab w:val="center" w:pos="4680"/>
        <w:tab w:val="right" w:pos="9360"/>
      </w:tabs>
    </w:pPr>
  </w:style>
  <w:style w:type="paragraph" w:styleId="19">
    <w:name w:val="toc 1"/>
    <w:basedOn w:val="1"/>
    <w:next w:val="1"/>
    <w:unhideWhenUsed/>
    <w:qFormat/>
    <w:uiPriority w:val="39"/>
    <w:pPr>
      <w:ind w:right="420" w:rightChars="200"/>
    </w:pPr>
    <w:rPr>
      <w:rFonts w:eastAsiaTheme="minorEastAsia"/>
      <w:b/>
      <w:bCs/>
      <w:iCs/>
    </w:rPr>
  </w:style>
  <w:style w:type="paragraph" w:styleId="20">
    <w:name w:val="footnote text"/>
    <w:basedOn w:val="1"/>
    <w:semiHidden/>
    <w:qFormat/>
    <w:uiPriority w:val="0"/>
    <w:rPr>
      <w:sz w:val="20"/>
      <w:szCs w:val="20"/>
    </w:rPr>
  </w:style>
  <w:style w:type="paragraph" w:styleId="21">
    <w:name w:val="Body Text 2"/>
    <w:basedOn w:val="1"/>
    <w:qFormat/>
    <w:uiPriority w:val="0"/>
    <w:pPr>
      <w:spacing w:after="0"/>
      <w:jc w:val="left"/>
    </w:pPr>
    <w:rPr>
      <w:szCs w:val="20"/>
    </w:rPr>
  </w:style>
  <w:style w:type="paragraph" w:styleId="22">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3">
    <w:name w:val="Title"/>
    <w:basedOn w:val="1"/>
    <w:next w:val="1"/>
    <w:link w:val="44"/>
    <w:qFormat/>
    <w:uiPriority w:val="0"/>
    <w:pPr>
      <w:spacing w:before="240" w:after="60"/>
      <w:jc w:val="center"/>
      <w:outlineLvl w:val="0"/>
    </w:pPr>
    <w:rPr>
      <w:rFonts w:asciiTheme="majorHAnsi" w:hAnsiTheme="majorHAnsi" w:cstheme="majorBidi"/>
      <w:b/>
      <w:bCs/>
      <w:sz w:val="32"/>
      <w:szCs w:val="32"/>
    </w:rPr>
  </w:style>
  <w:style w:type="paragraph" w:styleId="24">
    <w:name w:val="annotation subject"/>
    <w:basedOn w:val="14"/>
    <w:next w:val="14"/>
    <w:link w:val="48"/>
    <w:semiHidden/>
    <w:unhideWhenUsed/>
    <w:qFormat/>
    <w:uiPriority w:val="0"/>
    <w:rPr>
      <w:b/>
      <w:bCs/>
    </w:rPr>
  </w:style>
  <w:style w:type="table" w:styleId="26">
    <w:name w:val="Table Grid"/>
    <w:basedOn w:val="25"/>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22"/>
    <w:rPr>
      <w:b/>
      <w:bCs/>
    </w:rPr>
  </w:style>
  <w:style w:type="character" w:styleId="29">
    <w:name w:val="FollowedHyperlink"/>
    <w:basedOn w:val="27"/>
    <w:qFormat/>
    <w:uiPriority w:val="0"/>
    <w:rPr>
      <w:color w:val="800080"/>
      <w:u w:val="single"/>
    </w:rPr>
  </w:style>
  <w:style w:type="character" w:styleId="30">
    <w:name w:val="Emphasis"/>
    <w:basedOn w:val="27"/>
    <w:qFormat/>
    <w:uiPriority w:val="0"/>
    <w:rPr>
      <w:i/>
      <w:iCs/>
    </w:rPr>
  </w:style>
  <w:style w:type="character" w:styleId="31">
    <w:name w:val="Hyperlink"/>
    <w:basedOn w:val="27"/>
    <w:qFormat/>
    <w:uiPriority w:val="0"/>
    <w:rPr>
      <w:color w:val="0000FF"/>
      <w:u w:val="single"/>
    </w:rPr>
  </w:style>
  <w:style w:type="character" w:styleId="32">
    <w:name w:val="annotation reference"/>
    <w:basedOn w:val="27"/>
    <w:unhideWhenUsed/>
    <w:qFormat/>
    <w:uiPriority w:val="99"/>
    <w:rPr>
      <w:sz w:val="21"/>
      <w:szCs w:val="21"/>
    </w:rPr>
  </w:style>
  <w:style w:type="character" w:styleId="33">
    <w:name w:val="footnote reference"/>
    <w:basedOn w:val="27"/>
    <w:semiHidden/>
    <w:qFormat/>
    <w:uiPriority w:val="0"/>
    <w:rPr>
      <w:vertAlign w:val="superscript"/>
    </w:rPr>
  </w:style>
  <w:style w:type="character" w:customStyle="1" w:styleId="34">
    <w:name w:val="正文文本 字符"/>
    <w:basedOn w:val="27"/>
    <w:link w:val="15"/>
    <w:qFormat/>
    <w:uiPriority w:val="0"/>
  </w:style>
  <w:style w:type="character" w:customStyle="1" w:styleId="35">
    <w:name w:val="题注 字符"/>
    <w:basedOn w:val="27"/>
    <w:link w:val="11"/>
    <w:qFormat/>
    <w:uiPriority w:val="0"/>
    <w:rPr>
      <w:b/>
      <w:bCs/>
    </w:rPr>
  </w:style>
  <w:style w:type="paragraph" w:customStyle="1" w:styleId="36">
    <w:name w:val="References"/>
    <w:basedOn w:val="1"/>
    <w:qFormat/>
    <w:uiPriority w:val="0"/>
    <w:pPr>
      <w:numPr>
        <w:ilvl w:val="0"/>
        <w:numId w:val="2"/>
      </w:numPr>
      <w:adjustRightInd/>
      <w:spacing w:after="60"/>
    </w:pPr>
    <w:rPr>
      <w:sz w:val="20"/>
      <w:szCs w:val="16"/>
    </w:rPr>
  </w:style>
  <w:style w:type="paragraph" w:customStyle="1" w:styleId="37">
    <w:name w:val="_Style 26"/>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8">
    <w:name w:val="Figure"/>
    <w:basedOn w:val="1"/>
    <w:qFormat/>
    <w:uiPriority w:val="0"/>
    <w:pPr>
      <w:keepNext/>
      <w:jc w:val="center"/>
    </w:pPr>
  </w:style>
  <w:style w:type="paragraph" w:customStyle="1" w:styleId="39">
    <w:name w:val="Eqn"/>
    <w:basedOn w:val="1"/>
    <w:qFormat/>
    <w:uiPriority w:val="0"/>
    <w:pPr>
      <w:tabs>
        <w:tab w:val="center" w:pos="4608"/>
        <w:tab w:val="right" w:pos="9216"/>
      </w:tabs>
    </w:pPr>
    <w:rPr>
      <w:lang w:eastAsia="ja-JP"/>
    </w:rPr>
  </w:style>
  <w:style w:type="paragraph" w:customStyle="1" w:styleId="40">
    <w:name w:val="tablecell"/>
    <w:basedOn w:val="1"/>
    <w:qFormat/>
    <w:uiPriority w:val="0"/>
    <w:pPr>
      <w:spacing w:before="20" w:after="20"/>
      <w:jc w:val="left"/>
    </w:pPr>
  </w:style>
  <w:style w:type="character" w:customStyle="1" w:styleId="41">
    <w:name w:val="页眉 字符"/>
    <w:basedOn w:val="27"/>
    <w:link w:val="18"/>
    <w:qFormat/>
    <w:uiPriority w:val="0"/>
    <w:rPr>
      <w:sz w:val="22"/>
      <w:szCs w:val="22"/>
    </w:rPr>
  </w:style>
  <w:style w:type="character" w:customStyle="1" w:styleId="42">
    <w:name w:val="页脚 字符"/>
    <w:basedOn w:val="27"/>
    <w:link w:val="17"/>
    <w:qFormat/>
    <w:uiPriority w:val="0"/>
    <w:rPr>
      <w:sz w:val="22"/>
      <w:szCs w:val="22"/>
    </w:rPr>
  </w:style>
  <w:style w:type="paragraph" w:customStyle="1" w:styleId="43">
    <w:name w:val="tablecol"/>
    <w:basedOn w:val="40"/>
    <w:qFormat/>
    <w:uiPriority w:val="0"/>
    <w:pPr>
      <w:jc w:val="center"/>
    </w:pPr>
    <w:rPr>
      <w:b/>
    </w:rPr>
  </w:style>
  <w:style w:type="character" w:customStyle="1" w:styleId="44">
    <w:name w:val="标题 字符"/>
    <w:basedOn w:val="27"/>
    <w:link w:val="23"/>
    <w:qFormat/>
    <w:uiPriority w:val="0"/>
    <w:rPr>
      <w:rFonts w:asciiTheme="majorHAnsi" w:hAnsiTheme="majorHAnsi" w:cstheme="majorBidi"/>
      <w:b/>
      <w:bCs/>
      <w:sz w:val="32"/>
      <w:szCs w:val="32"/>
    </w:rPr>
  </w:style>
  <w:style w:type="paragraph" w:styleId="45">
    <w:name w:val="List Paragraph"/>
    <w:basedOn w:val="1"/>
    <w:link w:val="46"/>
    <w:qFormat/>
    <w:uiPriority w:val="34"/>
    <w:pPr>
      <w:autoSpaceDE/>
      <w:autoSpaceDN/>
      <w:adjustRightInd/>
      <w:snapToGrid/>
      <w:spacing w:after="0"/>
      <w:ind w:left="840" w:leftChars="400" w:hanging="1440"/>
      <w:jc w:val="left"/>
    </w:pPr>
    <w:rPr>
      <w:rFonts w:ascii="Times" w:hAnsi="Times" w:eastAsia="Batang"/>
      <w:sz w:val="20"/>
      <w:szCs w:val="24"/>
      <w:lang w:val="en-GB"/>
    </w:rPr>
  </w:style>
  <w:style w:type="character" w:customStyle="1" w:styleId="46">
    <w:name w:val="列表段落 字符"/>
    <w:link w:val="45"/>
    <w:qFormat/>
    <w:uiPriority w:val="34"/>
    <w:rPr>
      <w:rFonts w:ascii="Times" w:hAnsi="Times" w:eastAsia="Batang"/>
      <w:szCs w:val="24"/>
      <w:lang w:val="en-GB"/>
    </w:rPr>
  </w:style>
  <w:style w:type="character" w:customStyle="1" w:styleId="47">
    <w:name w:val="批注文字 字符"/>
    <w:basedOn w:val="27"/>
    <w:link w:val="14"/>
    <w:qFormat/>
    <w:uiPriority w:val="99"/>
    <w:rPr>
      <w:sz w:val="22"/>
      <w:szCs w:val="22"/>
    </w:rPr>
  </w:style>
  <w:style w:type="character" w:customStyle="1" w:styleId="48">
    <w:name w:val="批注主题 字符"/>
    <w:basedOn w:val="47"/>
    <w:link w:val="24"/>
    <w:semiHidden/>
    <w:qFormat/>
    <w:uiPriority w:val="0"/>
    <w:rPr>
      <w:b/>
      <w:bCs/>
      <w:sz w:val="22"/>
      <w:szCs w:val="22"/>
    </w:rPr>
  </w:style>
  <w:style w:type="character" w:customStyle="1" w:styleId="49">
    <w:name w:val="标题1"/>
    <w:basedOn w:val="27"/>
    <w:qFormat/>
    <w:uiPriority w:val="0"/>
  </w:style>
  <w:style w:type="character" w:customStyle="1" w:styleId="50">
    <w:name w:val="apple-converted-space"/>
    <w:basedOn w:val="27"/>
    <w:qFormat/>
    <w:uiPriority w:val="0"/>
  </w:style>
  <w:style w:type="character" w:customStyle="1" w:styleId="51">
    <w:name w:val="标题 1 字符"/>
    <w:basedOn w:val="27"/>
    <w:link w:val="2"/>
    <w:qFormat/>
    <w:uiPriority w:val="0"/>
    <w:rPr>
      <w:b/>
      <w:bCs/>
      <w:sz w:val="28"/>
      <w:szCs w:val="28"/>
    </w:rPr>
  </w:style>
  <w:style w:type="character" w:customStyle="1" w:styleId="52">
    <w:name w:val="标题 2 字符"/>
    <w:basedOn w:val="27"/>
    <w:link w:val="3"/>
    <w:qFormat/>
    <w:uiPriority w:val="0"/>
    <w:rPr>
      <w:b/>
      <w:bCs/>
      <w:sz w:val="24"/>
      <w:szCs w:val="22"/>
    </w:rPr>
  </w:style>
  <w:style w:type="paragraph" w:customStyle="1" w:styleId="53">
    <w:name w:val="修订1"/>
    <w:hidden/>
    <w:semiHidden/>
    <w:qFormat/>
    <w:uiPriority w:val="99"/>
    <w:rPr>
      <w:rFonts w:ascii="Times New Roman" w:hAnsi="Times New Roman" w:eastAsia="宋体" w:cs="Times New Roman"/>
      <w:sz w:val="22"/>
      <w:szCs w:val="22"/>
      <w:lang w:val="en-US" w:eastAsia="en-US" w:bidi="ar-SA"/>
    </w:rPr>
  </w:style>
  <w:style w:type="paragraph" w:customStyle="1" w:styleId="54">
    <w:name w:val="TAH"/>
    <w:basedOn w:val="55"/>
    <w:link w:val="57"/>
    <w:qFormat/>
    <w:uiPriority w:val="0"/>
    <w:rPr>
      <w:b/>
    </w:rPr>
  </w:style>
  <w:style w:type="paragraph" w:customStyle="1" w:styleId="55">
    <w:name w:val="TAC"/>
    <w:basedOn w:val="1"/>
    <w:link w:val="56"/>
    <w:qFormat/>
    <w:uiPriority w:val="0"/>
    <w:pPr>
      <w:keepNext/>
      <w:keepLines/>
      <w:overflowPunct w:val="0"/>
      <w:snapToGrid/>
      <w:spacing w:after="0"/>
      <w:jc w:val="center"/>
      <w:textAlignment w:val="baseline"/>
    </w:pPr>
    <w:rPr>
      <w:rFonts w:ascii="Arial" w:hAnsi="Arial" w:eastAsia="Times New Roman"/>
      <w:sz w:val="18"/>
      <w:szCs w:val="20"/>
      <w:lang w:val="en-GB"/>
    </w:rPr>
  </w:style>
  <w:style w:type="character" w:customStyle="1" w:styleId="56">
    <w:name w:val="TAC Char"/>
    <w:link w:val="55"/>
    <w:qFormat/>
    <w:locked/>
    <w:uiPriority w:val="0"/>
    <w:rPr>
      <w:rFonts w:ascii="Arial" w:hAnsi="Arial" w:eastAsia="Times New Roman"/>
      <w:sz w:val="18"/>
      <w:lang w:val="en-GB"/>
    </w:rPr>
  </w:style>
  <w:style w:type="character" w:customStyle="1" w:styleId="57">
    <w:name w:val="TAH Car"/>
    <w:link w:val="54"/>
    <w:qFormat/>
    <w:uiPriority w:val="0"/>
    <w:rPr>
      <w:rFonts w:ascii="Arial" w:hAnsi="Arial" w:eastAsia="Times New Roman"/>
      <w:b/>
      <w:sz w:val="18"/>
      <w:lang w:val="en-GB"/>
    </w:rPr>
  </w:style>
  <w:style w:type="paragraph" w:customStyle="1" w:styleId="58">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en-US" w:bidi="ar-SA"/>
    </w:rPr>
  </w:style>
  <w:style w:type="character" w:customStyle="1" w:styleId="59">
    <w:name w:val="TAL Char"/>
    <w:link w:val="60"/>
    <w:qFormat/>
    <w:locked/>
    <w:uiPriority w:val="0"/>
    <w:rPr>
      <w:rFonts w:ascii="Arial" w:hAnsi="Arial" w:cs="Arial"/>
      <w:sz w:val="18"/>
      <w:lang w:val="en-GB"/>
    </w:rPr>
  </w:style>
  <w:style w:type="paragraph" w:customStyle="1" w:styleId="60">
    <w:name w:val="TAL"/>
    <w:basedOn w:val="1"/>
    <w:link w:val="59"/>
    <w:qFormat/>
    <w:uiPriority w:val="0"/>
    <w:pPr>
      <w:keepNext/>
      <w:keepLines/>
      <w:autoSpaceDE/>
      <w:autoSpaceDN/>
      <w:adjustRightInd/>
      <w:snapToGrid/>
      <w:spacing w:after="0"/>
      <w:jc w:val="left"/>
    </w:pPr>
    <w:rPr>
      <w:rFonts w:ascii="Arial" w:hAnsi="Arial" w:cs="Arial"/>
      <w:sz w:val="18"/>
      <w:szCs w:val="20"/>
      <w:lang w:val="en-GB"/>
    </w:rPr>
  </w:style>
  <w:style w:type="paragraph" w:customStyle="1" w:styleId="61">
    <w:name w:val="B1"/>
    <w:basedOn w:val="13"/>
    <w:link w:val="62"/>
    <w:qFormat/>
    <w:uiPriority w:val="0"/>
    <w:pPr>
      <w:overflowPunct w:val="0"/>
      <w:snapToGrid/>
      <w:spacing w:after="180"/>
      <w:ind w:left="568" w:hanging="284"/>
      <w:jc w:val="left"/>
      <w:textAlignment w:val="baseline"/>
    </w:pPr>
    <w:rPr>
      <w:rFonts w:eastAsia="MS Mincho"/>
      <w:sz w:val="20"/>
      <w:szCs w:val="20"/>
      <w:lang w:val="en-GB"/>
    </w:rPr>
  </w:style>
  <w:style w:type="character" w:customStyle="1" w:styleId="62">
    <w:name w:val="B1 Zchn"/>
    <w:link w:val="61"/>
    <w:qFormat/>
    <w:uiPriority w:val="0"/>
    <w:rPr>
      <w:rFonts w:eastAsia="MS Mincho"/>
      <w:lang w:val="en-GB"/>
    </w:rPr>
  </w:style>
  <w:style w:type="paragraph" w:customStyle="1" w:styleId="63">
    <w:name w:val="Proposal"/>
    <w:basedOn w:val="1"/>
    <w:link w:val="64"/>
    <w:qFormat/>
    <w:uiPriority w:val="0"/>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64">
    <w:name w:val="Proposal Char"/>
    <w:link w:val="63"/>
    <w:qFormat/>
    <w:uiPriority w:val="0"/>
    <w:rPr>
      <w:rFonts w:eastAsia="Times New Roman"/>
      <w:b/>
      <w:bCs/>
      <w:lang w:val="en-GB" w:eastAsia="zh-CN"/>
    </w:rPr>
  </w:style>
  <w:style w:type="character" w:customStyle="1" w:styleId="65">
    <w:name w:val="PL Char"/>
    <w:link w:val="66"/>
    <w:qFormat/>
    <w:locked/>
    <w:uiPriority w:val="0"/>
    <w:rPr>
      <w:rFonts w:ascii="Courier New" w:hAnsi="Courier New" w:eastAsia="Times New Roman" w:cs="Courier New"/>
      <w:sz w:val="16"/>
      <w:shd w:val="clear" w:color="auto" w:fill="E6E6E6"/>
      <w:lang w:val="en-GB" w:eastAsia="en-GB"/>
    </w:rPr>
  </w:style>
  <w:style w:type="paragraph" w:customStyle="1" w:styleId="66">
    <w:name w:val="PL"/>
    <w:link w:val="6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Times New Roman" w:cs="Courier New"/>
      <w:sz w:val="16"/>
      <w:lang w:val="en-GB" w:eastAsia="en-GB" w:bidi="ar-SA"/>
    </w:rPr>
  </w:style>
  <w:style w:type="character" w:customStyle="1" w:styleId="67">
    <w:name w:val="TAL Car"/>
    <w:qFormat/>
    <w:locked/>
    <w:uiPriority w:val="0"/>
    <w:rPr>
      <w:rFonts w:ascii="Arial" w:hAnsi="Arial" w:eastAsia="Times New Roman" w:cs="Arial"/>
      <w:sz w:val="18"/>
    </w:rPr>
  </w:style>
  <w:style w:type="character" w:customStyle="1" w:styleId="68">
    <w:name w:val="fontstyle01"/>
    <w:basedOn w:val="27"/>
    <w:qFormat/>
    <w:uiPriority w:val="0"/>
    <w:rPr>
      <w:rFonts w:hint="default" w:ascii="TimesNewRomanPSMT" w:hAnsi="TimesNewRomanPSMT"/>
      <w:color w:val="000000"/>
      <w:sz w:val="20"/>
      <w:szCs w:val="20"/>
    </w:rPr>
  </w:style>
  <w:style w:type="paragraph" w:customStyle="1" w:styleId="69">
    <w:name w:val="TH"/>
    <w:basedOn w:val="1"/>
    <w:link w:val="70"/>
    <w:qFormat/>
    <w:uiPriority w:val="0"/>
    <w:pPr>
      <w:keepNext/>
      <w:keepLines/>
      <w:autoSpaceDE/>
      <w:autoSpaceDN/>
      <w:adjustRightInd/>
      <w:snapToGrid/>
      <w:spacing w:before="60" w:after="180"/>
      <w:jc w:val="center"/>
    </w:pPr>
    <w:rPr>
      <w:rFonts w:ascii="Arial" w:hAnsi="Arial" w:eastAsia="Malgun Gothic"/>
      <w:b/>
      <w:sz w:val="20"/>
      <w:szCs w:val="20"/>
      <w:lang w:val="en-GB"/>
    </w:rPr>
  </w:style>
  <w:style w:type="character" w:customStyle="1" w:styleId="70">
    <w:name w:val="TH Char"/>
    <w:link w:val="69"/>
    <w:qFormat/>
    <w:uiPriority w:val="0"/>
    <w:rPr>
      <w:rFonts w:ascii="Arial" w:hAnsi="Arial" w:eastAsia="Malgun Gothic"/>
      <w:b/>
      <w:lang w:val="en-GB"/>
    </w:rPr>
  </w:style>
  <w:style w:type="table" w:customStyle="1" w:styleId="71">
    <w:name w:val="Table Grid7"/>
    <w:basedOn w:val="25"/>
    <w:qFormat/>
    <w:uiPriority w:val="39"/>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
    <w:name w:val="enumlev2"/>
    <w:basedOn w:val="1"/>
    <w:qFormat/>
    <w:uiPriority w:val="0"/>
    <w:pPr>
      <w:tabs>
        <w:tab w:val="left" w:pos="735"/>
      </w:tabs>
      <w:ind w:left="735" w:hanging="735"/>
    </w:pPr>
  </w:style>
  <w:style w:type="paragraph" w:customStyle="1" w:styleId="73">
    <w:name w:val="Observation"/>
    <w:basedOn w:val="63"/>
    <w:link w:val="74"/>
    <w:qFormat/>
    <w:uiPriority w:val="0"/>
    <w:pPr>
      <w:overflowPunct/>
      <w:autoSpaceDE/>
      <w:autoSpaceDN/>
      <w:adjustRightInd/>
      <w:spacing w:line="259" w:lineRule="auto"/>
      <w:ind w:left="1699" w:hanging="1699"/>
      <w:textAlignment w:val="auto"/>
    </w:pPr>
    <w:rPr>
      <w:rFonts w:ascii="Arial" w:hAnsi="Arial" w:eastAsiaTheme="minorHAnsi" w:cstheme="minorBidi"/>
      <w:i/>
      <w:szCs w:val="22"/>
      <w:lang w:eastAsia="ja-JP"/>
    </w:rPr>
  </w:style>
  <w:style w:type="character" w:customStyle="1" w:styleId="74">
    <w:name w:val="Observation Char"/>
    <w:basedOn w:val="27"/>
    <w:link w:val="73"/>
    <w:qFormat/>
    <w:uiPriority w:val="0"/>
    <w:rPr>
      <w:rFonts w:ascii="Arial" w:hAnsi="Arial" w:eastAsiaTheme="minorHAnsi" w:cstheme="minorBidi"/>
      <w:b/>
      <w:bCs/>
      <w:i/>
      <w:szCs w:val="22"/>
      <w:lang w:val="en-GB" w:eastAsia="ja-JP"/>
    </w:rPr>
  </w:style>
  <w:style w:type="paragraph" w:customStyle="1" w:styleId="75">
    <w:name w:val="B2"/>
    <w:basedOn w:val="1"/>
    <w:link w:val="78"/>
    <w:qFormat/>
    <w:uiPriority w:val="0"/>
    <w:pPr>
      <w:autoSpaceDE/>
      <w:autoSpaceDN/>
      <w:adjustRightInd/>
      <w:snapToGrid/>
      <w:spacing w:after="180"/>
      <w:ind w:left="851" w:hanging="284"/>
      <w:jc w:val="left"/>
    </w:pPr>
    <w:rPr>
      <w:rFonts w:eastAsia="等线"/>
      <w:sz w:val="20"/>
      <w:szCs w:val="20"/>
      <w:lang w:val="en-GB"/>
    </w:rPr>
  </w:style>
  <w:style w:type="character" w:customStyle="1" w:styleId="76">
    <w:name w:val="B1 (文字)"/>
    <w:qFormat/>
    <w:uiPriority w:val="0"/>
    <w:rPr>
      <w:rFonts w:ascii="Times New Roman" w:hAnsi="Times New Roman" w:eastAsia="等线" w:cs="Times New Roman"/>
      <w:kern w:val="0"/>
      <w:sz w:val="20"/>
      <w:szCs w:val="20"/>
      <w:lang w:val="en-GB" w:eastAsia="en-US"/>
    </w:rPr>
  </w:style>
  <w:style w:type="character" w:customStyle="1" w:styleId="77">
    <w:name w:val="B1 Char1"/>
    <w:qFormat/>
    <w:uiPriority w:val="0"/>
    <w:rPr>
      <w:rFonts w:ascii="Times New Roman" w:hAnsi="Times New Roman" w:eastAsia="宋体" w:cs="Times New Roman"/>
      <w:kern w:val="0"/>
      <w:sz w:val="20"/>
      <w:szCs w:val="20"/>
      <w:lang w:val="en-GB" w:eastAsia="en-US"/>
    </w:rPr>
  </w:style>
  <w:style w:type="character" w:customStyle="1" w:styleId="78">
    <w:name w:val="B2 Char"/>
    <w:link w:val="75"/>
    <w:qFormat/>
    <w:locked/>
    <w:uiPriority w:val="0"/>
    <w:rPr>
      <w:rFonts w:eastAsia="等线"/>
      <w:lang w:val="en-GB"/>
    </w:rPr>
  </w:style>
  <w:style w:type="paragraph" w:customStyle="1" w:styleId="79">
    <w:name w:val="B3"/>
    <w:basedOn w:val="1"/>
    <w:link w:val="81"/>
    <w:qFormat/>
    <w:uiPriority w:val="0"/>
    <w:pPr>
      <w:autoSpaceDE/>
      <w:autoSpaceDN/>
      <w:adjustRightInd/>
      <w:snapToGrid/>
      <w:spacing w:after="180"/>
      <w:ind w:left="1135" w:hanging="284"/>
      <w:jc w:val="left"/>
    </w:pPr>
    <w:rPr>
      <w:sz w:val="20"/>
      <w:szCs w:val="20"/>
      <w:lang w:val="en-GB"/>
    </w:rPr>
  </w:style>
  <w:style w:type="paragraph" w:customStyle="1" w:styleId="80">
    <w:name w:val="B4"/>
    <w:basedOn w:val="1"/>
    <w:qFormat/>
    <w:uiPriority w:val="0"/>
    <w:pPr>
      <w:autoSpaceDE/>
      <w:autoSpaceDN/>
      <w:adjustRightInd/>
      <w:snapToGrid/>
      <w:spacing w:after="180"/>
      <w:ind w:left="1418" w:hanging="284"/>
      <w:jc w:val="left"/>
    </w:pPr>
    <w:rPr>
      <w:sz w:val="20"/>
      <w:szCs w:val="20"/>
      <w:lang w:val="en-GB"/>
    </w:rPr>
  </w:style>
  <w:style w:type="character" w:customStyle="1" w:styleId="81">
    <w:name w:val="B3 Char"/>
    <w:basedOn w:val="27"/>
    <w:link w:val="79"/>
    <w:qFormat/>
    <w:uiPriority w:val="0"/>
    <w:rPr>
      <w:lang w:val="en-GB"/>
    </w:rPr>
  </w:style>
  <w:style w:type="paragraph" w:customStyle="1" w:styleId="82">
    <w:name w:val="B5"/>
    <w:basedOn w:val="1"/>
    <w:qFormat/>
    <w:uiPriority w:val="0"/>
    <w:pPr>
      <w:autoSpaceDE/>
      <w:autoSpaceDN/>
      <w:adjustRightInd/>
      <w:snapToGrid/>
      <w:spacing w:after="180"/>
      <w:ind w:left="1702" w:hanging="284"/>
      <w:jc w:val="left"/>
    </w:pPr>
    <w:rPr>
      <w:rFonts w:eastAsiaTheme="minorEastAsia"/>
      <w:sz w:val="20"/>
      <w:szCs w:val="20"/>
      <w:lang w:val="en-GB"/>
    </w:rPr>
  </w:style>
  <w:style w:type="paragraph" w:customStyle="1" w:styleId="8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4">
    <w:name w:val="Reference"/>
    <w:basedOn w:val="1"/>
    <w:qFormat/>
    <w:uiPriority w:val="0"/>
    <w:pPr>
      <w:numPr>
        <w:ilvl w:val="0"/>
        <w:numId w:val="3"/>
      </w:numPr>
      <w:overflowPunct w:val="0"/>
      <w:snapToGrid/>
      <w:textAlignment w:val="baseline"/>
    </w:pPr>
    <w:rPr>
      <w:rFonts w:ascii="Arial" w:hAnsi="Arial" w:eastAsiaTheme="minorEastAsia"/>
      <w:sz w:val="20"/>
      <w:szCs w:val="20"/>
      <w:lang w:val="en-GB" w:eastAsia="zh-CN"/>
    </w:rPr>
  </w:style>
  <w:style w:type="character" w:customStyle="1" w:styleId="85">
    <w:name w:val="列表段落 字符3"/>
    <w:qFormat/>
    <w:locked/>
    <w:uiPriority w:val="34"/>
    <w:rPr>
      <w:rFonts w:eastAsia="宋体"/>
      <w:lang w:eastAsia="ja-JP"/>
    </w:rPr>
  </w:style>
  <w:style w:type="character" w:styleId="86">
    <w:name w:val="Placeholder Text"/>
    <w:basedOn w:val="27"/>
    <w:semiHidden/>
    <w:qFormat/>
    <w:uiPriority w:val="99"/>
    <w:rPr>
      <w:color w:val="808080"/>
    </w:rPr>
  </w:style>
  <w:style w:type="paragraph" w:customStyle="1" w:styleId="87">
    <w:name w:val="figure"/>
    <w:basedOn w:val="1"/>
    <w:next w:val="1"/>
    <w:qFormat/>
    <w:uiPriority w:val="0"/>
    <w:pPr>
      <w:numPr>
        <w:ilvl w:val="0"/>
        <w:numId w:val="4"/>
      </w:numPr>
      <w:autoSpaceDE/>
      <w:autoSpaceDN/>
      <w:adjustRightInd/>
      <w:snapToGrid/>
      <w:ind w:left="720" w:hanging="360"/>
      <w:jc w:val="center"/>
    </w:pPr>
    <w:rPr>
      <w:rFonts w:eastAsia="Times New Roman"/>
      <w:szCs w:val="24"/>
      <w:lang w:val="zh-CN"/>
    </w:rPr>
  </w:style>
  <w:style w:type="paragraph" w:customStyle="1" w:styleId="88">
    <w:name w:val="Doc-text2"/>
    <w:basedOn w:val="1"/>
    <w:link w:val="89"/>
    <w:qFormat/>
    <w:uiPriority w:val="0"/>
    <w:pPr>
      <w:tabs>
        <w:tab w:val="left" w:pos="1622"/>
      </w:tabs>
      <w:autoSpaceDE/>
      <w:autoSpaceDN/>
      <w:adjustRightInd/>
      <w:snapToGrid/>
      <w:spacing w:after="0"/>
      <w:ind w:left="1622" w:hanging="363"/>
      <w:jc w:val="left"/>
    </w:pPr>
    <w:rPr>
      <w:rFonts w:ascii="Arial" w:hAnsi="Arial" w:eastAsia="MS Mincho"/>
      <w:sz w:val="20"/>
      <w:szCs w:val="24"/>
      <w:lang w:val="en-GB" w:eastAsia="en-GB"/>
    </w:rPr>
  </w:style>
  <w:style w:type="character" w:customStyle="1" w:styleId="89">
    <w:name w:val="Doc-text2 Char"/>
    <w:link w:val="88"/>
    <w:qFormat/>
    <w:uiPriority w:val="0"/>
    <w:rPr>
      <w:rFonts w:ascii="Arial" w:hAnsi="Arial" w:eastAsia="MS Mincho"/>
      <w:szCs w:val="24"/>
      <w:lang w:val="en-GB" w:eastAsia="en-GB"/>
    </w:rPr>
  </w:style>
  <w:style w:type="paragraph" w:customStyle="1" w:styleId="90">
    <w:name w:val="Agreement"/>
    <w:basedOn w:val="1"/>
    <w:next w:val="1"/>
    <w:qFormat/>
    <w:uiPriority w:val="99"/>
    <w:pPr>
      <w:numPr>
        <w:ilvl w:val="0"/>
        <w:numId w:val="5"/>
      </w:numPr>
      <w:autoSpaceDE/>
      <w:autoSpaceDN/>
      <w:adjustRightInd/>
      <w:snapToGrid/>
      <w:spacing w:before="60" w:after="0"/>
      <w:jc w:val="left"/>
    </w:pPr>
    <w:rPr>
      <w:rFonts w:ascii="Arial" w:hAnsi="Arial" w:eastAsia="MS Mincho"/>
      <w:b/>
      <w:sz w:val="20"/>
      <w:szCs w:val="24"/>
      <w:lang w:val="en-GB" w:eastAsia="en-GB"/>
    </w:rPr>
  </w:style>
  <w:style w:type="paragraph" w:customStyle="1" w:styleId="91">
    <w:name w:val="TAN"/>
    <w:basedOn w:val="60"/>
    <w:qFormat/>
    <w:uiPriority w:val="0"/>
    <w:pPr>
      <w:ind w:left="851" w:hanging="851"/>
    </w:pPr>
    <w:rPr>
      <w:rFonts w:cs="Times New Roman" w:eastAsiaTheme="minorEastAsia"/>
    </w:rPr>
  </w:style>
  <w:style w:type="paragraph" w:customStyle="1" w:styleId="92">
    <w:name w:val="YJ-Proposal"/>
    <w:basedOn w:val="1"/>
    <w:qFormat/>
    <w:uiPriority w:val="0"/>
    <w:pPr>
      <w:numPr>
        <w:ilvl w:val="0"/>
        <w:numId w:val="6"/>
      </w:numPr>
      <w:tabs>
        <w:tab w:val="left" w:pos="0"/>
      </w:tabs>
      <w:ind w:left="0"/>
    </w:pPr>
    <w:rPr>
      <w:rFonts w:eastAsiaTheme="minorEastAsia"/>
      <w:b/>
      <w:bCs/>
      <w:szCs w:val="21"/>
      <w:lang w:val="en-GB"/>
    </w:rPr>
  </w:style>
  <w:style w:type="paragraph" w:customStyle="1" w:styleId="93">
    <w:name w:val="YJ-Observation"/>
    <w:basedOn w:val="92"/>
    <w:qFormat/>
    <w:uiPriority w:val="0"/>
    <w:pPr>
      <w:numPr>
        <w:ilvl w:val="0"/>
        <w:numId w:val="7"/>
      </w:numPr>
      <w:tabs>
        <w:tab w:val="left" w:pos="4820"/>
      </w:tabs>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Company>
  <Pages>7</Pages>
  <Words>1760</Words>
  <Characters>10032</Characters>
  <Lines>83</Lines>
  <Paragraphs>23</Paragraphs>
  <TotalTime>606</TotalTime>
  <ScaleCrop>false</ScaleCrop>
  <LinksUpToDate>false</LinksUpToDate>
  <CharactersWithSpaces>11769</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2023-05-04T20:56:00Z</dcterms:created>
  <dc:creator>zhangyunhao</dc:creator>
  <cp:lastModifiedBy>10168368</cp:lastModifiedBy>
  <cp:lastPrinted>2007-06-19T06:08:00Z</cp:lastPrinted>
  <dcterms:modified xsi:type="dcterms:W3CDTF">2025-02-07T16:45:34Z</dcterms:modified>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(3)wDjHqVbnhJjuEf5vLK1jyW5VWxxKtBz9PpJVNw6Sqe7jVZyRBpH71JN50JZAjaTZ85dNJuvt
GfTFAt9QqvngBq0O4bX2tD+bgJBpmLT1XvExkyvDrgRdgCkUAnscfZZIeq9O9KqCgsXOHQOD
5x+1JtT3PZfpvgbRWwzcS9J4EJbHlk+wfI0TadMWrvGquzU+a+VWSubbsIzjKy2z2xgaXJag
557FkOrADQyLBIJUn3</vt:lpwstr>
  </property>
  <property fmtid="{D5CDD505-2E9C-101B-9397-08002B2CF9AE}" pid="13" name="_2015_ms_pID_725343_00">
    <vt:lpwstr>_2015_ms_pID_725343</vt:lpwstr>
  </property>
  <property fmtid="{D5CDD505-2E9C-101B-9397-08002B2CF9AE}" pid="14" name="_2015_ms_pID_7253431">
    <vt:lpwstr>+zP6iufVTx9h3GvNsaHFOiJBRiJxYw/3fKEVg4jCCQmqPGE8og3p2Y
Vdf+aqheeyQllu0uXDEKmUjEFnJBwfwydUepgjvXeWfNiqgbWH67fGWf4TijDCCB5o/A6BvQ
nMVboW1ie/bOPWwU3d3Fy9VqLDu1EoaTKnRXWFuJQK6y0j1ciFVi0D4s2bEtoCByFsiP2BNq
UuUyG52hxOo67Y1GTxKjXYMIggVuJl2oRzYx</vt:lpwstr>
  </property>
  <property fmtid="{D5CDD505-2E9C-101B-9397-08002B2CF9AE}" pid="15" name="_2015_ms_pID_7253431_00">
    <vt:lpwstr>_2015_ms_pID_7253431</vt:lpwstr>
  </property>
  <property fmtid="{D5CDD505-2E9C-101B-9397-08002B2CF9AE}" pid="16" name="_2015_ms_pID_7253432">
    <vt:lpwstr>hERMYJ3UIJNbh/5nLbBWTFOMJJJtyqakHC2Y
D16H5DBiDUtb6vaDUTJt3kn8B5Ca1A==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1683604346</vt:lpwstr>
  </property>
  <property fmtid="{D5CDD505-2E9C-101B-9397-08002B2CF9AE}" pid="22" name="KSOProductBuildVer">
    <vt:lpwstr>2052-11.8.2.12065</vt:lpwstr>
  </property>
  <property fmtid="{D5CDD505-2E9C-101B-9397-08002B2CF9AE}" pid="23" name="ICV">
    <vt:lpwstr>1C8370D6EC97467BB10AE8EBE572AAA9</vt:lpwstr>
  </property>
</Properties>
</file>