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17FA" w14:textId="41182794"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136396">
        <w:rPr>
          <w:rFonts w:cs="Arial"/>
          <w:noProof w:val="0"/>
          <w:sz w:val="28"/>
          <w:szCs w:val="28"/>
          <w:lang w:val="en-US"/>
        </w:rPr>
        <w:t>6</w:t>
      </w:r>
      <w:r w:rsidR="00C915B8">
        <w:rPr>
          <w:rFonts w:cs="Arial"/>
          <w:noProof w:val="0"/>
          <w:sz w:val="28"/>
          <w:szCs w:val="28"/>
          <w:lang w:val="en-US"/>
        </w:rPr>
        <w:t>-</w:t>
      </w:r>
      <w:r w:rsidR="00FC5FA6">
        <w:rPr>
          <w:rFonts w:cs="Arial"/>
          <w:noProof w:val="0"/>
          <w:sz w:val="28"/>
          <w:szCs w:val="28"/>
          <w:lang w:val="en-US"/>
        </w:rPr>
        <w:t>bis</w:t>
      </w:r>
      <w:r>
        <w:rPr>
          <w:rFonts w:cs="Arial"/>
          <w:noProof w:val="0"/>
          <w:sz w:val="28"/>
          <w:szCs w:val="28"/>
          <w:lang w:val="en-US"/>
        </w:rPr>
        <w:tab/>
      </w:r>
      <w:r w:rsidR="003B5C12" w:rsidRPr="00733C3B">
        <w:rPr>
          <w:rFonts w:cs="Arial"/>
          <w:sz w:val="28"/>
          <w:szCs w:val="28"/>
          <w:lang w:val="en-US"/>
        </w:rPr>
        <w:t>R1-2</w:t>
      </w:r>
      <w:r w:rsidR="00DE2E98">
        <w:rPr>
          <w:rFonts w:cs="Arial"/>
          <w:sz w:val="28"/>
          <w:szCs w:val="28"/>
          <w:lang w:val="en-US"/>
        </w:rPr>
        <w:t>4</w:t>
      </w:r>
      <w:r w:rsidR="006F5942">
        <w:rPr>
          <w:rFonts w:cs="Arial"/>
          <w:sz w:val="28"/>
          <w:szCs w:val="28"/>
          <w:lang w:val="en-US"/>
        </w:rPr>
        <w:t>03289</w:t>
      </w:r>
    </w:p>
    <w:bookmarkEnd w:id="0"/>
    <w:p w14:paraId="5D1AB60C" w14:textId="3AE13E7D" w:rsidR="00FC5FA6" w:rsidRDefault="00EF3160" w:rsidP="00FC5FA6">
      <w:pPr>
        <w:pStyle w:val="a4"/>
        <w:tabs>
          <w:tab w:val="right" w:pos="10206"/>
        </w:tabs>
        <w:spacing w:after="0" w:afterAutospacing="0"/>
        <w:rPr>
          <w:rFonts w:cs="Arial"/>
          <w:sz w:val="28"/>
          <w:szCs w:val="28"/>
          <w:lang w:val="en-US"/>
        </w:rPr>
      </w:pPr>
      <w:r>
        <w:rPr>
          <w:rFonts w:cs="Arial"/>
          <w:sz w:val="28"/>
          <w:szCs w:val="28"/>
          <w:lang w:val="en-US"/>
        </w:rPr>
        <w:t>Changsha, Hunan Province, China</w:t>
      </w:r>
      <w:r w:rsidR="00FC5FA6">
        <w:rPr>
          <w:rFonts w:cs="Arial"/>
          <w:sz w:val="28"/>
          <w:szCs w:val="28"/>
          <w:lang w:val="en-US"/>
        </w:rPr>
        <w:t>,</w:t>
      </w:r>
      <w:r w:rsidR="00FC5FA6">
        <w:rPr>
          <w:rFonts w:cs="Arial" w:hint="eastAsia"/>
          <w:sz w:val="28"/>
          <w:szCs w:val="28"/>
          <w:lang w:val="en-US"/>
        </w:rPr>
        <w:t xml:space="preserve"> </w:t>
      </w:r>
      <w:r w:rsidR="00FC5FA6">
        <w:rPr>
          <w:rFonts w:cs="Arial"/>
          <w:sz w:val="28"/>
          <w:szCs w:val="28"/>
          <w:lang w:val="en-US"/>
        </w:rPr>
        <w:t>April 15</w:t>
      </w:r>
      <w:r w:rsidR="00FC5FA6">
        <w:rPr>
          <w:rFonts w:cs="Arial"/>
          <w:sz w:val="28"/>
          <w:szCs w:val="28"/>
          <w:vertAlign w:val="superscript"/>
          <w:lang w:val="en-US"/>
        </w:rPr>
        <w:t>th</w:t>
      </w:r>
      <w:r w:rsidR="00FC5FA6">
        <w:rPr>
          <w:rFonts w:cs="Arial"/>
          <w:sz w:val="28"/>
          <w:szCs w:val="28"/>
          <w:lang w:val="en-US"/>
        </w:rPr>
        <w:t xml:space="preserve"> –</w:t>
      </w:r>
      <w:r w:rsidR="00FC5FA6">
        <w:rPr>
          <w:rFonts w:cs="Arial" w:hint="eastAsia"/>
          <w:sz w:val="28"/>
          <w:szCs w:val="28"/>
          <w:lang w:val="en-US"/>
        </w:rPr>
        <w:t xml:space="preserve"> </w:t>
      </w:r>
      <w:r w:rsidR="00FC5FA6">
        <w:rPr>
          <w:rFonts w:cs="Arial"/>
          <w:sz w:val="28"/>
          <w:szCs w:val="28"/>
          <w:lang w:val="en-US"/>
        </w:rPr>
        <w:t>April 19</w:t>
      </w:r>
      <w:r w:rsidR="00C915B8">
        <w:rPr>
          <w:rFonts w:cs="Arial"/>
          <w:sz w:val="28"/>
          <w:szCs w:val="28"/>
          <w:vertAlign w:val="superscript"/>
          <w:lang w:val="en-US"/>
        </w:rPr>
        <w:t>th</w:t>
      </w:r>
      <w:r w:rsidR="00FC5FA6">
        <w:rPr>
          <w:rFonts w:cs="Arial"/>
          <w:sz w:val="28"/>
          <w:szCs w:val="28"/>
          <w:lang w:val="en-US"/>
        </w:rPr>
        <w:t>, 2024</w:t>
      </w:r>
    </w:p>
    <w:p w14:paraId="39617EB1" w14:textId="77777777" w:rsidR="00FC5FA6" w:rsidRDefault="00FC5FA6" w:rsidP="00AF31FE">
      <w:pPr>
        <w:tabs>
          <w:tab w:val="left" w:pos="1985"/>
        </w:tabs>
        <w:spacing w:after="0" w:afterAutospacing="0"/>
        <w:ind w:left="1985" w:hangingChars="706" w:hanging="1985"/>
        <w:rPr>
          <w:rFonts w:ascii="Arial" w:hAnsi="Arial" w:cs="Arial"/>
          <w:b/>
          <w:color w:val="000000" w:themeColor="text1"/>
          <w:sz w:val="28"/>
          <w:szCs w:val="28"/>
          <w:lang w:val="en-US"/>
        </w:rPr>
      </w:pPr>
    </w:p>
    <w:p w14:paraId="73AECBC2" w14:textId="64C6CADD"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C0F6793"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 </w:t>
      </w:r>
      <w:r w:rsidR="003B76E8" w:rsidRPr="003B76E8">
        <w:rPr>
          <w:rFonts w:ascii="Arial" w:hAnsi="Arial" w:cs="Arial"/>
          <w:b/>
          <w:color w:val="000000" w:themeColor="text1"/>
          <w:sz w:val="28"/>
          <w:szCs w:val="28"/>
          <w:lang w:val="en-US"/>
        </w:rPr>
        <w:t>on RAN4 LS on FR2-NTN aspects</w:t>
      </w:r>
    </w:p>
    <w:p w14:paraId="369A72EC" w14:textId="40A93BC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263868">
        <w:rPr>
          <w:rFonts w:ascii="Arial" w:hAnsi="Arial" w:cs="Arial"/>
          <w:b/>
          <w:color w:val="000000" w:themeColor="text1"/>
          <w:sz w:val="28"/>
          <w:szCs w:val="28"/>
          <w:lang w:val="en-US"/>
        </w:rPr>
        <w:t>8.4</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3B7163F0"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24E93685" w14:textId="5BDA9208" w:rsidR="00A41316" w:rsidRDefault="00236B06" w:rsidP="00236B06">
      <w:pPr>
        <w:rPr>
          <w:lang w:val="en-US"/>
        </w:rPr>
      </w:pPr>
      <w:r>
        <w:rPr>
          <w:rFonts w:hint="eastAsia"/>
          <w:lang w:val="en-US"/>
        </w:rPr>
        <w:t>I</w:t>
      </w:r>
      <w:r>
        <w:rPr>
          <w:lang w:val="en-US"/>
        </w:rPr>
        <w:t>n the last</w:t>
      </w:r>
      <w:r w:rsidR="00A41316">
        <w:rPr>
          <w:lang w:val="en-US"/>
        </w:rPr>
        <w:t xml:space="preserve"> RAN1</w:t>
      </w:r>
      <w:r>
        <w:rPr>
          <w:lang w:val="en-US"/>
        </w:rPr>
        <w:t xml:space="preserve"> meeting</w:t>
      </w:r>
      <w:r w:rsidR="003B76E8">
        <w:rPr>
          <w:lang w:val="en-US"/>
        </w:rPr>
        <w:t xml:space="preserve"> </w:t>
      </w:r>
      <w:r w:rsidR="00A41316">
        <w:rPr>
          <w:lang w:val="en-US"/>
        </w:rPr>
        <w:t>[1]</w:t>
      </w:r>
      <w:r>
        <w:rPr>
          <w:lang w:val="en-US"/>
        </w:rPr>
        <w:t>,</w:t>
      </w:r>
      <w:r w:rsidR="00A41316">
        <w:rPr>
          <w:lang w:val="en-US"/>
        </w:rPr>
        <w:t xml:space="preserve"> issue</w:t>
      </w:r>
      <w:r w:rsidR="008761E8">
        <w:rPr>
          <w:rFonts w:hint="eastAsia"/>
          <w:lang w:val="en-US"/>
        </w:rPr>
        <w:t>s</w:t>
      </w:r>
      <w:r w:rsidR="00A41316">
        <w:rPr>
          <w:lang w:val="en-US"/>
        </w:rPr>
        <w:t xml:space="preserve"> for FR2-NTN w</w:t>
      </w:r>
      <w:r w:rsidR="008761E8">
        <w:rPr>
          <w:lang w:val="en-US"/>
        </w:rPr>
        <w:t>ere</w:t>
      </w:r>
      <w:r w:rsidR="00A41316">
        <w:rPr>
          <w:lang w:val="en-US"/>
        </w:rPr>
        <w:t xml:space="preserve"> discussed and following</w:t>
      </w:r>
      <w:r w:rsidR="00AF2A61">
        <w:rPr>
          <w:lang w:val="en-US"/>
        </w:rPr>
        <w:t xml:space="preserve"> </w:t>
      </w:r>
      <w:r w:rsidR="00913A72">
        <w:rPr>
          <w:lang w:val="en-US"/>
        </w:rPr>
        <w:t xml:space="preserve">agreements </w:t>
      </w:r>
      <w:r w:rsidR="00AF2A61">
        <w:rPr>
          <w:lang w:val="en-US"/>
        </w:rPr>
        <w:t xml:space="preserve">were </w:t>
      </w:r>
      <w:r w:rsidR="0049793F">
        <w:rPr>
          <w:lang w:val="en-US"/>
        </w:rPr>
        <w:t>made</w:t>
      </w:r>
      <w:r w:rsidR="00A41316">
        <w:rPr>
          <w:lang w:val="en-US"/>
        </w:rPr>
        <w:t>.</w:t>
      </w:r>
    </w:p>
    <w:tbl>
      <w:tblPr>
        <w:tblStyle w:val="af2"/>
        <w:tblW w:w="0" w:type="auto"/>
        <w:tblLook w:val="04A0" w:firstRow="1" w:lastRow="0" w:firstColumn="1" w:lastColumn="0" w:noHBand="0" w:noVBand="1"/>
      </w:tblPr>
      <w:tblGrid>
        <w:gridCol w:w="9954"/>
      </w:tblGrid>
      <w:tr w:rsidR="00A41316" w14:paraId="091A4C09" w14:textId="77777777" w:rsidTr="00A41316">
        <w:tc>
          <w:tcPr>
            <w:tcW w:w="9954" w:type="dxa"/>
          </w:tcPr>
          <w:p w14:paraId="3CA05C8F" w14:textId="77777777" w:rsidR="00B80BDB" w:rsidRPr="00506403" w:rsidRDefault="00B80BDB" w:rsidP="00B80BDB">
            <w:pPr>
              <w:rPr>
                <w:b/>
                <w:lang w:eastAsia="x-none"/>
              </w:rPr>
            </w:pPr>
            <w:r w:rsidRPr="00506403">
              <w:rPr>
                <w:rFonts w:hint="eastAsia"/>
                <w:b/>
                <w:lang w:eastAsia="x-none"/>
              </w:rPr>
              <w:t>M</w:t>
            </w:r>
            <w:r w:rsidRPr="00506403">
              <w:rPr>
                <w:b/>
                <w:lang w:eastAsia="x-none"/>
              </w:rPr>
              <w:t>aintenance on FR2-NTN aspects</w:t>
            </w:r>
          </w:p>
          <w:p w14:paraId="5AD20002" w14:textId="77777777" w:rsidR="00B80BDB" w:rsidRPr="00615B88" w:rsidRDefault="00B80BDB" w:rsidP="00B80BDB">
            <w:pPr>
              <w:rPr>
                <w:b/>
                <w:bCs/>
              </w:rPr>
            </w:pPr>
            <w:r w:rsidRPr="004A6D9C">
              <w:rPr>
                <w:b/>
                <w:bCs/>
              </w:rPr>
              <w:t>Conclusion</w:t>
            </w:r>
          </w:p>
          <w:p w14:paraId="455745A9" w14:textId="77777777" w:rsidR="00B80BDB" w:rsidRPr="004A6D9C" w:rsidRDefault="00B80BDB" w:rsidP="00B80BDB">
            <w:r w:rsidRPr="004A6D9C">
              <w:t>RAN1 does not pursue the aspects on negative timing advance indication through TAC in MAC RAR for FR2-NTN unless specifically requested by RAN4.</w:t>
            </w:r>
          </w:p>
          <w:p w14:paraId="7E0F8A58" w14:textId="77777777" w:rsidR="00B80BDB" w:rsidRPr="00615B88" w:rsidRDefault="00B80BDB" w:rsidP="00B80BDB">
            <w:pPr>
              <w:rPr>
                <w:b/>
                <w:bCs/>
              </w:rPr>
            </w:pPr>
            <w:r w:rsidRPr="004A6D9C">
              <w:rPr>
                <w:b/>
                <w:bCs/>
              </w:rPr>
              <w:t>Conclusion</w:t>
            </w:r>
          </w:p>
          <w:p w14:paraId="353B4895" w14:textId="77777777" w:rsidR="00B80BDB" w:rsidRPr="00AC3FC7" w:rsidRDefault="00B80BDB" w:rsidP="00B80BDB">
            <w:r w:rsidRPr="00AC3FC7">
              <w:t>For frequency bands defined by FR2-NTN, RAN1 will not consider expanding the scope of extended cyclic prefix to cover SCS other than 60 kHz in Rel-18.</w:t>
            </w:r>
          </w:p>
          <w:p w14:paraId="0F099AF5" w14:textId="77777777" w:rsidR="00B80BDB" w:rsidRPr="004C4AF9" w:rsidRDefault="00B80BDB" w:rsidP="00B80BDB">
            <w:pPr>
              <w:rPr>
                <w:b/>
                <w:lang w:eastAsia="x-none"/>
              </w:rPr>
            </w:pPr>
            <w:r w:rsidRPr="004C4AF9">
              <w:rPr>
                <w:rFonts w:hint="eastAsia"/>
                <w:b/>
                <w:lang w:eastAsia="x-none"/>
              </w:rPr>
              <w:t>C</w:t>
            </w:r>
            <w:r w:rsidRPr="004C4AF9">
              <w:rPr>
                <w:b/>
                <w:lang w:eastAsia="x-none"/>
              </w:rPr>
              <w:t>onclusion</w:t>
            </w:r>
          </w:p>
          <w:p w14:paraId="651C489B" w14:textId="4CA63FC1" w:rsidR="00A41316" w:rsidRPr="00B80BDB" w:rsidRDefault="00B80BDB" w:rsidP="00B80BDB">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c>
      </w:tr>
    </w:tbl>
    <w:p w14:paraId="017B21E9" w14:textId="77777777" w:rsidR="00B47E4A" w:rsidRPr="00236B06" w:rsidRDefault="00B47E4A" w:rsidP="00236B06">
      <w:pPr>
        <w:rPr>
          <w:lang w:val="en-US"/>
        </w:rPr>
      </w:pPr>
    </w:p>
    <w:p w14:paraId="1986F4E5" w14:textId="422D910D" w:rsidR="00AD63E7" w:rsidRDefault="00656E99" w:rsidP="00AD63E7">
      <w:pPr>
        <w:pStyle w:val="10"/>
        <w:spacing w:after="180"/>
        <w:rPr>
          <w:color w:val="000000" w:themeColor="text1"/>
          <w:lang w:val="en-US"/>
        </w:rPr>
      </w:pPr>
      <w:bookmarkStart w:id="3" w:name="OLE_LINK1"/>
      <w:r w:rsidRPr="00683FDE">
        <w:rPr>
          <w:color w:val="000000" w:themeColor="text1"/>
          <w:lang w:val="en-US"/>
        </w:rPr>
        <w:t>Discussions</w:t>
      </w:r>
    </w:p>
    <w:p w14:paraId="6922725E" w14:textId="454E95E3" w:rsidR="00A33A18" w:rsidRDefault="006A7EB2" w:rsidP="001159BC">
      <w:pPr>
        <w:pStyle w:val="20"/>
        <w:rPr>
          <w:lang w:val="en-US"/>
        </w:rPr>
      </w:pPr>
      <w:r>
        <w:rPr>
          <w:rFonts w:hint="eastAsia"/>
          <w:lang w:val="en-US"/>
        </w:rPr>
        <w:t>PRACH</w:t>
      </w:r>
      <w:r>
        <w:rPr>
          <w:lang w:val="en-US"/>
        </w:rPr>
        <w:t xml:space="preserve"> configurations</w:t>
      </w:r>
    </w:p>
    <w:p w14:paraId="7E65592C" w14:textId="7E42B42B" w:rsidR="00114176" w:rsidRDefault="001D57BC" w:rsidP="002F3634">
      <w:pPr>
        <w:rPr>
          <w:lang w:val="en-US"/>
        </w:rPr>
      </w:pPr>
      <w:r>
        <w:rPr>
          <w:lang w:val="en-US"/>
        </w:rPr>
        <w:t>In</w:t>
      </w:r>
      <w:r w:rsidR="00EA6122">
        <w:rPr>
          <w:lang w:val="en-US"/>
        </w:rPr>
        <w:t xml:space="preserve"> this contribution, we discuss whether further modifications would be needed for Table 6.3.3.2-4 of TS38.211</w:t>
      </w:r>
      <w:r>
        <w:rPr>
          <w:lang w:val="en-US"/>
        </w:rPr>
        <w:t>.</w:t>
      </w:r>
      <w:r w:rsidR="007366BD">
        <w:rPr>
          <w:lang w:val="en-US"/>
        </w:rPr>
        <w:t xml:space="preserve"> The table 6.3.3.2-4 can be used for the NTN FR2 FDD PRACH configuration without any modification. However,</w:t>
      </w:r>
      <w:r w:rsidR="00BC657C">
        <w:rPr>
          <w:lang w:val="en-US"/>
        </w:rPr>
        <w:t xml:space="preserve"> </w:t>
      </w:r>
      <w:r w:rsidR="007366BD">
        <w:rPr>
          <w:lang w:val="en-US"/>
        </w:rPr>
        <w:t>i</w:t>
      </w:r>
      <w:r w:rsidR="00BC657C">
        <w:rPr>
          <w:lang w:val="en-US"/>
        </w:rPr>
        <w:t>n Table 6.3.3.2-4,</w:t>
      </w:r>
      <w:r w:rsidR="001A7BE0">
        <w:rPr>
          <w:lang w:val="en-US"/>
        </w:rPr>
        <w:t xml:space="preserve"> some configurations have starting symbol that is middle of PRACH slot.</w:t>
      </w:r>
      <w:r w:rsidR="002F3634">
        <w:rPr>
          <w:lang w:val="en-US"/>
        </w:rPr>
        <w:t xml:space="preserve"> Such configurations are useful for TDD operation</w:t>
      </w:r>
      <w:r w:rsidR="00114176">
        <w:rPr>
          <w:lang w:val="en-US"/>
        </w:rPr>
        <w:t xml:space="preserve"> but may not be useful for FDD operation</w:t>
      </w:r>
      <w:r w:rsidR="002F3634">
        <w:rPr>
          <w:lang w:val="en-US"/>
        </w:rPr>
        <w:t>.</w:t>
      </w:r>
      <w:r w:rsidR="00114176">
        <w:rPr>
          <w:lang w:val="en-US"/>
        </w:rPr>
        <w:t xml:space="preserve"> </w:t>
      </w:r>
      <w:r w:rsidR="006B774F">
        <w:rPr>
          <w:lang w:val="en-US"/>
        </w:rPr>
        <w:t>Therefore, for FDD operation, m</w:t>
      </w:r>
      <w:r w:rsidR="00F45159">
        <w:rPr>
          <w:lang w:val="en-US"/>
        </w:rPr>
        <w:t xml:space="preserve">odification </w:t>
      </w:r>
      <w:r w:rsidR="006B774F">
        <w:rPr>
          <w:lang w:val="en-US"/>
        </w:rPr>
        <w:t>of</w:t>
      </w:r>
      <w:r w:rsidR="00F45159">
        <w:rPr>
          <w:lang w:val="en-US"/>
        </w:rPr>
        <w:t xml:space="preserve"> the PRACH configuration</w:t>
      </w:r>
      <w:r w:rsidR="006B774F">
        <w:rPr>
          <w:lang w:val="en-US"/>
        </w:rPr>
        <w:t xml:space="preserve"> </w:t>
      </w:r>
      <w:r w:rsidR="00FC5FA6">
        <w:rPr>
          <w:lang w:val="en-US"/>
        </w:rPr>
        <w:t>of FR2 TDD</w:t>
      </w:r>
      <w:r w:rsidR="00F45159">
        <w:rPr>
          <w:lang w:val="en-US"/>
        </w:rPr>
        <w:t xml:space="preserve"> is meaningful for some cases.</w:t>
      </w:r>
    </w:p>
    <w:p w14:paraId="63A85645" w14:textId="0E6B13D0" w:rsidR="006B774F" w:rsidRDefault="00F45159" w:rsidP="002F3634">
      <w:pPr>
        <w:rPr>
          <w:lang w:val="en-US"/>
        </w:rPr>
      </w:pPr>
      <w:r>
        <w:rPr>
          <w:lang w:val="en-US"/>
        </w:rPr>
        <w:t>For example</w:t>
      </w:r>
      <w:r w:rsidR="007A6365">
        <w:rPr>
          <w:lang w:val="en-US"/>
        </w:rPr>
        <w:t xml:space="preserve">, </w:t>
      </w:r>
      <w:r w:rsidR="00D161D2">
        <w:rPr>
          <w:lang w:val="en-US"/>
        </w:rPr>
        <w:t>currently, downlink coverage enhancement for LEO in FR2 have been discussed in Rel-19 NR-NTN</w:t>
      </w:r>
      <w:r w:rsidR="006B774F">
        <w:rPr>
          <w:lang w:val="en-US"/>
        </w:rPr>
        <w:t>, and the following agreement is made [1]:</w:t>
      </w:r>
      <w:r w:rsidR="008C5C07">
        <w:rPr>
          <w:lang w:val="en-US"/>
        </w:rPr>
        <w:t xml:space="preserve"> </w:t>
      </w:r>
    </w:p>
    <w:tbl>
      <w:tblPr>
        <w:tblStyle w:val="af2"/>
        <w:tblW w:w="0" w:type="auto"/>
        <w:tblLook w:val="04A0" w:firstRow="1" w:lastRow="0" w:firstColumn="1" w:lastColumn="0" w:noHBand="0" w:noVBand="1"/>
      </w:tblPr>
      <w:tblGrid>
        <w:gridCol w:w="9954"/>
      </w:tblGrid>
      <w:tr w:rsidR="006B774F" w14:paraId="3FB3437E" w14:textId="77777777" w:rsidTr="002F5CF4">
        <w:tc>
          <w:tcPr>
            <w:tcW w:w="9954" w:type="dxa"/>
          </w:tcPr>
          <w:p w14:paraId="438D6C76" w14:textId="77777777" w:rsidR="006B774F" w:rsidRPr="00D161D2" w:rsidRDefault="006B774F" w:rsidP="002F5CF4">
            <w:pPr>
              <w:snapToGrid/>
              <w:spacing w:after="0" w:afterAutospacing="0"/>
              <w:jc w:val="left"/>
              <w:rPr>
                <w:rFonts w:ascii="Times" w:eastAsia="Batang" w:hAnsi="Times"/>
                <w:sz w:val="20"/>
                <w:szCs w:val="24"/>
                <w:lang w:eastAsia="x-none"/>
              </w:rPr>
            </w:pPr>
            <w:r w:rsidRPr="00D161D2">
              <w:rPr>
                <w:rFonts w:ascii="Times" w:eastAsia="Batang" w:hAnsi="Times"/>
                <w:sz w:val="20"/>
                <w:szCs w:val="24"/>
                <w:highlight w:val="green"/>
                <w:lang w:eastAsia="x-none"/>
              </w:rPr>
              <w:t>Agreement</w:t>
            </w:r>
          </w:p>
          <w:p w14:paraId="2386C768" w14:textId="77777777" w:rsidR="006B774F" w:rsidRPr="00D161D2" w:rsidRDefault="006B774F" w:rsidP="002F5CF4">
            <w:pPr>
              <w:snapToGrid/>
              <w:spacing w:after="0" w:afterAutospacing="0"/>
              <w:jc w:val="left"/>
              <w:rPr>
                <w:rFonts w:ascii="Times" w:eastAsia="Batang" w:hAnsi="Times"/>
                <w:sz w:val="20"/>
                <w:szCs w:val="24"/>
                <w:lang w:eastAsia="x-none"/>
              </w:rPr>
            </w:pPr>
            <w:r w:rsidRPr="00D161D2">
              <w:rPr>
                <w:rFonts w:ascii="Times" w:eastAsia="Batang" w:hAnsi="Times"/>
                <w:sz w:val="20"/>
                <w:szCs w:val="24"/>
                <w:lang w:eastAsia="x-none"/>
              </w:rPr>
              <w:lastRenderedPageBreak/>
              <w:t>For DL coverage study at system level, consider the following additional reference satellite payload parameters for LEO600km in FR2 (i.e., Ka-band):</w:t>
            </w:r>
          </w:p>
          <w:p w14:paraId="049CA0C6" w14:textId="77777777" w:rsidR="006B774F" w:rsidRPr="00D161D2" w:rsidRDefault="006B774F" w:rsidP="002F5CF4">
            <w:pPr>
              <w:snapToGrid/>
              <w:spacing w:after="0" w:afterAutospacing="0"/>
              <w:jc w:val="left"/>
              <w:rPr>
                <w:rFonts w:ascii="Times" w:eastAsia="Batang" w:hAnsi="Times"/>
                <w:sz w:val="20"/>
                <w:szCs w:val="24"/>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6B774F" w:rsidRPr="00D161D2" w14:paraId="6566C26F" w14:textId="77777777" w:rsidTr="002F5CF4">
              <w:trPr>
                <w:gridAfter w:val="1"/>
                <w:wAfter w:w="2306" w:type="dxa"/>
                <w:trHeight w:val="300"/>
                <w:jc w:val="center"/>
              </w:trPr>
              <w:tc>
                <w:tcPr>
                  <w:tcW w:w="6121" w:type="dxa"/>
                  <w:tcBorders>
                    <w:bottom w:val="single" w:sz="12" w:space="0" w:color="666666"/>
                  </w:tcBorders>
                  <w:shd w:val="clear" w:color="auto" w:fill="00B0F0"/>
                  <w:vAlign w:val="center"/>
                </w:tcPr>
                <w:p w14:paraId="07D0840E" w14:textId="77777777" w:rsidR="006B774F" w:rsidRPr="00D161D2" w:rsidRDefault="006B774F" w:rsidP="002F5CF4">
                  <w:pPr>
                    <w:snapToGrid/>
                    <w:spacing w:after="0" w:afterAutospacing="0"/>
                    <w:jc w:val="center"/>
                    <w:rPr>
                      <w:rFonts w:ascii="Times" w:eastAsia="Batang" w:hAnsi="Times"/>
                      <w:b/>
                      <w:bCs/>
                      <w:sz w:val="20"/>
                      <w:lang w:eastAsia="en-US"/>
                    </w:rPr>
                  </w:pPr>
                  <w:r w:rsidRPr="00D161D2">
                    <w:rPr>
                      <w:rFonts w:ascii="Times" w:eastAsia="Batang" w:hAnsi="Times"/>
                      <w:b/>
                      <w:kern w:val="24"/>
                      <w:sz w:val="20"/>
                      <w:lang w:eastAsia="en-US"/>
                    </w:rPr>
                    <w:t>LEO600km Set1-1 FR2 (i.e., Ka-band)</w:t>
                  </w:r>
                </w:p>
              </w:tc>
            </w:tr>
            <w:tr w:rsidR="006B774F" w:rsidRPr="00D161D2" w14:paraId="60C3537B" w14:textId="77777777" w:rsidTr="002F5CF4">
              <w:trPr>
                <w:trHeight w:val="300"/>
                <w:jc w:val="center"/>
              </w:trPr>
              <w:tc>
                <w:tcPr>
                  <w:tcW w:w="6121" w:type="dxa"/>
                  <w:shd w:val="clear" w:color="auto" w:fill="auto"/>
                  <w:vAlign w:val="center"/>
                </w:tcPr>
                <w:p w14:paraId="323E02C1"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val="fr-FR" w:eastAsia="en-US"/>
                    </w:rPr>
                    <w:t>Maximum Bandwidth per beam</w:t>
                  </w:r>
                </w:p>
              </w:tc>
              <w:tc>
                <w:tcPr>
                  <w:tcW w:w="2306" w:type="dxa"/>
                  <w:shd w:val="clear" w:color="auto" w:fill="auto"/>
                  <w:vAlign w:val="center"/>
                </w:tcPr>
                <w:p w14:paraId="0FFC6535"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kern w:val="24"/>
                      <w:sz w:val="20"/>
                      <w:lang w:val="fr-FR" w:eastAsia="en-US"/>
                    </w:rPr>
                    <w:t>400 MHz</w:t>
                  </w:r>
                </w:p>
              </w:tc>
            </w:tr>
            <w:tr w:rsidR="006B774F" w:rsidRPr="00D161D2" w14:paraId="5F279A2B" w14:textId="77777777" w:rsidTr="002F5CF4">
              <w:trPr>
                <w:trHeight w:val="300"/>
                <w:jc w:val="center"/>
              </w:trPr>
              <w:tc>
                <w:tcPr>
                  <w:tcW w:w="6121" w:type="dxa"/>
                  <w:shd w:val="clear" w:color="auto" w:fill="auto"/>
                  <w:vAlign w:val="center"/>
                </w:tcPr>
                <w:p w14:paraId="40667C7C"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SCS</w:t>
                  </w:r>
                </w:p>
              </w:tc>
              <w:tc>
                <w:tcPr>
                  <w:tcW w:w="2306" w:type="dxa"/>
                  <w:shd w:val="clear" w:color="auto" w:fill="auto"/>
                  <w:vAlign w:val="center"/>
                </w:tcPr>
                <w:p w14:paraId="36C282FB"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kern w:val="24"/>
                      <w:sz w:val="20"/>
                      <w:lang w:eastAsia="en-US"/>
                    </w:rPr>
                    <w:t>120 kHz</w:t>
                  </w:r>
                </w:p>
              </w:tc>
            </w:tr>
            <w:tr w:rsidR="006B774F" w:rsidRPr="00D161D2" w14:paraId="7646D2DF" w14:textId="77777777" w:rsidTr="002F5CF4">
              <w:trPr>
                <w:trHeight w:val="300"/>
                <w:jc w:val="center"/>
              </w:trPr>
              <w:tc>
                <w:tcPr>
                  <w:tcW w:w="6121" w:type="dxa"/>
                  <w:shd w:val="clear" w:color="auto" w:fill="auto"/>
                  <w:vAlign w:val="center"/>
                </w:tcPr>
                <w:p w14:paraId="0D524C4D"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val="fr-FR" w:eastAsia="en-US"/>
                    </w:rPr>
                    <w:t>Beam size</w:t>
                  </w:r>
                </w:p>
              </w:tc>
              <w:tc>
                <w:tcPr>
                  <w:tcW w:w="2306" w:type="dxa"/>
                  <w:vMerge w:val="restart"/>
                  <w:shd w:val="clear" w:color="auto" w:fill="auto"/>
                  <w:vAlign w:val="center"/>
                </w:tcPr>
                <w:p w14:paraId="2945CFEF"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sz w:val="20"/>
                      <w:lang w:eastAsia="en-US"/>
                    </w:rPr>
                    <w:t>TBD in next meeting</w:t>
                  </w:r>
                </w:p>
              </w:tc>
            </w:tr>
            <w:tr w:rsidR="006B774F" w:rsidRPr="00D161D2" w14:paraId="52F30276" w14:textId="77777777" w:rsidTr="002F5CF4">
              <w:trPr>
                <w:trHeight w:val="300"/>
                <w:jc w:val="center"/>
              </w:trPr>
              <w:tc>
                <w:tcPr>
                  <w:tcW w:w="6121" w:type="dxa"/>
                  <w:shd w:val="clear" w:color="auto" w:fill="auto"/>
                  <w:vAlign w:val="center"/>
                </w:tcPr>
                <w:p w14:paraId="1614A70E"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eastAsia="en-US"/>
                    </w:rPr>
                    <w:t>Satellite EIRP density /beam (</w:t>
                  </w:r>
                  <w:proofErr w:type="spellStart"/>
                  <w:r w:rsidRPr="00D161D2">
                    <w:rPr>
                      <w:rFonts w:ascii="Times" w:eastAsia="DengXian" w:hAnsi="Times"/>
                      <w:b/>
                      <w:kern w:val="24"/>
                      <w:sz w:val="20"/>
                      <w:lang w:eastAsia="en-US"/>
                    </w:rPr>
                    <w:t>dBW</w:t>
                  </w:r>
                  <w:proofErr w:type="spellEnd"/>
                  <w:r w:rsidRPr="00D161D2">
                    <w:rPr>
                      <w:rFonts w:ascii="Times" w:eastAsia="DengXian" w:hAnsi="Times"/>
                      <w:b/>
                      <w:kern w:val="24"/>
                      <w:sz w:val="20"/>
                      <w:lang w:eastAsia="en-US"/>
                    </w:rPr>
                    <w:t>/MHz)</w:t>
                  </w:r>
                </w:p>
              </w:tc>
              <w:tc>
                <w:tcPr>
                  <w:tcW w:w="2306" w:type="dxa"/>
                  <w:vMerge/>
                  <w:shd w:val="clear" w:color="auto" w:fill="auto"/>
                </w:tcPr>
                <w:p w14:paraId="3159893F"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3FC06658" w14:textId="77777777" w:rsidTr="002F5CF4">
              <w:trPr>
                <w:trHeight w:val="300"/>
                <w:jc w:val="center"/>
              </w:trPr>
              <w:tc>
                <w:tcPr>
                  <w:tcW w:w="6121" w:type="dxa"/>
                  <w:shd w:val="clear" w:color="auto" w:fill="auto"/>
                  <w:vAlign w:val="center"/>
                </w:tcPr>
                <w:p w14:paraId="4FB25B22"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Payload Total DL power level (</w:t>
                  </w:r>
                  <w:proofErr w:type="spellStart"/>
                  <w:r w:rsidRPr="00D161D2">
                    <w:rPr>
                      <w:rFonts w:ascii="Times" w:eastAsia="Batang" w:hAnsi="Times"/>
                      <w:b/>
                      <w:kern w:val="24"/>
                      <w:sz w:val="20"/>
                      <w:lang w:eastAsia="en-US"/>
                    </w:rPr>
                    <w:t>dBW</w:t>
                  </w:r>
                  <w:proofErr w:type="spellEnd"/>
                  <w:r w:rsidRPr="00D161D2">
                    <w:rPr>
                      <w:rFonts w:ascii="Times" w:eastAsia="Batang" w:hAnsi="Times"/>
                      <w:b/>
                      <w:kern w:val="24"/>
                      <w:sz w:val="20"/>
                      <w:lang w:eastAsia="en-US"/>
                    </w:rPr>
                    <w:t>)</w:t>
                  </w:r>
                </w:p>
              </w:tc>
              <w:tc>
                <w:tcPr>
                  <w:tcW w:w="2306" w:type="dxa"/>
                  <w:vMerge/>
                  <w:shd w:val="clear" w:color="auto" w:fill="auto"/>
                </w:tcPr>
                <w:p w14:paraId="085F0145"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0C9FD613" w14:textId="77777777" w:rsidTr="002F5CF4">
              <w:trPr>
                <w:trHeight w:val="37"/>
                <w:jc w:val="center"/>
              </w:trPr>
              <w:tc>
                <w:tcPr>
                  <w:tcW w:w="6121" w:type="dxa"/>
                  <w:shd w:val="clear" w:color="auto" w:fill="auto"/>
                  <w:vAlign w:val="center"/>
                </w:tcPr>
                <w:p w14:paraId="5323133C"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Aggregated EIRP (Total) (</w:t>
                  </w:r>
                  <w:proofErr w:type="spellStart"/>
                  <w:r w:rsidRPr="00D161D2">
                    <w:rPr>
                      <w:rFonts w:ascii="Times" w:eastAsia="Batang" w:hAnsi="Times"/>
                      <w:b/>
                      <w:kern w:val="24"/>
                      <w:sz w:val="20"/>
                      <w:lang w:eastAsia="en-US"/>
                    </w:rPr>
                    <w:t>dBW</w:t>
                  </w:r>
                  <w:proofErr w:type="spellEnd"/>
                  <w:r w:rsidRPr="00D161D2">
                    <w:rPr>
                      <w:rFonts w:ascii="Times" w:eastAsia="Batang" w:hAnsi="Times"/>
                      <w:b/>
                      <w:kern w:val="24"/>
                      <w:sz w:val="20"/>
                      <w:lang w:eastAsia="en-US"/>
                    </w:rPr>
                    <w:t>)</w:t>
                  </w:r>
                </w:p>
              </w:tc>
              <w:tc>
                <w:tcPr>
                  <w:tcW w:w="2306" w:type="dxa"/>
                  <w:vMerge/>
                  <w:shd w:val="clear" w:color="auto" w:fill="auto"/>
                </w:tcPr>
                <w:p w14:paraId="03A5D9C4"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17A91280" w14:textId="77777777" w:rsidTr="002F5CF4">
              <w:trPr>
                <w:trHeight w:val="80"/>
                <w:jc w:val="center"/>
              </w:trPr>
              <w:tc>
                <w:tcPr>
                  <w:tcW w:w="6121" w:type="dxa"/>
                  <w:shd w:val="clear" w:color="auto" w:fill="auto"/>
                  <w:vAlign w:val="center"/>
                </w:tcPr>
                <w:p w14:paraId="6AE44E46"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Satellite Tx max Gain</w:t>
                  </w:r>
                </w:p>
              </w:tc>
              <w:tc>
                <w:tcPr>
                  <w:tcW w:w="2306" w:type="dxa"/>
                  <w:vMerge/>
                  <w:shd w:val="clear" w:color="auto" w:fill="auto"/>
                </w:tcPr>
                <w:p w14:paraId="539BB62F"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63A04458" w14:textId="77777777" w:rsidTr="002F5CF4">
              <w:trPr>
                <w:trHeight w:val="100"/>
                <w:jc w:val="center"/>
              </w:trPr>
              <w:tc>
                <w:tcPr>
                  <w:tcW w:w="6121" w:type="dxa"/>
                  <w:shd w:val="clear" w:color="auto" w:fill="auto"/>
                  <w:vAlign w:val="center"/>
                </w:tcPr>
                <w:p w14:paraId="4C3781C8"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EIRP per Satellite beam (</w:t>
                  </w:r>
                  <w:proofErr w:type="spellStart"/>
                  <w:r w:rsidRPr="00D161D2">
                    <w:rPr>
                      <w:rFonts w:ascii="Times" w:eastAsia="Batang" w:hAnsi="Times"/>
                      <w:b/>
                      <w:kern w:val="24"/>
                      <w:sz w:val="20"/>
                      <w:lang w:eastAsia="en-US"/>
                    </w:rPr>
                    <w:t>dBW</w:t>
                  </w:r>
                  <w:proofErr w:type="spellEnd"/>
                  <w:r w:rsidRPr="00D161D2">
                    <w:rPr>
                      <w:rFonts w:ascii="Times" w:eastAsia="Batang" w:hAnsi="Times"/>
                      <w:b/>
                      <w:kern w:val="24"/>
                      <w:sz w:val="20"/>
                      <w:lang w:eastAsia="en-US"/>
                    </w:rPr>
                    <w:t>)</w:t>
                  </w:r>
                </w:p>
              </w:tc>
              <w:tc>
                <w:tcPr>
                  <w:tcW w:w="2306" w:type="dxa"/>
                  <w:vMerge/>
                  <w:shd w:val="clear" w:color="auto" w:fill="auto"/>
                </w:tcPr>
                <w:p w14:paraId="087AA1DD"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4A209139" w14:textId="77777777" w:rsidTr="002F5CF4">
              <w:trPr>
                <w:trHeight w:val="147"/>
                <w:jc w:val="center"/>
              </w:trPr>
              <w:tc>
                <w:tcPr>
                  <w:tcW w:w="6121" w:type="dxa"/>
                  <w:shd w:val="clear" w:color="auto" w:fill="auto"/>
                  <w:vAlign w:val="center"/>
                </w:tcPr>
                <w:p w14:paraId="166AD27E"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eastAsia="en-US"/>
                    </w:rPr>
                    <w:t>Total number of beam footprints</w:t>
                  </w:r>
                </w:p>
              </w:tc>
              <w:tc>
                <w:tcPr>
                  <w:tcW w:w="2306" w:type="dxa"/>
                  <w:shd w:val="clear" w:color="auto" w:fill="auto"/>
                  <w:vAlign w:val="center"/>
                </w:tcPr>
                <w:p w14:paraId="1B19DC2E"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sz w:val="20"/>
                      <w:lang w:eastAsia="en-US"/>
                    </w:rPr>
                    <w:t>800</w:t>
                  </w:r>
                  <w:r w:rsidRPr="00D161D2">
                    <w:rPr>
                      <w:rFonts w:ascii="Times" w:eastAsia="DengXian" w:hAnsi="Times"/>
                      <w:kern w:val="24"/>
                      <w:sz w:val="20"/>
                      <w:lang w:val="fr-FR" w:eastAsia="en-US"/>
                    </w:rPr>
                    <w:t xml:space="preserve"> (note 1)</w:t>
                  </w:r>
                </w:p>
              </w:tc>
            </w:tr>
            <w:tr w:rsidR="006B774F" w:rsidRPr="00D161D2" w14:paraId="2183D3D2" w14:textId="77777777" w:rsidTr="002F5CF4">
              <w:trPr>
                <w:trHeight w:val="111"/>
                <w:jc w:val="center"/>
              </w:trPr>
              <w:tc>
                <w:tcPr>
                  <w:tcW w:w="6121" w:type="dxa"/>
                  <w:shd w:val="clear" w:color="auto" w:fill="auto"/>
                  <w:vAlign w:val="center"/>
                </w:tcPr>
                <w:p w14:paraId="5E70209B"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Total number of simultaneously active beams</w:t>
                  </w:r>
                </w:p>
              </w:tc>
              <w:tc>
                <w:tcPr>
                  <w:tcW w:w="2306" w:type="dxa"/>
                  <w:shd w:val="clear" w:color="auto" w:fill="auto"/>
                  <w:vAlign w:val="center"/>
                </w:tcPr>
                <w:p w14:paraId="0E9FBF8A"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sz w:val="20"/>
                      <w:lang w:eastAsia="en-US"/>
                    </w:rPr>
                    <w:t>12</w:t>
                  </w:r>
                </w:p>
              </w:tc>
            </w:tr>
            <w:tr w:rsidR="006B774F" w:rsidRPr="00D161D2" w14:paraId="69718BCE" w14:textId="77777777" w:rsidTr="002F5CF4">
              <w:trPr>
                <w:trHeight w:val="37"/>
                <w:jc w:val="center"/>
              </w:trPr>
              <w:tc>
                <w:tcPr>
                  <w:tcW w:w="6121" w:type="dxa"/>
                  <w:shd w:val="clear" w:color="auto" w:fill="auto"/>
                  <w:vAlign w:val="center"/>
                </w:tcPr>
                <w:p w14:paraId="5961EC17"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val="fr-FR" w:eastAsia="en-US"/>
                    </w:rPr>
                    <w:t>% simultaneously active beams</w:t>
                  </w:r>
                </w:p>
              </w:tc>
              <w:tc>
                <w:tcPr>
                  <w:tcW w:w="2306" w:type="dxa"/>
                  <w:shd w:val="clear" w:color="auto" w:fill="auto"/>
                  <w:vAlign w:val="center"/>
                </w:tcPr>
                <w:p w14:paraId="1CAB0F2A"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DengXian" w:hAnsi="Times"/>
                      <w:kern w:val="24"/>
                      <w:sz w:val="20"/>
                      <w:lang w:eastAsia="en-US"/>
                    </w:rPr>
                    <w:t>1.5 %</w:t>
                  </w:r>
                </w:p>
              </w:tc>
            </w:tr>
            <w:tr w:rsidR="006B774F" w:rsidRPr="00D161D2" w14:paraId="0FF05AD7" w14:textId="77777777" w:rsidTr="002F5CF4">
              <w:trPr>
                <w:trHeight w:val="439"/>
                <w:jc w:val="center"/>
              </w:trPr>
              <w:tc>
                <w:tcPr>
                  <w:tcW w:w="8427" w:type="dxa"/>
                  <w:gridSpan w:val="2"/>
                  <w:shd w:val="clear" w:color="auto" w:fill="auto"/>
                  <w:vAlign w:val="center"/>
                </w:tcPr>
                <w:p w14:paraId="440D5DF7" w14:textId="77777777" w:rsidR="006B774F" w:rsidRPr="00D161D2" w:rsidRDefault="006B774F" w:rsidP="002F5CF4">
                  <w:pPr>
                    <w:snapToGrid/>
                    <w:spacing w:after="0" w:afterAutospacing="0"/>
                    <w:jc w:val="left"/>
                    <w:rPr>
                      <w:rFonts w:ascii="Times" w:eastAsia="DengXian" w:hAnsi="Times"/>
                      <w:b/>
                      <w:bCs/>
                      <w:kern w:val="24"/>
                      <w:sz w:val="20"/>
                      <w:lang w:eastAsia="en-US"/>
                    </w:rPr>
                  </w:pPr>
                  <w:r w:rsidRPr="00D161D2">
                    <w:rPr>
                      <w:rFonts w:ascii="Times" w:eastAsia="DengXian" w:hAnsi="Times"/>
                      <w:b/>
                      <w:bCs/>
                      <w:kern w:val="24"/>
                      <w:sz w:val="20"/>
                      <w:lang w:eastAsia="en-US"/>
                    </w:rPr>
                    <w:t>Note 1: A typical deployment scenario in FR2 should consider 800 satellites beams per a single satellite coverage area with an absolute number of simultaneously active beams equal to 16 (due to limitation of RF)</w:t>
                  </w:r>
                </w:p>
                <w:p w14:paraId="4FDA976F" w14:textId="77777777" w:rsidR="006B774F" w:rsidRPr="00D161D2" w:rsidRDefault="006B774F" w:rsidP="002F5CF4">
                  <w:pPr>
                    <w:snapToGrid/>
                    <w:spacing w:after="0" w:afterAutospacing="0"/>
                    <w:jc w:val="left"/>
                    <w:rPr>
                      <w:rFonts w:ascii="Times" w:eastAsia="DengXian" w:hAnsi="Times"/>
                      <w:b/>
                      <w:bCs/>
                      <w:kern w:val="24"/>
                      <w:sz w:val="20"/>
                      <w:lang w:eastAsia="en-US"/>
                    </w:rPr>
                  </w:pPr>
                </w:p>
              </w:tc>
            </w:tr>
          </w:tbl>
          <w:p w14:paraId="12D99199" w14:textId="77777777" w:rsidR="006B774F" w:rsidRPr="00D161D2" w:rsidRDefault="006B774F" w:rsidP="002F5CF4"/>
        </w:tc>
      </w:tr>
    </w:tbl>
    <w:p w14:paraId="17200C88" w14:textId="77777777" w:rsidR="006B774F" w:rsidRPr="006B774F" w:rsidRDefault="006B774F" w:rsidP="002F3634"/>
    <w:p w14:paraId="2491C89A" w14:textId="59B20CE7" w:rsidR="002B1416" w:rsidRDefault="002B1416" w:rsidP="002F3634">
      <w:pPr>
        <w:rPr>
          <w:lang w:val="en-US"/>
        </w:rPr>
      </w:pPr>
      <w:r w:rsidRPr="002B1416">
        <w:rPr>
          <w:lang w:val="en-US"/>
        </w:rPr>
        <w:t xml:space="preserve">According to the agreement reached during the previous RAN1 meeting for Rel-19 NR NTN, </w:t>
      </w:r>
      <w:r w:rsidR="006F5942">
        <w:rPr>
          <w:lang w:val="en-US"/>
        </w:rPr>
        <w:t>it is assumed that active time of one DL Tx beam on satellite in FR2 is limited to 1.5 %</w:t>
      </w:r>
      <w:r w:rsidRPr="002B1416">
        <w:rPr>
          <w:lang w:val="en-US"/>
        </w:rPr>
        <w:t xml:space="preserve">. This implies that the active time of each beam is limited to 1.5%. As a result, there will be more traffic than usual during the active time. </w:t>
      </w:r>
      <w:r w:rsidR="006F5942">
        <w:rPr>
          <w:lang w:val="en-US"/>
        </w:rPr>
        <w:t>The same active time limitations as DL Tx beam due to antenna array structures at the satellite apply to UL Rx beam as well.</w:t>
      </w:r>
      <w:r w:rsidRPr="002B1416">
        <w:rPr>
          <w:lang w:val="en-US"/>
        </w:rPr>
        <w:t xml:space="preserve"> This means that the active time for PRACH transmission may be limited to a few percent. Therefore, it is meaningful to enhance the PRACH configuration in such cases.</w:t>
      </w:r>
      <w:r>
        <w:rPr>
          <w:lang w:val="en-US"/>
        </w:rPr>
        <w:t xml:space="preserve"> It is important to note that e</w:t>
      </w:r>
      <w:r w:rsidR="006F5942">
        <w:rPr>
          <w:lang w:val="en-US"/>
        </w:rPr>
        <w:t>nhancement of PRACH configuration in future release will require additional PRACH partitioning which causes the reduction of PRACH capacity for Rel-18 FR2-NTN UEs.</w:t>
      </w:r>
      <w:r w:rsidRPr="002B1416">
        <w:rPr>
          <w:lang w:val="en-US"/>
        </w:rPr>
        <w:t xml:space="preserve"> From the perspective of Rel-18 UEs, this means that the PRACH capacity is further reduced. Therefore, it is highly preferred to have the enhancement in Rel-18.</w:t>
      </w:r>
    </w:p>
    <w:p w14:paraId="306ABF76" w14:textId="4412E96D" w:rsidR="007915E8" w:rsidRDefault="007915E8" w:rsidP="002F3634">
      <w:pPr>
        <w:rPr>
          <w:lang w:val="en-US"/>
        </w:rPr>
      </w:pPr>
      <w:r w:rsidRPr="007915E8">
        <w:rPr>
          <w:rFonts w:hint="eastAsia"/>
          <w:b/>
          <w:u w:val="single"/>
          <w:lang w:val="en-US"/>
        </w:rPr>
        <w:t>O</w:t>
      </w:r>
      <w:r w:rsidRPr="007915E8">
        <w:rPr>
          <w:b/>
          <w:u w:val="single"/>
          <w:lang w:val="en-US"/>
        </w:rPr>
        <w:t>bservation</w:t>
      </w:r>
      <w:r>
        <w:rPr>
          <w:b/>
          <w:u w:val="single"/>
          <w:lang w:val="en-US"/>
        </w:rPr>
        <w:t xml:space="preserve"> 1</w:t>
      </w:r>
      <w:r w:rsidRPr="007915E8">
        <w:rPr>
          <w:b/>
          <w:u w:val="single"/>
          <w:lang w:val="en-US"/>
        </w:rPr>
        <w:t>:</w:t>
      </w:r>
      <w:r w:rsidRPr="007915E8">
        <w:rPr>
          <w:lang w:val="en-US"/>
        </w:rPr>
        <w:t xml:space="preserve"> </w:t>
      </w:r>
      <w:r w:rsidR="006B774F">
        <w:rPr>
          <w:lang w:val="en-US"/>
        </w:rPr>
        <w:t>In Rel-19 NR-NTN discussion, it is assumed that active time of one</w:t>
      </w:r>
      <w:r w:rsidR="00422E6E">
        <w:rPr>
          <w:lang w:val="en-US"/>
        </w:rPr>
        <w:t xml:space="preserve"> DL Tx</w:t>
      </w:r>
      <w:r w:rsidR="006B774F">
        <w:rPr>
          <w:lang w:val="en-US"/>
        </w:rPr>
        <w:t xml:space="preserve"> beam</w:t>
      </w:r>
      <w:r w:rsidR="00422E6E">
        <w:rPr>
          <w:lang w:val="en-US"/>
        </w:rPr>
        <w:t xml:space="preserve"> on satellite</w:t>
      </w:r>
      <w:r w:rsidR="00691FA8">
        <w:rPr>
          <w:lang w:val="en-US"/>
        </w:rPr>
        <w:t xml:space="preserve"> in FR2</w:t>
      </w:r>
      <w:r w:rsidR="006B774F">
        <w:rPr>
          <w:lang w:val="en-US"/>
        </w:rPr>
        <w:t xml:space="preserve"> is limited to 1.5 %.</w:t>
      </w:r>
    </w:p>
    <w:p w14:paraId="41491E8C" w14:textId="4E3D25E6" w:rsidR="00422E6E" w:rsidRDefault="00782A3E" w:rsidP="00E5552A">
      <w:pPr>
        <w:rPr>
          <w:lang w:val="en-US"/>
        </w:rPr>
      </w:pPr>
      <w:r w:rsidRPr="00782A3E">
        <w:rPr>
          <w:b/>
          <w:u w:val="single"/>
          <w:lang w:val="en-US"/>
        </w:rPr>
        <w:t>Observation 2:</w:t>
      </w:r>
      <w:r w:rsidRPr="00782A3E">
        <w:rPr>
          <w:lang w:val="en-US"/>
        </w:rPr>
        <w:t xml:space="preserve"> </w:t>
      </w:r>
      <w:r w:rsidR="00E5552A">
        <w:rPr>
          <w:lang w:val="en-US"/>
        </w:rPr>
        <w:t>The same active time limitations as DL Tx beam</w:t>
      </w:r>
      <w:r w:rsidR="0040206D">
        <w:rPr>
          <w:lang w:val="en-US"/>
        </w:rPr>
        <w:t xml:space="preserve"> due to antenna array structures at the satellite</w:t>
      </w:r>
      <w:r w:rsidR="00E5552A">
        <w:rPr>
          <w:lang w:val="en-US"/>
        </w:rPr>
        <w:t xml:space="preserve"> apply to UL Rx beam as well.</w:t>
      </w:r>
    </w:p>
    <w:p w14:paraId="7E0281DE" w14:textId="14DC0147" w:rsidR="00691FA8" w:rsidRDefault="00691FA8" w:rsidP="002F3634">
      <w:pPr>
        <w:rPr>
          <w:lang w:val="en-US"/>
        </w:rPr>
      </w:pPr>
      <w:r w:rsidRPr="00691FA8">
        <w:rPr>
          <w:rFonts w:hint="eastAsia"/>
          <w:b/>
          <w:u w:val="single"/>
          <w:lang w:val="en-US"/>
        </w:rPr>
        <w:t>O</w:t>
      </w:r>
      <w:r w:rsidRPr="00691FA8">
        <w:rPr>
          <w:b/>
          <w:u w:val="single"/>
          <w:lang w:val="en-US"/>
        </w:rPr>
        <w:t xml:space="preserve">bservation </w:t>
      </w:r>
      <w:r w:rsidR="002B1416">
        <w:rPr>
          <w:b/>
          <w:u w:val="single"/>
          <w:lang w:val="en-US"/>
        </w:rPr>
        <w:t>3</w:t>
      </w:r>
      <w:r w:rsidRPr="00691FA8">
        <w:rPr>
          <w:b/>
          <w:u w:val="single"/>
          <w:lang w:val="en-US"/>
        </w:rPr>
        <w:t>:</w:t>
      </w:r>
      <w:r>
        <w:rPr>
          <w:lang w:val="en-US"/>
        </w:rPr>
        <w:t xml:space="preserve"> Enhancement of PRACH configuration in future release </w:t>
      </w:r>
      <w:r w:rsidR="00AE08DB">
        <w:rPr>
          <w:lang w:val="en-US"/>
        </w:rPr>
        <w:t xml:space="preserve">will </w:t>
      </w:r>
      <w:r>
        <w:rPr>
          <w:lang w:val="en-US"/>
        </w:rPr>
        <w:t xml:space="preserve">require additional PRACH </w:t>
      </w:r>
      <w:r w:rsidR="00AE08DB">
        <w:rPr>
          <w:lang w:val="en-US"/>
        </w:rPr>
        <w:t>partitioning</w:t>
      </w:r>
      <w:r w:rsidR="0040206D">
        <w:rPr>
          <w:lang w:val="en-US"/>
        </w:rPr>
        <w:t xml:space="preserve"> which causes the reduction of PRACH capacity for Rel-18 FR2-NTN UEs</w:t>
      </w:r>
      <w:r>
        <w:rPr>
          <w:lang w:val="en-US"/>
        </w:rPr>
        <w:t>.</w:t>
      </w:r>
    </w:p>
    <w:p w14:paraId="18066385" w14:textId="465821BE" w:rsidR="0040206D" w:rsidRPr="00A449A6" w:rsidRDefault="0040206D" w:rsidP="0040206D">
      <w:pPr>
        <w:rPr>
          <w:lang w:val="en-US"/>
        </w:rPr>
      </w:pPr>
      <w:r>
        <w:rPr>
          <w:b/>
          <w:u w:val="single"/>
          <w:lang w:val="en-US"/>
        </w:rPr>
        <w:lastRenderedPageBreak/>
        <w:t>Proposal 1</w:t>
      </w:r>
      <w:r w:rsidRPr="003B76E8">
        <w:rPr>
          <w:b/>
          <w:u w:val="single"/>
          <w:lang w:val="en-US"/>
        </w:rPr>
        <w:t>:</w:t>
      </w:r>
      <w:r>
        <w:rPr>
          <w:lang w:val="en-US"/>
        </w:rPr>
        <w:t xml:space="preserve"> </w:t>
      </w:r>
      <w:r>
        <w:t>PRACH capacity issue should be considered in Rel-18 FR2-NTN.</w:t>
      </w:r>
    </w:p>
    <w:p w14:paraId="226BBD45" w14:textId="2CA8FCBA" w:rsidR="00B47E4A" w:rsidRPr="00A449A6" w:rsidRDefault="00B47E4A" w:rsidP="00B47E4A">
      <w:pPr>
        <w:rPr>
          <w:lang w:val="en-US"/>
        </w:rPr>
      </w:pPr>
      <w:r>
        <w:rPr>
          <w:b/>
          <w:u w:val="single"/>
          <w:lang w:val="en-US"/>
        </w:rPr>
        <w:t xml:space="preserve">Proposal </w:t>
      </w:r>
      <w:r w:rsidR="0040206D">
        <w:rPr>
          <w:b/>
          <w:u w:val="single"/>
          <w:lang w:val="en-US"/>
        </w:rPr>
        <w:t>2</w:t>
      </w:r>
      <w:r w:rsidRPr="003B76E8">
        <w:rPr>
          <w:b/>
          <w:u w:val="single"/>
          <w:lang w:val="en-US"/>
        </w:rPr>
        <w:t>:</w:t>
      </w:r>
      <w:r>
        <w:rPr>
          <w:lang w:val="en-US"/>
        </w:rPr>
        <w:t xml:space="preserve"> </w:t>
      </w:r>
      <w:r w:rsidR="008E6DB4">
        <w:t>For PRACH configuration for operation in FR2-NTN, Table 6.3.3.2-4 of TS 38.211 is used with</w:t>
      </w:r>
      <w:r w:rsidR="007366BD">
        <w:t xml:space="preserve"> modification of starting symbol</w:t>
      </w:r>
      <w:r w:rsidR="008E6DB4">
        <w:t>.</w:t>
      </w: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t>Conclusion</w:t>
      </w:r>
    </w:p>
    <w:p w14:paraId="7B4A5ED7" w14:textId="42C26601" w:rsidR="00257614" w:rsidRDefault="004E3CD9" w:rsidP="00A449A6">
      <w:pPr>
        <w:rPr>
          <w:lang w:val="en-US"/>
        </w:rPr>
      </w:pPr>
      <w:r>
        <w:rPr>
          <w:rFonts w:hint="eastAsia"/>
          <w:lang w:val="en-US"/>
        </w:rPr>
        <w:t>I</w:t>
      </w:r>
      <w:r>
        <w:rPr>
          <w:lang w:val="en-US"/>
        </w:rPr>
        <w:t>n this contribution, we have the following</w:t>
      </w:r>
      <w:r w:rsidR="00FC5FA6">
        <w:rPr>
          <w:lang w:val="en-US"/>
        </w:rPr>
        <w:t xml:space="preserve"> observation and</w:t>
      </w:r>
      <w:r>
        <w:rPr>
          <w:lang w:val="en-US"/>
        </w:rPr>
        <w:t xml:space="preserve"> proposal:</w:t>
      </w:r>
      <w:bookmarkEnd w:id="3"/>
    </w:p>
    <w:p w14:paraId="4218D111" w14:textId="77777777" w:rsidR="006F5942" w:rsidRDefault="006F5942" w:rsidP="006F5942">
      <w:pPr>
        <w:rPr>
          <w:lang w:val="en-US"/>
        </w:rPr>
      </w:pPr>
      <w:r w:rsidRPr="007915E8">
        <w:rPr>
          <w:rFonts w:hint="eastAsia"/>
          <w:b/>
          <w:u w:val="single"/>
          <w:lang w:val="en-US"/>
        </w:rPr>
        <w:t>O</w:t>
      </w:r>
      <w:r w:rsidRPr="007915E8">
        <w:rPr>
          <w:b/>
          <w:u w:val="single"/>
          <w:lang w:val="en-US"/>
        </w:rPr>
        <w:t>bservation</w:t>
      </w:r>
      <w:r>
        <w:rPr>
          <w:b/>
          <w:u w:val="single"/>
          <w:lang w:val="en-US"/>
        </w:rPr>
        <w:t xml:space="preserve"> 1</w:t>
      </w:r>
      <w:r w:rsidRPr="007915E8">
        <w:rPr>
          <w:b/>
          <w:u w:val="single"/>
          <w:lang w:val="en-US"/>
        </w:rPr>
        <w:t>:</w:t>
      </w:r>
      <w:r w:rsidRPr="007915E8">
        <w:rPr>
          <w:lang w:val="en-US"/>
        </w:rPr>
        <w:t xml:space="preserve"> </w:t>
      </w:r>
      <w:r>
        <w:rPr>
          <w:lang w:val="en-US"/>
        </w:rPr>
        <w:t>In Rel-19 NR-NTN discussion, it is assumed that active time of one DL Tx beam on satellite in FR2 is limited to 1.5 %.</w:t>
      </w:r>
    </w:p>
    <w:p w14:paraId="4D1950D7" w14:textId="77777777" w:rsidR="006F5942" w:rsidRDefault="006F5942" w:rsidP="006F5942">
      <w:pPr>
        <w:rPr>
          <w:lang w:val="en-US"/>
        </w:rPr>
      </w:pPr>
      <w:r w:rsidRPr="00782A3E">
        <w:rPr>
          <w:b/>
          <w:u w:val="single"/>
          <w:lang w:val="en-US"/>
        </w:rPr>
        <w:t>Observation 2:</w:t>
      </w:r>
      <w:r w:rsidRPr="00782A3E">
        <w:rPr>
          <w:lang w:val="en-US"/>
        </w:rPr>
        <w:t xml:space="preserve"> </w:t>
      </w:r>
      <w:r>
        <w:rPr>
          <w:lang w:val="en-US"/>
        </w:rPr>
        <w:t>The same active time limitations as DL Tx beam due to antenna array structures at the satellite apply to UL Rx beam as well.</w:t>
      </w:r>
    </w:p>
    <w:p w14:paraId="5F3F35E0" w14:textId="77777777" w:rsidR="006F5942" w:rsidRDefault="006F5942" w:rsidP="006F5942">
      <w:pPr>
        <w:rPr>
          <w:lang w:val="en-US"/>
        </w:rPr>
      </w:pPr>
      <w:r w:rsidRPr="00691FA8">
        <w:rPr>
          <w:rFonts w:hint="eastAsia"/>
          <w:b/>
          <w:u w:val="single"/>
          <w:lang w:val="en-US"/>
        </w:rPr>
        <w:t>O</w:t>
      </w:r>
      <w:r w:rsidRPr="00691FA8">
        <w:rPr>
          <w:b/>
          <w:u w:val="single"/>
          <w:lang w:val="en-US"/>
        </w:rPr>
        <w:t xml:space="preserve">bservation </w:t>
      </w:r>
      <w:r>
        <w:rPr>
          <w:b/>
          <w:u w:val="single"/>
          <w:lang w:val="en-US"/>
        </w:rPr>
        <w:t>3</w:t>
      </w:r>
      <w:r w:rsidRPr="00691FA8">
        <w:rPr>
          <w:b/>
          <w:u w:val="single"/>
          <w:lang w:val="en-US"/>
        </w:rPr>
        <w:t>:</w:t>
      </w:r>
      <w:r>
        <w:rPr>
          <w:lang w:val="en-US"/>
        </w:rPr>
        <w:t xml:space="preserve"> Enhancement of PRACH configuration in future release will require additional PRACH partitioning which causes the reduction of PRACH capacity for Rel-18 FR2-NTN UEs.</w:t>
      </w:r>
    </w:p>
    <w:p w14:paraId="210C3E98" w14:textId="77777777" w:rsidR="006F5942" w:rsidRPr="00A449A6" w:rsidRDefault="006F5942" w:rsidP="006F5942">
      <w:pPr>
        <w:rPr>
          <w:lang w:val="en-US"/>
        </w:rPr>
      </w:pPr>
      <w:bookmarkStart w:id="4" w:name="_GoBack"/>
      <w:bookmarkEnd w:id="4"/>
      <w:r>
        <w:rPr>
          <w:b/>
          <w:u w:val="single"/>
          <w:lang w:val="en-US"/>
        </w:rPr>
        <w:t>Proposal 1</w:t>
      </w:r>
      <w:r w:rsidRPr="003B76E8">
        <w:rPr>
          <w:b/>
          <w:u w:val="single"/>
          <w:lang w:val="en-US"/>
        </w:rPr>
        <w:t>:</w:t>
      </w:r>
      <w:r>
        <w:rPr>
          <w:lang w:val="en-US"/>
        </w:rPr>
        <w:t xml:space="preserve"> </w:t>
      </w:r>
      <w:r>
        <w:t>PRACH capacity issue should be considered in Rel-18 FR2-NTN.</w:t>
      </w:r>
    </w:p>
    <w:p w14:paraId="6DCA1572" w14:textId="77777777" w:rsidR="006F5942" w:rsidRPr="00A449A6" w:rsidRDefault="006F5942" w:rsidP="006F5942">
      <w:pPr>
        <w:rPr>
          <w:lang w:val="en-US"/>
        </w:rPr>
      </w:pPr>
      <w:r>
        <w:rPr>
          <w:b/>
          <w:u w:val="single"/>
          <w:lang w:val="en-US"/>
        </w:rPr>
        <w:t>Proposal 2</w:t>
      </w:r>
      <w:r w:rsidRPr="003B76E8">
        <w:rPr>
          <w:b/>
          <w:u w:val="single"/>
          <w:lang w:val="en-US"/>
        </w:rPr>
        <w:t>:</w:t>
      </w:r>
      <w:r>
        <w:rPr>
          <w:lang w:val="en-US"/>
        </w:rPr>
        <w:t xml:space="preserve"> </w:t>
      </w:r>
      <w:r>
        <w:t>For PRACH configuration for operation in FR2-NTN, Table 6.3.3.2-4 of TS 38.211 is used with modification of starting symbol.</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721F5D47" w14:textId="77CF800F" w:rsidR="0023322C" w:rsidRPr="000E514D" w:rsidRDefault="0023322C" w:rsidP="0023322C">
      <w:pPr>
        <w:pStyle w:val="textintend2"/>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rsidR="006B774F">
        <w:t>6</w:t>
      </w:r>
      <w:r w:rsidRPr="00820F45">
        <w:rPr>
          <w:rFonts w:eastAsiaTheme="minorEastAsia" w:hint="eastAsia"/>
          <w:lang w:eastAsia="zh-CN"/>
        </w:rPr>
        <w:t xml:space="preserve">, </w:t>
      </w:r>
      <w:r w:rsidR="006B774F">
        <w:rPr>
          <w:rFonts w:eastAsiaTheme="minorEastAsia"/>
          <w:lang w:eastAsia="zh-CN"/>
        </w:rPr>
        <w:t>Mar.</w:t>
      </w:r>
      <w:r w:rsidRPr="00820F45">
        <w:t xml:space="preserve"> 202</w:t>
      </w:r>
      <w:r w:rsidR="006B774F">
        <w:t>4</w:t>
      </w:r>
      <w:r w:rsidRPr="00820F45">
        <w:rPr>
          <w:rFonts w:eastAsiaTheme="minorEastAsia" w:hint="eastAsia"/>
          <w:lang w:eastAsia="zh-CN"/>
        </w:rPr>
        <w:t>.</w:t>
      </w:r>
    </w:p>
    <w:p w14:paraId="0FB7E1B9" w14:textId="123E1630" w:rsidR="00BD11DD" w:rsidRPr="0023322C" w:rsidRDefault="00BD11DD" w:rsidP="0023322C">
      <w:pPr>
        <w:pStyle w:val="textintend2"/>
        <w:numPr>
          <w:ilvl w:val="0"/>
          <w:numId w:val="0"/>
        </w:numPr>
        <w:rPr>
          <w:color w:val="000000" w:themeColor="text1"/>
          <w:szCs w:val="24"/>
          <w:lang w:eastAsia="ja-JP"/>
        </w:rPr>
      </w:pPr>
    </w:p>
    <w:sectPr w:rsidR="00BD11DD" w:rsidRPr="0023322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D8FB9" w14:textId="77777777" w:rsidR="007922DB" w:rsidRDefault="007922DB">
      <w:r>
        <w:separator/>
      </w:r>
    </w:p>
  </w:endnote>
  <w:endnote w:type="continuationSeparator" w:id="0">
    <w:p w14:paraId="2EC9AE6F" w14:textId="77777777" w:rsidR="007922DB" w:rsidRDefault="0079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151CD" w14:textId="77777777" w:rsidR="007922DB" w:rsidRDefault="007922DB">
      <w:r>
        <w:separator/>
      </w:r>
    </w:p>
  </w:footnote>
  <w:footnote w:type="continuationSeparator" w:id="0">
    <w:p w14:paraId="3B620E4D" w14:textId="77777777" w:rsidR="007922DB" w:rsidRDefault="00792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F31ECB"/>
    <w:multiLevelType w:val="hybridMultilevel"/>
    <w:tmpl w:val="40D6AD1C"/>
    <w:lvl w:ilvl="0" w:tplc="DAB0160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3DF17C5F"/>
    <w:multiLevelType w:val="hybridMultilevel"/>
    <w:tmpl w:val="2E6EB812"/>
    <w:lvl w:ilvl="0" w:tplc="F4E8FF24">
      <w:start w:val="1"/>
      <w:numFmt w:val="lowerLetter"/>
      <w:lvlText w:val="(%1)"/>
      <w:lvlJc w:val="left"/>
      <w:pPr>
        <w:tabs>
          <w:tab w:val="num" w:pos="360"/>
        </w:tabs>
        <w:ind w:left="360" w:hanging="360"/>
      </w:pPr>
      <w:rPr>
        <w:rFonts w:hint="default"/>
      </w:r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9"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4CBE81CC"/>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56A24A3"/>
    <w:multiLevelType w:val="hybridMultilevel"/>
    <w:tmpl w:val="6A64ED20"/>
    <w:lvl w:ilvl="0" w:tplc="A3AEE890">
      <w:start w:val="1"/>
      <w:numFmt w:val="lowerLetter"/>
      <w:lvlText w:val="%1."/>
      <w:lvlJc w:val="left"/>
      <w:pPr>
        <w:tabs>
          <w:tab w:val="num" w:pos="360"/>
        </w:tabs>
        <w:ind w:left="360" w:hanging="360"/>
      </w:p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1"/>
  </w:num>
  <w:num w:numId="3">
    <w:abstractNumId w:val="4"/>
  </w:num>
  <w:num w:numId="4">
    <w:abstractNumId w:val="21"/>
  </w:num>
  <w:num w:numId="5">
    <w:abstractNumId w:val="13"/>
  </w:num>
  <w:num w:numId="6">
    <w:abstractNumId w:val="14"/>
  </w:num>
  <w:num w:numId="7">
    <w:abstractNumId w:val="11"/>
  </w:num>
  <w:num w:numId="8">
    <w:abstractNumId w:val="0"/>
  </w:num>
  <w:num w:numId="9">
    <w:abstractNumId w:val="23"/>
  </w:num>
  <w:num w:numId="10">
    <w:abstractNumId w:val="10"/>
  </w:num>
  <w:num w:numId="11">
    <w:abstractNumId w:val="18"/>
  </w:num>
  <w:num w:numId="12">
    <w:abstractNumId w:val="15"/>
  </w:num>
  <w:num w:numId="13">
    <w:abstractNumId w:val="7"/>
  </w:num>
  <w:num w:numId="14">
    <w:abstractNumId w:val="2"/>
  </w:num>
  <w:num w:numId="15">
    <w:abstractNumId w:val="17"/>
  </w:num>
  <w:num w:numId="16">
    <w:abstractNumId w:val="12"/>
  </w:num>
  <w:num w:numId="17">
    <w:abstractNumId w:val="3"/>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22"/>
  </w:num>
  <w:num w:numId="25">
    <w:abstractNumId w:val="8"/>
  </w:num>
  <w:num w:numId="26">
    <w:abstractNumId w:val="19"/>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0FE7"/>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4B1"/>
    <w:rsid w:val="00022518"/>
    <w:rsid w:val="00022F6C"/>
    <w:rsid w:val="00023256"/>
    <w:rsid w:val="00023821"/>
    <w:rsid w:val="00023C3B"/>
    <w:rsid w:val="00023E6F"/>
    <w:rsid w:val="0002407B"/>
    <w:rsid w:val="000240B8"/>
    <w:rsid w:val="00024358"/>
    <w:rsid w:val="00024359"/>
    <w:rsid w:val="0002486B"/>
    <w:rsid w:val="000251AB"/>
    <w:rsid w:val="000257A5"/>
    <w:rsid w:val="00025F3C"/>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AFB"/>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3E7"/>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1EFC"/>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BD"/>
    <w:rsid w:val="00085FFE"/>
    <w:rsid w:val="000860D9"/>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374"/>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630"/>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24F"/>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21B"/>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176"/>
    <w:rsid w:val="00114412"/>
    <w:rsid w:val="00114539"/>
    <w:rsid w:val="00114C41"/>
    <w:rsid w:val="00114F1F"/>
    <w:rsid w:val="00115554"/>
    <w:rsid w:val="0011585B"/>
    <w:rsid w:val="001158E4"/>
    <w:rsid w:val="001159A3"/>
    <w:rsid w:val="001159BC"/>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C08"/>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2B5"/>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396"/>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3F"/>
    <w:rsid w:val="0014246B"/>
    <w:rsid w:val="00142611"/>
    <w:rsid w:val="00142CB7"/>
    <w:rsid w:val="00142F3A"/>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0D5C"/>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940"/>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9B2"/>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6D4"/>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904"/>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B74"/>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A7BE0"/>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BC"/>
    <w:rsid w:val="001D57D2"/>
    <w:rsid w:val="001D5F3E"/>
    <w:rsid w:val="001D600F"/>
    <w:rsid w:val="001D62C4"/>
    <w:rsid w:val="001D668C"/>
    <w:rsid w:val="001D673C"/>
    <w:rsid w:val="001D6ADA"/>
    <w:rsid w:val="001D7431"/>
    <w:rsid w:val="001D78A3"/>
    <w:rsid w:val="001D7D74"/>
    <w:rsid w:val="001E00F1"/>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5EB"/>
    <w:rsid w:val="001E7FD6"/>
    <w:rsid w:val="001F013E"/>
    <w:rsid w:val="001F0821"/>
    <w:rsid w:val="001F09F9"/>
    <w:rsid w:val="001F0B18"/>
    <w:rsid w:val="001F103A"/>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D8F"/>
    <w:rsid w:val="00212EA4"/>
    <w:rsid w:val="00213488"/>
    <w:rsid w:val="0021362B"/>
    <w:rsid w:val="0021386B"/>
    <w:rsid w:val="00214078"/>
    <w:rsid w:val="002145B7"/>
    <w:rsid w:val="002147C1"/>
    <w:rsid w:val="00214C24"/>
    <w:rsid w:val="002150DB"/>
    <w:rsid w:val="0021550C"/>
    <w:rsid w:val="002158F5"/>
    <w:rsid w:val="00215C4D"/>
    <w:rsid w:val="00215D5C"/>
    <w:rsid w:val="00215EB3"/>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273"/>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322C"/>
    <w:rsid w:val="0023425F"/>
    <w:rsid w:val="002342D0"/>
    <w:rsid w:val="00234466"/>
    <w:rsid w:val="00234F54"/>
    <w:rsid w:val="00235970"/>
    <w:rsid w:val="002359FA"/>
    <w:rsid w:val="00235F78"/>
    <w:rsid w:val="00236094"/>
    <w:rsid w:val="00236B06"/>
    <w:rsid w:val="00236CD1"/>
    <w:rsid w:val="00237062"/>
    <w:rsid w:val="00237113"/>
    <w:rsid w:val="00237A75"/>
    <w:rsid w:val="00237E17"/>
    <w:rsid w:val="00237E22"/>
    <w:rsid w:val="002402B5"/>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5599"/>
    <w:rsid w:val="00246481"/>
    <w:rsid w:val="002466FC"/>
    <w:rsid w:val="0024685B"/>
    <w:rsid w:val="00246917"/>
    <w:rsid w:val="00246C75"/>
    <w:rsid w:val="0024739D"/>
    <w:rsid w:val="002476B6"/>
    <w:rsid w:val="00247811"/>
    <w:rsid w:val="002479D0"/>
    <w:rsid w:val="00247E42"/>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57614"/>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68"/>
    <w:rsid w:val="002638C4"/>
    <w:rsid w:val="00263A00"/>
    <w:rsid w:val="00263D39"/>
    <w:rsid w:val="00263E61"/>
    <w:rsid w:val="00264508"/>
    <w:rsid w:val="00264CEB"/>
    <w:rsid w:val="002653AF"/>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708"/>
    <w:rsid w:val="00284D35"/>
    <w:rsid w:val="00284EAE"/>
    <w:rsid w:val="00285047"/>
    <w:rsid w:val="0028509A"/>
    <w:rsid w:val="002852D7"/>
    <w:rsid w:val="0028543E"/>
    <w:rsid w:val="00285613"/>
    <w:rsid w:val="00286190"/>
    <w:rsid w:val="002862B1"/>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855"/>
    <w:rsid w:val="00293957"/>
    <w:rsid w:val="00293EC3"/>
    <w:rsid w:val="002941BF"/>
    <w:rsid w:val="0029440D"/>
    <w:rsid w:val="002949ED"/>
    <w:rsid w:val="00294B23"/>
    <w:rsid w:val="0029577A"/>
    <w:rsid w:val="00295FE7"/>
    <w:rsid w:val="00296485"/>
    <w:rsid w:val="00296CE3"/>
    <w:rsid w:val="00296E15"/>
    <w:rsid w:val="0029712D"/>
    <w:rsid w:val="0029739B"/>
    <w:rsid w:val="00297D4C"/>
    <w:rsid w:val="00297DAF"/>
    <w:rsid w:val="00297DCE"/>
    <w:rsid w:val="002A01B3"/>
    <w:rsid w:val="002A03DC"/>
    <w:rsid w:val="002A0678"/>
    <w:rsid w:val="002A0961"/>
    <w:rsid w:val="002A0A42"/>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5E54"/>
    <w:rsid w:val="002A6300"/>
    <w:rsid w:val="002A63B1"/>
    <w:rsid w:val="002A66B9"/>
    <w:rsid w:val="002A6832"/>
    <w:rsid w:val="002A6995"/>
    <w:rsid w:val="002A77CA"/>
    <w:rsid w:val="002A795C"/>
    <w:rsid w:val="002A7B61"/>
    <w:rsid w:val="002A7F9B"/>
    <w:rsid w:val="002B044F"/>
    <w:rsid w:val="002B06A6"/>
    <w:rsid w:val="002B0D7F"/>
    <w:rsid w:val="002B1313"/>
    <w:rsid w:val="002B1416"/>
    <w:rsid w:val="002B1E42"/>
    <w:rsid w:val="002B1F62"/>
    <w:rsid w:val="002B2479"/>
    <w:rsid w:val="002B27FD"/>
    <w:rsid w:val="002B29BC"/>
    <w:rsid w:val="002B2EB9"/>
    <w:rsid w:val="002B3B69"/>
    <w:rsid w:val="002B3E62"/>
    <w:rsid w:val="002B3F10"/>
    <w:rsid w:val="002B400E"/>
    <w:rsid w:val="002B4E38"/>
    <w:rsid w:val="002B51DB"/>
    <w:rsid w:val="002B60A3"/>
    <w:rsid w:val="002B60C4"/>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D15"/>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260"/>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634"/>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38F7"/>
    <w:rsid w:val="0030454B"/>
    <w:rsid w:val="00305D2A"/>
    <w:rsid w:val="00305EEB"/>
    <w:rsid w:val="00306397"/>
    <w:rsid w:val="003063DE"/>
    <w:rsid w:val="003064DE"/>
    <w:rsid w:val="00306945"/>
    <w:rsid w:val="00306BE4"/>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272"/>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3A8"/>
    <w:rsid w:val="00331417"/>
    <w:rsid w:val="003318DB"/>
    <w:rsid w:val="00331932"/>
    <w:rsid w:val="00331DEA"/>
    <w:rsid w:val="00331E96"/>
    <w:rsid w:val="00332106"/>
    <w:rsid w:val="003323AE"/>
    <w:rsid w:val="00332520"/>
    <w:rsid w:val="003328D6"/>
    <w:rsid w:val="00332CF5"/>
    <w:rsid w:val="00332F2C"/>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1D"/>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16B"/>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213"/>
    <w:rsid w:val="00355759"/>
    <w:rsid w:val="00355BF1"/>
    <w:rsid w:val="003563AD"/>
    <w:rsid w:val="003569A8"/>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1DA"/>
    <w:rsid w:val="003752B2"/>
    <w:rsid w:val="0037558F"/>
    <w:rsid w:val="00375902"/>
    <w:rsid w:val="00375BFD"/>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0EED"/>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8CE"/>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0F94"/>
    <w:rsid w:val="003A115F"/>
    <w:rsid w:val="003A18FA"/>
    <w:rsid w:val="003A1AC6"/>
    <w:rsid w:val="003A2212"/>
    <w:rsid w:val="003A2263"/>
    <w:rsid w:val="003A31C3"/>
    <w:rsid w:val="003A3577"/>
    <w:rsid w:val="003A3AD6"/>
    <w:rsid w:val="003A4D7E"/>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6E8"/>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B48"/>
    <w:rsid w:val="003D1C41"/>
    <w:rsid w:val="003D1CDC"/>
    <w:rsid w:val="003D21E0"/>
    <w:rsid w:val="003D2430"/>
    <w:rsid w:val="003D24A9"/>
    <w:rsid w:val="003D27EB"/>
    <w:rsid w:val="003D289B"/>
    <w:rsid w:val="003D2973"/>
    <w:rsid w:val="003D2BB7"/>
    <w:rsid w:val="003D2EE5"/>
    <w:rsid w:val="003D31E4"/>
    <w:rsid w:val="003D3490"/>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D8D"/>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6D"/>
    <w:rsid w:val="004020E2"/>
    <w:rsid w:val="004027E7"/>
    <w:rsid w:val="0040293D"/>
    <w:rsid w:val="00402974"/>
    <w:rsid w:val="00402A1D"/>
    <w:rsid w:val="00403557"/>
    <w:rsid w:val="00403649"/>
    <w:rsid w:val="00403B8B"/>
    <w:rsid w:val="00403F3D"/>
    <w:rsid w:val="0040442C"/>
    <w:rsid w:val="00404C4C"/>
    <w:rsid w:val="00404CFE"/>
    <w:rsid w:val="00404FBB"/>
    <w:rsid w:val="0040517D"/>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828"/>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2E6E"/>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E6D"/>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79F"/>
    <w:rsid w:val="00457E5F"/>
    <w:rsid w:val="00460449"/>
    <w:rsid w:val="004605C8"/>
    <w:rsid w:val="004606B6"/>
    <w:rsid w:val="0046074F"/>
    <w:rsid w:val="0046078E"/>
    <w:rsid w:val="00460D6D"/>
    <w:rsid w:val="00461171"/>
    <w:rsid w:val="00461474"/>
    <w:rsid w:val="0046157D"/>
    <w:rsid w:val="00461EAB"/>
    <w:rsid w:val="00462CF6"/>
    <w:rsid w:val="00462E40"/>
    <w:rsid w:val="00462F3F"/>
    <w:rsid w:val="00463708"/>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23C"/>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23"/>
    <w:rsid w:val="00490051"/>
    <w:rsid w:val="00490A63"/>
    <w:rsid w:val="00490B88"/>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813"/>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93F"/>
    <w:rsid w:val="00497BCE"/>
    <w:rsid w:val="00497C26"/>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A84"/>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65E"/>
    <w:rsid w:val="004C19C9"/>
    <w:rsid w:val="004C1C44"/>
    <w:rsid w:val="004C23B4"/>
    <w:rsid w:val="004C27C8"/>
    <w:rsid w:val="004C2ACB"/>
    <w:rsid w:val="004C3606"/>
    <w:rsid w:val="004C364F"/>
    <w:rsid w:val="004C3D54"/>
    <w:rsid w:val="004C4374"/>
    <w:rsid w:val="004C4643"/>
    <w:rsid w:val="004C4C7E"/>
    <w:rsid w:val="004C5086"/>
    <w:rsid w:val="004C60FA"/>
    <w:rsid w:val="004C65EC"/>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218"/>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090"/>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2954"/>
    <w:rsid w:val="0050326C"/>
    <w:rsid w:val="00503546"/>
    <w:rsid w:val="00504721"/>
    <w:rsid w:val="005049B0"/>
    <w:rsid w:val="00505B7B"/>
    <w:rsid w:val="00506031"/>
    <w:rsid w:val="0050697A"/>
    <w:rsid w:val="00506B5B"/>
    <w:rsid w:val="00506BE2"/>
    <w:rsid w:val="0050741B"/>
    <w:rsid w:val="005079E3"/>
    <w:rsid w:val="00507A88"/>
    <w:rsid w:val="00510296"/>
    <w:rsid w:val="00510397"/>
    <w:rsid w:val="00510587"/>
    <w:rsid w:val="005106A3"/>
    <w:rsid w:val="005109E5"/>
    <w:rsid w:val="00511984"/>
    <w:rsid w:val="00511F12"/>
    <w:rsid w:val="0051297B"/>
    <w:rsid w:val="005134E0"/>
    <w:rsid w:val="005134EE"/>
    <w:rsid w:val="005136E6"/>
    <w:rsid w:val="00513FEA"/>
    <w:rsid w:val="00514200"/>
    <w:rsid w:val="00514283"/>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12A"/>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6DEB"/>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352"/>
    <w:rsid w:val="0055652F"/>
    <w:rsid w:val="0055689D"/>
    <w:rsid w:val="00556920"/>
    <w:rsid w:val="00556A3D"/>
    <w:rsid w:val="00556D56"/>
    <w:rsid w:val="00556E4A"/>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8D1"/>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438B"/>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CD2"/>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CAC"/>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4C"/>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A42"/>
    <w:rsid w:val="005C4E71"/>
    <w:rsid w:val="005C541B"/>
    <w:rsid w:val="005C5537"/>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7BD"/>
    <w:rsid w:val="00612820"/>
    <w:rsid w:val="00612BAE"/>
    <w:rsid w:val="00612EDB"/>
    <w:rsid w:val="0061347A"/>
    <w:rsid w:val="006134F3"/>
    <w:rsid w:val="00613573"/>
    <w:rsid w:val="006139D2"/>
    <w:rsid w:val="006139F1"/>
    <w:rsid w:val="00613D2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3F25"/>
    <w:rsid w:val="00624414"/>
    <w:rsid w:val="00624588"/>
    <w:rsid w:val="00624BB9"/>
    <w:rsid w:val="006253A6"/>
    <w:rsid w:val="00625521"/>
    <w:rsid w:val="0062603F"/>
    <w:rsid w:val="0062616E"/>
    <w:rsid w:val="00626379"/>
    <w:rsid w:val="0062673B"/>
    <w:rsid w:val="0062690B"/>
    <w:rsid w:val="00626AB9"/>
    <w:rsid w:val="00627144"/>
    <w:rsid w:val="00627218"/>
    <w:rsid w:val="00627B8E"/>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86"/>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1F85"/>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1FA8"/>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EB2"/>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B774F"/>
    <w:rsid w:val="006C011B"/>
    <w:rsid w:val="006C01C6"/>
    <w:rsid w:val="006C0409"/>
    <w:rsid w:val="006C0B92"/>
    <w:rsid w:val="006C1124"/>
    <w:rsid w:val="006C1CAB"/>
    <w:rsid w:val="006C2285"/>
    <w:rsid w:val="006C277A"/>
    <w:rsid w:val="006C2891"/>
    <w:rsid w:val="006C298A"/>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84F"/>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5AC"/>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942"/>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6CB1"/>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C3B"/>
    <w:rsid w:val="00733EDC"/>
    <w:rsid w:val="00733FEA"/>
    <w:rsid w:val="0073411F"/>
    <w:rsid w:val="007346CC"/>
    <w:rsid w:val="0073481B"/>
    <w:rsid w:val="00734951"/>
    <w:rsid w:val="00734BB9"/>
    <w:rsid w:val="00734D1D"/>
    <w:rsid w:val="0073511C"/>
    <w:rsid w:val="007358DB"/>
    <w:rsid w:val="00735AEB"/>
    <w:rsid w:val="00735B4A"/>
    <w:rsid w:val="00735D83"/>
    <w:rsid w:val="00735E74"/>
    <w:rsid w:val="007363F2"/>
    <w:rsid w:val="007366BD"/>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4BC"/>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ABE"/>
    <w:rsid w:val="00775E2B"/>
    <w:rsid w:val="00775E44"/>
    <w:rsid w:val="007763FA"/>
    <w:rsid w:val="00776B22"/>
    <w:rsid w:val="0077740F"/>
    <w:rsid w:val="00777609"/>
    <w:rsid w:val="00777614"/>
    <w:rsid w:val="007777C3"/>
    <w:rsid w:val="00777836"/>
    <w:rsid w:val="00777CBA"/>
    <w:rsid w:val="00777F9F"/>
    <w:rsid w:val="00780043"/>
    <w:rsid w:val="00780055"/>
    <w:rsid w:val="00780395"/>
    <w:rsid w:val="00780D5E"/>
    <w:rsid w:val="00781231"/>
    <w:rsid w:val="007813BE"/>
    <w:rsid w:val="007815D7"/>
    <w:rsid w:val="00781652"/>
    <w:rsid w:val="00781778"/>
    <w:rsid w:val="007818F6"/>
    <w:rsid w:val="00781B82"/>
    <w:rsid w:val="00781C12"/>
    <w:rsid w:val="00782395"/>
    <w:rsid w:val="00782886"/>
    <w:rsid w:val="00782898"/>
    <w:rsid w:val="007829EF"/>
    <w:rsid w:val="00782A3E"/>
    <w:rsid w:val="00782B63"/>
    <w:rsid w:val="00782EFB"/>
    <w:rsid w:val="00783435"/>
    <w:rsid w:val="007836DC"/>
    <w:rsid w:val="00783BAE"/>
    <w:rsid w:val="00783D4F"/>
    <w:rsid w:val="00784183"/>
    <w:rsid w:val="007842BD"/>
    <w:rsid w:val="00784D8C"/>
    <w:rsid w:val="00785389"/>
    <w:rsid w:val="0078560D"/>
    <w:rsid w:val="007858DF"/>
    <w:rsid w:val="00785ACF"/>
    <w:rsid w:val="00785DF4"/>
    <w:rsid w:val="00786925"/>
    <w:rsid w:val="00786998"/>
    <w:rsid w:val="00786B2D"/>
    <w:rsid w:val="007878A2"/>
    <w:rsid w:val="00787974"/>
    <w:rsid w:val="00787F65"/>
    <w:rsid w:val="0079087E"/>
    <w:rsid w:val="0079100C"/>
    <w:rsid w:val="0079149E"/>
    <w:rsid w:val="007915E8"/>
    <w:rsid w:val="007918C6"/>
    <w:rsid w:val="00791AA0"/>
    <w:rsid w:val="00791EB3"/>
    <w:rsid w:val="00791FEA"/>
    <w:rsid w:val="007922C0"/>
    <w:rsid w:val="007922DB"/>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365"/>
    <w:rsid w:val="007A67F8"/>
    <w:rsid w:val="007A69A5"/>
    <w:rsid w:val="007A6A8E"/>
    <w:rsid w:val="007A6D47"/>
    <w:rsid w:val="007A6E5F"/>
    <w:rsid w:val="007A70A3"/>
    <w:rsid w:val="007A7127"/>
    <w:rsid w:val="007A71C5"/>
    <w:rsid w:val="007A762E"/>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3964"/>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9B"/>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3E1"/>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CBE"/>
    <w:rsid w:val="007F2D74"/>
    <w:rsid w:val="007F380B"/>
    <w:rsid w:val="007F3CA0"/>
    <w:rsid w:val="007F44C8"/>
    <w:rsid w:val="007F4593"/>
    <w:rsid w:val="007F4D5F"/>
    <w:rsid w:val="007F4E77"/>
    <w:rsid w:val="007F4EAC"/>
    <w:rsid w:val="007F51A0"/>
    <w:rsid w:val="007F58F3"/>
    <w:rsid w:val="007F6C30"/>
    <w:rsid w:val="007F6CC4"/>
    <w:rsid w:val="007F6EC3"/>
    <w:rsid w:val="007F74EE"/>
    <w:rsid w:val="007F7B45"/>
    <w:rsid w:val="007F7BCF"/>
    <w:rsid w:val="007F7FCC"/>
    <w:rsid w:val="008002C9"/>
    <w:rsid w:val="0080152B"/>
    <w:rsid w:val="00801AAB"/>
    <w:rsid w:val="00801B86"/>
    <w:rsid w:val="00801C13"/>
    <w:rsid w:val="00802343"/>
    <w:rsid w:val="00802A57"/>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31E"/>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DBC"/>
    <w:rsid w:val="00826F83"/>
    <w:rsid w:val="00827EE9"/>
    <w:rsid w:val="00830003"/>
    <w:rsid w:val="008301DA"/>
    <w:rsid w:val="0083089F"/>
    <w:rsid w:val="008308EA"/>
    <w:rsid w:val="00830ABE"/>
    <w:rsid w:val="00830AE9"/>
    <w:rsid w:val="00830DF4"/>
    <w:rsid w:val="00830E8C"/>
    <w:rsid w:val="00831011"/>
    <w:rsid w:val="008316DC"/>
    <w:rsid w:val="008320B9"/>
    <w:rsid w:val="008322B3"/>
    <w:rsid w:val="00832B6F"/>
    <w:rsid w:val="00832CBD"/>
    <w:rsid w:val="008331B1"/>
    <w:rsid w:val="00833B3A"/>
    <w:rsid w:val="0083416C"/>
    <w:rsid w:val="00834781"/>
    <w:rsid w:val="00835188"/>
    <w:rsid w:val="0083545F"/>
    <w:rsid w:val="00835D8D"/>
    <w:rsid w:val="00835F16"/>
    <w:rsid w:val="008365D1"/>
    <w:rsid w:val="008368EE"/>
    <w:rsid w:val="00837268"/>
    <w:rsid w:val="00837274"/>
    <w:rsid w:val="008373D8"/>
    <w:rsid w:val="00837443"/>
    <w:rsid w:val="0083747E"/>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6C29"/>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53F"/>
    <w:rsid w:val="0086262F"/>
    <w:rsid w:val="00862D6D"/>
    <w:rsid w:val="00863558"/>
    <w:rsid w:val="00863BDE"/>
    <w:rsid w:val="00863D82"/>
    <w:rsid w:val="00863E7E"/>
    <w:rsid w:val="00863FAD"/>
    <w:rsid w:val="008640A3"/>
    <w:rsid w:val="008641FB"/>
    <w:rsid w:val="0086435E"/>
    <w:rsid w:val="00864A4C"/>
    <w:rsid w:val="00864C4C"/>
    <w:rsid w:val="00865207"/>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1E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2D"/>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5D6"/>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309"/>
    <w:rsid w:val="008955B8"/>
    <w:rsid w:val="00895707"/>
    <w:rsid w:val="008959F8"/>
    <w:rsid w:val="00895EAC"/>
    <w:rsid w:val="0089626A"/>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5FC"/>
    <w:rsid w:val="008A1B5F"/>
    <w:rsid w:val="008A1BA4"/>
    <w:rsid w:val="008A1D25"/>
    <w:rsid w:val="008A2493"/>
    <w:rsid w:val="008A2AD1"/>
    <w:rsid w:val="008A2CE2"/>
    <w:rsid w:val="008A2E6F"/>
    <w:rsid w:val="008A305A"/>
    <w:rsid w:val="008A3F2C"/>
    <w:rsid w:val="008A40D1"/>
    <w:rsid w:val="008A41F8"/>
    <w:rsid w:val="008A47EC"/>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2AE"/>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5C07"/>
    <w:rsid w:val="008C6378"/>
    <w:rsid w:val="008C6466"/>
    <w:rsid w:val="008C65E3"/>
    <w:rsid w:val="008C711B"/>
    <w:rsid w:val="008C7147"/>
    <w:rsid w:val="008C71B0"/>
    <w:rsid w:val="008C72A0"/>
    <w:rsid w:val="008C7C30"/>
    <w:rsid w:val="008C7CE0"/>
    <w:rsid w:val="008C7D88"/>
    <w:rsid w:val="008D03D8"/>
    <w:rsid w:val="008D0F18"/>
    <w:rsid w:val="008D12D6"/>
    <w:rsid w:val="008D15B0"/>
    <w:rsid w:val="008D20CE"/>
    <w:rsid w:val="008D21D0"/>
    <w:rsid w:val="008D2710"/>
    <w:rsid w:val="008D331E"/>
    <w:rsid w:val="008D39C6"/>
    <w:rsid w:val="008D3FDC"/>
    <w:rsid w:val="008D4110"/>
    <w:rsid w:val="008D422D"/>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4"/>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7E0"/>
    <w:rsid w:val="00903BCA"/>
    <w:rsid w:val="00903CF1"/>
    <w:rsid w:val="00903D5C"/>
    <w:rsid w:val="00903E6E"/>
    <w:rsid w:val="00903EC0"/>
    <w:rsid w:val="009045C9"/>
    <w:rsid w:val="00904A65"/>
    <w:rsid w:val="00904C35"/>
    <w:rsid w:val="00905552"/>
    <w:rsid w:val="00905737"/>
    <w:rsid w:val="00905A43"/>
    <w:rsid w:val="00905A60"/>
    <w:rsid w:val="00905A8D"/>
    <w:rsid w:val="00906524"/>
    <w:rsid w:val="009069F3"/>
    <w:rsid w:val="00906C65"/>
    <w:rsid w:val="009070CD"/>
    <w:rsid w:val="00907BAD"/>
    <w:rsid w:val="009102E6"/>
    <w:rsid w:val="00910CD3"/>
    <w:rsid w:val="00911031"/>
    <w:rsid w:val="00911DB8"/>
    <w:rsid w:val="0091214F"/>
    <w:rsid w:val="009122B5"/>
    <w:rsid w:val="0091290A"/>
    <w:rsid w:val="00912F48"/>
    <w:rsid w:val="00913099"/>
    <w:rsid w:val="009133E2"/>
    <w:rsid w:val="0091359D"/>
    <w:rsid w:val="009139B9"/>
    <w:rsid w:val="00913A72"/>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6F16"/>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4CA"/>
    <w:rsid w:val="00942D68"/>
    <w:rsid w:val="00942E7E"/>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723"/>
    <w:rsid w:val="0094792D"/>
    <w:rsid w:val="009479F6"/>
    <w:rsid w:val="00947C7F"/>
    <w:rsid w:val="00947D61"/>
    <w:rsid w:val="00947F86"/>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01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075"/>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B83"/>
    <w:rsid w:val="00977D04"/>
    <w:rsid w:val="009804CC"/>
    <w:rsid w:val="00980D93"/>
    <w:rsid w:val="00981155"/>
    <w:rsid w:val="009816D3"/>
    <w:rsid w:val="009817D2"/>
    <w:rsid w:val="00981FB9"/>
    <w:rsid w:val="0098201C"/>
    <w:rsid w:val="00982290"/>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246"/>
    <w:rsid w:val="0099657F"/>
    <w:rsid w:val="00996F55"/>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5B51"/>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1D20"/>
    <w:rsid w:val="009B200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6F1"/>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9F4"/>
    <w:rsid w:val="009F0C13"/>
    <w:rsid w:val="009F0DE7"/>
    <w:rsid w:val="009F0FB8"/>
    <w:rsid w:val="009F145D"/>
    <w:rsid w:val="009F1647"/>
    <w:rsid w:val="009F169C"/>
    <w:rsid w:val="009F17C8"/>
    <w:rsid w:val="009F1862"/>
    <w:rsid w:val="009F1921"/>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297"/>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1BB"/>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854"/>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A18"/>
    <w:rsid w:val="00A33B69"/>
    <w:rsid w:val="00A33E77"/>
    <w:rsid w:val="00A34208"/>
    <w:rsid w:val="00A3452B"/>
    <w:rsid w:val="00A34B0F"/>
    <w:rsid w:val="00A34D22"/>
    <w:rsid w:val="00A34FD5"/>
    <w:rsid w:val="00A353DA"/>
    <w:rsid w:val="00A354C9"/>
    <w:rsid w:val="00A35713"/>
    <w:rsid w:val="00A35747"/>
    <w:rsid w:val="00A35827"/>
    <w:rsid w:val="00A35C26"/>
    <w:rsid w:val="00A360A2"/>
    <w:rsid w:val="00A361CA"/>
    <w:rsid w:val="00A363C5"/>
    <w:rsid w:val="00A36813"/>
    <w:rsid w:val="00A3690B"/>
    <w:rsid w:val="00A36BF7"/>
    <w:rsid w:val="00A371B2"/>
    <w:rsid w:val="00A37829"/>
    <w:rsid w:val="00A40FEE"/>
    <w:rsid w:val="00A41316"/>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140"/>
    <w:rsid w:val="00A4425E"/>
    <w:rsid w:val="00A445B4"/>
    <w:rsid w:val="00A449A6"/>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64"/>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5F39"/>
    <w:rsid w:val="00A76810"/>
    <w:rsid w:val="00A76922"/>
    <w:rsid w:val="00A76980"/>
    <w:rsid w:val="00A76A37"/>
    <w:rsid w:val="00A773BD"/>
    <w:rsid w:val="00A777EC"/>
    <w:rsid w:val="00A77FCB"/>
    <w:rsid w:val="00A8091E"/>
    <w:rsid w:val="00A80E8F"/>
    <w:rsid w:val="00A81FC2"/>
    <w:rsid w:val="00A81FE5"/>
    <w:rsid w:val="00A82222"/>
    <w:rsid w:val="00A8284E"/>
    <w:rsid w:val="00A82E4A"/>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C3D"/>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0B5"/>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3D5F"/>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4F9"/>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8DB"/>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A61"/>
    <w:rsid w:val="00AF2F72"/>
    <w:rsid w:val="00AF308F"/>
    <w:rsid w:val="00AF31FE"/>
    <w:rsid w:val="00AF3A82"/>
    <w:rsid w:val="00AF4095"/>
    <w:rsid w:val="00AF4AC1"/>
    <w:rsid w:val="00AF57F9"/>
    <w:rsid w:val="00AF5DA1"/>
    <w:rsid w:val="00AF5F6E"/>
    <w:rsid w:val="00AF65CA"/>
    <w:rsid w:val="00AF696C"/>
    <w:rsid w:val="00AF697E"/>
    <w:rsid w:val="00AF7552"/>
    <w:rsid w:val="00AF78AD"/>
    <w:rsid w:val="00AF7953"/>
    <w:rsid w:val="00B00382"/>
    <w:rsid w:val="00B003D1"/>
    <w:rsid w:val="00B00799"/>
    <w:rsid w:val="00B007BF"/>
    <w:rsid w:val="00B0119E"/>
    <w:rsid w:val="00B01477"/>
    <w:rsid w:val="00B01564"/>
    <w:rsid w:val="00B01B96"/>
    <w:rsid w:val="00B01E27"/>
    <w:rsid w:val="00B01FC0"/>
    <w:rsid w:val="00B023BB"/>
    <w:rsid w:val="00B02BFD"/>
    <w:rsid w:val="00B031C8"/>
    <w:rsid w:val="00B03BD3"/>
    <w:rsid w:val="00B03C2D"/>
    <w:rsid w:val="00B0432F"/>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B93"/>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168"/>
    <w:rsid w:val="00B403FA"/>
    <w:rsid w:val="00B4164F"/>
    <w:rsid w:val="00B4165D"/>
    <w:rsid w:val="00B416C6"/>
    <w:rsid w:val="00B41814"/>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47E4A"/>
    <w:rsid w:val="00B502AC"/>
    <w:rsid w:val="00B50350"/>
    <w:rsid w:val="00B50F6F"/>
    <w:rsid w:val="00B513ED"/>
    <w:rsid w:val="00B51663"/>
    <w:rsid w:val="00B51CFB"/>
    <w:rsid w:val="00B51D7E"/>
    <w:rsid w:val="00B531C0"/>
    <w:rsid w:val="00B5400E"/>
    <w:rsid w:val="00B54254"/>
    <w:rsid w:val="00B542D6"/>
    <w:rsid w:val="00B54416"/>
    <w:rsid w:val="00B54756"/>
    <w:rsid w:val="00B548AA"/>
    <w:rsid w:val="00B5523C"/>
    <w:rsid w:val="00B5545E"/>
    <w:rsid w:val="00B554A5"/>
    <w:rsid w:val="00B554EA"/>
    <w:rsid w:val="00B55C35"/>
    <w:rsid w:val="00B55E7B"/>
    <w:rsid w:val="00B56400"/>
    <w:rsid w:val="00B5691A"/>
    <w:rsid w:val="00B57436"/>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91"/>
    <w:rsid w:val="00B705D1"/>
    <w:rsid w:val="00B70CC0"/>
    <w:rsid w:val="00B70EAE"/>
    <w:rsid w:val="00B70F85"/>
    <w:rsid w:val="00B71371"/>
    <w:rsid w:val="00B7155A"/>
    <w:rsid w:val="00B7165D"/>
    <w:rsid w:val="00B71CC2"/>
    <w:rsid w:val="00B72980"/>
    <w:rsid w:val="00B72A7E"/>
    <w:rsid w:val="00B73135"/>
    <w:rsid w:val="00B73822"/>
    <w:rsid w:val="00B7435C"/>
    <w:rsid w:val="00B748A1"/>
    <w:rsid w:val="00B74A8E"/>
    <w:rsid w:val="00B74FAE"/>
    <w:rsid w:val="00B75096"/>
    <w:rsid w:val="00B75118"/>
    <w:rsid w:val="00B756FD"/>
    <w:rsid w:val="00B7580B"/>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BDB"/>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079E"/>
    <w:rsid w:val="00BA1358"/>
    <w:rsid w:val="00BA1AB9"/>
    <w:rsid w:val="00BA21D0"/>
    <w:rsid w:val="00BA2722"/>
    <w:rsid w:val="00BA28A8"/>
    <w:rsid w:val="00BA292B"/>
    <w:rsid w:val="00BA2F84"/>
    <w:rsid w:val="00BA32F7"/>
    <w:rsid w:val="00BA39F5"/>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1C99"/>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57C"/>
    <w:rsid w:val="00BC6CCE"/>
    <w:rsid w:val="00BC7078"/>
    <w:rsid w:val="00BC791D"/>
    <w:rsid w:val="00BC7A3C"/>
    <w:rsid w:val="00BC7BC1"/>
    <w:rsid w:val="00BC7E0F"/>
    <w:rsid w:val="00BD02EF"/>
    <w:rsid w:val="00BD0599"/>
    <w:rsid w:val="00BD0947"/>
    <w:rsid w:val="00BD0C04"/>
    <w:rsid w:val="00BD0E2B"/>
    <w:rsid w:val="00BD11DD"/>
    <w:rsid w:val="00BD17AC"/>
    <w:rsid w:val="00BD17E1"/>
    <w:rsid w:val="00BD1C70"/>
    <w:rsid w:val="00BD1D19"/>
    <w:rsid w:val="00BD1D21"/>
    <w:rsid w:val="00BD1DBB"/>
    <w:rsid w:val="00BD2413"/>
    <w:rsid w:val="00BD2A9B"/>
    <w:rsid w:val="00BD3326"/>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0F8A"/>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B8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4F68"/>
    <w:rsid w:val="00BF5910"/>
    <w:rsid w:val="00BF5B62"/>
    <w:rsid w:val="00BF5C81"/>
    <w:rsid w:val="00BF5EDD"/>
    <w:rsid w:val="00BF6138"/>
    <w:rsid w:val="00BF62FD"/>
    <w:rsid w:val="00BF675A"/>
    <w:rsid w:val="00BF68D9"/>
    <w:rsid w:val="00BF6A10"/>
    <w:rsid w:val="00BF71D7"/>
    <w:rsid w:val="00BF7BFE"/>
    <w:rsid w:val="00C0052B"/>
    <w:rsid w:val="00C00554"/>
    <w:rsid w:val="00C00781"/>
    <w:rsid w:val="00C00885"/>
    <w:rsid w:val="00C00904"/>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AD8"/>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5EFD"/>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82B"/>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2460"/>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5B8"/>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10D"/>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595E"/>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4CCB"/>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61D"/>
    <w:rsid w:val="00CC2C3C"/>
    <w:rsid w:val="00CC343D"/>
    <w:rsid w:val="00CC3E3B"/>
    <w:rsid w:val="00CC4015"/>
    <w:rsid w:val="00CC46D9"/>
    <w:rsid w:val="00CC4778"/>
    <w:rsid w:val="00CC4D0A"/>
    <w:rsid w:val="00CC5649"/>
    <w:rsid w:val="00CC56E5"/>
    <w:rsid w:val="00CC5B66"/>
    <w:rsid w:val="00CC62DB"/>
    <w:rsid w:val="00CC654F"/>
    <w:rsid w:val="00CC65F3"/>
    <w:rsid w:val="00CC67C4"/>
    <w:rsid w:val="00CC6968"/>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AA"/>
    <w:rsid w:val="00CF4CCA"/>
    <w:rsid w:val="00CF5751"/>
    <w:rsid w:val="00CF5C62"/>
    <w:rsid w:val="00CF5DCC"/>
    <w:rsid w:val="00CF600A"/>
    <w:rsid w:val="00CF62B7"/>
    <w:rsid w:val="00CF667D"/>
    <w:rsid w:val="00CF6989"/>
    <w:rsid w:val="00CF6FC1"/>
    <w:rsid w:val="00CF75B4"/>
    <w:rsid w:val="00CF75D0"/>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E57"/>
    <w:rsid w:val="00D06F91"/>
    <w:rsid w:val="00D06FC3"/>
    <w:rsid w:val="00D07309"/>
    <w:rsid w:val="00D0732A"/>
    <w:rsid w:val="00D074CB"/>
    <w:rsid w:val="00D07503"/>
    <w:rsid w:val="00D0779D"/>
    <w:rsid w:val="00D07B6E"/>
    <w:rsid w:val="00D10597"/>
    <w:rsid w:val="00D10630"/>
    <w:rsid w:val="00D109D5"/>
    <w:rsid w:val="00D11219"/>
    <w:rsid w:val="00D11E42"/>
    <w:rsid w:val="00D12102"/>
    <w:rsid w:val="00D123AA"/>
    <w:rsid w:val="00D124A9"/>
    <w:rsid w:val="00D129A2"/>
    <w:rsid w:val="00D12D9A"/>
    <w:rsid w:val="00D13019"/>
    <w:rsid w:val="00D13353"/>
    <w:rsid w:val="00D1374D"/>
    <w:rsid w:val="00D1455C"/>
    <w:rsid w:val="00D148F6"/>
    <w:rsid w:val="00D1499D"/>
    <w:rsid w:val="00D14B07"/>
    <w:rsid w:val="00D15541"/>
    <w:rsid w:val="00D155C1"/>
    <w:rsid w:val="00D157F1"/>
    <w:rsid w:val="00D1589A"/>
    <w:rsid w:val="00D161D2"/>
    <w:rsid w:val="00D16437"/>
    <w:rsid w:val="00D165C2"/>
    <w:rsid w:val="00D1681B"/>
    <w:rsid w:val="00D16D98"/>
    <w:rsid w:val="00D16F48"/>
    <w:rsid w:val="00D1752B"/>
    <w:rsid w:val="00D1791D"/>
    <w:rsid w:val="00D179B4"/>
    <w:rsid w:val="00D17E85"/>
    <w:rsid w:val="00D20287"/>
    <w:rsid w:val="00D204EB"/>
    <w:rsid w:val="00D218FA"/>
    <w:rsid w:val="00D21DCC"/>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01F"/>
    <w:rsid w:val="00D322A4"/>
    <w:rsid w:val="00D326F7"/>
    <w:rsid w:val="00D32CAB"/>
    <w:rsid w:val="00D334A9"/>
    <w:rsid w:val="00D33528"/>
    <w:rsid w:val="00D33DFD"/>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7E"/>
    <w:rsid w:val="00D447E6"/>
    <w:rsid w:val="00D44D4C"/>
    <w:rsid w:val="00D44E50"/>
    <w:rsid w:val="00D451B2"/>
    <w:rsid w:val="00D45317"/>
    <w:rsid w:val="00D45374"/>
    <w:rsid w:val="00D459CA"/>
    <w:rsid w:val="00D45DAE"/>
    <w:rsid w:val="00D460F8"/>
    <w:rsid w:val="00D46233"/>
    <w:rsid w:val="00D46364"/>
    <w:rsid w:val="00D46530"/>
    <w:rsid w:val="00D4684B"/>
    <w:rsid w:val="00D46914"/>
    <w:rsid w:val="00D46C2C"/>
    <w:rsid w:val="00D46F74"/>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57F15"/>
    <w:rsid w:val="00D603A7"/>
    <w:rsid w:val="00D60498"/>
    <w:rsid w:val="00D60795"/>
    <w:rsid w:val="00D607E6"/>
    <w:rsid w:val="00D60A97"/>
    <w:rsid w:val="00D60F13"/>
    <w:rsid w:val="00D610FB"/>
    <w:rsid w:val="00D620AF"/>
    <w:rsid w:val="00D6210F"/>
    <w:rsid w:val="00D62591"/>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B86"/>
    <w:rsid w:val="00D91F94"/>
    <w:rsid w:val="00D92277"/>
    <w:rsid w:val="00D922F5"/>
    <w:rsid w:val="00D92ED2"/>
    <w:rsid w:val="00D934E5"/>
    <w:rsid w:val="00D93630"/>
    <w:rsid w:val="00D9372C"/>
    <w:rsid w:val="00D93797"/>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324"/>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12A"/>
    <w:rsid w:val="00DB550B"/>
    <w:rsid w:val="00DB56CA"/>
    <w:rsid w:val="00DB5B40"/>
    <w:rsid w:val="00DB6025"/>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2C7"/>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4A"/>
    <w:rsid w:val="00DD4656"/>
    <w:rsid w:val="00DD47C9"/>
    <w:rsid w:val="00DD4AAB"/>
    <w:rsid w:val="00DD4C4A"/>
    <w:rsid w:val="00DD58BF"/>
    <w:rsid w:val="00DD5C00"/>
    <w:rsid w:val="00DD7212"/>
    <w:rsid w:val="00DD7401"/>
    <w:rsid w:val="00DD7410"/>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2E98"/>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44B"/>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1E2"/>
    <w:rsid w:val="00DF621F"/>
    <w:rsid w:val="00DF69F4"/>
    <w:rsid w:val="00DF6C7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94F"/>
    <w:rsid w:val="00E01B1E"/>
    <w:rsid w:val="00E01CD2"/>
    <w:rsid w:val="00E02008"/>
    <w:rsid w:val="00E0208B"/>
    <w:rsid w:val="00E02217"/>
    <w:rsid w:val="00E023CF"/>
    <w:rsid w:val="00E02F29"/>
    <w:rsid w:val="00E03262"/>
    <w:rsid w:val="00E03355"/>
    <w:rsid w:val="00E0344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2D3"/>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52A"/>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08"/>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0E2"/>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97F8C"/>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122"/>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D4"/>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1C1"/>
    <w:rsid w:val="00EC4525"/>
    <w:rsid w:val="00EC46F9"/>
    <w:rsid w:val="00EC471D"/>
    <w:rsid w:val="00EC4883"/>
    <w:rsid w:val="00EC4AC1"/>
    <w:rsid w:val="00EC4C72"/>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105"/>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9C1"/>
    <w:rsid w:val="00EE0BA4"/>
    <w:rsid w:val="00EE0BFB"/>
    <w:rsid w:val="00EE0FDD"/>
    <w:rsid w:val="00EE1415"/>
    <w:rsid w:val="00EE2279"/>
    <w:rsid w:val="00EE256C"/>
    <w:rsid w:val="00EE2A51"/>
    <w:rsid w:val="00EE2DD9"/>
    <w:rsid w:val="00EE3238"/>
    <w:rsid w:val="00EE3EA9"/>
    <w:rsid w:val="00EE40D5"/>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160"/>
    <w:rsid w:val="00EF336C"/>
    <w:rsid w:val="00EF3AF2"/>
    <w:rsid w:val="00EF3D0A"/>
    <w:rsid w:val="00EF465C"/>
    <w:rsid w:val="00EF46AC"/>
    <w:rsid w:val="00EF474D"/>
    <w:rsid w:val="00EF4D66"/>
    <w:rsid w:val="00EF4F41"/>
    <w:rsid w:val="00EF4F61"/>
    <w:rsid w:val="00EF4F9D"/>
    <w:rsid w:val="00EF5623"/>
    <w:rsid w:val="00EF5973"/>
    <w:rsid w:val="00EF5DF9"/>
    <w:rsid w:val="00EF632E"/>
    <w:rsid w:val="00EF678A"/>
    <w:rsid w:val="00EF69AD"/>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DFC"/>
    <w:rsid w:val="00F04F5B"/>
    <w:rsid w:val="00F04FF3"/>
    <w:rsid w:val="00F050F9"/>
    <w:rsid w:val="00F05251"/>
    <w:rsid w:val="00F0543B"/>
    <w:rsid w:val="00F05761"/>
    <w:rsid w:val="00F058D1"/>
    <w:rsid w:val="00F05E2A"/>
    <w:rsid w:val="00F06073"/>
    <w:rsid w:val="00F060A2"/>
    <w:rsid w:val="00F06CFF"/>
    <w:rsid w:val="00F070C2"/>
    <w:rsid w:val="00F100BE"/>
    <w:rsid w:val="00F100C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78C"/>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37F0C"/>
    <w:rsid w:val="00F40571"/>
    <w:rsid w:val="00F40757"/>
    <w:rsid w:val="00F4078B"/>
    <w:rsid w:val="00F407DB"/>
    <w:rsid w:val="00F40E62"/>
    <w:rsid w:val="00F41463"/>
    <w:rsid w:val="00F41D17"/>
    <w:rsid w:val="00F41EAC"/>
    <w:rsid w:val="00F42375"/>
    <w:rsid w:val="00F43504"/>
    <w:rsid w:val="00F43577"/>
    <w:rsid w:val="00F43596"/>
    <w:rsid w:val="00F43F2D"/>
    <w:rsid w:val="00F449BC"/>
    <w:rsid w:val="00F44F18"/>
    <w:rsid w:val="00F45159"/>
    <w:rsid w:val="00F454C9"/>
    <w:rsid w:val="00F4586F"/>
    <w:rsid w:val="00F45BCD"/>
    <w:rsid w:val="00F45C9A"/>
    <w:rsid w:val="00F45EA7"/>
    <w:rsid w:val="00F45F17"/>
    <w:rsid w:val="00F4644B"/>
    <w:rsid w:val="00F466DF"/>
    <w:rsid w:val="00F4705C"/>
    <w:rsid w:val="00F478D2"/>
    <w:rsid w:val="00F47B1A"/>
    <w:rsid w:val="00F50C70"/>
    <w:rsid w:val="00F51F95"/>
    <w:rsid w:val="00F522AD"/>
    <w:rsid w:val="00F5239B"/>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2F3"/>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876D7"/>
    <w:rsid w:val="00F906FE"/>
    <w:rsid w:val="00F90CF7"/>
    <w:rsid w:val="00F90E69"/>
    <w:rsid w:val="00F90FE7"/>
    <w:rsid w:val="00F920D9"/>
    <w:rsid w:val="00F9255A"/>
    <w:rsid w:val="00F927C0"/>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8D5"/>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5FA6"/>
    <w:rsid w:val="00FC6178"/>
    <w:rsid w:val="00FC61FD"/>
    <w:rsid w:val="00FC634E"/>
    <w:rsid w:val="00FC6D9D"/>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AB8"/>
    <w:rsid w:val="00FE3D66"/>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4277E5B6-97BB-418A-8D71-2A44D9835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594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1159BC"/>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1159BC"/>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8464681">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7800618">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643495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968440972">
      <w:bodyDiv w:val="1"/>
      <w:marLeft w:val="0"/>
      <w:marRight w:val="0"/>
      <w:marTop w:val="0"/>
      <w:marBottom w:val="0"/>
      <w:divBdr>
        <w:top w:val="none" w:sz="0" w:space="0" w:color="auto"/>
        <w:left w:val="none" w:sz="0" w:space="0" w:color="auto"/>
        <w:bottom w:val="none" w:sz="0" w:space="0" w:color="auto"/>
        <w:right w:val="none" w:sz="0" w:space="0" w:color="auto"/>
      </w:divBdr>
      <w:divsChild>
        <w:div w:id="294915497">
          <w:marLeft w:val="547"/>
          <w:marRight w:val="0"/>
          <w:marTop w:val="0"/>
          <w:marBottom w:val="0"/>
          <w:divBdr>
            <w:top w:val="none" w:sz="0" w:space="0" w:color="auto"/>
            <w:left w:val="none" w:sz="0" w:space="0" w:color="auto"/>
            <w:bottom w:val="none" w:sz="0" w:space="0" w:color="auto"/>
            <w:right w:val="none" w:sz="0" w:space="0" w:color="auto"/>
          </w:divBdr>
        </w:div>
        <w:div w:id="1113594549">
          <w:marLeft w:val="547"/>
          <w:marRight w:val="0"/>
          <w:marTop w:val="0"/>
          <w:marBottom w:val="0"/>
          <w:divBdr>
            <w:top w:val="none" w:sz="0" w:space="0" w:color="auto"/>
            <w:left w:val="none" w:sz="0" w:space="0" w:color="auto"/>
            <w:bottom w:val="none" w:sz="0" w:space="0" w:color="auto"/>
            <w:right w:val="none" w:sz="0" w:space="0" w:color="auto"/>
          </w:divBdr>
        </w:div>
        <w:div w:id="1287809219">
          <w:marLeft w:val="547"/>
          <w:marRight w:val="0"/>
          <w:marTop w:val="0"/>
          <w:marBottom w:val="0"/>
          <w:divBdr>
            <w:top w:val="none" w:sz="0" w:space="0" w:color="auto"/>
            <w:left w:val="none" w:sz="0" w:space="0" w:color="auto"/>
            <w:bottom w:val="none" w:sz="0" w:space="0" w:color="auto"/>
            <w:right w:val="none" w:sz="0" w:space="0" w:color="auto"/>
          </w:divBdr>
        </w:div>
        <w:div w:id="2025398144">
          <w:marLeft w:val="547"/>
          <w:marRight w:val="0"/>
          <w:marTop w:val="0"/>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8183868">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1463321">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24821397">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2033280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3172770">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A0820-330D-4587-9725-5E6921C0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4077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2</cp:revision>
  <cp:lastPrinted>2019-02-13T07:31:00Z</cp:lastPrinted>
  <dcterms:created xsi:type="dcterms:W3CDTF">2024-04-05T07:01:00Z</dcterms:created>
  <dcterms:modified xsi:type="dcterms:W3CDTF">2024-04-05T07:01:00Z</dcterms:modified>
</cp:coreProperties>
</file>