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p>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"https://www.3gpp.org/ftp/tsg_ran/WG1_RL1/TSGR1_115/Docs/R1-2310782.zip" </w:instrText>
      </w:r>
      <w:r>
        <w:fldChar w:fldCharType="separate"/>
      </w:r>
      <w:r>
        <w:rPr>
          <w:color w:val="0000FF"/>
          <w:u w:val="single"/>
          <w:lang w:val="en-US"/>
        </w:rPr>
        <w:t>R1-2310782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FL2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lang w:val="en-US"/>
              </w:rPr>
            </w:pPr>
            <w:r>
              <w:rPr>
                <w:lang w:val="en-US"/>
              </w:rPr>
              <w:t>A network-configurable additional separate early indication in Msg1 for Rel-18 eRedCap UEs is supported.</w:t>
            </w:r>
          </w:p>
          <w:p>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3"/>
              </w:numPr>
              <w:spacing w:after="0" w:line="240" w:lineRule="auto"/>
              <w:jc w:val="left"/>
              <w:rPr>
                <w:lang w:val="en-US"/>
              </w:rPr>
            </w:pPr>
            <w:r>
              <w:rPr>
                <w:lang w:val="en-US"/>
              </w:rPr>
              <w:t>Note: Rel-18 eRedCap UEs will be differentiated from Rel-17 RedCap UEs based on Msg3 of Rel-18 eRedCap UEs.</w:t>
            </w:r>
          </w:p>
          <w:p>
            <w:pPr>
              <w:numPr>
                <w:ilvl w:val="0"/>
                <w:numId w:val="13"/>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40"/>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4"/>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6"/>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Nokia, NSB</w:t>
            </w:r>
          </w:p>
        </w:tc>
        <w:tc>
          <w:tcPr>
            <w:tcW w:w="1372" w:type="dxa"/>
          </w:tcPr>
          <w:p>
            <w:pPr>
              <w:tabs>
                <w:tab w:val="left" w:pos="551"/>
              </w:tabs>
              <w:jc w:val="left"/>
              <w:rPr>
                <w:rFonts w:hint="eastAsia"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3" w:type="dxa"/>
          </w:tcPr>
          <w:p>
            <w:pPr>
              <w:jc w:val="left"/>
              <w:rPr>
                <w:rFonts w:hint="eastAsia" w:eastAsiaTheme="minorEastAsia"/>
                <w:lang w:val="en-US" w:eastAsia="zh-CN"/>
              </w:rPr>
            </w:pPr>
            <w:r>
              <w:rPr>
                <w:rFonts w:hint="eastAsia" w:eastAsiaTheme="minorEastAsia"/>
                <w:lang w:val="en-US" w:eastAsia="zh-CN"/>
              </w:rPr>
              <w:t>For PRACH transmission, we are OK with it and also OK with no change.</w:t>
            </w:r>
          </w:p>
          <w:p>
            <w:pPr>
              <w:jc w:val="left"/>
              <w:rPr>
                <w:rFonts w:hint="default" w:eastAsiaTheme="minorEastAsia"/>
                <w:lang w:val="en-US" w:eastAsia="zh-CN"/>
              </w:rPr>
            </w:pPr>
            <w:r>
              <w:rPr>
                <w:rFonts w:hint="eastAsia" w:eastAsiaTheme="minorEastAsia"/>
                <w:lang w:val="en-US" w:eastAsia="zh-CN"/>
              </w:rPr>
              <w:t>For PUCCH feedback, we think it is more important to have a change.</w:t>
            </w: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pPr>
              <w:jc w:val="left"/>
              <w:rPr>
                <w:rFonts w:eastAsiaTheme="minorEastAsia"/>
                <w:lang w:val="en-US" w:eastAsia="zh-CN"/>
              </w:rPr>
            </w:pPr>
            <w:r>
              <w:rPr>
                <w:rFonts w:eastAsiaTheme="minorEastAsia"/>
                <w:lang w:val="en-US" w:eastAsia="zh-CN"/>
              </w:rPr>
              <w:t xml:space="preserve"> </w:t>
            </w: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3" w:type="dxa"/>
          </w:tcPr>
          <w:p>
            <w:pPr>
              <w:pStyle w:val="50"/>
              <w:tabs>
                <w:tab w:val="left" w:pos="1545"/>
              </w:tabs>
              <w:ind w:left="0"/>
              <w:jc w:val="left"/>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bl>
    <w:p>
      <w:pPr>
        <w:rPr>
          <w:rFonts w:eastAsia="Microsoft YaHei UI"/>
          <w:lang w:val="en-US" w:eastAsia="zh-CN"/>
        </w:rPr>
      </w:pPr>
    </w:p>
    <w:p>
      <w:pPr>
        <w:rPr>
          <w:b/>
          <w:lang w:val="en-US"/>
        </w:rPr>
      </w:pPr>
      <w:r>
        <w:rPr>
          <w:b/>
          <w:highlight w:val="cyan"/>
          <w:lang w:val="en-US"/>
        </w:rPr>
        <w:t>FL1/FL2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pPr>
        <w:rPr>
          <w:rFonts w:eastAsia="Microsoft YaHei UI"/>
          <w:lang w:val="en-US" w:eastAsia="zh-CN"/>
        </w:rPr>
      </w:pPr>
    </w:p>
    <w:p>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jc w:val="left"/>
                    <w:rPr>
                      <w:rFonts w:eastAsiaTheme="minorEastAsia"/>
                      <w:lang w:val="en-US" w:eastAsia="zh-CN"/>
                    </w:rPr>
                  </w:pPr>
                  <w:r>
                    <w:rPr>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Nokia, NSB</w:t>
            </w:r>
          </w:p>
        </w:tc>
        <w:tc>
          <w:tcPr>
            <w:tcW w:w="1372" w:type="dxa"/>
          </w:tcPr>
          <w:p>
            <w:pPr>
              <w:tabs>
                <w:tab w:val="left" w:pos="551"/>
              </w:tabs>
              <w:jc w:val="left"/>
              <w:rPr>
                <w:rFonts w:hint="eastAsia" w:eastAsiaTheme="minorEastAsia"/>
                <w:lang w:val="en-US" w:eastAsia="zh-CN"/>
              </w:rPr>
            </w:pPr>
          </w:p>
        </w:tc>
        <w:tc>
          <w:tcPr>
            <w:tcW w:w="6783" w:type="dxa"/>
            <w:gridSpan w:val="2"/>
          </w:tcPr>
          <w:p>
            <w:pPr>
              <w:jc w:val="left"/>
              <w:rPr>
                <w:rFonts w:hint="eastAsia"/>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eastAsia" w:eastAsiaTheme="minorEastAsia"/>
                <w:lang w:val="en-US" w:eastAsia="zh-CN"/>
              </w:rPr>
            </w:pPr>
          </w:p>
        </w:tc>
        <w:tc>
          <w:tcPr>
            <w:tcW w:w="6783" w:type="dxa"/>
            <w:gridSpan w:val="2"/>
          </w:tcPr>
          <w:p>
            <w:pPr>
              <w:jc w:val="left"/>
              <w:rPr>
                <w:rFonts w:hint="default"/>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3"/>
              </w:numPr>
              <w:spacing w:after="0" w:line="240" w:lineRule="auto"/>
              <w:jc w:val="left"/>
              <w:rPr>
                <w:lang w:val="en-US" w:eastAsia="sv-SE"/>
              </w:rPr>
            </w:pPr>
            <w:r>
              <w:rPr>
                <w:lang w:val="en-US" w:eastAsia="sv-SE"/>
              </w:rPr>
              <w:t>UE behavior 2: Relaxed random access processing timeline in connected mode:</w:t>
            </w:r>
          </w:p>
          <w:p>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Nokia, NSB</w:t>
            </w:r>
          </w:p>
        </w:tc>
        <w:tc>
          <w:tcPr>
            <w:tcW w:w="1372" w:type="dxa"/>
          </w:tcPr>
          <w:p>
            <w:pPr>
              <w:tabs>
                <w:tab w:val="left" w:pos="551"/>
              </w:tabs>
              <w:jc w:val="left"/>
              <w:rPr>
                <w:rFonts w:hint="eastAsia"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bookmarkStart w:id="8" w:name="_GoBack"/>
            <w:bookmarkEnd w:id="8"/>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eastAsia" w:eastAsiaTheme="minorEastAsia"/>
                <w:lang w:val="en-US" w:eastAsia="zh-CN"/>
              </w:rPr>
            </w:pPr>
            <w:r>
              <w:rPr>
                <w:rFonts w:eastAsiaTheme="minorEastAsia"/>
                <w:lang w:val="en-US" w:eastAsia="zh-CN"/>
              </w:rPr>
              <w:t>Nokia, NSB</w:t>
            </w:r>
          </w:p>
        </w:tc>
        <w:tc>
          <w:tcPr>
            <w:tcW w:w="1362" w:type="dxa"/>
          </w:tcPr>
          <w:p>
            <w:pPr>
              <w:tabs>
                <w:tab w:val="left" w:pos="551"/>
              </w:tabs>
              <w:jc w:val="left"/>
              <w:rPr>
                <w:rFonts w:hint="eastAsia"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default"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0"/>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0"/>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0"/>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w:t>
            </w:r>
          </w:p>
        </w:tc>
        <w:tc>
          <w:tcPr>
            <w:tcW w:w="6783"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9">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4"/>
  </w:num>
  <w:num w:numId="24">
    <w:abstractNumId w:val="9"/>
  </w:num>
  <w:num w:numId="25">
    <w:abstractNumId w:val="27"/>
  </w:num>
  <w:num w:numId="26">
    <w:abstractNumId w:val="16"/>
  </w:num>
  <w:num w:numId="27">
    <w:abstractNumId w:val="21"/>
  </w:num>
  <w:num w:numId="28">
    <w:abstractNumId w:val="3"/>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30BFFA46-7D03-4C66-98A9-27FCBB907E0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31</Pages>
  <Words>13233</Words>
  <Characters>75431</Characters>
  <Lines>628</Lines>
  <Paragraphs>176</Paragraphs>
  <TotalTime>38</TotalTime>
  <ScaleCrop>false</ScaleCrop>
  <LinksUpToDate>false</LinksUpToDate>
  <CharactersWithSpaces>88488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2023-11-14T03:29:00Z</dcterms:created>
  <dc:creator>cmcc</dc:creator>
  <cp:lastModifiedBy>10234951</cp:lastModifiedBy>
  <dcterms:modified xsi:type="dcterms:W3CDTF">2023-11-14T14:17:29Z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