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4B04A891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52385">
        <w:rPr>
          <w:bCs/>
          <w:noProof w:val="0"/>
          <w:sz w:val="24"/>
          <w:szCs w:val="24"/>
          <w:lang w:val="de-DE"/>
        </w:rPr>
        <w:t>5</w:t>
      </w:r>
      <w:r w:rsidR="001348FE">
        <w:tab/>
      </w:r>
      <w:r w:rsidR="003E00E1" w:rsidRPr="008D701B">
        <w:rPr>
          <w:bCs/>
          <w:noProof w:val="0"/>
          <w:sz w:val="24"/>
          <w:szCs w:val="24"/>
        </w:rPr>
        <w:t>R1-2312139</w:t>
      </w:r>
    </w:p>
    <w:p w14:paraId="30E02940" w14:textId="7CD83D51" w:rsidR="00CA26CE" w:rsidRDefault="00A52385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IL, USA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="000D2B67" w:rsidRPr="000D2B67">
        <w:rPr>
          <w:bCs/>
          <w:noProof w:val="0"/>
          <w:sz w:val="24"/>
          <w:szCs w:val="24"/>
          <w:vertAlign w:val="superscript"/>
        </w:rPr>
        <w:t>th</w:t>
      </w:r>
      <w:r w:rsidR="000D2B67"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0D2B67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 w:rsidR="00E0283A">
        <w:rPr>
          <w:bCs/>
          <w:noProof w:val="0"/>
          <w:sz w:val="24"/>
          <w:szCs w:val="24"/>
        </w:rPr>
        <w:t>November</w:t>
      </w:r>
      <w:r w:rsidR="000A71AB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CF4092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FA096D">
        <w:rPr>
          <w:rFonts w:cs="Arial"/>
          <w:b/>
          <w:bCs/>
          <w:sz w:val="24"/>
        </w:rPr>
        <w:t>8.15.1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6AE8507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A096D">
        <w:rPr>
          <w:rFonts w:ascii="Arial" w:hAnsi="Arial" w:cs="Arial"/>
          <w:b/>
          <w:bCs/>
          <w:sz w:val="24"/>
        </w:rPr>
        <w:t>On evaluation criteria for adopting the evaluation results for TR 37.911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78E66EA2" w:rsidR="00056BDE" w:rsidRPr="00056BDE" w:rsidRDefault="009330BC" w:rsidP="00F91938">
      <w:pPr>
        <w:jc w:val="both"/>
      </w:pPr>
      <w:r>
        <w:t xml:space="preserve">During the past few RAN1 meetings quite a lot of effort was put into defining the evaluation conditions to be used for the IMT-2020 Satellite evaluations. </w:t>
      </w:r>
      <w:r w:rsidR="00A82837">
        <w:t>At the last RAN1 meeting (RAN1#114-bis), several companies presented their simulation/evaluation results</w:t>
      </w:r>
      <w:r w:rsidR="00F91938">
        <w:t>, which included both calibration results and simulation results.</w:t>
      </w:r>
      <w:r w:rsidR="004A0584">
        <w:t xml:space="preserve"> In this contribution we will shortly discuss some aspects that are related to which results should be considered valid in terms of inclusion to the </w:t>
      </w:r>
      <w:r w:rsidR="00F866B2">
        <w:t>final TR for the IMT-2020 Satellite evaluations.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3FAA0CDB" w:rsidR="001F201D" w:rsidRDefault="00FB56A7" w:rsidP="001F201D">
      <w:r>
        <w:t xml:space="preserve">In </w:t>
      </w:r>
      <w:r w:rsidR="00524846">
        <w:fldChar w:fldCharType="begin"/>
      </w:r>
      <w:r w:rsidR="00524846">
        <w:instrText xml:space="preserve"> REF _Ref149825771 \r \h </w:instrText>
      </w:r>
      <w:r w:rsidR="00524846">
        <w:fldChar w:fldCharType="separate"/>
      </w:r>
      <w:r w:rsidR="00524846">
        <w:t>[1]</w:t>
      </w:r>
      <w:r w:rsidR="00524846">
        <w:fldChar w:fldCharType="end"/>
      </w:r>
      <w:r w:rsidR="00524846">
        <w:t xml:space="preserve"> a collection of various </w:t>
      </w:r>
      <w:proofErr w:type="gramStart"/>
      <w:r w:rsidR="00524846">
        <w:t>compan</w:t>
      </w:r>
      <w:r w:rsidR="00CF501D">
        <w:t>ies</w:t>
      </w:r>
      <w:proofErr w:type="gramEnd"/>
      <w:r w:rsidR="00CF501D">
        <w:t xml:space="preserve"> </w:t>
      </w:r>
      <w:r w:rsidR="004E1EA5">
        <w:t xml:space="preserve">calibration results have been presented. </w:t>
      </w:r>
      <w:r w:rsidR="00EA1BBD">
        <w:t xml:space="preserve">For </w:t>
      </w:r>
      <w:proofErr w:type="gramStart"/>
      <w:r w:rsidR="00EA1BBD">
        <w:t>instance</w:t>
      </w:r>
      <w:proofErr w:type="gramEnd"/>
      <w:r w:rsidR="00EA1BBD">
        <w:t xml:space="preserve"> the </w:t>
      </w:r>
      <w:r w:rsidR="003533B8">
        <w:t xml:space="preserve">CDF of the </w:t>
      </w:r>
      <w:r w:rsidR="005B7B60">
        <w:t xml:space="preserve">observed coupling loss </w:t>
      </w:r>
      <w:r w:rsidR="003533B8">
        <w:t xml:space="preserve">for a given deployment scenario </w:t>
      </w:r>
      <w:r w:rsidR="00EE29D8">
        <w:t xml:space="preserve">as provided </w:t>
      </w:r>
      <w:r w:rsidR="005B7B60">
        <w:t xml:space="preserve">by </w:t>
      </w:r>
      <w:r w:rsidR="00AC09D0">
        <w:t xml:space="preserve">companies </w:t>
      </w:r>
      <w:r w:rsidR="00EE29D8">
        <w:t xml:space="preserve">turned out to be as presented in </w:t>
      </w:r>
      <w:r w:rsidR="00C04013">
        <w:fldChar w:fldCharType="begin"/>
      </w:r>
      <w:r w:rsidR="00C04013">
        <w:instrText xml:space="preserve"> REF _Ref149826063 \h </w:instrText>
      </w:r>
      <w:r w:rsidR="00C04013">
        <w:fldChar w:fldCharType="separate"/>
      </w:r>
      <w:r w:rsidR="00C04013">
        <w:t xml:space="preserve">Figure </w:t>
      </w:r>
      <w:r w:rsidR="00C04013">
        <w:rPr>
          <w:noProof/>
        </w:rPr>
        <w:t>1</w:t>
      </w:r>
      <w:r w:rsidR="00C04013">
        <w:fldChar w:fldCharType="end"/>
      </w:r>
      <w:r w:rsidR="00415D67">
        <w:t xml:space="preserve">, where it is seen that there is in general good </w:t>
      </w:r>
      <w:r w:rsidR="00F33AA7">
        <w:t xml:space="preserve">correlation between the </w:t>
      </w:r>
      <w:r w:rsidR="5DBF782F">
        <w:t>results</w:t>
      </w:r>
      <w:r w:rsidR="00F33AA7">
        <w:t xml:space="preserve"> from different companies. The same situation occurs when considering the </w:t>
      </w:r>
      <w:r w:rsidR="005D1499">
        <w:t>Geometry S</w:t>
      </w:r>
      <w:r w:rsidR="0079199A">
        <w:t>I</w:t>
      </w:r>
      <w:r w:rsidR="005D1499">
        <w:t>NR</w:t>
      </w:r>
      <w:r w:rsidR="0079199A">
        <w:t xml:space="preserve"> which is presented in </w:t>
      </w:r>
      <w:r w:rsidR="005135AD">
        <w:fldChar w:fldCharType="begin"/>
      </w:r>
      <w:r w:rsidR="005135AD">
        <w:instrText xml:space="preserve"> REF _Ref149826216 \h </w:instrText>
      </w:r>
      <w:r w:rsidR="005135AD">
        <w:fldChar w:fldCharType="separate"/>
      </w:r>
      <w:r w:rsidR="005135AD">
        <w:t xml:space="preserve">Figure </w:t>
      </w:r>
      <w:r w:rsidR="005135AD">
        <w:rPr>
          <w:noProof/>
        </w:rPr>
        <w:t>2</w:t>
      </w:r>
      <w:r w:rsidR="005135AD">
        <w:fldChar w:fldCharType="end"/>
      </w:r>
      <w:r w:rsidR="008C7C3C">
        <w:t xml:space="preserve">, where it is again seen that there is in general good alignment between </w:t>
      </w:r>
      <w:r w:rsidR="0074285F">
        <w:t xml:space="preserve">companies when it comes </w:t>
      </w:r>
      <w:r w:rsidR="0061603B">
        <w:t xml:space="preserve">to the CDF of the </w:t>
      </w:r>
      <w:r w:rsidR="008C7C3C">
        <w:t xml:space="preserve">observed </w:t>
      </w:r>
      <w:r w:rsidR="0061603B">
        <w:t>geometry SINR</w:t>
      </w:r>
      <w:r w:rsidR="005135AD">
        <w:t>.</w:t>
      </w:r>
    </w:p>
    <w:p w14:paraId="3E76DF03" w14:textId="77777777" w:rsidR="00EE76B9" w:rsidRDefault="00EE76B9" w:rsidP="00EE76B9">
      <w:pPr>
        <w:keepNext/>
      </w:pPr>
      <w:r>
        <w:rPr>
          <w:noProof/>
        </w:rPr>
        <w:drawing>
          <wp:inline distT="0" distB="0" distL="0" distR="0" wp14:anchorId="1AD13373" wp14:editId="278B8839">
            <wp:extent cx="6078931" cy="1211989"/>
            <wp:effectExtent l="0" t="0" r="0" b="7620"/>
            <wp:docPr id="1413073283" name="Picture 141307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943" cy="125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341510" w14:textId="19623CC1" w:rsidR="00EE29D8" w:rsidRDefault="00EE76B9" w:rsidP="00EE76B9">
      <w:pPr>
        <w:pStyle w:val="Caption"/>
      </w:pPr>
      <w:bookmarkStart w:id="2" w:name="_Ref149826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7B16">
        <w:rPr>
          <w:noProof/>
        </w:rPr>
        <w:t>1</w:t>
      </w:r>
      <w:r>
        <w:fldChar w:fldCharType="end"/>
      </w:r>
      <w:bookmarkEnd w:id="2"/>
      <w:r>
        <w:t xml:space="preserve"> Observed coupling loss for a given deployment as presented by different companies.</w:t>
      </w:r>
    </w:p>
    <w:p w14:paraId="01772A11" w14:textId="77777777" w:rsidR="00EE29D8" w:rsidRDefault="00EE29D8" w:rsidP="001F201D"/>
    <w:p w14:paraId="3C5D08D3" w14:textId="77777777" w:rsidR="00B77B16" w:rsidRDefault="00B77B16" w:rsidP="00B77B16">
      <w:pPr>
        <w:keepNext/>
      </w:pPr>
      <w:r>
        <w:rPr>
          <w:noProof/>
        </w:rPr>
        <w:drawing>
          <wp:inline distT="0" distB="0" distL="0" distR="0" wp14:anchorId="49885DCC" wp14:editId="041FF952">
            <wp:extent cx="6086246" cy="1217330"/>
            <wp:effectExtent l="0" t="0" r="0" b="1905"/>
            <wp:docPr id="1912287472" name="Picture 1912287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932" cy="1239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602C9" w14:textId="0AE6F2B4" w:rsidR="00B77B16" w:rsidRDefault="00B77B16" w:rsidP="00B77B16">
      <w:pPr>
        <w:pStyle w:val="Caption"/>
      </w:pPr>
      <w:bookmarkStart w:id="3" w:name="_Ref1498262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Observed Geometry S</w:t>
      </w:r>
      <w:r w:rsidR="0079199A">
        <w:t>I</w:t>
      </w:r>
      <w:r>
        <w:t>NR for a given deployment as presented by different companies.</w:t>
      </w:r>
    </w:p>
    <w:p w14:paraId="4276C666" w14:textId="6DF881AD" w:rsidR="005135AD" w:rsidRDefault="00E457F4" w:rsidP="001F201D">
      <w:r>
        <w:t xml:space="preserve">It is </w:t>
      </w:r>
      <w:r w:rsidR="00E44A08">
        <w:t>in general good that companies are well aligned with their results</w:t>
      </w:r>
      <w:r w:rsidR="00F90F39">
        <w:t xml:space="preserve"> for the calibration </w:t>
      </w:r>
      <w:r w:rsidR="0025362D">
        <w:t>curves</w:t>
      </w:r>
      <w:r w:rsidR="005E21F5">
        <w:t xml:space="preserve">, and </w:t>
      </w:r>
      <w:r w:rsidR="00A36541">
        <w:t xml:space="preserve">providing results that are in line with the </w:t>
      </w:r>
      <w:r w:rsidR="009C396F">
        <w:t>calibration results from other companies should also be indicative that the simulation setup is according to agreed assumptions. This leads to our first observation</w:t>
      </w:r>
      <w:r w:rsidR="008F7C88">
        <w:t>:</w:t>
      </w:r>
    </w:p>
    <w:p w14:paraId="7E1B27C6" w14:textId="735F8C11" w:rsidR="00BB3BBD" w:rsidRDefault="00BB3BBD" w:rsidP="001F201D">
      <w:pPr>
        <w:rPr>
          <w:b/>
          <w:bCs/>
        </w:rPr>
      </w:pPr>
      <w:r w:rsidRPr="00FA096D">
        <w:rPr>
          <w:b/>
          <w:bCs/>
        </w:rPr>
        <w:t>Observation 1: It is crucial that the evaluation results for TR 37.911 are evaluating using the same baseline</w:t>
      </w:r>
      <w:r w:rsidR="00DB4BD6">
        <w:rPr>
          <w:b/>
          <w:bCs/>
        </w:rPr>
        <w:t>.</w:t>
      </w:r>
    </w:p>
    <w:p w14:paraId="4CCC9121" w14:textId="7590EFF1" w:rsidR="008F7C88" w:rsidRPr="008F7C88" w:rsidRDefault="008F7C88" w:rsidP="001F201D">
      <w:r>
        <w:lastRenderedPageBreak/>
        <w:t xml:space="preserve">However, it </w:t>
      </w:r>
      <w:r w:rsidR="00AA1409">
        <w:t xml:space="preserve">should also be acknowledged that that </w:t>
      </w:r>
      <w:r w:rsidR="004E41E3">
        <w:t xml:space="preserve">the alignment of </w:t>
      </w:r>
      <w:r w:rsidR="00620F44">
        <w:t xml:space="preserve">the calibration scenario is a necessary condition for </w:t>
      </w:r>
      <w:r w:rsidR="001854B9">
        <w:t xml:space="preserve">seeing the </w:t>
      </w:r>
      <w:r w:rsidR="00F060F6">
        <w:t xml:space="preserve">performance numbers for the different key evaluation parameters to be valid </w:t>
      </w:r>
      <w:proofErr w:type="gramStart"/>
      <w:r w:rsidR="00F060F6">
        <w:t>in order to</w:t>
      </w:r>
      <w:proofErr w:type="gramEnd"/>
      <w:r w:rsidR="00F060F6">
        <w:t xml:space="preserve"> be included for the </w:t>
      </w:r>
      <w:r w:rsidR="00A84AD2">
        <w:t xml:space="preserve">technical report for the </w:t>
      </w:r>
      <w:r w:rsidR="000673CD">
        <w:t>IMT-2020 Satellite evaluation results.</w:t>
      </w:r>
    </w:p>
    <w:p w14:paraId="44BA6F99" w14:textId="41EF39E9" w:rsidR="00BB3BBD" w:rsidRDefault="00BB3BBD" w:rsidP="001F201D">
      <w:pPr>
        <w:rPr>
          <w:b/>
          <w:bCs/>
        </w:rPr>
      </w:pPr>
      <w:r w:rsidRPr="00FA096D">
        <w:rPr>
          <w:b/>
          <w:bCs/>
        </w:rPr>
        <w:t xml:space="preserve">Proposal 1: Only adopt results for TR 38.911 which are from sources that also provide results for the calibration. </w:t>
      </w:r>
    </w:p>
    <w:p w14:paraId="387761F2" w14:textId="6E46BA61" w:rsidR="00FA096D" w:rsidRDefault="00CF541E" w:rsidP="001F201D">
      <w:r>
        <w:t xml:space="preserve">Further, when observing the results that were submitted for RAN1#114-bis, it should be noted that </w:t>
      </w:r>
      <w:r w:rsidR="00AB6CAC">
        <w:t xml:space="preserve">at least one company provided </w:t>
      </w:r>
      <w:r w:rsidR="00C40E63">
        <w:t>evaluation results for both</w:t>
      </w:r>
      <w:r w:rsidR="002D2D11">
        <w:t xml:space="preserve"> </w:t>
      </w:r>
      <w:r w:rsidR="00491469">
        <w:t>earth moving cell (EM</w:t>
      </w:r>
      <w:r w:rsidR="00A75CAC">
        <w:t xml:space="preserve">C) and earth fixed cell (FEC) scenarios. </w:t>
      </w:r>
      <w:r w:rsidR="004C6F76">
        <w:t xml:space="preserve">Since both </w:t>
      </w:r>
      <w:r w:rsidR="4F633D14">
        <w:t>deployment</w:t>
      </w:r>
      <w:r w:rsidR="004C6F76">
        <w:t xml:space="preserve"> scenarios are to be considered realistic scenarios, </w:t>
      </w:r>
      <w:r w:rsidR="00090EB1">
        <w:t>we would encourage RAN1 to a</w:t>
      </w:r>
      <w:r w:rsidR="00A1026B">
        <w:t xml:space="preserve">ccept </w:t>
      </w:r>
      <w:r w:rsidR="00F40C47">
        <w:t xml:space="preserve">a wider range of </w:t>
      </w:r>
      <w:r w:rsidR="00167082">
        <w:t xml:space="preserve">results – even multiple results </w:t>
      </w:r>
      <w:r w:rsidR="00A51426">
        <w:t>as input for the performance evaluations</w:t>
      </w:r>
      <w:r w:rsidR="00167082">
        <w:t xml:space="preserve">, even that </w:t>
      </w:r>
      <w:r w:rsidR="00A51426">
        <w:t>such results are from the same company</w:t>
      </w:r>
      <w:r w:rsidR="00F154DC">
        <w:t xml:space="preserve">. The reason for this is that </w:t>
      </w:r>
      <w:r w:rsidR="00D751F3">
        <w:t>considering this varie</w:t>
      </w:r>
      <w:r w:rsidR="008B6D50">
        <w:t xml:space="preserve">ty of </w:t>
      </w:r>
      <w:r w:rsidR="001B44E7">
        <w:t xml:space="preserve">deployment </w:t>
      </w:r>
      <w:r w:rsidR="28524790">
        <w:t>scenarios</w:t>
      </w:r>
      <w:r w:rsidR="001B44E7">
        <w:t xml:space="preserve"> would </w:t>
      </w:r>
      <w:r w:rsidR="00602A31">
        <w:t xml:space="preserve">provide more realistic </w:t>
      </w:r>
      <w:r w:rsidR="00580033">
        <w:t xml:space="preserve">results as there is a possibility to </w:t>
      </w:r>
      <w:r w:rsidR="003D59DF">
        <w:t>c</w:t>
      </w:r>
      <w:r w:rsidR="00067577">
        <w:t xml:space="preserve">onsider the </w:t>
      </w:r>
      <w:r w:rsidR="00091A66">
        <w:t>performance for EFC and EMC respectively in the results.</w:t>
      </w:r>
      <w:r w:rsidR="00167082">
        <w:t xml:space="preserve"> </w:t>
      </w:r>
    </w:p>
    <w:p w14:paraId="087E827F" w14:textId="6DF2F056" w:rsidR="00091A66" w:rsidRDefault="00091A66" w:rsidP="00091A66">
      <w:pPr>
        <w:rPr>
          <w:b/>
          <w:bCs/>
        </w:rPr>
      </w:pPr>
      <w:r w:rsidRPr="00FA096D">
        <w:rPr>
          <w:b/>
          <w:bCs/>
        </w:rPr>
        <w:t xml:space="preserve">Proposal </w:t>
      </w:r>
      <w:r>
        <w:rPr>
          <w:b/>
          <w:bCs/>
        </w:rPr>
        <w:t>2</w:t>
      </w:r>
      <w:r w:rsidRPr="00FA096D">
        <w:rPr>
          <w:b/>
          <w:bCs/>
        </w:rPr>
        <w:t xml:space="preserve">: </w:t>
      </w:r>
      <w:r w:rsidR="00DB4BD6">
        <w:rPr>
          <w:b/>
          <w:bCs/>
        </w:rPr>
        <w:t>Allow multiple results (for FEC and EMC) to be adopted to the evaluation results, even that they may originate from a single company.</w:t>
      </w:r>
      <w:r w:rsidRPr="00FA096D">
        <w:rPr>
          <w:b/>
          <w:bCs/>
        </w:rPr>
        <w:t xml:space="preserve"> </w:t>
      </w:r>
    </w:p>
    <w:p w14:paraId="0AEF4453" w14:textId="77777777" w:rsidR="00DB4BD6" w:rsidRPr="00DB4BD6" w:rsidRDefault="00DB4BD6" w:rsidP="00091A66"/>
    <w:bookmarkEnd w:id="1"/>
    <w:p w14:paraId="10445A01" w14:textId="65BF2491" w:rsidR="00885580" w:rsidRDefault="007820D0" w:rsidP="00885580">
      <w:pPr>
        <w:pStyle w:val="Heading1"/>
      </w:pPr>
      <w:r>
        <w:t>Conclusion</w:t>
      </w:r>
    </w:p>
    <w:p w14:paraId="0BF4390E" w14:textId="77777777" w:rsidR="00DB4BD6" w:rsidRDefault="00DB4BD6" w:rsidP="001F201D">
      <w:r>
        <w:t xml:space="preserve">In this contribution we have presented our analysis on the evaluation assumptions for the IMT-2020 </w:t>
      </w:r>
      <w:proofErr w:type="gramStart"/>
      <w:r>
        <w:t>Satellite</w:t>
      </w:r>
      <w:proofErr w:type="gramEnd"/>
      <w:r>
        <w:t xml:space="preserve"> and these are as follows:</w:t>
      </w:r>
    </w:p>
    <w:p w14:paraId="0EF09131" w14:textId="77777777" w:rsidR="0009058F" w:rsidRDefault="0009058F" w:rsidP="0009058F">
      <w:pPr>
        <w:rPr>
          <w:b/>
          <w:bCs/>
        </w:rPr>
      </w:pPr>
      <w:r w:rsidRPr="00FA096D">
        <w:rPr>
          <w:b/>
          <w:bCs/>
        </w:rPr>
        <w:t>Observation 1: It is crucial that the evaluation results for TR 37.911 are evaluating using the same baseline</w:t>
      </w:r>
      <w:r>
        <w:rPr>
          <w:b/>
          <w:bCs/>
        </w:rPr>
        <w:t>.</w:t>
      </w:r>
    </w:p>
    <w:p w14:paraId="469D29C1" w14:textId="77777777" w:rsidR="0009058F" w:rsidRDefault="0009058F" w:rsidP="0009058F">
      <w:pPr>
        <w:rPr>
          <w:b/>
          <w:bCs/>
        </w:rPr>
      </w:pPr>
      <w:r w:rsidRPr="00FA096D">
        <w:rPr>
          <w:b/>
          <w:bCs/>
        </w:rPr>
        <w:t xml:space="preserve">Proposal 1: Only adopt results for TR 38.911 which are from sources that also provide results for the calibration. </w:t>
      </w:r>
    </w:p>
    <w:p w14:paraId="10E25103" w14:textId="77777777" w:rsidR="0009058F" w:rsidRDefault="0009058F" w:rsidP="0009058F">
      <w:pPr>
        <w:rPr>
          <w:b/>
          <w:bCs/>
        </w:rPr>
      </w:pPr>
      <w:r w:rsidRPr="00FA096D">
        <w:rPr>
          <w:b/>
          <w:bCs/>
        </w:rPr>
        <w:t xml:space="preserve">Proposal </w:t>
      </w:r>
      <w:r>
        <w:rPr>
          <w:b/>
          <w:bCs/>
        </w:rPr>
        <w:t>2</w:t>
      </w:r>
      <w:r w:rsidRPr="00FA096D">
        <w:rPr>
          <w:b/>
          <w:bCs/>
        </w:rPr>
        <w:t xml:space="preserve">: </w:t>
      </w:r>
      <w:r>
        <w:rPr>
          <w:b/>
          <w:bCs/>
        </w:rPr>
        <w:t>Allow multiple results (for FEC and EMC) to be adopted to the evaluation results, even that they may originate from a single company.</w:t>
      </w:r>
      <w:r w:rsidRPr="00FA096D">
        <w:rPr>
          <w:b/>
          <w:bCs/>
        </w:rPr>
        <w:t xml:space="preserve"> </w:t>
      </w:r>
    </w:p>
    <w:p w14:paraId="5E616DD8" w14:textId="77777777" w:rsidR="00DB4BD6" w:rsidRPr="00DB4BD6" w:rsidRDefault="00DB4BD6" w:rsidP="001F201D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93EE10C" w14:textId="11ED6978" w:rsidR="00205A4B" w:rsidRPr="00205A4B" w:rsidRDefault="009E6BCF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4" w:name="_Ref149825771"/>
      <w:r w:rsidRPr="009E6BCF">
        <w:rPr>
          <w:sz w:val="20"/>
          <w:szCs w:val="20"/>
        </w:rPr>
        <w:t>R1-2308870</w:t>
      </w:r>
      <w:r>
        <w:rPr>
          <w:sz w:val="20"/>
          <w:szCs w:val="20"/>
        </w:rPr>
        <w:t>, ”</w:t>
      </w:r>
      <w:r w:rsidR="002C1C8C" w:rsidRPr="002C1C8C">
        <w:rPr>
          <w:sz w:val="20"/>
          <w:szCs w:val="20"/>
        </w:rPr>
        <w:t xml:space="preserve">R1-2308870 1 </w:t>
      </w:r>
      <w:proofErr w:type="spellStart"/>
      <w:r w:rsidR="002C1C8C" w:rsidRPr="002C1C8C">
        <w:rPr>
          <w:sz w:val="20"/>
          <w:szCs w:val="20"/>
        </w:rPr>
        <w:t>Att</w:t>
      </w:r>
      <w:proofErr w:type="spellEnd"/>
      <w:r w:rsidR="002C1C8C" w:rsidRPr="002C1C8C">
        <w:rPr>
          <w:sz w:val="20"/>
          <w:szCs w:val="20"/>
        </w:rPr>
        <w:t xml:space="preserve"> </w:t>
      </w:r>
      <w:proofErr w:type="spellStart"/>
      <w:r w:rsidR="002C1C8C" w:rsidRPr="002C1C8C">
        <w:rPr>
          <w:sz w:val="20"/>
          <w:szCs w:val="20"/>
        </w:rPr>
        <w:t>Calibration_results</w:t>
      </w:r>
      <w:proofErr w:type="spellEnd"/>
      <w:r w:rsidR="002C1C8C" w:rsidRPr="002C1C8C">
        <w:rPr>
          <w:sz w:val="20"/>
          <w:szCs w:val="20"/>
        </w:rPr>
        <w:t xml:space="preserve"> v06</w:t>
      </w:r>
      <w:r>
        <w:rPr>
          <w:sz w:val="20"/>
          <w:szCs w:val="20"/>
        </w:rPr>
        <w:t>”</w:t>
      </w:r>
      <w:r w:rsidR="00FB56A7">
        <w:rPr>
          <w:sz w:val="20"/>
          <w:szCs w:val="20"/>
        </w:rPr>
        <w:t xml:space="preserve">, </w:t>
      </w:r>
      <w:proofErr w:type="spellStart"/>
      <w:r w:rsidR="00FB56A7">
        <w:rPr>
          <w:sz w:val="20"/>
          <w:szCs w:val="20"/>
        </w:rPr>
        <w:t>Moderator</w:t>
      </w:r>
      <w:proofErr w:type="spellEnd"/>
      <w:r w:rsidR="00FB56A7">
        <w:rPr>
          <w:sz w:val="20"/>
          <w:szCs w:val="20"/>
        </w:rPr>
        <w:t xml:space="preserve"> (Thales)</w:t>
      </w:r>
      <w:bookmarkEnd w:id="4"/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DEEF" w14:textId="77777777" w:rsidR="000B1E2D" w:rsidRDefault="000B1E2D">
      <w:r>
        <w:separator/>
      </w:r>
    </w:p>
  </w:endnote>
  <w:endnote w:type="continuationSeparator" w:id="0">
    <w:p w14:paraId="6905CD76" w14:textId="77777777" w:rsidR="000B1E2D" w:rsidRDefault="000B1E2D">
      <w:r>
        <w:continuationSeparator/>
      </w:r>
    </w:p>
  </w:endnote>
  <w:endnote w:type="continuationNotice" w:id="1">
    <w:p w14:paraId="308F74D2" w14:textId="77777777" w:rsidR="000B1E2D" w:rsidRDefault="000B1E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2E43" w14:textId="77777777" w:rsidR="000B1E2D" w:rsidRDefault="000B1E2D">
      <w:r>
        <w:separator/>
      </w:r>
    </w:p>
  </w:footnote>
  <w:footnote w:type="continuationSeparator" w:id="0">
    <w:p w14:paraId="5C55FD72" w14:textId="77777777" w:rsidR="000B1E2D" w:rsidRDefault="000B1E2D">
      <w:r>
        <w:continuationSeparator/>
      </w:r>
    </w:p>
  </w:footnote>
  <w:footnote w:type="continuationNotice" w:id="1">
    <w:p w14:paraId="269FF18F" w14:textId="77777777" w:rsidR="000B1E2D" w:rsidRDefault="000B1E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3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4"/>
  </w:num>
  <w:num w:numId="7" w16cid:durableId="813571431">
    <w:abstractNumId w:val="15"/>
  </w:num>
  <w:num w:numId="8" w16cid:durableId="1189026752">
    <w:abstractNumId w:val="12"/>
  </w:num>
  <w:num w:numId="9" w16cid:durableId="838931800">
    <w:abstractNumId w:val="27"/>
  </w:num>
  <w:num w:numId="10" w16cid:durableId="1573464737">
    <w:abstractNumId w:val="4"/>
  </w:num>
  <w:num w:numId="11" w16cid:durableId="257101052">
    <w:abstractNumId w:val="17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1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19"/>
  </w:num>
  <w:num w:numId="18" w16cid:durableId="139812750">
    <w:abstractNumId w:val="11"/>
  </w:num>
  <w:num w:numId="19" w16cid:durableId="1134371848">
    <w:abstractNumId w:val="16"/>
  </w:num>
  <w:num w:numId="20" w16cid:durableId="1905412601">
    <w:abstractNumId w:val="26"/>
  </w:num>
  <w:num w:numId="21" w16cid:durableId="346101783">
    <w:abstractNumId w:val="28"/>
  </w:num>
  <w:num w:numId="22" w16cid:durableId="1499273121">
    <w:abstractNumId w:val="18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5"/>
  </w:num>
  <w:num w:numId="26" w16cid:durableId="1635525904">
    <w:abstractNumId w:val="22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28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3CD"/>
    <w:rsid w:val="00067577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58F"/>
    <w:rsid w:val="00090EB1"/>
    <w:rsid w:val="00091A66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1E2D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8DE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625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120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82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54B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10"/>
    <w:rsid w:val="001B2762"/>
    <w:rsid w:val="001B36FC"/>
    <w:rsid w:val="001B38EE"/>
    <w:rsid w:val="001B41ED"/>
    <w:rsid w:val="001B44E7"/>
    <w:rsid w:val="001B4607"/>
    <w:rsid w:val="001B49E1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62D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C8C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D11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F70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33B8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051"/>
    <w:rsid w:val="003D232D"/>
    <w:rsid w:val="003D286B"/>
    <w:rsid w:val="003D2938"/>
    <w:rsid w:val="003D3FBA"/>
    <w:rsid w:val="003D402B"/>
    <w:rsid w:val="003D54B0"/>
    <w:rsid w:val="003D59DF"/>
    <w:rsid w:val="003D764F"/>
    <w:rsid w:val="003D76EF"/>
    <w:rsid w:val="003E0042"/>
    <w:rsid w:val="003E00E1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5D6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16D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469"/>
    <w:rsid w:val="00491BE4"/>
    <w:rsid w:val="00491DB2"/>
    <w:rsid w:val="00492877"/>
    <w:rsid w:val="00495BA6"/>
    <w:rsid w:val="00496DC2"/>
    <w:rsid w:val="00496E75"/>
    <w:rsid w:val="004A014C"/>
    <w:rsid w:val="004A0584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6F76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1EA5"/>
    <w:rsid w:val="004E2892"/>
    <w:rsid w:val="004E362B"/>
    <w:rsid w:val="004E3681"/>
    <w:rsid w:val="004E3D74"/>
    <w:rsid w:val="004E41E3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5AD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84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033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60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499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1F5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31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603B"/>
    <w:rsid w:val="00620F4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663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85F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99A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8B4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54D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4693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6D50"/>
    <w:rsid w:val="008B72EC"/>
    <w:rsid w:val="008C2CFD"/>
    <w:rsid w:val="008C3FDC"/>
    <w:rsid w:val="008C47AD"/>
    <w:rsid w:val="008C603A"/>
    <w:rsid w:val="008C71C8"/>
    <w:rsid w:val="008C7C3C"/>
    <w:rsid w:val="008D167D"/>
    <w:rsid w:val="008D3116"/>
    <w:rsid w:val="008D492A"/>
    <w:rsid w:val="008D4B58"/>
    <w:rsid w:val="008D4B7F"/>
    <w:rsid w:val="008D4B8A"/>
    <w:rsid w:val="008D6541"/>
    <w:rsid w:val="008D701B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C88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158"/>
    <w:rsid w:val="0093123D"/>
    <w:rsid w:val="00933040"/>
    <w:rsid w:val="009330BC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36F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DBD"/>
    <w:rsid w:val="009B76E3"/>
    <w:rsid w:val="009B76F9"/>
    <w:rsid w:val="009B7A72"/>
    <w:rsid w:val="009B7BB8"/>
    <w:rsid w:val="009C0E9B"/>
    <w:rsid w:val="009C126A"/>
    <w:rsid w:val="009C1D4C"/>
    <w:rsid w:val="009C2DD2"/>
    <w:rsid w:val="009C396F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63EB"/>
    <w:rsid w:val="009E6BCF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26B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41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426"/>
    <w:rsid w:val="00A51522"/>
    <w:rsid w:val="00A51573"/>
    <w:rsid w:val="00A51A5E"/>
    <w:rsid w:val="00A52385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5CAC"/>
    <w:rsid w:val="00A7618B"/>
    <w:rsid w:val="00A7640B"/>
    <w:rsid w:val="00A773A8"/>
    <w:rsid w:val="00A7778B"/>
    <w:rsid w:val="00A803BC"/>
    <w:rsid w:val="00A80969"/>
    <w:rsid w:val="00A82837"/>
    <w:rsid w:val="00A84AD2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409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CAC"/>
    <w:rsid w:val="00AB6D79"/>
    <w:rsid w:val="00AB709E"/>
    <w:rsid w:val="00AB7806"/>
    <w:rsid w:val="00AC02C1"/>
    <w:rsid w:val="00AC09D0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2E3"/>
    <w:rsid w:val="00AE78D1"/>
    <w:rsid w:val="00AE7F89"/>
    <w:rsid w:val="00AF097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16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0F6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BBD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4013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0E63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385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DB9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17C4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3F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01D"/>
    <w:rsid w:val="00CF541E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30E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1F3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BD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64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C34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83A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4A08"/>
    <w:rsid w:val="00E457F4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013C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BBD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AA8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9D8"/>
    <w:rsid w:val="00EE2A61"/>
    <w:rsid w:val="00EE3663"/>
    <w:rsid w:val="00EE41C4"/>
    <w:rsid w:val="00EE5A27"/>
    <w:rsid w:val="00EE6E77"/>
    <w:rsid w:val="00EE76A9"/>
    <w:rsid w:val="00EE76B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67"/>
    <w:rsid w:val="00F031EE"/>
    <w:rsid w:val="00F05759"/>
    <w:rsid w:val="00F060F6"/>
    <w:rsid w:val="00F064EC"/>
    <w:rsid w:val="00F07F39"/>
    <w:rsid w:val="00F10CB9"/>
    <w:rsid w:val="00F110CD"/>
    <w:rsid w:val="00F110D5"/>
    <w:rsid w:val="00F12351"/>
    <w:rsid w:val="00F15193"/>
    <w:rsid w:val="00F154DC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AA7"/>
    <w:rsid w:val="00F33DC8"/>
    <w:rsid w:val="00F34444"/>
    <w:rsid w:val="00F378F1"/>
    <w:rsid w:val="00F403A1"/>
    <w:rsid w:val="00F403DB"/>
    <w:rsid w:val="00F4065A"/>
    <w:rsid w:val="00F40C47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66B2"/>
    <w:rsid w:val="00F87032"/>
    <w:rsid w:val="00F87094"/>
    <w:rsid w:val="00F87AB3"/>
    <w:rsid w:val="00F90F39"/>
    <w:rsid w:val="00F9114A"/>
    <w:rsid w:val="00F913DC"/>
    <w:rsid w:val="00F91938"/>
    <w:rsid w:val="00F91DDA"/>
    <w:rsid w:val="00F9397A"/>
    <w:rsid w:val="00F93A37"/>
    <w:rsid w:val="00F94182"/>
    <w:rsid w:val="00F9431F"/>
    <w:rsid w:val="00F944D9"/>
    <w:rsid w:val="00F94DB3"/>
    <w:rsid w:val="00F96500"/>
    <w:rsid w:val="00FA096D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6A7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231"/>
    <w:rsid w:val="00FD33FC"/>
    <w:rsid w:val="00FD3680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108A492"/>
    <w:rsid w:val="10E807B4"/>
    <w:rsid w:val="141204DA"/>
    <w:rsid w:val="16512788"/>
    <w:rsid w:val="19CB0373"/>
    <w:rsid w:val="1A219784"/>
    <w:rsid w:val="1FE439D2"/>
    <w:rsid w:val="28524790"/>
    <w:rsid w:val="32975CEE"/>
    <w:rsid w:val="3E61DC49"/>
    <w:rsid w:val="40B66BA2"/>
    <w:rsid w:val="4C80CC45"/>
    <w:rsid w:val="4D98E1D7"/>
    <w:rsid w:val="4F633D14"/>
    <w:rsid w:val="5021EF0F"/>
    <w:rsid w:val="5DBF782F"/>
    <w:rsid w:val="641CD6D9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5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2023-11-03T19:34:00Z</dcterms:created>
  <dcterms:modified xsi:type="dcterms:W3CDTF">2023-11-03T19:34:00Z</dcterms:modified>
</cp:coreProperties>
</file>