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35F0E" w14:textId="5BFFCE21" w:rsidR="001A5A90" w:rsidRDefault="001A5A90" w:rsidP="001A5A90">
      <w:pPr>
        <w:pStyle w:val="CRCoverPage"/>
        <w:tabs>
          <w:tab w:val="right" w:pos="9639"/>
        </w:tabs>
        <w:spacing w:after="0"/>
        <w:rPr>
          <w:b/>
          <w:iCs/>
          <w:noProof/>
          <w:sz w:val="24"/>
          <w:szCs w:val="24"/>
          <w:lang w:val="en-US" w:eastAsia="ja-JP"/>
        </w:rPr>
      </w:pPr>
      <w:bookmarkStart w:id="0" w:name="OLE_LINK3"/>
      <w:r>
        <w:rPr>
          <w:b/>
          <w:noProof/>
          <w:sz w:val="24"/>
          <w:szCs w:val="24"/>
          <w:lang w:val="en-US"/>
        </w:rPr>
        <w:t>3GPP TSG RAN WG1 #11</w:t>
      </w:r>
      <w:r>
        <w:rPr>
          <w:b/>
          <w:noProof/>
          <w:sz w:val="24"/>
          <w:szCs w:val="24"/>
          <w:lang w:val="en-US" w:eastAsia="ja-JP"/>
        </w:rPr>
        <w:t>5</w:t>
      </w:r>
      <w:r>
        <w:rPr>
          <w:b/>
          <w:i/>
          <w:noProof/>
          <w:sz w:val="24"/>
          <w:szCs w:val="24"/>
          <w:lang w:val="en-US"/>
        </w:rPr>
        <w:tab/>
      </w:r>
      <w:r>
        <w:rPr>
          <w:b/>
          <w:iCs/>
          <w:noProof/>
          <w:sz w:val="24"/>
          <w:szCs w:val="24"/>
          <w:lang w:val="en-US"/>
        </w:rPr>
        <w:t>R1-23</w:t>
      </w:r>
      <w:r>
        <w:rPr>
          <w:b/>
          <w:iCs/>
          <w:noProof/>
          <w:sz w:val="24"/>
          <w:szCs w:val="24"/>
          <w:lang w:val="en-US" w:eastAsia="ja-JP"/>
        </w:rPr>
        <w:t>1</w:t>
      </w:r>
      <w:r w:rsidR="00D520DF">
        <w:rPr>
          <w:rFonts w:hint="eastAsia"/>
          <w:b/>
          <w:iCs/>
          <w:noProof/>
          <w:sz w:val="24"/>
          <w:szCs w:val="24"/>
          <w:lang w:val="en-US" w:eastAsia="ja-JP"/>
        </w:rPr>
        <w:t>1</w:t>
      </w:r>
      <w:r w:rsidR="00D520DF">
        <w:rPr>
          <w:b/>
          <w:iCs/>
          <w:noProof/>
          <w:sz w:val="24"/>
          <w:szCs w:val="24"/>
          <w:lang w:val="en-US" w:eastAsia="ja-JP"/>
        </w:rPr>
        <w:t>636</w:t>
      </w:r>
    </w:p>
    <w:p w14:paraId="66B25D6C" w14:textId="77777777" w:rsidR="001A5A90" w:rsidRDefault="001A5A90" w:rsidP="001A5A90">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Chicago, US, November 13th – 17th, 2023</w:t>
      </w:r>
    </w:p>
    <w:p w14:paraId="28806336" w14:textId="77777777" w:rsidR="00B06F73" w:rsidRPr="001A5A90"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2D4BA5C"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515A5F">
        <w:rPr>
          <w:sz w:val="24"/>
          <w:lang w:val="en-US"/>
        </w:rPr>
        <w:t>Discussion on FR2-NTN</w:t>
      </w:r>
      <w:r w:rsidR="003D29CF" w:rsidRPr="00C62EC3">
        <w:rPr>
          <w:sz w:val="24"/>
          <w:lang w:val="en-US"/>
        </w:rPr>
        <w:t xml:space="preserve"> for NR</w:t>
      </w:r>
      <w:r w:rsidR="00515A5F">
        <w:rPr>
          <w:sz w:val="24"/>
          <w:lang w:val="en-US"/>
        </w:rPr>
        <w:t xml:space="preserve"> NTN</w:t>
      </w:r>
    </w:p>
    <w:bookmarkEnd w:id="1"/>
    <w:bookmarkEnd w:id="2"/>
    <w:bookmarkEnd w:id="3"/>
    <w:bookmarkEnd w:id="4"/>
    <w:p w14:paraId="1A271381" w14:textId="22A39FA4"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F2234A">
        <w:rPr>
          <w:sz w:val="24"/>
          <w:lang w:val="en-US" w:eastAsia="ja-JP"/>
        </w:rPr>
        <w:t>8.1</w:t>
      </w:r>
      <w:r w:rsidR="00884981">
        <w:rPr>
          <w:sz w:val="24"/>
          <w:lang w:val="en-US" w:eastAsia="ja-JP"/>
        </w:rPr>
        <w:t>3</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0830A167" w14:textId="34B87D63" w:rsidR="007A7607" w:rsidRDefault="00F57B05" w:rsidP="00F2234A">
      <w:pPr>
        <w:spacing w:beforeLines="50" w:before="120" w:afterLines="50" w:after="120"/>
        <w:rPr>
          <w:sz w:val="22"/>
          <w:szCs w:val="18"/>
        </w:rPr>
      </w:pPr>
      <w:r>
        <w:rPr>
          <w:rFonts w:hint="eastAsia"/>
          <w:sz w:val="22"/>
          <w:szCs w:val="18"/>
        </w:rPr>
        <w:t>At th</w:t>
      </w:r>
      <w:r>
        <w:rPr>
          <w:sz w:val="22"/>
          <w:szCs w:val="18"/>
        </w:rPr>
        <w:t>e RAN1#114</w:t>
      </w:r>
      <w:r w:rsidR="00910CB6">
        <w:rPr>
          <w:sz w:val="22"/>
          <w:szCs w:val="18"/>
        </w:rPr>
        <w:t>bis</w:t>
      </w:r>
      <w:r>
        <w:rPr>
          <w:sz w:val="22"/>
          <w:szCs w:val="18"/>
        </w:rPr>
        <w:t xml:space="preserve"> meeting, RAN1 discussed FR2-NTN </w:t>
      </w:r>
      <w:r w:rsidR="00910CB6">
        <w:rPr>
          <w:sz w:val="22"/>
          <w:szCs w:val="18"/>
        </w:rPr>
        <w:t>according to an LS from RAN4, and several working assumptions were reached. In this contribution, w</w:t>
      </w:r>
      <w:r>
        <w:rPr>
          <w:sz w:val="22"/>
          <w:szCs w:val="18"/>
        </w:rPr>
        <w:t>e share</w:t>
      </w:r>
      <w:r w:rsidR="00910CB6">
        <w:rPr>
          <w:sz w:val="22"/>
          <w:szCs w:val="18"/>
        </w:rPr>
        <w:t xml:space="preserve"> our further views on</w:t>
      </w:r>
      <w:r>
        <w:rPr>
          <w:sz w:val="22"/>
          <w:szCs w:val="18"/>
        </w:rPr>
        <w:t xml:space="preserve"> FR2-NTN from RAN1 perspective.</w:t>
      </w:r>
    </w:p>
    <w:p w14:paraId="508B486A" w14:textId="77777777" w:rsidR="00F57B05" w:rsidRPr="00F2234A" w:rsidRDefault="00F57B05" w:rsidP="00F2234A">
      <w:pPr>
        <w:spacing w:beforeLines="50" w:before="120" w:afterLines="50" w:after="120"/>
        <w:rPr>
          <w:sz w:val="22"/>
          <w:szCs w:val="18"/>
        </w:rPr>
      </w:pPr>
    </w:p>
    <w:p w14:paraId="71114CF8" w14:textId="77777777" w:rsidR="00F2234A" w:rsidRPr="00F2234A" w:rsidRDefault="00F2234A"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701C8E3D" w:rsidR="00F65B5B" w:rsidRPr="00C62EC3" w:rsidRDefault="0029048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290485">
        <w:rPr>
          <w:rFonts w:ascii="Arial" w:eastAsia="DengXian" w:hAnsi="Arial"/>
          <w:b/>
          <w:kern w:val="28"/>
          <w:sz w:val="22"/>
          <w:szCs w:val="22"/>
          <w:lang w:eastAsia="zh-CN"/>
        </w:rPr>
        <w:t>PRACH configuration</w:t>
      </w:r>
    </w:p>
    <w:tbl>
      <w:tblPr>
        <w:tblStyle w:val="afc"/>
        <w:tblW w:w="0" w:type="auto"/>
        <w:tblLook w:val="04A0" w:firstRow="1" w:lastRow="0" w:firstColumn="1" w:lastColumn="0" w:noHBand="0" w:noVBand="1"/>
      </w:tblPr>
      <w:tblGrid>
        <w:gridCol w:w="9962"/>
      </w:tblGrid>
      <w:tr w:rsidR="00DE147F" w14:paraId="7B0698C5" w14:textId="77777777" w:rsidTr="00DE147F">
        <w:tc>
          <w:tcPr>
            <w:tcW w:w="9962" w:type="dxa"/>
          </w:tcPr>
          <w:p w14:paraId="2E4E2621" w14:textId="77777777" w:rsidR="00F43CD5" w:rsidRPr="00F43CD5" w:rsidRDefault="00F43CD5" w:rsidP="00F43CD5">
            <w:pPr>
              <w:widowControl w:val="0"/>
              <w:snapToGrid w:val="0"/>
              <w:spacing w:after="0"/>
              <w:rPr>
                <w:rFonts w:ascii="Times" w:eastAsia="Batang" w:hAnsi="Times"/>
                <w:color w:val="FFFFFF"/>
                <w:sz w:val="20"/>
                <w:szCs w:val="24"/>
                <w:lang w:eastAsia="en-US"/>
              </w:rPr>
            </w:pPr>
            <w:r w:rsidRPr="00F43CD5">
              <w:rPr>
                <w:rFonts w:ascii="Times" w:eastAsia="Batang" w:hAnsi="Times"/>
                <w:color w:val="FFFFFF"/>
                <w:sz w:val="20"/>
                <w:szCs w:val="24"/>
                <w:highlight w:val="darkYellow"/>
                <w:lang w:eastAsia="en-US"/>
              </w:rPr>
              <w:t>Working assumption</w:t>
            </w:r>
          </w:p>
          <w:p w14:paraId="07199629" w14:textId="77777777" w:rsidR="00F43CD5" w:rsidRPr="00F43CD5" w:rsidRDefault="00F43CD5" w:rsidP="00F43CD5">
            <w:pPr>
              <w:widowControl w:val="0"/>
              <w:snapToGrid w:val="0"/>
              <w:spacing w:after="0"/>
              <w:rPr>
                <w:rFonts w:ascii="Times" w:eastAsia="Batang" w:hAnsi="Times"/>
                <w:sz w:val="20"/>
                <w:szCs w:val="24"/>
                <w:lang w:eastAsia="en-US"/>
              </w:rPr>
            </w:pPr>
            <w:r w:rsidRPr="00F43CD5">
              <w:rPr>
                <w:rFonts w:ascii="Times" w:eastAsia="Batang" w:hAnsi="Times"/>
                <w:sz w:val="20"/>
                <w:szCs w:val="24"/>
                <w:lang w:eastAsia="en-US"/>
              </w:rPr>
              <w:t>For PRACH configuration for operation in FR2-NTN, Table 6.3.3.2-4 of TS 38.211 is used as baseline.</w:t>
            </w:r>
          </w:p>
          <w:p w14:paraId="2E5E844F" w14:textId="1972EF30" w:rsidR="00DE147F" w:rsidRPr="00F43CD5" w:rsidRDefault="00F43CD5" w:rsidP="00F43CD5">
            <w:pPr>
              <w:widowControl w:val="0"/>
              <w:snapToGrid w:val="0"/>
              <w:spacing w:after="0"/>
              <w:rPr>
                <w:rFonts w:ascii="Times" w:eastAsia="Batang" w:hAnsi="Times"/>
                <w:sz w:val="20"/>
                <w:szCs w:val="24"/>
                <w:lang w:eastAsia="en-US"/>
              </w:rPr>
            </w:pPr>
            <w:r w:rsidRPr="00F43CD5">
              <w:rPr>
                <w:rFonts w:ascii="Times" w:eastAsia="Batang" w:hAnsi="Times"/>
                <w:sz w:val="20"/>
                <w:szCs w:val="24"/>
                <w:lang w:eastAsia="en-US"/>
              </w:rPr>
              <w:t>FFS: Whether further modifications would be needed</w:t>
            </w:r>
          </w:p>
        </w:tc>
      </w:tr>
    </w:tbl>
    <w:p w14:paraId="19516B81" w14:textId="0BEEE164" w:rsidR="00DE147F" w:rsidRDefault="00BE2F27" w:rsidP="00F758E6">
      <w:pPr>
        <w:spacing w:beforeLines="50" w:before="120" w:afterLines="50" w:after="120"/>
        <w:rPr>
          <w:sz w:val="22"/>
          <w:szCs w:val="18"/>
          <w:lang w:val="en-US"/>
        </w:rPr>
      </w:pPr>
      <w:r>
        <w:rPr>
          <w:sz w:val="22"/>
          <w:szCs w:val="18"/>
          <w:lang w:val="en-US"/>
        </w:rPr>
        <w:t>At the last meeting, it was agreed</w:t>
      </w:r>
      <w:r w:rsidR="00E3147C">
        <w:rPr>
          <w:sz w:val="22"/>
          <w:szCs w:val="18"/>
          <w:lang w:val="en-US"/>
        </w:rPr>
        <w:t xml:space="preserve"> as working assumption</w:t>
      </w:r>
      <w:r>
        <w:rPr>
          <w:sz w:val="22"/>
          <w:szCs w:val="18"/>
          <w:lang w:val="en-US"/>
        </w:rPr>
        <w:t xml:space="preserve"> that the PRACH configuration table defined for FR2-TDD is used as baseline. </w:t>
      </w:r>
      <w:r w:rsidR="00D71EB0">
        <w:rPr>
          <w:sz w:val="22"/>
          <w:szCs w:val="18"/>
          <w:lang w:val="en-US"/>
        </w:rPr>
        <w:t xml:space="preserve">Some rows are not optimal for FR2-FDD; this is why an FFS is remaining here. In our view, large spec impact should be avoided. </w:t>
      </w:r>
      <w:r w:rsidR="00D71EB0" w:rsidRPr="00D71EB0">
        <w:rPr>
          <w:sz w:val="22"/>
          <w:szCs w:val="18"/>
          <w:lang w:val="en-US"/>
        </w:rPr>
        <w:t>If modifications are only to change starting symbols from non-zero value to zero with corresponding modifications (e.g., no. of occasions within a PRACH slot), i.e., simple modifications, they can be agreed; otherwise, no enhancement is preferred from perspective of RAN1 efforts</w:t>
      </w:r>
      <w:r w:rsidR="00D71EB0">
        <w:rPr>
          <w:sz w:val="22"/>
          <w:szCs w:val="18"/>
          <w:lang w:val="en-US"/>
        </w:rPr>
        <w:t>. Even if we fail agreeing modifications, still the existing spec can work in FR2-NTN.</w:t>
      </w:r>
    </w:p>
    <w:p w14:paraId="1464356E" w14:textId="77777777" w:rsidR="00D71EB0" w:rsidRPr="00C62EC3" w:rsidRDefault="00D71EB0" w:rsidP="00D71EB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63626FC3" w14:textId="199DC487" w:rsidR="00D71EB0" w:rsidRDefault="00D71EB0" w:rsidP="00D71EB0">
      <w:pPr>
        <w:numPr>
          <w:ilvl w:val="0"/>
          <w:numId w:val="9"/>
        </w:numPr>
        <w:spacing w:before="50" w:afterLines="50" w:after="120"/>
        <w:rPr>
          <w:rFonts w:eastAsiaTheme="minorEastAsia"/>
          <w:b/>
          <w:bCs/>
          <w:iCs/>
          <w:sz w:val="22"/>
          <w:lang w:val="en-US"/>
        </w:rPr>
      </w:pPr>
      <w:r w:rsidRPr="00D71EB0">
        <w:rPr>
          <w:rFonts w:eastAsiaTheme="minorEastAsia"/>
          <w:b/>
          <w:bCs/>
          <w:iCs/>
          <w:sz w:val="22"/>
        </w:rPr>
        <w:t>Either is down-selected</w:t>
      </w:r>
      <w:r w:rsidR="005160E8">
        <w:rPr>
          <w:rFonts w:eastAsiaTheme="minorEastAsia"/>
          <w:b/>
          <w:bCs/>
          <w:iCs/>
          <w:sz w:val="22"/>
        </w:rPr>
        <w:t xml:space="preserve"> for FR2-NTN</w:t>
      </w:r>
      <w:r>
        <w:rPr>
          <w:rFonts w:eastAsiaTheme="minorEastAsia"/>
          <w:b/>
          <w:bCs/>
          <w:iCs/>
          <w:sz w:val="22"/>
          <w:lang w:val="en-US"/>
        </w:rPr>
        <w:t>.</w:t>
      </w:r>
    </w:p>
    <w:p w14:paraId="7A480A34" w14:textId="22F94193" w:rsidR="00D71EB0" w:rsidRDefault="00D71EB0" w:rsidP="00D71EB0">
      <w:pPr>
        <w:numPr>
          <w:ilvl w:val="1"/>
          <w:numId w:val="9"/>
        </w:numPr>
        <w:spacing w:before="50" w:afterLines="50" w:after="120"/>
        <w:rPr>
          <w:rFonts w:eastAsiaTheme="minorEastAsia"/>
          <w:b/>
          <w:bCs/>
          <w:iCs/>
          <w:sz w:val="22"/>
          <w:lang w:val="en-US"/>
        </w:rPr>
      </w:pPr>
      <w:r w:rsidRPr="00D71EB0">
        <w:rPr>
          <w:rFonts w:eastAsiaTheme="minorEastAsia"/>
          <w:b/>
          <w:bCs/>
          <w:iCs/>
          <w:sz w:val="22"/>
          <w:lang w:val="en-US"/>
        </w:rPr>
        <w:t>Alt 1: “Starting symbol” column is updated with ‘0’ instead of non-zero value, and corresponding modifications are applied</w:t>
      </w:r>
      <w:r>
        <w:rPr>
          <w:rFonts w:eastAsiaTheme="minorEastAsia"/>
          <w:b/>
          <w:bCs/>
          <w:iCs/>
          <w:sz w:val="22"/>
          <w:lang w:val="en-US"/>
        </w:rPr>
        <w:t>.</w:t>
      </w:r>
    </w:p>
    <w:p w14:paraId="4F556E95" w14:textId="2A5C9B61" w:rsidR="00D71EB0" w:rsidRPr="00C62EC3" w:rsidRDefault="00D71EB0" w:rsidP="00D71EB0">
      <w:pPr>
        <w:numPr>
          <w:ilvl w:val="1"/>
          <w:numId w:val="9"/>
        </w:numPr>
        <w:spacing w:before="50" w:afterLines="50" w:after="120"/>
        <w:rPr>
          <w:rFonts w:eastAsiaTheme="minorEastAsia"/>
          <w:b/>
          <w:bCs/>
          <w:iCs/>
          <w:sz w:val="22"/>
          <w:lang w:val="en-US"/>
        </w:rPr>
      </w:pPr>
      <w:r w:rsidRPr="00D71EB0">
        <w:rPr>
          <w:rFonts w:eastAsiaTheme="minorEastAsia"/>
          <w:b/>
          <w:bCs/>
          <w:iCs/>
          <w:sz w:val="22"/>
          <w:lang w:val="en-US"/>
        </w:rPr>
        <w:t>Alt 2: No modification is considered</w:t>
      </w:r>
      <w:r>
        <w:rPr>
          <w:rFonts w:eastAsiaTheme="minorEastAsia"/>
          <w:b/>
          <w:bCs/>
          <w:iCs/>
          <w:sz w:val="22"/>
          <w:lang w:val="en-US"/>
        </w:rPr>
        <w:t>.</w:t>
      </w:r>
    </w:p>
    <w:p w14:paraId="5ED8441C" w14:textId="29B9CB67" w:rsidR="00BE2F27" w:rsidRPr="00D71EB0" w:rsidRDefault="00BE2F27" w:rsidP="00F758E6">
      <w:pPr>
        <w:spacing w:beforeLines="50" w:before="120" w:afterLines="50" w:after="120"/>
        <w:rPr>
          <w:sz w:val="22"/>
          <w:szCs w:val="18"/>
          <w:lang w:val="en-US"/>
        </w:rPr>
      </w:pPr>
    </w:p>
    <w:p w14:paraId="29EFAF5D" w14:textId="2AC267F1" w:rsidR="00910CB6" w:rsidRPr="00C62EC3" w:rsidRDefault="00910CB6" w:rsidP="00910CB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eastAsia="zh-CN"/>
        </w:rPr>
        <w:t>Cell search procedure</w:t>
      </w:r>
    </w:p>
    <w:tbl>
      <w:tblPr>
        <w:tblStyle w:val="afc"/>
        <w:tblW w:w="0" w:type="auto"/>
        <w:tblLook w:val="04A0" w:firstRow="1" w:lastRow="0" w:firstColumn="1" w:lastColumn="0" w:noHBand="0" w:noVBand="1"/>
      </w:tblPr>
      <w:tblGrid>
        <w:gridCol w:w="9962"/>
      </w:tblGrid>
      <w:tr w:rsidR="00DE147F" w14:paraId="69CD5CD2" w14:textId="77777777" w:rsidTr="00DE147F">
        <w:tc>
          <w:tcPr>
            <w:tcW w:w="9962" w:type="dxa"/>
          </w:tcPr>
          <w:p w14:paraId="36DB0A2C" w14:textId="77777777" w:rsidR="00F43CD5" w:rsidRPr="00F43CD5" w:rsidRDefault="00F43CD5" w:rsidP="00F43CD5">
            <w:pPr>
              <w:widowControl w:val="0"/>
              <w:snapToGrid w:val="0"/>
              <w:spacing w:after="0"/>
              <w:rPr>
                <w:rFonts w:ascii="Times" w:eastAsia="Batang" w:hAnsi="Times"/>
                <w:color w:val="FFFFFF"/>
                <w:sz w:val="20"/>
                <w:szCs w:val="24"/>
                <w:lang w:eastAsia="en-US"/>
              </w:rPr>
            </w:pPr>
            <w:r w:rsidRPr="00F43CD5">
              <w:rPr>
                <w:rFonts w:ascii="Times" w:eastAsia="Batang" w:hAnsi="Times"/>
                <w:color w:val="FFFFFF"/>
                <w:sz w:val="20"/>
                <w:szCs w:val="24"/>
                <w:highlight w:val="darkYellow"/>
                <w:lang w:eastAsia="en-US"/>
              </w:rPr>
              <w:t>Working assumption:</w:t>
            </w:r>
          </w:p>
          <w:p w14:paraId="0C2208BD" w14:textId="77777777" w:rsidR="00F43CD5" w:rsidRPr="00F43CD5" w:rsidRDefault="00F43CD5" w:rsidP="00F43CD5">
            <w:pPr>
              <w:widowControl w:val="0"/>
              <w:snapToGrid w:val="0"/>
              <w:spacing w:after="0"/>
              <w:rPr>
                <w:rFonts w:ascii="Times" w:eastAsia="Batang" w:hAnsi="Times"/>
                <w:sz w:val="20"/>
                <w:szCs w:val="24"/>
                <w:lang w:eastAsia="en-US"/>
              </w:rPr>
            </w:pPr>
            <w:r w:rsidRPr="00F43CD5">
              <w:rPr>
                <w:rFonts w:ascii="Times" w:eastAsia="Batang" w:hAnsi="Times"/>
                <w:sz w:val="20"/>
                <w:szCs w:val="24"/>
                <w:lang w:eastAsia="en-US"/>
              </w:rPr>
              <w:t>For operation in FR2-NTN, for cell search procedure, at least Case D in TS 38.213 is used to allow FDD operation in bands defined by FR2-NTN without any update to SSB pattern.</w:t>
            </w:r>
          </w:p>
          <w:p w14:paraId="33915742" w14:textId="3E9F0EB7" w:rsidR="00DE147F" w:rsidRPr="00F43CD5" w:rsidRDefault="00F43CD5" w:rsidP="00F43CD5">
            <w:pPr>
              <w:widowControl w:val="0"/>
              <w:snapToGrid w:val="0"/>
              <w:spacing w:after="0"/>
              <w:rPr>
                <w:rFonts w:ascii="Times" w:eastAsia="Batang" w:hAnsi="Times"/>
                <w:sz w:val="20"/>
                <w:szCs w:val="24"/>
                <w:lang w:eastAsia="en-US"/>
              </w:rPr>
            </w:pPr>
            <w:r w:rsidRPr="00F43CD5">
              <w:rPr>
                <w:rFonts w:ascii="Times" w:eastAsia="Batang" w:hAnsi="Times"/>
                <w:sz w:val="20"/>
                <w:szCs w:val="24"/>
                <w:lang w:eastAsia="en-US"/>
              </w:rPr>
              <w:t>FFS: whether Case E can also be used</w:t>
            </w:r>
          </w:p>
        </w:tc>
      </w:tr>
    </w:tbl>
    <w:p w14:paraId="4E7642DB" w14:textId="000F8E7E" w:rsidR="00910CB6" w:rsidRDefault="00E3147C" w:rsidP="00F758E6">
      <w:pPr>
        <w:spacing w:beforeLines="50" w:before="120" w:afterLines="50" w:after="120"/>
        <w:rPr>
          <w:sz w:val="22"/>
          <w:szCs w:val="18"/>
          <w:lang w:val="en-US"/>
        </w:rPr>
      </w:pPr>
      <w:r>
        <w:rPr>
          <w:rFonts w:hint="eastAsia"/>
          <w:sz w:val="22"/>
          <w:szCs w:val="18"/>
          <w:lang w:val="en-US"/>
        </w:rPr>
        <w:t>A</w:t>
      </w:r>
      <w:r>
        <w:rPr>
          <w:sz w:val="22"/>
          <w:szCs w:val="18"/>
          <w:lang w:val="en-US"/>
        </w:rPr>
        <w:t>t the last meeting, it was also agreed as working assumption that Case D for cell search procedure is used in FR2-NTN</w:t>
      </w:r>
      <w:r w:rsidR="0058227B">
        <w:rPr>
          <w:sz w:val="22"/>
          <w:szCs w:val="18"/>
          <w:lang w:val="en-US"/>
        </w:rPr>
        <w:t xml:space="preserve">. Meanwhile Case E is FFS. </w:t>
      </w:r>
      <w:r w:rsidR="00E358B4">
        <w:rPr>
          <w:sz w:val="22"/>
          <w:szCs w:val="18"/>
          <w:lang w:val="en-US"/>
        </w:rPr>
        <w:t xml:space="preserve">In our view, spec can support Case E for FR2-NTN. Although Case E may not be </w:t>
      </w:r>
      <w:r w:rsidR="00B81C80">
        <w:rPr>
          <w:sz w:val="22"/>
          <w:szCs w:val="18"/>
          <w:lang w:val="en-US"/>
        </w:rPr>
        <w:t xml:space="preserve">a </w:t>
      </w:r>
      <w:r w:rsidR="00E358B4">
        <w:rPr>
          <w:sz w:val="22"/>
          <w:szCs w:val="18"/>
          <w:lang w:val="en-US"/>
        </w:rPr>
        <w:t xml:space="preserve">good way for FR2-NTN due to its severe coverage performance, </w:t>
      </w:r>
      <w:r w:rsidR="00856318">
        <w:rPr>
          <w:sz w:val="22"/>
          <w:szCs w:val="18"/>
          <w:lang w:val="en-US"/>
        </w:rPr>
        <w:t>we do not see any motivation to preclude Case E for FR2-NTN</w:t>
      </w:r>
      <w:r w:rsidR="00743EC7">
        <w:rPr>
          <w:sz w:val="22"/>
          <w:szCs w:val="18"/>
          <w:lang w:val="en-US"/>
        </w:rPr>
        <w:t xml:space="preserve">. No additional RAN1 spec impact is assumed for that. If RAN4 have concern on Case E for FR2-NTN, they can decide </w:t>
      </w:r>
      <w:proofErr w:type="gramStart"/>
      <w:r w:rsidR="00743EC7">
        <w:rPr>
          <w:sz w:val="22"/>
          <w:szCs w:val="18"/>
          <w:lang w:val="en-US"/>
        </w:rPr>
        <w:t>drop</w:t>
      </w:r>
      <w:proofErr w:type="gramEnd"/>
      <w:r w:rsidR="00743EC7">
        <w:rPr>
          <w:sz w:val="22"/>
          <w:szCs w:val="18"/>
          <w:lang w:val="en-US"/>
        </w:rPr>
        <w:t xml:space="preserve"> of Case E from test cases.</w:t>
      </w:r>
    </w:p>
    <w:p w14:paraId="6475E91A" w14:textId="63795B4D" w:rsidR="00743EC7" w:rsidRPr="00C62EC3" w:rsidRDefault="00743EC7" w:rsidP="00743EC7">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1A7C851B" w14:textId="34BC75AC" w:rsidR="00743EC7" w:rsidRDefault="00743EC7" w:rsidP="00743EC7">
      <w:pPr>
        <w:numPr>
          <w:ilvl w:val="0"/>
          <w:numId w:val="9"/>
        </w:numPr>
        <w:spacing w:before="50" w:afterLines="50" w:after="120"/>
        <w:rPr>
          <w:rFonts w:eastAsiaTheme="minorEastAsia"/>
          <w:b/>
          <w:bCs/>
          <w:iCs/>
          <w:sz w:val="22"/>
          <w:lang w:val="en-US"/>
        </w:rPr>
      </w:pPr>
      <w:r w:rsidRPr="00743EC7">
        <w:rPr>
          <w:rFonts w:eastAsiaTheme="minorEastAsia"/>
          <w:b/>
          <w:bCs/>
          <w:iCs/>
          <w:sz w:val="22"/>
        </w:rPr>
        <w:t>Case E is also applicable for FR2-NTN</w:t>
      </w:r>
      <w:r>
        <w:rPr>
          <w:rFonts w:eastAsiaTheme="minorEastAsia"/>
          <w:b/>
          <w:bCs/>
          <w:iCs/>
          <w:sz w:val="22"/>
        </w:rPr>
        <w:t xml:space="preserve"> from RAN1 perspective</w:t>
      </w:r>
      <w:r>
        <w:rPr>
          <w:rFonts w:eastAsiaTheme="minorEastAsia"/>
          <w:b/>
          <w:bCs/>
          <w:iCs/>
          <w:sz w:val="22"/>
          <w:lang w:val="en-US"/>
        </w:rPr>
        <w:t>.</w:t>
      </w:r>
    </w:p>
    <w:p w14:paraId="56168216" w14:textId="77777777" w:rsidR="00DE147F" w:rsidRPr="00E3147C" w:rsidRDefault="00DE147F" w:rsidP="00F758E6">
      <w:pPr>
        <w:spacing w:beforeLines="50" w:before="120" w:afterLines="50" w:after="120"/>
        <w:rPr>
          <w:sz w:val="22"/>
          <w:szCs w:val="18"/>
          <w:lang w:val="en-US"/>
        </w:rPr>
      </w:pPr>
    </w:p>
    <w:p w14:paraId="03BB004D" w14:textId="4DDA7290" w:rsidR="00290485" w:rsidRPr="00C62EC3" w:rsidRDefault="00290485" w:rsidP="0029048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290485">
        <w:rPr>
          <w:rFonts w:ascii="Arial" w:eastAsia="DengXian" w:hAnsi="Arial"/>
          <w:b/>
          <w:kern w:val="28"/>
          <w:sz w:val="22"/>
          <w:szCs w:val="22"/>
          <w:lang w:eastAsia="zh-CN"/>
        </w:rPr>
        <w:t>UE autonomous timing advance</w:t>
      </w:r>
    </w:p>
    <w:p w14:paraId="68F3A25A" w14:textId="3EE5C8BC" w:rsidR="009410BF" w:rsidRDefault="004D675A" w:rsidP="00F758E6">
      <w:pPr>
        <w:spacing w:beforeLines="50" w:before="120" w:afterLines="50" w:after="120"/>
        <w:rPr>
          <w:sz w:val="22"/>
          <w:szCs w:val="18"/>
        </w:rPr>
      </w:pPr>
      <w:r>
        <w:rPr>
          <w:rFonts w:hint="eastAsia"/>
          <w:sz w:val="22"/>
          <w:szCs w:val="18"/>
          <w:lang w:val="en-US"/>
        </w:rPr>
        <w:t xml:space="preserve">In </w:t>
      </w:r>
      <w:r>
        <w:rPr>
          <w:sz w:val="22"/>
          <w:szCs w:val="18"/>
          <w:lang w:val="en-US"/>
        </w:rPr>
        <w:t xml:space="preserve">FR2-NTN, higher SCS will be used. Meanwhile, UE autonomous timing advance is basically not relevant to SCS. </w:t>
      </w:r>
      <w:r w:rsidR="00153E91">
        <w:rPr>
          <w:sz w:val="22"/>
          <w:szCs w:val="18"/>
          <w:lang w:val="en-US"/>
        </w:rPr>
        <w:t xml:space="preserve">As a result, it may be more difficult to satisfy </w:t>
      </w:r>
      <w:r w:rsidR="00153E91" w:rsidRPr="00153E91">
        <w:rPr>
          <w:sz w:val="22"/>
          <w:szCs w:val="18"/>
        </w:rPr>
        <w:t>timing error requirement</w:t>
      </w:r>
      <w:r w:rsidR="00153E91">
        <w:rPr>
          <w:sz w:val="22"/>
          <w:szCs w:val="18"/>
        </w:rPr>
        <w:t xml:space="preserve"> </w:t>
      </w:r>
      <w:r w:rsidR="00153E91" w:rsidRPr="00153E91">
        <w:rPr>
          <w:sz w:val="22"/>
          <w:szCs w:val="18"/>
        </w:rPr>
        <w:t>in FR2-NTN</w:t>
      </w:r>
      <w:r w:rsidR="00153E91">
        <w:rPr>
          <w:sz w:val="22"/>
          <w:szCs w:val="18"/>
        </w:rPr>
        <w:t xml:space="preserve">. </w:t>
      </w:r>
      <w:r w:rsidR="00287F73">
        <w:rPr>
          <w:sz w:val="22"/>
          <w:szCs w:val="18"/>
        </w:rPr>
        <w:t>At least the following solutions were proposed by companies so far.</w:t>
      </w:r>
    </w:p>
    <w:p w14:paraId="43176CCD" w14:textId="2E50EC1D" w:rsidR="00153E91" w:rsidRPr="00D2646C" w:rsidRDefault="00153E91" w:rsidP="00153E91">
      <w:pPr>
        <w:pStyle w:val="afe"/>
        <w:numPr>
          <w:ilvl w:val="0"/>
          <w:numId w:val="32"/>
        </w:numPr>
        <w:spacing w:beforeLines="50" w:before="120" w:afterLines="50" w:after="120"/>
        <w:ind w:leftChars="0"/>
        <w:rPr>
          <w:sz w:val="22"/>
          <w:szCs w:val="18"/>
        </w:rPr>
      </w:pPr>
      <w:r>
        <w:rPr>
          <w:sz w:val="22"/>
          <w:szCs w:val="18"/>
        </w:rPr>
        <w:t>Opt</w:t>
      </w:r>
      <w:r w:rsidR="00287F73">
        <w:rPr>
          <w:sz w:val="22"/>
          <w:szCs w:val="18"/>
        </w:rPr>
        <w:t>.</w:t>
      </w:r>
      <w:r w:rsidRPr="00D2646C">
        <w:rPr>
          <w:sz w:val="22"/>
          <w:szCs w:val="18"/>
        </w:rPr>
        <w:t xml:space="preserve"> 1: </w:t>
      </w:r>
      <w:proofErr w:type="gramStart"/>
      <w:r w:rsidRPr="00153E91">
        <w:rPr>
          <w:sz w:val="22"/>
          <w:szCs w:val="18"/>
        </w:rPr>
        <w:t>Third-order</w:t>
      </w:r>
      <w:proofErr w:type="gramEnd"/>
      <w:r w:rsidRPr="00153E91">
        <w:rPr>
          <w:sz w:val="22"/>
          <w:szCs w:val="18"/>
        </w:rPr>
        <w:t xml:space="preserve"> of common TA parameter</w:t>
      </w:r>
    </w:p>
    <w:p w14:paraId="74B5C16C" w14:textId="73246031" w:rsidR="00153E91" w:rsidRDefault="00153E91" w:rsidP="00153E91">
      <w:pPr>
        <w:pStyle w:val="afe"/>
        <w:numPr>
          <w:ilvl w:val="0"/>
          <w:numId w:val="32"/>
        </w:numPr>
        <w:spacing w:beforeLines="50" w:before="120" w:afterLines="50" w:after="120"/>
        <w:ind w:leftChars="0"/>
        <w:rPr>
          <w:sz w:val="22"/>
          <w:szCs w:val="18"/>
        </w:rPr>
      </w:pPr>
      <w:r>
        <w:rPr>
          <w:sz w:val="22"/>
          <w:szCs w:val="18"/>
        </w:rPr>
        <w:t>Opt</w:t>
      </w:r>
      <w:r w:rsidR="00287F73">
        <w:rPr>
          <w:sz w:val="22"/>
          <w:szCs w:val="18"/>
        </w:rPr>
        <w:t>.</w:t>
      </w:r>
      <w:r w:rsidRPr="00D2646C">
        <w:rPr>
          <w:sz w:val="22"/>
          <w:szCs w:val="18"/>
        </w:rPr>
        <w:t xml:space="preserve"> 2: </w:t>
      </w:r>
      <w:r w:rsidRPr="00153E91">
        <w:rPr>
          <w:sz w:val="22"/>
          <w:szCs w:val="18"/>
        </w:rPr>
        <w:t>Extended CP for 60kHz SCS</w:t>
      </w:r>
      <w:r w:rsidR="00A97C19">
        <w:rPr>
          <w:sz w:val="22"/>
          <w:szCs w:val="18"/>
        </w:rPr>
        <w:t xml:space="preserve"> and/or </w:t>
      </w:r>
      <w:r w:rsidR="00A97C19" w:rsidRPr="00A97C19">
        <w:rPr>
          <w:sz w:val="22"/>
          <w:szCs w:val="18"/>
        </w:rPr>
        <w:t xml:space="preserve">120 </w:t>
      </w:r>
      <w:r w:rsidR="00287F73">
        <w:rPr>
          <w:sz w:val="22"/>
          <w:szCs w:val="18"/>
        </w:rPr>
        <w:t>k</w:t>
      </w:r>
      <w:r w:rsidR="00A97C19" w:rsidRPr="00A97C19">
        <w:rPr>
          <w:sz w:val="22"/>
          <w:szCs w:val="18"/>
        </w:rPr>
        <w:t>Hz SCS, 240 kHz SCS</w:t>
      </w:r>
    </w:p>
    <w:p w14:paraId="5AB39289" w14:textId="201B991B" w:rsidR="00153E91" w:rsidRDefault="00153E91" w:rsidP="00F758E6">
      <w:pPr>
        <w:spacing w:beforeLines="50" w:before="120" w:afterLines="50" w:after="120"/>
        <w:rPr>
          <w:sz w:val="22"/>
          <w:szCs w:val="18"/>
        </w:rPr>
      </w:pPr>
      <w:r>
        <w:rPr>
          <w:rFonts w:hint="eastAsia"/>
          <w:sz w:val="22"/>
          <w:szCs w:val="18"/>
        </w:rPr>
        <w:t>H</w:t>
      </w:r>
      <w:r>
        <w:rPr>
          <w:sz w:val="22"/>
          <w:szCs w:val="18"/>
        </w:rPr>
        <w:t xml:space="preserve">owever, we believe that at first RAN4 requirement should be decided. Without this, any analysis is impossible. Then, </w:t>
      </w:r>
      <w:r w:rsidRPr="00153E91">
        <w:rPr>
          <w:sz w:val="22"/>
          <w:szCs w:val="18"/>
        </w:rPr>
        <w:t>which aspect is critical/dominant for timing error should be evaluated</w:t>
      </w:r>
      <w:r>
        <w:rPr>
          <w:sz w:val="22"/>
          <w:szCs w:val="18"/>
        </w:rPr>
        <w:t xml:space="preserve">. Without that, </w:t>
      </w:r>
      <w:r w:rsidR="002F5B7F">
        <w:rPr>
          <w:sz w:val="22"/>
          <w:szCs w:val="18"/>
        </w:rPr>
        <w:t xml:space="preserve">appropriate solution cannot be introduced. After these, finally </w:t>
      </w:r>
      <w:r w:rsidR="002F5B7F" w:rsidRPr="002F5B7F">
        <w:rPr>
          <w:sz w:val="22"/>
          <w:szCs w:val="18"/>
        </w:rPr>
        <w:t>RAN1 can discuss which solution should be taken.</w:t>
      </w:r>
      <w:r w:rsidR="002F5B7F">
        <w:rPr>
          <w:sz w:val="22"/>
          <w:szCs w:val="18"/>
        </w:rPr>
        <w:t xml:space="preserve"> In other words, it is premature to start RAN1 discussion for this issue.</w:t>
      </w:r>
    </w:p>
    <w:p w14:paraId="5DCD76AD" w14:textId="2B97810D" w:rsidR="002F5B7F" w:rsidRDefault="002F5B7F" w:rsidP="00F758E6">
      <w:pPr>
        <w:spacing w:beforeLines="50" w:before="120" w:afterLines="50" w:after="120"/>
        <w:rPr>
          <w:sz w:val="22"/>
          <w:szCs w:val="18"/>
        </w:rPr>
      </w:pPr>
      <w:r>
        <w:rPr>
          <w:rFonts w:hint="eastAsia"/>
          <w:sz w:val="22"/>
          <w:szCs w:val="18"/>
        </w:rPr>
        <w:t>F</w:t>
      </w:r>
      <w:r>
        <w:rPr>
          <w:sz w:val="22"/>
          <w:szCs w:val="18"/>
        </w:rPr>
        <w:t>or the solution part, we would like to comment on Opt</w:t>
      </w:r>
      <w:r w:rsidR="00287F73">
        <w:rPr>
          <w:sz w:val="22"/>
          <w:szCs w:val="18"/>
        </w:rPr>
        <w:t>.</w:t>
      </w:r>
      <w:r>
        <w:rPr>
          <w:sz w:val="22"/>
          <w:szCs w:val="18"/>
        </w:rPr>
        <w:t xml:space="preserve"> 2: f</w:t>
      </w:r>
      <w:r w:rsidRPr="002F5B7F">
        <w:rPr>
          <w:sz w:val="22"/>
          <w:szCs w:val="18"/>
        </w:rPr>
        <w:t>or extended CP</w:t>
      </w:r>
      <w:r w:rsidR="00287F73">
        <w:rPr>
          <w:sz w:val="22"/>
          <w:szCs w:val="18"/>
        </w:rPr>
        <w:t>,</w:t>
      </w:r>
      <w:r w:rsidR="00287F73" w:rsidRPr="00287F73">
        <w:rPr>
          <w:rFonts w:ascii="Calibri" w:eastAsiaTheme="minorEastAsia" w:hAnsi="Calibri" w:cstheme="minorBidi"/>
          <w:color w:val="000000" w:themeColor="text1"/>
          <w:sz w:val="22"/>
          <w:szCs w:val="22"/>
        </w:rPr>
        <w:t xml:space="preserve"> </w:t>
      </w:r>
      <w:r w:rsidR="00287F73" w:rsidRPr="00287F73">
        <w:rPr>
          <w:sz w:val="22"/>
          <w:szCs w:val="18"/>
        </w:rPr>
        <w:t>it is unclear whether introducing ECP for 120 kHz SCS / 240 kHz SCS is easy or not from RAN1 effort perspective</w:t>
      </w:r>
      <w:r>
        <w:rPr>
          <w:sz w:val="22"/>
          <w:szCs w:val="18"/>
        </w:rPr>
        <w:t>.</w:t>
      </w:r>
    </w:p>
    <w:p w14:paraId="5BB6CB62" w14:textId="56B169F9" w:rsidR="002F5B7F" w:rsidRPr="00C62EC3" w:rsidRDefault="002F5B7F" w:rsidP="002F5B7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87F73">
        <w:rPr>
          <w:rFonts w:eastAsiaTheme="minorEastAsia"/>
          <w:b/>
          <w:sz w:val="22"/>
          <w:u w:val="single"/>
          <w:lang w:val="en-US"/>
        </w:rPr>
        <w:t>3</w:t>
      </w:r>
      <w:r w:rsidRPr="00C62EC3">
        <w:rPr>
          <w:rFonts w:eastAsiaTheme="minorEastAsia"/>
          <w:b/>
          <w:sz w:val="22"/>
          <w:u w:val="single"/>
          <w:lang w:val="en-US"/>
        </w:rPr>
        <w:t>:</w:t>
      </w:r>
    </w:p>
    <w:p w14:paraId="0EA55F4C" w14:textId="6EA98DF4" w:rsidR="002F5B7F" w:rsidRPr="00C62EC3" w:rsidRDefault="002F5B7F" w:rsidP="002F5B7F">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wait for RAN4 progress.</w:t>
      </w:r>
    </w:p>
    <w:p w14:paraId="0177409E" w14:textId="77777777" w:rsidR="00153E91" w:rsidRPr="00153E91" w:rsidRDefault="00153E91" w:rsidP="00F758E6">
      <w:pPr>
        <w:spacing w:beforeLines="50" w:before="120" w:afterLines="50" w:after="120"/>
        <w:rPr>
          <w:sz w:val="22"/>
          <w:szCs w:val="18"/>
        </w:rPr>
      </w:pPr>
    </w:p>
    <w:p w14:paraId="0B0C1C96" w14:textId="6AB16D4C" w:rsidR="00290485" w:rsidRDefault="00290485" w:rsidP="00F758E6">
      <w:pPr>
        <w:spacing w:beforeLines="50" w:before="120" w:afterLines="50" w:after="120"/>
        <w:rPr>
          <w:sz w:val="22"/>
          <w:szCs w:val="18"/>
          <w:lang w:val="en-US"/>
        </w:rPr>
      </w:pPr>
    </w:p>
    <w:p w14:paraId="2F0C5CFD" w14:textId="64F4AF15" w:rsidR="00290485" w:rsidRPr="00C62EC3" w:rsidRDefault="00910CB6" w:rsidP="0029048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eastAsia="zh-CN"/>
        </w:rPr>
        <w:t>Others</w:t>
      </w:r>
    </w:p>
    <w:tbl>
      <w:tblPr>
        <w:tblStyle w:val="afc"/>
        <w:tblW w:w="0" w:type="auto"/>
        <w:tblLook w:val="04A0" w:firstRow="1" w:lastRow="0" w:firstColumn="1" w:lastColumn="0" w:noHBand="0" w:noVBand="1"/>
      </w:tblPr>
      <w:tblGrid>
        <w:gridCol w:w="9962"/>
      </w:tblGrid>
      <w:tr w:rsidR="009775C4" w:rsidRPr="003C68A2" w14:paraId="5DA3FC3D" w14:textId="77777777" w:rsidTr="009775C4">
        <w:tc>
          <w:tcPr>
            <w:tcW w:w="9962" w:type="dxa"/>
          </w:tcPr>
          <w:p w14:paraId="0EE40E8F" w14:textId="77777777" w:rsidR="003C68A2" w:rsidRPr="003C68A2" w:rsidRDefault="003C68A2" w:rsidP="003C68A2">
            <w:pPr>
              <w:spacing w:beforeLines="50" w:before="120" w:afterLines="50" w:after="120"/>
              <w:rPr>
                <w:sz w:val="20"/>
                <w:szCs w:val="14"/>
              </w:rPr>
            </w:pPr>
            <w:r w:rsidRPr="003C68A2">
              <w:rPr>
                <w:sz w:val="20"/>
                <w:szCs w:val="14"/>
                <w:highlight w:val="yellow"/>
              </w:rPr>
              <w:t>2.12.1</w:t>
            </w:r>
            <w:r w:rsidRPr="003C68A2">
              <w:rPr>
                <w:sz w:val="20"/>
                <w:szCs w:val="14"/>
                <w:highlight w:val="yellow"/>
              </w:rPr>
              <w:tab/>
              <w:t>Second round discussion</w:t>
            </w:r>
          </w:p>
          <w:p w14:paraId="5E0F38C6" w14:textId="77777777" w:rsidR="003C68A2" w:rsidRPr="003C68A2" w:rsidRDefault="003C68A2" w:rsidP="003C68A2">
            <w:pPr>
              <w:spacing w:beforeLines="50" w:before="120" w:afterLines="50" w:after="120"/>
              <w:rPr>
                <w:sz w:val="20"/>
                <w:szCs w:val="14"/>
              </w:rPr>
            </w:pPr>
            <w:r w:rsidRPr="003C68A2">
              <w:rPr>
                <w:sz w:val="20"/>
                <w:szCs w:val="14"/>
              </w:rPr>
              <w:t>One aspect was raised with respect to TDD operation for NR over NTN. When observing the LS from RAN4 it is clear that the UL and DL frequency bands are substantially different – separated by ~10 GHz. Hence, the LS from RAN4 should trigger action to see if FDD operation in FR2-NTN is feasible and which changes are needed to enable this operation.</w:t>
            </w:r>
          </w:p>
          <w:p w14:paraId="75692456" w14:textId="27F8FC7D" w:rsidR="009775C4" w:rsidRPr="003C68A2" w:rsidRDefault="003C68A2" w:rsidP="003C68A2">
            <w:pPr>
              <w:spacing w:beforeLines="50" w:before="120" w:afterLines="50" w:after="120"/>
              <w:rPr>
                <w:sz w:val="20"/>
                <w:szCs w:val="14"/>
              </w:rPr>
            </w:pPr>
            <w:r w:rsidRPr="003C68A2">
              <w:rPr>
                <w:sz w:val="20"/>
                <w:szCs w:val="14"/>
              </w:rPr>
              <w:t>The second aspect raised on TA error jump when UE reads new/updated ephemeris information was already discussed as part of the Rel-17 NTN discussions, but if companies think the situation is substantially different for FR2-NTN operation, they are free to bring this up for discussion at upcoming RAN1 meetings.</w:t>
            </w:r>
          </w:p>
        </w:tc>
      </w:tr>
    </w:tbl>
    <w:p w14:paraId="6C2C9744" w14:textId="18BCF52D" w:rsidR="00BC139A" w:rsidRDefault="00287F73" w:rsidP="00F758E6">
      <w:pPr>
        <w:spacing w:beforeLines="50" w:before="120" w:afterLines="50" w:after="120"/>
        <w:rPr>
          <w:sz w:val="22"/>
          <w:szCs w:val="18"/>
        </w:rPr>
      </w:pPr>
      <w:r>
        <w:rPr>
          <w:rFonts w:hint="eastAsia"/>
          <w:sz w:val="22"/>
          <w:szCs w:val="18"/>
        </w:rPr>
        <w:t>A</w:t>
      </w:r>
      <w:r>
        <w:rPr>
          <w:sz w:val="22"/>
          <w:szCs w:val="18"/>
        </w:rPr>
        <w:t xml:space="preserve">s </w:t>
      </w:r>
      <w:r w:rsidR="00FE1992">
        <w:rPr>
          <w:sz w:val="22"/>
          <w:szCs w:val="18"/>
        </w:rPr>
        <w:t>summarized</w:t>
      </w:r>
      <w:r>
        <w:rPr>
          <w:sz w:val="22"/>
          <w:szCs w:val="18"/>
        </w:rPr>
        <w:t xml:space="preserve"> by moderator in [2], </w:t>
      </w:r>
      <w:r w:rsidR="00FE1992">
        <w:rPr>
          <w:sz w:val="22"/>
          <w:szCs w:val="18"/>
        </w:rPr>
        <w:t>TA error jump was a raised problem in FR2-NTN. Actually</w:t>
      </w:r>
      <w:r w:rsidR="005975F7">
        <w:rPr>
          <w:sz w:val="22"/>
          <w:szCs w:val="18"/>
        </w:rPr>
        <w:t>,</w:t>
      </w:r>
      <w:r w:rsidR="00FE1992">
        <w:rPr>
          <w:sz w:val="22"/>
          <w:szCs w:val="18"/>
        </w:rPr>
        <w:t xml:space="preserve"> this issue was already discussed </w:t>
      </w:r>
      <w:r w:rsidR="005975F7">
        <w:rPr>
          <w:sz w:val="22"/>
          <w:szCs w:val="18"/>
        </w:rPr>
        <w:t xml:space="preserve">in R17 NR NTN WI. However, TA error jump may be more critical in FR2-NTN, where </w:t>
      </w:r>
      <w:r w:rsidR="005975F7" w:rsidRPr="005975F7">
        <w:rPr>
          <w:sz w:val="22"/>
          <w:szCs w:val="18"/>
        </w:rPr>
        <w:t>timing error requirement may be severer compared to</w:t>
      </w:r>
      <w:r w:rsidR="005975F7">
        <w:rPr>
          <w:sz w:val="22"/>
          <w:szCs w:val="18"/>
        </w:rPr>
        <w:t xml:space="preserve"> </w:t>
      </w:r>
      <w:r w:rsidR="005975F7" w:rsidRPr="005975F7">
        <w:rPr>
          <w:sz w:val="22"/>
          <w:szCs w:val="18"/>
        </w:rPr>
        <w:t>FR1-NTN</w:t>
      </w:r>
      <w:r w:rsidR="005975F7">
        <w:rPr>
          <w:sz w:val="22"/>
          <w:szCs w:val="18"/>
        </w:rPr>
        <w:t>.</w:t>
      </w:r>
    </w:p>
    <w:p w14:paraId="0A946671" w14:textId="41E08791" w:rsidR="009775C4" w:rsidRDefault="002A41CC" w:rsidP="00F758E6">
      <w:pPr>
        <w:spacing w:beforeLines="50" w:before="120" w:afterLines="50" w:after="120"/>
        <w:rPr>
          <w:sz w:val="22"/>
          <w:szCs w:val="18"/>
        </w:rPr>
      </w:pPr>
      <w:r>
        <w:rPr>
          <w:rFonts w:hint="eastAsia"/>
          <w:sz w:val="22"/>
          <w:szCs w:val="18"/>
        </w:rPr>
        <w:t>I</w:t>
      </w:r>
      <w:r>
        <w:rPr>
          <w:sz w:val="22"/>
          <w:szCs w:val="18"/>
        </w:rPr>
        <w:t xml:space="preserve">n our understanding, this ‘TA error jump’ occurs due to combination of common TA update corresponding to update of common TA parameters and/or satellite ephemeris parameters and unchanged closed loop adjustment. </w:t>
      </w:r>
      <w:r w:rsidR="00A72B1F">
        <w:rPr>
          <w:sz w:val="22"/>
          <w:szCs w:val="18"/>
        </w:rPr>
        <w:t>As illustrated below, UE uses an old set of those parameters and TA error becomes larger and larger. NW may indicate a TAC</w:t>
      </w:r>
      <w:r w:rsidR="007904BD" w:rsidRPr="007904BD">
        <w:rPr>
          <w:rFonts w:eastAsia="SimSun"/>
          <w:sz w:val="22"/>
          <w:szCs w:val="18"/>
          <w:lang w:val="en-US" w:eastAsia="zh-CN"/>
        </w:rPr>
        <w:t xml:space="preserve"> </w:t>
      </w:r>
      <w:r w:rsidR="007904BD">
        <w:rPr>
          <w:rFonts w:eastAsia="SimSun"/>
          <w:sz w:val="22"/>
          <w:szCs w:val="18"/>
          <w:lang w:val="en-US" w:eastAsia="zh-CN"/>
        </w:rPr>
        <w:t>in MAC-CE</w:t>
      </w:r>
      <w:r w:rsidR="00A72B1F">
        <w:rPr>
          <w:sz w:val="22"/>
          <w:szCs w:val="18"/>
        </w:rPr>
        <w:t xml:space="preserve"> to reduce the timing error. Then, at a specific timing, the UE acquires a new set of those parameters and calculates common TA based on the new set. </w:t>
      </w:r>
      <w:r w:rsidR="00D15556">
        <w:rPr>
          <w:sz w:val="22"/>
          <w:szCs w:val="18"/>
        </w:rPr>
        <w:t xml:space="preserve">The calculation output will be much more accurate than that with the old set. However, </w:t>
      </w:r>
      <w:r w:rsidR="000F3533">
        <w:rPr>
          <w:sz w:val="22"/>
          <w:szCs w:val="18"/>
        </w:rPr>
        <w:t xml:space="preserve">the TAC indicated assuming common TA calculation with the old set is unchanged based on the current specification. As a result, </w:t>
      </w:r>
      <w:r w:rsidR="00901BC6">
        <w:rPr>
          <w:sz w:val="22"/>
          <w:szCs w:val="18"/>
        </w:rPr>
        <w:t>quite large error is observed, which may violate the severer RAN4 requirement.</w:t>
      </w:r>
    </w:p>
    <w:p w14:paraId="7563A957" w14:textId="4B8AB3D9" w:rsidR="007904BD" w:rsidRDefault="007904BD" w:rsidP="00F758E6">
      <w:pPr>
        <w:spacing w:beforeLines="50" w:before="120" w:afterLines="50" w:after="120"/>
        <w:rPr>
          <w:sz w:val="22"/>
          <w:szCs w:val="18"/>
        </w:rPr>
      </w:pPr>
      <w:r>
        <w:rPr>
          <w:rFonts w:hint="eastAsia"/>
          <w:sz w:val="22"/>
          <w:szCs w:val="18"/>
        </w:rPr>
        <w:t>F</w:t>
      </w:r>
      <w:r>
        <w:rPr>
          <w:sz w:val="22"/>
          <w:szCs w:val="18"/>
        </w:rPr>
        <w:t>or this issue, we believe that at least discussion should be done in RAN1 with respect to whether enhancement is essential or not.</w:t>
      </w:r>
      <w:r w:rsidR="00BD3DE2">
        <w:rPr>
          <w:sz w:val="22"/>
          <w:szCs w:val="18"/>
        </w:rPr>
        <w:t xml:space="preserve"> If enhancement is essential, initialization of N_TA value would be the most simple and effective approach. </w:t>
      </w:r>
    </w:p>
    <w:p w14:paraId="22D3A9DB" w14:textId="6B69737B" w:rsidR="005975F7" w:rsidRDefault="00A22E11" w:rsidP="00A22E11">
      <w:pPr>
        <w:spacing w:beforeLines="50" w:before="120" w:afterLines="50" w:after="120"/>
        <w:jc w:val="center"/>
        <w:rPr>
          <w:sz w:val="22"/>
          <w:szCs w:val="18"/>
        </w:rPr>
      </w:pPr>
      <w:r w:rsidRPr="00A22E11">
        <w:rPr>
          <w:noProof/>
          <w:sz w:val="22"/>
          <w:szCs w:val="18"/>
        </w:rPr>
        <w:lastRenderedPageBreak/>
        <w:drawing>
          <wp:inline distT="0" distB="0" distL="0" distR="0" wp14:anchorId="16ECF500" wp14:editId="1B7FCCFB">
            <wp:extent cx="2531913" cy="1260140"/>
            <wp:effectExtent l="0" t="0" r="0" b="0"/>
            <wp:docPr id="4" name="图片 14">
              <a:extLst xmlns:a="http://schemas.openxmlformats.org/drawingml/2006/main">
                <a:ext uri="{FF2B5EF4-FFF2-40B4-BE49-F238E27FC236}">
                  <a16:creationId xmlns:a16="http://schemas.microsoft.com/office/drawing/2014/main" id="{7D57A4FD-3DE9-5D92-AD2D-8D037B590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a:extLst>
                        <a:ext uri="{FF2B5EF4-FFF2-40B4-BE49-F238E27FC236}">
                          <a16:creationId xmlns:a16="http://schemas.microsoft.com/office/drawing/2014/main" id="{7D57A4FD-3DE9-5D92-AD2D-8D037B590F74}"/>
                        </a:ext>
                      </a:extLst>
                    </pic:cNvPr>
                    <pic:cNvPicPr>
                      <a:picLocks noChangeAspect="1"/>
                    </pic:cNvPicPr>
                  </pic:nvPicPr>
                  <pic:blipFill>
                    <a:blip r:embed="rId8"/>
                    <a:stretch>
                      <a:fillRect/>
                    </a:stretch>
                  </pic:blipFill>
                  <pic:spPr>
                    <a:xfrm>
                      <a:off x="0" y="0"/>
                      <a:ext cx="2531913" cy="1260140"/>
                    </a:xfrm>
                    <a:prstGeom prst="rect">
                      <a:avLst/>
                    </a:prstGeom>
                  </pic:spPr>
                </pic:pic>
              </a:graphicData>
            </a:graphic>
          </wp:inline>
        </w:drawing>
      </w:r>
    </w:p>
    <w:p w14:paraId="47802387" w14:textId="4906B24D" w:rsidR="00A22E11" w:rsidRDefault="00A22E11" w:rsidP="00A22E11">
      <w:pPr>
        <w:spacing w:beforeLines="50" w:before="120" w:afterLines="50" w:after="120"/>
        <w:jc w:val="center"/>
        <w:rPr>
          <w:sz w:val="22"/>
          <w:szCs w:val="18"/>
        </w:rPr>
      </w:pPr>
      <w:r>
        <w:rPr>
          <w:rFonts w:hint="eastAsia"/>
          <w:sz w:val="22"/>
          <w:szCs w:val="18"/>
        </w:rPr>
        <w:t>F</w:t>
      </w:r>
      <w:r>
        <w:rPr>
          <w:sz w:val="22"/>
          <w:szCs w:val="18"/>
        </w:rPr>
        <w:t>ig.1: TA error jump</w:t>
      </w:r>
    </w:p>
    <w:p w14:paraId="7C972907" w14:textId="711D2B07" w:rsidR="007904BD" w:rsidRPr="00C62EC3" w:rsidRDefault="007904BD" w:rsidP="007904BD">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D3DE2">
        <w:rPr>
          <w:rFonts w:eastAsiaTheme="minorEastAsia"/>
          <w:b/>
          <w:sz w:val="22"/>
          <w:u w:val="single"/>
          <w:lang w:val="en-US"/>
        </w:rPr>
        <w:t>4</w:t>
      </w:r>
      <w:r w:rsidRPr="00C62EC3">
        <w:rPr>
          <w:rFonts w:eastAsiaTheme="minorEastAsia"/>
          <w:b/>
          <w:sz w:val="22"/>
          <w:u w:val="single"/>
          <w:lang w:val="en-US"/>
        </w:rPr>
        <w:t>:</w:t>
      </w:r>
    </w:p>
    <w:p w14:paraId="4E0DF1AB" w14:textId="2322605A" w:rsidR="007904BD" w:rsidRDefault="00BD3DE2" w:rsidP="007904BD">
      <w:pPr>
        <w:numPr>
          <w:ilvl w:val="0"/>
          <w:numId w:val="9"/>
        </w:numPr>
        <w:spacing w:before="50" w:afterLines="50" w:after="120"/>
        <w:rPr>
          <w:rFonts w:eastAsiaTheme="minorEastAsia"/>
          <w:b/>
          <w:bCs/>
          <w:iCs/>
          <w:sz w:val="22"/>
          <w:lang w:val="en-US"/>
        </w:rPr>
      </w:pPr>
      <w:r w:rsidRPr="00BD3DE2">
        <w:rPr>
          <w:rFonts w:eastAsiaTheme="minorEastAsia"/>
          <w:b/>
          <w:bCs/>
          <w:iCs/>
          <w:sz w:val="22"/>
        </w:rPr>
        <w:t>Discuss issue of TA error jump for FR2-NTN, where timing error requirement may be severer compared to</w:t>
      </w:r>
      <w:r>
        <w:rPr>
          <w:rFonts w:eastAsiaTheme="minorEastAsia"/>
          <w:b/>
          <w:bCs/>
          <w:iCs/>
          <w:sz w:val="22"/>
        </w:rPr>
        <w:t xml:space="preserve"> </w:t>
      </w:r>
      <w:r w:rsidRPr="00BD3DE2">
        <w:rPr>
          <w:rFonts w:eastAsiaTheme="minorEastAsia"/>
          <w:b/>
          <w:bCs/>
          <w:iCs/>
          <w:sz w:val="22"/>
        </w:rPr>
        <w:t>FR1-NTN</w:t>
      </w:r>
      <w:r w:rsidR="007904BD">
        <w:rPr>
          <w:rFonts w:eastAsiaTheme="minorEastAsia"/>
          <w:b/>
          <w:bCs/>
          <w:iCs/>
          <w:sz w:val="22"/>
          <w:lang w:val="en-US"/>
        </w:rPr>
        <w:t>.</w:t>
      </w:r>
    </w:p>
    <w:p w14:paraId="78D73256" w14:textId="1D9C2E26" w:rsidR="00BD3DE2" w:rsidRPr="00C62EC3" w:rsidRDefault="00BD3DE2" w:rsidP="00BD3DE2">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 xml:space="preserve">f RAN1 conclude that enhancement for this issue is necessary, N_TA value is initialized to zero when </w:t>
      </w:r>
      <w:r w:rsidR="00620F95">
        <w:rPr>
          <w:rFonts w:eastAsiaTheme="minorEastAsia"/>
          <w:b/>
          <w:bCs/>
          <w:iCs/>
          <w:sz w:val="22"/>
          <w:lang w:val="en-US"/>
        </w:rPr>
        <w:t xml:space="preserve">new </w:t>
      </w:r>
      <w:r>
        <w:rPr>
          <w:rFonts w:eastAsiaTheme="minorEastAsia"/>
          <w:b/>
          <w:bCs/>
          <w:iCs/>
          <w:sz w:val="22"/>
          <w:lang w:val="en-US"/>
        </w:rPr>
        <w:t xml:space="preserve">common TA parameters and/or </w:t>
      </w:r>
      <w:r w:rsidR="00620F95">
        <w:rPr>
          <w:rFonts w:eastAsiaTheme="minorEastAsia"/>
          <w:b/>
          <w:bCs/>
          <w:iCs/>
          <w:sz w:val="22"/>
          <w:lang w:val="en-US"/>
        </w:rPr>
        <w:t xml:space="preserve">satellite </w:t>
      </w:r>
      <w:r>
        <w:rPr>
          <w:rFonts w:eastAsiaTheme="minorEastAsia"/>
          <w:b/>
          <w:bCs/>
          <w:iCs/>
          <w:sz w:val="22"/>
          <w:lang w:val="en-US"/>
        </w:rPr>
        <w:t xml:space="preserve">ephemeris </w:t>
      </w:r>
      <w:r w:rsidR="00620F95">
        <w:rPr>
          <w:rFonts w:eastAsiaTheme="minorEastAsia"/>
          <w:b/>
          <w:bCs/>
          <w:iCs/>
          <w:sz w:val="22"/>
          <w:lang w:val="en-US"/>
        </w:rPr>
        <w:t xml:space="preserve">parameters are acquired and </w:t>
      </w:r>
      <w:r w:rsidR="005607FD">
        <w:rPr>
          <w:rFonts w:eastAsiaTheme="minorEastAsia"/>
          <w:b/>
          <w:bCs/>
          <w:iCs/>
          <w:sz w:val="22"/>
          <w:lang w:val="en-US"/>
        </w:rPr>
        <w:t>start to be used.</w:t>
      </w:r>
    </w:p>
    <w:p w14:paraId="73943B89" w14:textId="77777777" w:rsidR="005975F7" w:rsidRPr="008B6B48" w:rsidRDefault="005975F7" w:rsidP="00F758E6">
      <w:pPr>
        <w:spacing w:beforeLines="50" w:before="120" w:afterLines="50" w:after="120"/>
        <w:rPr>
          <w:sz w:val="22"/>
          <w:szCs w:val="18"/>
        </w:rPr>
      </w:pPr>
    </w:p>
    <w:p w14:paraId="2C7A1371" w14:textId="77777777" w:rsidR="00A73C4F" w:rsidRPr="00C62EC3"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386A2E17"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964E61">
        <w:rPr>
          <w:rFonts w:eastAsia="SimSun"/>
          <w:sz w:val="22"/>
          <w:szCs w:val="22"/>
          <w:lang w:val="en-US" w:eastAsia="zh-CN"/>
        </w:rPr>
        <w:t xml:space="preserve">maintenance of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7F799EFD" w14:textId="77777777" w:rsidR="005160E8" w:rsidRPr="00C62EC3" w:rsidRDefault="005160E8" w:rsidP="005160E8">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77D55E32" w14:textId="226E6D30" w:rsidR="005160E8" w:rsidRDefault="005160E8" w:rsidP="005160E8">
      <w:pPr>
        <w:numPr>
          <w:ilvl w:val="0"/>
          <w:numId w:val="9"/>
        </w:numPr>
        <w:spacing w:before="50" w:afterLines="50" w:after="120"/>
        <w:rPr>
          <w:rFonts w:eastAsiaTheme="minorEastAsia"/>
          <w:b/>
          <w:bCs/>
          <w:iCs/>
          <w:sz w:val="22"/>
          <w:lang w:val="en-US"/>
        </w:rPr>
      </w:pPr>
      <w:r w:rsidRPr="00D71EB0">
        <w:rPr>
          <w:rFonts w:eastAsiaTheme="minorEastAsia"/>
          <w:b/>
          <w:bCs/>
          <w:iCs/>
          <w:sz w:val="22"/>
        </w:rPr>
        <w:t>Either is down-selected</w:t>
      </w:r>
      <w:r>
        <w:rPr>
          <w:rFonts w:eastAsiaTheme="minorEastAsia"/>
          <w:b/>
          <w:bCs/>
          <w:iCs/>
          <w:sz w:val="22"/>
        </w:rPr>
        <w:t xml:space="preserve"> for FR2-NTN</w:t>
      </w:r>
      <w:r>
        <w:rPr>
          <w:rFonts w:eastAsiaTheme="minorEastAsia"/>
          <w:b/>
          <w:bCs/>
          <w:iCs/>
          <w:sz w:val="22"/>
          <w:lang w:val="en-US"/>
        </w:rPr>
        <w:t>.</w:t>
      </w:r>
    </w:p>
    <w:p w14:paraId="4F8BA1F8" w14:textId="77777777" w:rsidR="005160E8" w:rsidRDefault="005160E8" w:rsidP="005160E8">
      <w:pPr>
        <w:numPr>
          <w:ilvl w:val="1"/>
          <w:numId w:val="9"/>
        </w:numPr>
        <w:spacing w:before="50" w:afterLines="50" w:after="120"/>
        <w:rPr>
          <w:rFonts w:eastAsiaTheme="minorEastAsia"/>
          <w:b/>
          <w:bCs/>
          <w:iCs/>
          <w:sz w:val="22"/>
          <w:lang w:val="en-US"/>
        </w:rPr>
      </w:pPr>
      <w:r w:rsidRPr="00D71EB0">
        <w:rPr>
          <w:rFonts w:eastAsiaTheme="minorEastAsia"/>
          <w:b/>
          <w:bCs/>
          <w:iCs/>
          <w:sz w:val="22"/>
          <w:lang w:val="en-US"/>
        </w:rPr>
        <w:t>Alt 1: “Starting symbol” column is updated with ‘0’ instead of non-zero value, and corresponding modifications are applied</w:t>
      </w:r>
      <w:r>
        <w:rPr>
          <w:rFonts w:eastAsiaTheme="minorEastAsia"/>
          <w:b/>
          <w:bCs/>
          <w:iCs/>
          <w:sz w:val="22"/>
          <w:lang w:val="en-US"/>
        </w:rPr>
        <w:t>.</w:t>
      </w:r>
    </w:p>
    <w:p w14:paraId="3AD18009" w14:textId="77777777" w:rsidR="005160E8" w:rsidRPr="00C62EC3" w:rsidRDefault="005160E8" w:rsidP="005160E8">
      <w:pPr>
        <w:numPr>
          <w:ilvl w:val="1"/>
          <w:numId w:val="9"/>
        </w:numPr>
        <w:spacing w:before="50" w:afterLines="50" w:after="120"/>
        <w:rPr>
          <w:rFonts w:eastAsiaTheme="minorEastAsia"/>
          <w:b/>
          <w:bCs/>
          <w:iCs/>
          <w:sz w:val="22"/>
          <w:lang w:val="en-US"/>
        </w:rPr>
      </w:pPr>
      <w:r w:rsidRPr="00D71EB0">
        <w:rPr>
          <w:rFonts w:eastAsiaTheme="minorEastAsia"/>
          <w:b/>
          <w:bCs/>
          <w:iCs/>
          <w:sz w:val="22"/>
          <w:lang w:val="en-US"/>
        </w:rPr>
        <w:t>Alt 2: No modification is considered</w:t>
      </w:r>
      <w:r>
        <w:rPr>
          <w:rFonts w:eastAsiaTheme="minorEastAsia"/>
          <w:b/>
          <w:bCs/>
          <w:iCs/>
          <w:sz w:val="22"/>
          <w:lang w:val="en-US"/>
        </w:rPr>
        <w:t>.</w:t>
      </w:r>
    </w:p>
    <w:p w14:paraId="7A68B5D5" w14:textId="77777777" w:rsidR="005160E8" w:rsidRPr="00C62EC3" w:rsidRDefault="005160E8" w:rsidP="005160E8">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1E14A265" w14:textId="77777777" w:rsidR="005160E8" w:rsidRDefault="005160E8" w:rsidP="005160E8">
      <w:pPr>
        <w:numPr>
          <w:ilvl w:val="0"/>
          <w:numId w:val="9"/>
        </w:numPr>
        <w:spacing w:before="50" w:afterLines="50" w:after="120"/>
        <w:rPr>
          <w:rFonts w:eastAsiaTheme="minorEastAsia"/>
          <w:b/>
          <w:bCs/>
          <w:iCs/>
          <w:sz w:val="22"/>
          <w:lang w:val="en-US"/>
        </w:rPr>
      </w:pPr>
      <w:r w:rsidRPr="00743EC7">
        <w:rPr>
          <w:rFonts w:eastAsiaTheme="minorEastAsia"/>
          <w:b/>
          <w:bCs/>
          <w:iCs/>
          <w:sz w:val="22"/>
        </w:rPr>
        <w:t>Case E is also applicable for FR2-NTN</w:t>
      </w:r>
      <w:r>
        <w:rPr>
          <w:rFonts w:eastAsiaTheme="minorEastAsia"/>
          <w:b/>
          <w:bCs/>
          <w:iCs/>
          <w:sz w:val="22"/>
        </w:rPr>
        <w:t xml:space="preserve"> from RAN1 perspective</w:t>
      </w:r>
      <w:r>
        <w:rPr>
          <w:rFonts w:eastAsiaTheme="minorEastAsia"/>
          <w:b/>
          <w:bCs/>
          <w:iCs/>
          <w:sz w:val="22"/>
          <w:lang w:val="en-US"/>
        </w:rPr>
        <w:t>.</w:t>
      </w:r>
    </w:p>
    <w:p w14:paraId="0076A902" w14:textId="77777777" w:rsidR="005160E8" w:rsidRPr="00C62EC3" w:rsidRDefault="005160E8" w:rsidP="005160E8">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633E5E75" w14:textId="77777777" w:rsidR="005160E8" w:rsidRPr="00C62EC3" w:rsidRDefault="005160E8" w:rsidP="005160E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wait for RAN4 progress.</w:t>
      </w:r>
    </w:p>
    <w:p w14:paraId="75066C36" w14:textId="77777777" w:rsidR="005160E8" w:rsidRPr="00C62EC3" w:rsidRDefault="005160E8" w:rsidP="005160E8">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12723F98" w14:textId="77777777" w:rsidR="005160E8" w:rsidRDefault="005160E8" w:rsidP="005160E8">
      <w:pPr>
        <w:numPr>
          <w:ilvl w:val="0"/>
          <w:numId w:val="9"/>
        </w:numPr>
        <w:spacing w:before="50" w:afterLines="50" w:after="120"/>
        <w:rPr>
          <w:rFonts w:eastAsiaTheme="minorEastAsia"/>
          <w:b/>
          <w:bCs/>
          <w:iCs/>
          <w:sz w:val="22"/>
          <w:lang w:val="en-US"/>
        </w:rPr>
      </w:pPr>
      <w:r w:rsidRPr="00BD3DE2">
        <w:rPr>
          <w:rFonts w:eastAsiaTheme="minorEastAsia"/>
          <w:b/>
          <w:bCs/>
          <w:iCs/>
          <w:sz w:val="22"/>
        </w:rPr>
        <w:t>Discuss issue of TA error jump for FR2-NTN, where timing error requirement may be severer compared to</w:t>
      </w:r>
      <w:r>
        <w:rPr>
          <w:rFonts w:eastAsiaTheme="minorEastAsia"/>
          <w:b/>
          <w:bCs/>
          <w:iCs/>
          <w:sz w:val="22"/>
        </w:rPr>
        <w:t xml:space="preserve"> </w:t>
      </w:r>
      <w:r w:rsidRPr="00BD3DE2">
        <w:rPr>
          <w:rFonts w:eastAsiaTheme="minorEastAsia"/>
          <w:b/>
          <w:bCs/>
          <w:iCs/>
          <w:sz w:val="22"/>
        </w:rPr>
        <w:t>FR1-NTN</w:t>
      </w:r>
      <w:r>
        <w:rPr>
          <w:rFonts w:eastAsiaTheme="minorEastAsia"/>
          <w:b/>
          <w:bCs/>
          <w:iCs/>
          <w:sz w:val="22"/>
          <w:lang w:val="en-US"/>
        </w:rPr>
        <w:t>.</w:t>
      </w:r>
    </w:p>
    <w:p w14:paraId="43FE53F4" w14:textId="77777777" w:rsidR="005160E8" w:rsidRPr="00C62EC3" w:rsidRDefault="005160E8" w:rsidP="005160E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f RAN1 conclude that enhancement for this issue is necessary, N_TA value is initialized to zero when new common TA parameters and/or satellite ephemeris parameters are acquired and start to be used.</w:t>
      </w:r>
    </w:p>
    <w:p w14:paraId="6746E736" w14:textId="77777777" w:rsidR="00917B72" w:rsidRPr="005160E8" w:rsidRDefault="00917B72" w:rsidP="00230A68">
      <w:pPr>
        <w:spacing w:before="50" w:afterLines="50" w:after="120"/>
        <w:jc w:val="both"/>
        <w:rPr>
          <w:rFonts w:eastAsiaTheme="minorEastAsia"/>
          <w:sz w:val="22"/>
          <w:lang w:val="en-US"/>
        </w:rPr>
      </w:pP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4ACC838C" w:rsidR="00E47439" w:rsidRPr="00EA021E"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964E61">
        <w:rPr>
          <w:rFonts w:eastAsia="SimSun"/>
          <w:sz w:val="22"/>
          <w:lang w:val="en-US" w:eastAsia="zh-CN"/>
        </w:rPr>
        <w:t>4</w:t>
      </w:r>
      <w:r w:rsidR="00910CB6">
        <w:rPr>
          <w:rFonts w:eastAsiaTheme="minorEastAsia" w:hint="eastAsia"/>
          <w:sz w:val="22"/>
          <w:lang w:val="en-US"/>
        </w:rPr>
        <w:t>b</w:t>
      </w:r>
      <w:r w:rsidR="00910CB6">
        <w:rPr>
          <w:rFonts w:eastAsiaTheme="minorEastAsia"/>
          <w:sz w:val="22"/>
          <w:lang w:val="en-US"/>
        </w:rPr>
        <w:t>is</w:t>
      </w:r>
      <w:r w:rsidRPr="00C62EC3">
        <w:rPr>
          <w:rFonts w:eastAsia="SimSun"/>
          <w:sz w:val="22"/>
          <w:lang w:val="en-US" w:eastAsia="zh-CN"/>
        </w:rPr>
        <w:t xml:space="preserve"> meeting,</w:t>
      </w:r>
      <w:r w:rsidRPr="00C62EC3">
        <w:rPr>
          <w:rFonts w:eastAsia="SimSun"/>
          <w:sz w:val="22"/>
          <w:lang w:val="en-US" w:eastAsia="zh-CN"/>
        </w:rPr>
        <w:tab/>
        <w:t>chair’s notes</w:t>
      </w:r>
    </w:p>
    <w:p w14:paraId="66F7466A" w14:textId="64803F60" w:rsidR="00EA021E" w:rsidRPr="00C62EC3" w:rsidRDefault="00137387" w:rsidP="00D2646C">
      <w:pPr>
        <w:widowControl w:val="0"/>
        <w:numPr>
          <w:ilvl w:val="0"/>
          <w:numId w:val="4"/>
        </w:numPr>
        <w:spacing w:after="120"/>
        <w:jc w:val="both"/>
        <w:rPr>
          <w:sz w:val="22"/>
          <w:szCs w:val="22"/>
          <w:lang w:val="en-US"/>
        </w:rPr>
      </w:pPr>
      <w:r w:rsidRPr="00137387">
        <w:rPr>
          <w:rFonts w:eastAsiaTheme="minorEastAsia"/>
          <w:sz w:val="22"/>
          <w:lang w:val="en-US"/>
        </w:rPr>
        <w:t>R1-2310564</w:t>
      </w:r>
      <w:r w:rsidR="00D2646C" w:rsidRPr="00D2646C">
        <w:rPr>
          <w:rFonts w:eastAsiaTheme="minorEastAsia"/>
          <w:sz w:val="22"/>
          <w:lang w:val="en-US"/>
        </w:rPr>
        <w:tab/>
      </w:r>
      <w:r w:rsidRPr="00137387">
        <w:rPr>
          <w:rFonts w:eastAsiaTheme="minorEastAsia"/>
          <w:sz w:val="22"/>
          <w:lang w:val="en-US"/>
        </w:rPr>
        <w:t>Discussion on RAN4 LS on FR2-NTN aspects, second round</w:t>
      </w:r>
      <w:r w:rsidR="00D2646C" w:rsidRPr="00D2646C">
        <w:rPr>
          <w:rFonts w:eastAsiaTheme="minorEastAsia"/>
          <w:sz w:val="22"/>
          <w:lang w:val="en-US"/>
        </w:rPr>
        <w:tab/>
        <w:t>Moderator (Nokia)</w:t>
      </w:r>
    </w:p>
    <w:sectPr w:rsidR="00EA021E" w:rsidRPr="00C62EC3">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ECB0" w14:textId="77777777" w:rsidR="00623285" w:rsidRDefault="00623285">
      <w:r>
        <w:separator/>
      </w:r>
    </w:p>
  </w:endnote>
  <w:endnote w:type="continuationSeparator" w:id="0">
    <w:p w14:paraId="0A405743" w14:textId="77777777" w:rsidR="00623285" w:rsidRDefault="00623285">
      <w:r>
        <w:continuationSeparator/>
      </w:r>
    </w:p>
  </w:endnote>
  <w:endnote w:type="continuationNotice" w:id="1">
    <w:p w14:paraId="45F1B5FB" w14:textId="77777777" w:rsidR="00623285" w:rsidRDefault="00623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A48D" w14:textId="77777777" w:rsidR="00623285" w:rsidRDefault="00623285">
      <w:r>
        <w:separator/>
      </w:r>
    </w:p>
  </w:footnote>
  <w:footnote w:type="continuationSeparator" w:id="0">
    <w:p w14:paraId="0F5BAD13" w14:textId="77777777" w:rsidR="00623285" w:rsidRDefault="00623285">
      <w:r>
        <w:continuationSeparator/>
      </w:r>
    </w:p>
  </w:footnote>
  <w:footnote w:type="continuationNotice" w:id="1">
    <w:p w14:paraId="100642DC" w14:textId="77777777" w:rsidR="00623285" w:rsidRDefault="00623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725B6A"/>
    <w:multiLevelType w:val="hybridMultilevel"/>
    <w:tmpl w:val="3CD88FD6"/>
    <w:lvl w:ilvl="0" w:tplc="D4F09CF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6"/>
  </w:num>
  <w:num w:numId="3" w16cid:durableId="563224237">
    <w:abstractNumId w:val="13"/>
  </w:num>
  <w:num w:numId="4" w16cid:durableId="497964561">
    <w:abstractNumId w:val="7"/>
  </w:num>
  <w:num w:numId="5" w16cid:durableId="673269574">
    <w:abstractNumId w:val="31"/>
  </w:num>
  <w:num w:numId="6" w16cid:durableId="1204949447">
    <w:abstractNumId w:val="23"/>
  </w:num>
  <w:num w:numId="7" w16cid:durableId="1613126508">
    <w:abstractNumId w:val="12"/>
  </w:num>
  <w:num w:numId="8" w16cid:durableId="761728095">
    <w:abstractNumId w:val="4"/>
  </w:num>
  <w:num w:numId="9" w16cid:durableId="529533581">
    <w:abstractNumId w:val="25"/>
  </w:num>
  <w:num w:numId="10" w16cid:durableId="730080632">
    <w:abstractNumId w:val="3"/>
  </w:num>
  <w:num w:numId="11" w16cid:durableId="642278523">
    <w:abstractNumId w:val="29"/>
  </w:num>
  <w:num w:numId="12" w16cid:durableId="212279696">
    <w:abstractNumId w:val="21"/>
  </w:num>
  <w:num w:numId="13" w16cid:durableId="1712888">
    <w:abstractNumId w:val="2"/>
  </w:num>
  <w:num w:numId="14" w16cid:durableId="283922706">
    <w:abstractNumId w:val="8"/>
  </w:num>
  <w:num w:numId="15" w16cid:durableId="526328840">
    <w:abstractNumId w:val="5"/>
  </w:num>
  <w:num w:numId="16" w16cid:durableId="1514607863">
    <w:abstractNumId w:val="10"/>
  </w:num>
  <w:num w:numId="17" w16cid:durableId="1894804697">
    <w:abstractNumId w:val="11"/>
  </w:num>
  <w:num w:numId="18" w16cid:durableId="789324815">
    <w:abstractNumId w:val="17"/>
  </w:num>
  <w:num w:numId="19" w16cid:durableId="1206018466">
    <w:abstractNumId w:val="9"/>
  </w:num>
  <w:num w:numId="20" w16cid:durableId="747264772">
    <w:abstractNumId w:val="18"/>
  </w:num>
  <w:num w:numId="21" w16cid:durableId="1196849704">
    <w:abstractNumId w:val="27"/>
  </w:num>
  <w:num w:numId="22" w16cid:durableId="689375953">
    <w:abstractNumId w:val="15"/>
  </w:num>
  <w:num w:numId="23" w16cid:durableId="171530033">
    <w:abstractNumId w:val="22"/>
  </w:num>
  <w:num w:numId="24" w16cid:durableId="28532029">
    <w:abstractNumId w:val="20"/>
  </w:num>
  <w:num w:numId="25" w16cid:durableId="809790370">
    <w:abstractNumId w:val="30"/>
  </w:num>
  <w:num w:numId="26" w16cid:durableId="1934195259">
    <w:abstractNumId w:val="16"/>
  </w:num>
  <w:num w:numId="27" w16cid:durableId="680354493">
    <w:abstractNumId w:val="14"/>
  </w:num>
  <w:num w:numId="28" w16cid:durableId="1368530960">
    <w:abstractNumId w:val="19"/>
  </w:num>
  <w:num w:numId="29" w16cid:durableId="1856650798">
    <w:abstractNumId w:val="6"/>
  </w:num>
  <w:num w:numId="30" w16cid:durableId="1479415585">
    <w:abstractNumId w:val="1"/>
  </w:num>
  <w:num w:numId="31" w16cid:durableId="831528542">
    <w:abstractNumId w:val="28"/>
  </w:num>
  <w:num w:numId="32" w16cid:durableId="126572589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CB9"/>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27F6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533"/>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6F03"/>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387"/>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0D7"/>
    <w:rsid w:val="001532DD"/>
    <w:rsid w:val="00153490"/>
    <w:rsid w:val="0015365F"/>
    <w:rsid w:val="00153E91"/>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A90"/>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F6"/>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87F73"/>
    <w:rsid w:val="00290485"/>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1CC"/>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12"/>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5B7F"/>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8A2"/>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84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75A"/>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A5F"/>
    <w:rsid w:val="00516077"/>
    <w:rsid w:val="005160E8"/>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7FD"/>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27B"/>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5F7"/>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95"/>
    <w:rsid w:val="00620FAC"/>
    <w:rsid w:val="006214C6"/>
    <w:rsid w:val="0062189F"/>
    <w:rsid w:val="00621B2B"/>
    <w:rsid w:val="00621B6F"/>
    <w:rsid w:val="00621C6F"/>
    <w:rsid w:val="00621DA3"/>
    <w:rsid w:val="00621F57"/>
    <w:rsid w:val="00622244"/>
    <w:rsid w:val="006223A6"/>
    <w:rsid w:val="00622823"/>
    <w:rsid w:val="0062302D"/>
    <w:rsid w:val="006230FA"/>
    <w:rsid w:val="00623285"/>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27FAE"/>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EC7"/>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4BD"/>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318"/>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981"/>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B48"/>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BC6"/>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0CB6"/>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0BF"/>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AFA"/>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5C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11"/>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B1F"/>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C19"/>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BEE"/>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316"/>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C80"/>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39A"/>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E2"/>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27"/>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675"/>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1F"/>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56"/>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46C"/>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0DF"/>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1EB0"/>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F91"/>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7F"/>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1F7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7C"/>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B4"/>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3CD5"/>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B05"/>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6C"/>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992"/>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822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42470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3647938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3</Pages>
  <Words>994</Words>
  <Characters>5666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204</cp:revision>
  <cp:lastPrinted>2016-09-21T11:03:00Z</cp:lastPrinted>
  <dcterms:created xsi:type="dcterms:W3CDTF">2023-02-16T12:08:00Z</dcterms:created>
  <dcterms:modified xsi:type="dcterms:W3CDTF">2023-11-02T08:57:00Z</dcterms:modified>
</cp:coreProperties>
</file>