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2D7E5844" w:rsidR="00E1392C" w:rsidRPr="00D47B37" w:rsidRDefault="00E1392C" w:rsidP="00E1392C">
      <w:pPr>
        <w:pStyle w:val="ae"/>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C81C8F">
        <w:rPr>
          <w:rFonts w:ascii="Arial" w:hAnsi="Arial" w:cs="Arial"/>
          <w:b/>
          <w:bCs/>
          <w:sz w:val="24"/>
          <w:szCs w:val="24"/>
          <w:lang w:val="en-GB"/>
        </w:rPr>
        <w:t>5</w:t>
      </w:r>
      <w:r w:rsidR="00F45FE6">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A5218E" w:rsidRPr="00A5218E">
        <w:rPr>
          <w:rFonts w:ascii="Arial" w:hAnsi="Arial" w:cs="Arial"/>
          <w:b/>
          <w:bCs/>
          <w:sz w:val="24"/>
          <w:szCs w:val="24"/>
          <w:lang w:val="en-GB"/>
        </w:rPr>
        <w:t>R1-2311429</w:t>
      </w:r>
    </w:p>
    <w:p w14:paraId="5D35374E" w14:textId="77777777" w:rsidR="00C81C8F" w:rsidRDefault="00C81C8F" w:rsidP="00C81C8F">
      <w:pPr>
        <w:pStyle w:val="ae"/>
        <w:snapToGrid w:val="0"/>
        <w:ind w:left="2339" w:hangingChars="993" w:hanging="2339"/>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7A52CDB7" w14:textId="77777777" w:rsidR="00364697" w:rsidRPr="00C81C8F" w:rsidRDefault="00364697" w:rsidP="0021786D">
      <w:pPr>
        <w:pBdr>
          <w:top w:val="single" w:sz="4" w:space="1" w:color="auto"/>
        </w:pBdr>
        <w:jc w:val="both"/>
        <w:rPr>
          <w:b/>
          <w:kern w:val="2"/>
          <w:sz w:val="16"/>
          <w:szCs w:val="16"/>
          <w:lang w:eastAsia="zh-CN"/>
        </w:rPr>
      </w:pPr>
    </w:p>
    <w:p w14:paraId="55AAF0FF" w14:textId="531428DF"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C81C8F">
        <w:rPr>
          <w:b/>
          <w:kern w:val="2"/>
          <w:lang w:eastAsia="zh-CN"/>
        </w:rPr>
        <w:t>8.13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32B0109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86695" w:rsidRPr="00D86695">
        <w:rPr>
          <w:b/>
          <w:kern w:val="2"/>
          <w:lang w:eastAsia="zh-CN"/>
        </w:rPr>
        <w:t>Power control for RACH-less handover in NR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3CB75058" w14:textId="785FA73A" w:rsidR="003A2595" w:rsidRDefault="0066508C" w:rsidP="0021786D">
      <w:pPr>
        <w:jc w:val="both"/>
        <w:rPr>
          <w:rFonts w:ascii="Times New Roman" w:hAnsi="Times New Roman" w:cs="Times New Roman"/>
          <w:sz w:val="22"/>
          <w:szCs w:val="22"/>
        </w:rPr>
      </w:pPr>
      <w:r w:rsidRPr="0066508C">
        <w:rPr>
          <w:rFonts w:ascii="Times New Roman" w:eastAsia="MS Mincho" w:hAnsi="Times New Roman" w:cs="Times New Roman"/>
          <w:sz w:val="22"/>
          <w:szCs w:val="22"/>
        </w:rPr>
        <w:t>In RAN</w:t>
      </w:r>
      <w:r w:rsidR="00750AF9">
        <w:rPr>
          <w:rFonts w:ascii="Times New Roman" w:eastAsia="MS Mincho" w:hAnsi="Times New Roman" w:cs="Times New Roman"/>
          <w:sz w:val="22"/>
          <w:szCs w:val="22"/>
        </w:rPr>
        <w:t>2</w:t>
      </w:r>
      <w:r w:rsidR="00872079">
        <w:rPr>
          <w:rFonts w:ascii="Times New Roman" w:eastAsia="MS Mincho" w:hAnsi="Times New Roman" w:cs="Times New Roman"/>
          <w:sz w:val="22"/>
          <w:szCs w:val="22"/>
        </w:rPr>
        <w:t>#</w:t>
      </w:r>
      <w:r w:rsidR="00750AF9">
        <w:rPr>
          <w:rFonts w:ascii="Times New Roman" w:eastAsia="MS Mincho" w:hAnsi="Times New Roman" w:cs="Times New Roman"/>
          <w:sz w:val="22"/>
          <w:szCs w:val="22"/>
        </w:rPr>
        <w:t>121</w:t>
      </w:r>
      <w:r w:rsidR="00870D87">
        <w:rPr>
          <w:rFonts w:ascii="Times New Roman" w:eastAsia="MS Mincho" w:hAnsi="Times New Roman" w:cs="Times New Roman"/>
          <w:sz w:val="22"/>
          <w:szCs w:val="22"/>
        </w:rPr>
        <w:t>bis-</w:t>
      </w:r>
      <w:r w:rsidR="00750AF9">
        <w:rPr>
          <w:rFonts w:ascii="Times New Roman" w:eastAsia="MS Mincho" w:hAnsi="Times New Roman" w:cs="Times New Roman"/>
          <w:sz w:val="22"/>
          <w:szCs w:val="22"/>
        </w:rPr>
        <w:t xml:space="preserve">e, the following </w:t>
      </w:r>
      <w:r w:rsidR="003A2595">
        <w:rPr>
          <w:rFonts w:ascii="Times New Roman" w:hAnsi="Times New Roman" w:cs="Times New Roman"/>
          <w:sz w:val="22"/>
          <w:szCs w:val="22"/>
        </w:rPr>
        <w:t>agreements were achieved</w:t>
      </w:r>
      <w:r w:rsidR="001E0F84">
        <w:rPr>
          <w:rFonts w:ascii="Times New Roman" w:hAnsi="Times New Roman" w:cs="Times New Roman"/>
          <w:sz w:val="22"/>
          <w:szCs w:val="22"/>
        </w:rPr>
        <w:t xml:space="preserve"> </w:t>
      </w:r>
      <w:r w:rsidR="00870D87">
        <w:rPr>
          <w:rFonts w:ascii="Times New Roman" w:hAnsi="Times New Roman" w:cs="Times New Roman"/>
          <w:sz w:val="22"/>
          <w:szCs w:val="22"/>
        </w:rPr>
        <w:t>[1]</w:t>
      </w:r>
      <w:r w:rsidR="003A2595" w:rsidRPr="00E6374F">
        <w:rPr>
          <w:rFonts w:ascii="Times New Roman" w:hAnsi="Times New Roman" w:cs="Times New Roman"/>
          <w:sz w:val="22"/>
          <w:szCs w:val="22"/>
        </w:rPr>
        <w:t>:</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8F63EB1" w14:textId="77777777" w:rsidR="001C5B3B" w:rsidRDefault="001C5B3B" w:rsidP="00E043A0">
            <w:pPr>
              <w:pStyle w:val="a3"/>
              <w:spacing w:after="0" w:line="276" w:lineRule="auto"/>
              <w:rPr>
                <w:lang w:val="en-GB" w:eastAsia="zh-CN"/>
              </w:rPr>
            </w:pPr>
            <w:r>
              <w:rPr>
                <w:highlight w:val="green"/>
                <w:lang w:val="en-GB" w:eastAsia="zh-CN"/>
              </w:rPr>
              <w:t>Agreements</w:t>
            </w:r>
            <w:r>
              <w:rPr>
                <w:lang w:val="en-GB" w:eastAsia="zh-CN"/>
              </w:rPr>
              <w:t xml:space="preserve"> </w:t>
            </w:r>
          </w:p>
          <w:p w14:paraId="69CFCE3C"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In Rel-18 we don’t aim at RACH-less HO for NTN-TN mobility</w:t>
            </w:r>
          </w:p>
          <w:p w14:paraId="6427CE01"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For initial UL transmission in RACH-less HO, support pre-allocated grant in RACH-less HO command</w:t>
            </w:r>
          </w:p>
          <w:p w14:paraId="6616E004"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NTN RACH-less HO is supported for Intra-satellite handover with the same feeder link. i.e., with same gateway/gNB;</w:t>
            </w:r>
          </w:p>
          <w:p w14:paraId="169CE9A0"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NTN RACH-less HO can be supported for intra-satellite handover with different feeder links, i.e., with gateway/gNB switch, inter-satellite handover with gateway/gNB switch, and inter-satellite handover with same gateway/gNB.</w:t>
            </w:r>
          </w:p>
          <w:p w14:paraId="1CBB4F62"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 xml:space="preserve">RAN2 confirms the general UE procedure for NTN RACH-less HO </w:t>
            </w:r>
          </w:p>
          <w:p w14:paraId="58E1152D"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receive a RACH-less HO command which can include pre-allocated grant optionally. FFS N_TA is optional. (RRC)</w:t>
            </w:r>
          </w:p>
          <w:p w14:paraId="4DF6507D"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start timer T304 for the target cell (RRC)</w:t>
            </w:r>
          </w:p>
          <w:p w14:paraId="7D7AAFE3"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perform DL and UL synchronization, and start timer T430. FFS how to perform RACH-less UL synchronization to NTN target cell. (RRC, MAC)</w:t>
            </w:r>
          </w:p>
          <w:p w14:paraId="66BA878E"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start time alignment timer (MAC)</w:t>
            </w:r>
          </w:p>
          <w:p w14:paraId="1CEF489A"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monitor target cell PDCCH for dynamic grant if pre-allocated grant is not configured in RACH-less HO command (MAC, PHY)</w:t>
            </w:r>
          </w:p>
          <w:p w14:paraId="22C0F2A5"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send initial UL transmission including RRCReconfigurationComplete message using the available UL grant (RRC, MAC, PHY)</w:t>
            </w:r>
          </w:p>
          <w:p w14:paraId="5F296E58"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consider RACH-less HO is completed upon receiving NW confirmation. FFS how to confirm RACH-less HO is successfully completed. (RRC, MAC)</w:t>
            </w:r>
          </w:p>
          <w:p w14:paraId="537B0DF8" w14:textId="77777777" w:rsidR="001C5B3B" w:rsidRDefault="001C5B3B" w:rsidP="001C5B3B">
            <w:pPr>
              <w:pStyle w:val="a3"/>
              <w:numPr>
                <w:ilvl w:val="1"/>
                <w:numId w:val="11"/>
              </w:numPr>
              <w:autoSpaceDE/>
              <w:autoSpaceDN/>
              <w:adjustRightInd/>
              <w:snapToGrid/>
              <w:spacing w:after="0" w:line="276" w:lineRule="auto"/>
              <w:ind w:left="1080"/>
              <w:rPr>
                <w:lang w:val="en-GB" w:eastAsia="zh-CN"/>
              </w:rPr>
            </w:pPr>
            <w:r>
              <w:rPr>
                <w:lang w:val="en-GB" w:eastAsia="zh-CN"/>
              </w:rPr>
              <w:t>stop timer T304 for the target cell. (RRC)</w:t>
            </w:r>
          </w:p>
          <w:p w14:paraId="32D3C16E" w14:textId="77777777" w:rsidR="001C5B3B" w:rsidRDefault="001C5B3B" w:rsidP="00E043A0">
            <w:pPr>
              <w:pStyle w:val="a3"/>
              <w:spacing w:after="0" w:line="276" w:lineRule="auto"/>
              <w:ind w:leftChars="300" w:left="720"/>
              <w:rPr>
                <w:lang w:val="en-GB" w:eastAsia="zh-CN"/>
              </w:rPr>
            </w:pPr>
            <w:r>
              <w:rPr>
                <w:lang w:val="en-GB" w:eastAsia="zh-CN"/>
              </w:rPr>
              <w:t>FFS whether to release UL grant if pre-allocated after RACH-less HO completion</w:t>
            </w:r>
          </w:p>
          <w:p w14:paraId="00B066BE" w14:textId="77777777" w:rsidR="001C5B3B" w:rsidRDefault="001C5B3B" w:rsidP="00E043A0">
            <w:pPr>
              <w:pStyle w:val="a3"/>
              <w:spacing w:after="0" w:line="276" w:lineRule="auto"/>
              <w:rPr>
                <w:lang w:val="en-GB" w:eastAsia="zh-CN"/>
              </w:rPr>
            </w:pPr>
            <w:r>
              <w:rPr>
                <w:lang w:val="en-GB" w:eastAsia="zh-CN"/>
              </w:rPr>
              <w:tab/>
              <w:t>FFS RACH-less HO failure handling, e.g. whether UE fallback to RACH-based HO to the target cell</w:t>
            </w:r>
          </w:p>
          <w:p w14:paraId="0A6228F8" w14:textId="77777777" w:rsidR="001C5B3B" w:rsidRDefault="001C5B3B" w:rsidP="00E043A0">
            <w:pPr>
              <w:pStyle w:val="a3"/>
              <w:spacing w:after="0" w:line="276" w:lineRule="auto"/>
              <w:rPr>
                <w:lang w:val="en-GB" w:eastAsia="zh-CN"/>
              </w:rPr>
            </w:pPr>
            <w:r>
              <w:rPr>
                <w:lang w:val="en-GB" w:eastAsia="zh-CN"/>
              </w:rPr>
              <w:tab/>
              <w:t>FFS procedure for RACH-less HO combined with PCI unchanged or CHO if supported</w:t>
            </w:r>
          </w:p>
          <w:p w14:paraId="72CA706F"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The pre-allocated grant is provided as type-1 CG</w:t>
            </w:r>
          </w:p>
          <w:p w14:paraId="5B483C75" w14:textId="77777777" w:rsidR="001C5B3B" w:rsidRDefault="001C5B3B" w:rsidP="001C5B3B">
            <w:pPr>
              <w:pStyle w:val="a3"/>
              <w:numPr>
                <w:ilvl w:val="0"/>
                <w:numId w:val="11"/>
              </w:numPr>
              <w:autoSpaceDE/>
              <w:autoSpaceDN/>
              <w:adjustRightInd/>
              <w:snapToGrid/>
              <w:spacing w:after="0" w:line="276" w:lineRule="auto"/>
              <w:ind w:left="360"/>
              <w:rPr>
                <w:lang w:val="en-GB" w:eastAsia="zh-CN"/>
              </w:rPr>
            </w:pPr>
            <w:r>
              <w:rPr>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7D444CE9" w14:textId="607B8949" w:rsidR="001C5B3B" w:rsidRDefault="003423B0" w:rsidP="00E043A0">
            <w:pPr>
              <w:spacing w:line="276" w:lineRule="auto"/>
              <w:rPr>
                <w:lang w:val="en-GB" w:eastAsia="ko-KR"/>
              </w:rPr>
            </w:pPr>
            <w:r w:rsidRPr="003423B0">
              <w:rPr>
                <w:rFonts w:ascii="Times New Roman" w:eastAsia="Malgun Gothic" w:hAnsi="Times New Roman" w:cs="Times New Roman"/>
                <w:sz w:val="20"/>
                <w:szCs w:val="20"/>
                <w:lang w:val="en-GB" w:eastAsia="zh-CN"/>
              </w:rPr>
              <w:t>Consider to support combining RACH-less HO with time-based CHO for NTN, taking into account the 1) validity of pre-allocated grant and potential waste of reserved resource; 2) when/how to provide dynamic grant in PDCCH.</w:t>
            </w:r>
          </w:p>
        </w:tc>
      </w:tr>
    </w:tbl>
    <w:p w14:paraId="61809516" w14:textId="4618EE82" w:rsidR="003A2595" w:rsidRDefault="003A2595" w:rsidP="0021786D">
      <w:pPr>
        <w:jc w:val="both"/>
        <w:rPr>
          <w:rFonts w:ascii="Times New Roman" w:hAnsi="Times New Roman" w:cs="Times New Roman"/>
          <w:sz w:val="22"/>
          <w:szCs w:val="22"/>
        </w:rPr>
      </w:pPr>
    </w:p>
    <w:p w14:paraId="43F4B106" w14:textId="089F4DBE" w:rsidR="00536223" w:rsidRDefault="00536223" w:rsidP="00536223">
      <w:pPr>
        <w:jc w:val="both"/>
        <w:rPr>
          <w:rFonts w:ascii="Times New Roman" w:hAnsi="Times New Roman" w:cs="Times New Roman"/>
          <w:sz w:val="22"/>
          <w:szCs w:val="22"/>
        </w:rPr>
      </w:pPr>
      <w:r w:rsidRPr="0066508C">
        <w:rPr>
          <w:rFonts w:ascii="Times New Roman" w:eastAsia="MS Mincho" w:hAnsi="Times New Roman" w:cs="Times New Roman"/>
          <w:sz w:val="22"/>
          <w:szCs w:val="22"/>
        </w:rPr>
        <w:t>In RAN</w:t>
      </w:r>
      <w:r>
        <w:rPr>
          <w:rFonts w:ascii="Times New Roman" w:eastAsia="MS Mincho" w:hAnsi="Times New Roman" w:cs="Times New Roman"/>
          <w:sz w:val="22"/>
          <w:szCs w:val="22"/>
        </w:rPr>
        <w:t xml:space="preserve">1#114, the following </w:t>
      </w:r>
      <w:r>
        <w:rPr>
          <w:rFonts w:ascii="Times New Roman" w:hAnsi="Times New Roman" w:cs="Times New Roman"/>
          <w:sz w:val="22"/>
          <w:szCs w:val="22"/>
        </w:rPr>
        <w:t>agreements were achieved</w:t>
      </w:r>
      <w:r w:rsidR="001E0F84">
        <w:rPr>
          <w:rFonts w:ascii="Times New Roman" w:hAnsi="Times New Roman" w:cs="Times New Roman"/>
          <w:sz w:val="22"/>
          <w:szCs w:val="22"/>
        </w:rPr>
        <w:t xml:space="preserve"> </w:t>
      </w:r>
      <w:r>
        <w:rPr>
          <w:rFonts w:ascii="Times New Roman" w:hAnsi="Times New Roman" w:cs="Times New Roman"/>
          <w:sz w:val="22"/>
          <w:szCs w:val="22"/>
        </w:rPr>
        <w:t>[</w:t>
      </w:r>
      <w:r w:rsidR="001E574E">
        <w:rPr>
          <w:rFonts w:ascii="Times New Roman" w:hAnsi="Times New Roman" w:cs="Times New Roman"/>
          <w:sz w:val="22"/>
          <w:szCs w:val="22"/>
        </w:rPr>
        <w:t>2</w:t>
      </w:r>
      <w:r>
        <w:rPr>
          <w:rFonts w:ascii="Times New Roman" w:hAnsi="Times New Roman" w:cs="Times New Roman"/>
          <w:sz w:val="22"/>
          <w:szCs w:val="22"/>
        </w:rPr>
        <w:t>]</w:t>
      </w:r>
      <w:r w:rsidRPr="00E6374F">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C457F9" w14:paraId="06D86E33" w14:textId="77777777" w:rsidTr="00E043A0">
        <w:tc>
          <w:tcPr>
            <w:tcW w:w="9742" w:type="dxa"/>
          </w:tcPr>
          <w:p w14:paraId="5B8EEC85" w14:textId="77777777" w:rsidR="00C457F9" w:rsidRPr="001E0F84" w:rsidRDefault="00C457F9" w:rsidP="001E0F84">
            <w:pPr>
              <w:pStyle w:val="a3"/>
              <w:spacing w:after="0" w:line="276" w:lineRule="auto"/>
              <w:rPr>
                <w:highlight w:val="green"/>
                <w:lang w:val="en-GB" w:eastAsia="zh-CN"/>
              </w:rPr>
            </w:pPr>
            <w:r w:rsidRPr="001E0F84">
              <w:rPr>
                <w:highlight w:val="green"/>
                <w:lang w:val="en-GB" w:eastAsia="zh-CN"/>
              </w:rPr>
              <w:t>Agreement</w:t>
            </w:r>
          </w:p>
          <w:p w14:paraId="15149B63" w14:textId="77777777" w:rsidR="00C457F9" w:rsidRPr="001E0F84" w:rsidRDefault="00C457F9" w:rsidP="00E043A0">
            <w:pPr>
              <w:spacing w:line="276" w:lineRule="auto"/>
              <w:rPr>
                <w:rFonts w:ascii="Times New Roman" w:eastAsia="宋体" w:hAnsi="Times New Roman" w:cs="Times New Roman"/>
                <w:sz w:val="20"/>
                <w:szCs w:val="20"/>
                <w:lang w:eastAsia="zh-CN"/>
              </w:rPr>
            </w:pPr>
            <w:r w:rsidRPr="001E0F84">
              <w:rPr>
                <w:rFonts w:ascii="Times New Roman" w:eastAsia="宋体" w:hAnsi="Times New Roman" w:cs="Times New Roman"/>
                <w:sz w:val="20"/>
                <w:szCs w:val="20"/>
                <w:lang w:eastAsia="zh-CN"/>
              </w:rPr>
              <w:t>The following response to Question 2 in RAN2 LS (R1-2304322) is agreed:</w:t>
            </w:r>
          </w:p>
          <w:p w14:paraId="5299DC1C" w14:textId="77777777" w:rsidR="00C457F9" w:rsidRPr="001E0F84" w:rsidRDefault="00C457F9" w:rsidP="00C457F9">
            <w:pPr>
              <w:pStyle w:val="a6"/>
              <w:numPr>
                <w:ilvl w:val="0"/>
                <w:numId w:val="13"/>
              </w:numPr>
              <w:autoSpaceDE/>
              <w:autoSpaceDN/>
              <w:adjustRightInd/>
              <w:snapToGrid/>
              <w:spacing w:after="0" w:line="276" w:lineRule="auto"/>
              <w:contextualSpacing w:val="0"/>
              <w:jc w:val="left"/>
              <w:rPr>
                <w:sz w:val="20"/>
                <w:szCs w:val="20"/>
                <w:lang w:eastAsia="ko-KR"/>
              </w:rPr>
            </w:pPr>
            <w:r w:rsidRPr="001E0F84">
              <w:rPr>
                <w:rFonts w:eastAsia="宋体"/>
                <w:sz w:val="20"/>
                <w:szCs w:val="20"/>
                <w:lang w:eastAsia="zh-CN"/>
              </w:rPr>
              <w:t xml:space="preserve">To monitor target cell PDCCH for dynamic grant for initial UL transmission, </w:t>
            </w:r>
            <w:r w:rsidRPr="001E0F84">
              <w:rPr>
                <w:sz w:val="20"/>
                <w:szCs w:val="20"/>
                <w:lang w:eastAsia="ko-KR"/>
              </w:rPr>
              <w:t xml:space="preserve">RAN1 think that there is no </w:t>
            </w:r>
            <w:r w:rsidRPr="001E0F84">
              <w:rPr>
                <w:bCs/>
                <w:sz w:val="20"/>
                <w:szCs w:val="20"/>
                <w:lang w:eastAsia="ko-KR"/>
              </w:rPr>
              <w:t>case where multiple beams are indicated for RACH-less handover.</w:t>
            </w:r>
            <w:r w:rsidRPr="001E0F84">
              <w:rPr>
                <w:sz w:val="20"/>
                <w:szCs w:val="20"/>
                <w:lang w:eastAsia="ko-KR"/>
              </w:rPr>
              <w:t xml:space="preserve"> In this case, UE doesn’t expect that multiple beams are indicated from NW.</w:t>
            </w:r>
          </w:p>
          <w:p w14:paraId="739E1262" w14:textId="77777777" w:rsidR="00C457F9" w:rsidRPr="001E0F84" w:rsidRDefault="00C457F9" w:rsidP="00E043A0">
            <w:pPr>
              <w:spacing w:line="276" w:lineRule="auto"/>
              <w:rPr>
                <w:rFonts w:ascii="Times New Roman" w:hAnsi="Times New Roman" w:cs="Times New Roman"/>
                <w:sz w:val="20"/>
                <w:szCs w:val="20"/>
                <w:lang w:eastAsia="zh-CN"/>
              </w:rPr>
            </w:pPr>
          </w:p>
          <w:p w14:paraId="12342F3E" w14:textId="77777777" w:rsidR="00C457F9" w:rsidRPr="001E0F84" w:rsidRDefault="00C457F9" w:rsidP="001E0F84">
            <w:pPr>
              <w:pStyle w:val="a3"/>
              <w:spacing w:after="0" w:line="276" w:lineRule="auto"/>
              <w:rPr>
                <w:highlight w:val="green"/>
                <w:lang w:val="en-GB" w:eastAsia="zh-CN"/>
              </w:rPr>
            </w:pPr>
            <w:r w:rsidRPr="001E0F84">
              <w:rPr>
                <w:highlight w:val="green"/>
                <w:lang w:val="en-GB" w:eastAsia="zh-CN"/>
              </w:rPr>
              <w:lastRenderedPageBreak/>
              <w:t>Agreement</w:t>
            </w:r>
          </w:p>
          <w:p w14:paraId="770517E4" w14:textId="77777777" w:rsidR="00C457F9" w:rsidRPr="001E0F84" w:rsidRDefault="00C457F9" w:rsidP="00E043A0">
            <w:pPr>
              <w:spacing w:line="276" w:lineRule="auto"/>
              <w:rPr>
                <w:rFonts w:ascii="Times New Roman" w:eastAsia="MS Mincho" w:hAnsi="Times New Roman" w:cs="Times New Roman"/>
                <w:sz w:val="20"/>
                <w:szCs w:val="20"/>
              </w:rPr>
            </w:pPr>
            <w:r w:rsidRPr="001E0F84">
              <w:rPr>
                <w:rFonts w:ascii="Times New Roman" w:hAnsi="Times New Roman" w:cs="Times New Roman"/>
                <w:sz w:val="20"/>
                <w:szCs w:val="20"/>
                <w:lang w:eastAsia="ko-KR"/>
              </w:rPr>
              <w:t xml:space="preserve">For pathloss measurement in case of dynamic scheduled initial PUSCH for RACH-less handover, </w:t>
            </w:r>
            <w:r w:rsidRPr="001E0F84">
              <w:rPr>
                <w:rFonts w:ascii="Times New Roman" w:eastAsia="Malgun Gothic" w:hAnsi="Times New Roman" w:cs="Times New Roman"/>
                <w:sz w:val="20"/>
                <w:szCs w:val="20"/>
              </w:rPr>
              <w:t xml:space="preserve">the </w:t>
            </w:r>
            <w:r w:rsidRPr="001E0F84">
              <w:rPr>
                <w:rFonts w:ascii="Times New Roman" w:hAnsi="Times New Roman" w:cs="Times New Roman"/>
                <w:sz w:val="20"/>
                <w:szCs w:val="20"/>
              </w:rPr>
              <w:t xml:space="preserve">UE </w:t>
            </w:r>
            <w:r w:rsidRPr="001E0F84">
              <w:rPr>
                <w:rFonts w:ascii="Times New Roman" w:hAnsi="Times New Roman" w:cs="Times New Roman"/>
                <w:iCs/>
                <w:sz w:val="20"/>
                <w:szCs w:val="20"/>
              </w:rPr>
              <w:t xml:space="preserve">calculates </w:t>
            </w:r>
            <m:oMath>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Pr="001E0F84">
              <w:rPr>
                <w:rFonts w:ascii="Times New Roman" w:hAnsi="Times New Roman" w:cs="Times New Roman"/>
                <w:iCs/>
                <w:sz w:val="20"/>
                <w:szCs w:val="20"/>
              </w:rPr>
              <w:t xml:space="preserve"> using </w:t>
            </w:r>
            <w:r w:rsidRPr="001E0F84">
              <w:rPr>
                <w:rFonts w:ascii="Times New Roman" w:hAnsi="Times New Roman" w:cs="Times New Roman"/>
                <w:sz w:val="20"/>
                <w:szCs w:val="20"/>
              </w:rPr>
              <w:t xml:space="preserve">a RS resource </w:t>
            </w:r>
            <w:r w:rsidRPr="001E0F84">
              <w:rPr>
                <w:rFonts w:ascii="Times New Roman" w:hAnsi="Times New Roman" w:cs="Times New Roman"/>
                <w:iCs/>
                <w:sz w:val="20"/>
                <w:szCs w:val="20"/>
              </w:rPr>
              <w:t xml:space="preserve">from an SS/PBCH block </w:t>
            </w:r>
            <w:r w:rsidRPr="001E0F84">
              <w:rPr>
                <w:rFonts w:ascii="Times New Roman" w:eastAsia="MS Mincho" w:hAnsi="Times New Roman" w:cs="Times New Roman"/>
                <w:sz w:val="20"/>
                <w:szCs w:val="20"/>
              </w:rPr>
              <w:t>with same SS/PBCH block index as the one the UE uses to monitor PDCCH scheduling dynamic UL grant for initial transmission.</w:t>
            </w:r>
          </w:p>
          <w:p w14:paraId="197272C7" w14:textId="77777777" w:rsidR="00C457F9" w:rsidRPr="001E0F84" w:rsidRDefault="00C457F9" w:rsidP="00E043A0">
            <w:pPr>
              <w:spacing w:line="276" w:lineRule="auto"/>
              <w:rPr>
                <w:rFonts w:ascii="Times New Roman" w:hAnsi="Times New Roman" w:cs="Times New Roman"/>
                <w:sz w:val="20"/>
                <w:szCs w:val="20"/>
                <w:lang w:eastAsia="zh-CN"/>
              </w:rPr>
            </w:pPr>
          </w:p>
          <w:p w14:paraId="56A9F3F7" w14:textId="77777777" w:rsidR="00C457F9" w:rsidRPr="001E0F84" w:rsidRDefault="00C457F9" w:rsidP="001E0F84">
            <w:pPr>
              <w:pStyle w:val="a3"/>
              <w:spacing w:after="0" w:line="276" w:lineRule="auto"/>
              <w:rPr>
                <w:highlight w:val="green"/>
                <w:lang w:val="en-GB" w:eastAsia="zh-CN"/>
              </w:rPr>
            </w:pPr>
            <w:r w:rsidRPr="001E0F84">
              <w:rPr>
                <w:highlight w:val="green"/>
                <w:lang w:val="en-GB" w:eastAsia="zh-CN"/>
              </w:rPr>
              <w:t>Agreement</w:t>
            </w:r>
          </w:p>
          <w:p w14:paraId="510122FF" w14:textId="77777777" w:rsidR="00C457F9" w:rsidRPr="001E0F84" w:rsidRDefault="00C457F9" w:rsidP="00E043A0">
            <w:pPr>
              <w:spacing w:line="276" w:lineRule="auto"/>
              <w:rPr>
                <w:rFonts w:ascii="Times New Roman" w:eastAsia="Times New Roman" w:hAnsi="Times New Roman" w:cs="Times New Roman"/>
                <w:sz w:val="20"/>
                <w:szCs w:val="20"/>
                <w:lang w:eastAsia="zh-CN"/>
              </w:rPr>
            </w:pPr>
            <w:r w:rsidRPr="001E0F84">
              <w:rPr>
                <w:rFonts w:ascii="Times New Roman" w:hAnsi="Times New Roman" w:cs="Times New Roman"/>
                <w:sz w:val="20"/>
                <w:szCs w:val="20"/>
                <w:lang w:eastAsia="zh-CN"/>
              </w:rPr>
              <w:t>The following response to Question 3 in RAN2 LS (</w:t>
            </w:r>
            <w:r w:rsidRPr="001E0F84">
              <w:rPr>
                <w:rFonts w:ascii="Times New Roman" w:hAnsi="Times New Roman" w:cs="Times New Roman"/>
                <w:sz w:val="20"/>
                <w:szCs w:val="20"/>
                <w:lang w:eastAsia="ko-KR"/>
              </w:rPr>
              <w:t>R1-2304322) is agreed:</w:t>
            </w:r>
          </w:p>
          <w:p w14:paraId="33A8696E" w14:textId="77777777" w:rsidR="00C457F9" w:rsidRPr="001E0F84" w:rsidRDefault="00C457F9" w:rsidP="00C457F9">
            <w:pPr>
              <w:pStyle w:val="a6"/>
              <w:numPr>
                <w:ilvl w:val="0"/>
                <w:numId w:val="13"/>
              </w:numPr>
              <w:autoSpaceDE/>
              <w:autoSpaceDN/>
              <w:adjustRightInd/>
              <w:snapToGrid/>
              <w:spacing w:after="0" w:line="276" w:lineRule="auto"/>
              <w:contextualSpacing w:val="0"/>
              <w:jc w:val="left"/>
              <w:rPr>
                <w:sz w:val="20"/>
                <w:szCs w:val="20"/>
                <w:lang w:eastAsia="ko-KR"/>
              </w:rPr>
            </w:pPr>
            <w:r w:rsidRPr="001E0F84">
              <w:rPr>
                <w:sz w:val="20"/>
                <w:szCs w:val="20"/>
                <w:lang w:eastAsia="ko-KR"/>
              </w:rPr>
              <w:t xml:space="preserve">For the initial </w:t>
            </w:r>
            <w:bookmarkStart w:id="2" w:name="_Hlk149580536"/>
            <w:r w:rsidRPr="001E0F84">
              <w:rPr>
                <w:sz w:val="20"/>
                <w:szCs w:val="20"/>
                <w:lang w:eastAsia="ko-KR"/>
              </w:rPr>
              <w:t>UL transmission scheduled by dynamic grant</w:t>
            </w:r>
            <w:bookmarkEnd w:id="2"/>
            <w:r w:rsidRPr="001E0F84">
              <w:rPr>
                <w:sz w:val="20"/>
                <w:szCs w:val="20"/>
                <w:lang w:eastAsia="ko-KR"/>
              </w:rPr>
              <w:t xml:space="preserve"> in RACH-less handover, RAN1 thinks that it follows the principle for power control for </w:t>
            </w:r>
            <w:bookmarkStart w:id="3" w:name="_Hlk149580504"/>
            <w:r w:rsidRPr="001E0F84">
              <w:rPr>
                <w:sz w:val="20"/>
                <w:szCs w:val="20"/>
                <w:lang w:eastAsia="ko-KR"/>
              </w:rPr>
              <w:t>Msg3 (or MsgA) PUSCH</w:t>
            </w:r>
            <w:bookmarkEnd w:id="3"/>
            <w:r w:rsidRPr="001E0F84">
              <w:rPr>
                <w:sz w:val="20"/>
                <w:szCs w:val="20"/>
                <w:lang w:eastAsia="ko-KR"/>
              </w:rPr>
              <w:t xml:space="preserve">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5EE15DCD" w14:textId="77777777" w:rsidR="00C457F9" w:rsidRDefault="00C457F9" w:rsidP="00C457F9">
            <w:pPr>
              <w:pStyle w:val="a6"/>
              <w:numPr>
                <w:ilvl w:val="0"/>
                <w:numId w:val="13"/>
              </w:numPr>
              <w:autoSpaceDE/>
              <w:autoSpaceDN/>
              <w:adjustRightInd/>
              <w:snapToGrid/>
              <w:spacing w:after="0" w:line="276" w:lineRule="auto"/>
              <w:contextualSpacing w:val="0"/>
              <w:jc w:val="left"/>
              <w:rPr>
                <w:lang w:eastAsia="ko-KR"/>
              </w:rPr>
            </w:pPr>
            <w:r w:rsidRPr="001E0F84">
              <w:rPr>
                <w:sz w:val="20"/>
                <w:szCs w:val="20"/>
                <w:lang w:eastAsia="ko-KR"/>
              </w:rPr>
              <w:t>RAN1 may continue further discussion on question 3.</w:t>
            </w:r>
          </w:p>
        </w:tc>
      </w:tr>
    </w:tbl>
    <w:p w14:paraId="4582BF60" w14:textId="13098B3C" w:rsidR="00536223" w:rsidRDefault="00536223" w:rsidP="0021786D">
      <w:pPr>
        <w:jc w:val="both"/>
        <w:rPr>
          <w:rFonts w:ascii="Times New Roman" w:hAnsi="Times New Roman" w:cs="Times New Roman"/>
          <w:sz w:val="22"/>
          <w:szCs w:val="22"/>
        </w:rPr>
      </w:pPr>
    </w:p>
    <w:p w14:paraId="702F4600" w14:textId="6B5BD3A1" w:rsidR="006F7A10" w:rsidRDefault="00E61593" w:rsidP="0021786D">
      <w:pPr>
        <w:jc w:val="both"/>
        <w:rPr>
          <w:rFonts w:ascii="Times New Roman" w:hAnsi="Times New Roman" w:cs="Times New Roman"/>
          <w:sz w:val="22"/>
          <w:szCs w:val="22"/>
        </w:rPr>
      </w:pPr>
      <w:r>
        <w:rPr>
          <w:rFonts w:ascii="Times New Roman" w:hAnsi="Times New Roman" w:cs="Times New Roman"/>
          <w:sz w:val="22"/>
          <w:szCs w:val="22"/>
        </w:rPr>
        <w:t xml:space="preserve">In RAN1#114bis, </w:t>
      </w:r>
      <w:r w:rsidR="001E574E">
        <w:rPr>
          <w:rFonts w:ascii="Times New Roman" w:hAnsi="Times New Roman" w:cs="Times New Roman"/>
          <w:sz w:val="22"/>
          <w:szCs w:val="22"/>
        </w:rPr>
        <w:t>p</w:t>
      </w:r>
      <w:r w:rsidR="001E574E" w:rsidRPr="001E574E">
        <w:rPr>
          <w:rFonts w:ascii="Times New Roman" w:hAnsi="Times New Roman" w:cs="Times New Roman"/>
          <w:sz w:val="22"/>
          <w:szCs w:val="22"/>
        </w:rPr>
        <w:t>ower control enhancements for DG/CG PUSCH</w:t>
      </w:r>
      <w:r w:rsidR="001E574E">
        <w:rPr>
          <w:rFonts w:ascii="Times New Roman" w:hAnsi="Times New Roman" w:cs="Times New Roman"/>
          <w:sz w:val="22"/>
          <w:szCs w:val="22"/>
        </w:rPr>
        <w:t xml:space="preserve"> </w:t>
      </w:r>
      <w:r w:rsidR="003E5E6F">
        <w:rPr>
          <w:rFonts w:ascii="Times New Roman" w:hAnsi="Times New Roman" w:cs="Times New Roman"/>
          <w:sz w:val="22"/>
          <w:szCs w:val="22"/>
        </w:rPr>
        <w:t>are</w:t>
      </w:r>
      <w:r w:rsidR="001E574E">
        <w:rPr>
          <w:rFonts w:ascii="Times New Roman" w:hAnsi="Times New Roman" w:cs="Times New Roman"/>
          <w:sz w:val="22"/>
          <w:szCs w:val="22"/>
        </w:rPr>
        <w:t xml:space="preserve"> still an open </w:t>
      </w:r>
      <w:r w:rsidR="003E5E6F">
        <w:rPr>
          <w:rFonts w:ascii="Times New Roman" w:hAnsi="Times New Roman" w:cs="Times New Roman"/>
          <w:sz w:val="22"/>
          <w:szCs w:val="22"/>
        </w:rPr>
        <w:t>issue</w:t>
      </w:r>
      <w:r w:rsidR="001E574E">
        <w:rPr>
          <w:rFonts w:ascii="Times New Roman" w:hAnsi="Times New Roman" w:cs="Times New Roman"/>
          <w:sz w:val="22"/>
          <w:szCs w:val="22"/>
        </w:rPr>
        <w:t xml:space="preserve"> as[3]:</w:t>
      </w:r>
    </w:p>
    <w:p w14:paraId="1DA884BE" w14:textId="77777777" w:rsidR="00CD708C" w:rsidRPr="003E5E6F" w:rsidRDefault="00CD708C" w:rsidP="0021786D">
      <w:pPr>
        <w:jc w:val="both"/>
        <w:rPr>
          <w:rFonts w:ascii="Times New Roman" w:hAnsi="Times New Roman" w:cs="Times New Roman"/>
          <w:sz w:val="22"/>
          <w:szCs w:val="22"/>
        </w:rPr>
      </w:pPr>
    </w:p>
    <w:p w14:paraId="49AC2A54" w14:textId="77777777" w:rsidR="00CD708C" w:rsidRDefault="00CD708C" w:rsidP="00CD708C">
      <w:pPr>
        <w:pStyle w:val="a6"/>
        <w:numPr>
          <w:ilvl w:val="0"/>
          <w:numId w:val="14"/>
        </w:numPr>
        <w:autoSpaceDE/>
        <w:autoSpaceDN/>
        <w:adjustRightInd/>
        <w:snapToGrid/>
        <w:spacing w:after="180"/>
        <w:contextualSpacing w:val="0"/>
        <w:rPr>
          <w:b/>
          <w:lang w:eastAsia="ko-KR"/>
        </w:rPr>
      </w:pPr>
      <w:r>
        <w:rPr>
          <w:b/>
          <w:lang w:val="en-GB" w:eastAsia="ja-JP"/>
        </w:rPr>
        <w:t xml:space="preserve">There is no consensus on whether to consider following </w:t>
      </w:r>
      <w:r>
        <w:rPr>
          <w:rFonts w:eastAsia="宋体"/>
          <w:b/>
          <w:lang w:eastAsia="zh-CN"/>
        </w:rPr>
        <w:t xml:space="preserve">enhancements on power control </w:t>
      </w:r>
      <w:r>
        <w:rPr>
          <w:b/>
          <w:lang w:val="en-GB" w:eastAsia="ko-KR"/>
        </w:rPr>
        <w:t xml:space="preserve">for DG/CG PUSCH for RACH-less handover in Rel-18. </w:t>
      </w:r>
    </w:p>
    <w:p w14:paraId="6CE0B08E" w14:textId="77777777" w:rsidR="00CD708C" w:rsidRDefault="00CD708C" w:rsidP="00CD708C">
      <w:pPr>
        <w:pStyle w:val="a6"/>
        <w:numPr>
          <w:ilvl w:val="1"/>
          <w:numId w:val="14"/>
        </w:numPr>
        <w:autoSpaceDE/>
        <w:autoSpaceDN/>
        <w:adjustRightInd/>
        <w:snapToGrid/>
        <w:spacing w:after="180"/>
        <w:contextualSpacing w:val="0"/>
        <w:rPr>
          <w:b/>
          <w:lang w:eastAsia="ko-KR"/>
        </w:rPr>
      </w:pPr>
      <w:r>
        <w:rPr>
          <w:b/>
          <w:lang w:eastAsia="ko-KR"/>
        </w:rPr>
        <w:t>For DG PUSCH, reusing p</w:t>
      </w:r>
      <w:r>
        <w:rPr>
          <w:b/>
          <w:lang w:val="en-GB" w:eastAsia="ko-KR"/>
        </w:rPr>
        <w:t>ower adjustment state of the source cell to the target cell.</w:t>
      </w:r>
    </w:p>
    <w:p w14:paraId="02E221D7" w14:textId="77777777" w:rsidR="00CD708C" w:rsidRDefault="00CD708C" w:rsidP="00CD708C">
      <w:pPr>
        <w:pStyle w:val="a6"/>
        <w:numPr>
          <w:ilvl w:val="1"/>
          <w:numId w:val="14"/>
        </w:numPr>
        <w:autoSpaceDE/>
        <w:autoSpaceDN/>
        <w:adjustRightInd/>
        <w:snapToGrid/>
        <w:spacing w:after="180"/>
        <w:contextualSpacing w:val="0"/>
        <w:rPr>
          <w:b/>
          <w:lang w:eastAsia="ko-KR"/>
        </w:rPr>
      </w:pPr>
      <w:r>
        <w:rPr>
          <w:b/>
          <w:lang w:eastAsia="ko-KR"/>
        </w:rPr>
        <w:t>For CG PUSCH, introducing power ramping mechanism</w:t>
      </w:r>
    </w:p>
    <w:p w14:paraId="7851CBE9" w14:textId="6D0B37C3"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our views on </w:t>
      </w:r>
      <w:r w:rsidR="003E5E6F">
        <w:rPr>
          <w:rFonts w:ascii="Times New Roman" w:hAnsi="Times New Roman" w:cs="Times New Roman"/>
          <w:bCs/>
          <w:sz w:val="22"/>
          <w:szCs w:val="22"/>
        </w:rPr>
        <w:t xml:space="preserve">the remaining issues on </w:t>
      </w:r>
      <w:r w:rsidR="00A47C22">
        <w:rPr>
          <w:rFonts w:ascii="Times New Roman" w:hAnsi="Times New Roman" w:cs="Times New Roman"/>
          <w:bCs/>
          <w:sz w:val="22"/>
          <w:szCs w:val="22"/>
        </w:rPr>
        <w:t>p</w:t>
      </w:r>
      <w:r w:rsidR="003E5E6F" w:rsidRPr="001E574E">
        <w:rPr>
          <w:rFonts w:ascii="Times New Roman" w:hAnsi="Times New Roman" w:cs="Times New Roman"/>
          <w:sz w:val="22"/>
          <w:szCs w:val="22"/>
        </w:rPr>
        <w:t>ower control enhancements for DG/CG PUSCH</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14235972" w14:textId="2BF972C1" w:rsidR="00C149A8" w:rsidRDefault="00C149A8" w:rsidP="00E96323">
      <w:pPr>
        <w:rPr>
          <w:rFonts w:ascii="Times New Roman" w:hAnsi="Times New Roman" w:cs="Times New Roman"/>
          <w:sz w:val="22"/>
          <w:szCs w:val="22"/>
        </w:rPr>
      </w:pPr>
      <w:r>
        <w:rPr>
          <w:rFonts w:ascii="Times New Roman" w:hAnsi="Times New Roman" w:cs="Times New Roman" w:hint="eastAsia"/>
          <w:sz w:val="22"/>
          <w:szCs w:val="22"/>
        </w:rPr>
        <w:t>B</w:t>
      </w:r>
      <w:r>
        <w:rPr>
          <w:rFonts w:ascii="Times New Roman" w:hAnsi="Times New Roman" w:cs="Times New Roman"/>
          <w:sz w:val="22"/>
          <w:szCs w:val="22"/>
        </w:rPr>
        <w:t xml:space="preserve">ased on the agreements from RAN1#114, </w:t>
      </w:r>
      <w:r w:rsidR="000555DA">
        <w:rPr>
          <w:rFonts w:ascii="Times New Roman" w:hAnsi="Times New Roman" w:cs="Times New Roman"/>
          <w:sz w:val="22"/>
          <w:szCs w:val="22"/>
        </w:rPr>
        <w:t>the power control</w:t>
      </w:r>
      <w:r w:rsidR="004C7E88">
        <w:rPr>
          <w:rFonts w:ascii="Times New Roman" w:hAnsi="Times New Roman" w:cs="Times New Roman"/>
          <w:sz w:val="22"/>
          <w:szCs w:val="22"/>
        </w:rPr>
        <w:t xml:space="preserve"> of </w:t>
      </w:r>
      <w:r w:rsidR="004C7E88" w:rsidRPr="004C7E88">
        <w:rPr>
          <w:rFonts w:ascii="Times New Roman" w:hAnsi="Times New Roman" w:cs="Times New Roman"/>
          <w:sz w:val="22"/>
          <w:szCs w:val="22"/>
        </w:rPr>
        <w:t xml:space="preserve">UL transmission scheduled by dynamic grant </w:t>
      </w:r>
      <w:r w:rsidR="000555DA">
        <w:rPr>
          <w:rFonts w:ascii="Times New Roman" w:hAnsi="Times New Roman" w:cs="Times New Roman"/>
          <w:sz w:val="22"/>
          <w:szCs w:val="22"/>
        </w:rPr>
        <w:t xml:space="preserve">follows </w:t>
      </w:r>
      <w:r w:rsidR="000555DA" w:rsidRPr="000555DA">
        <w:rPr>
          <w:rFonts w:ascii="Times New Roman" w:hAnsi="Times New Roman" w:cs="Times New Roman"/>
          <w:sz w:val="22"/>
          <w:szCs w:val="22"/>
        </w:rPr>
        <w:t>Msg3 (or MsgA) PUSCH</w:t>
      </w:r>
      <w:r w:rsidR="004C7E88">
        <w:rPr>
          <w:rFonts w:ascii="Times New Roman" w:hAnsi="Times New Roman" w:cs="Times New Roman"/>
          <w:sz w:val="22"/>
          <w:szCs w:val="22"/>
        </w:rPr>
        <w:t xml:space="preserve"> </w:t>
      </w:r>
      <w:r w:rsidR="003D0332">
        <w:rPr>
          <w:rFonts w:ascii="Times New Roman" w:hAnsi="Times New Roman" w:cs="Times New Roman"/>
          <w:sz w:val="22"/>
          <w:szCs w:val="22"/>
        </w:rPr>
        <w:t xml:space="preserve">in </w:t>
      </w:r>
      <w:r w:rsidR="003D0332" w:rsidRPr="003D0332">
        <w:rPr>
          <w:rFonts w:ascii="Times New Roman" w:hAnsi="Times New Roman" w:cs="Times New Roman"/>
          <w:sz w:val="22"/>
          <w:szCs w:val="22"/>
        </w:rPr>
        <w:t>clause 7.1.1 in TS 38.213</w:t>
      </w:r>
      <w:r w:rsidR="003D0332">
        <w:rPr>
          <w:rFonts w:ascii="Times New Roman" w:hAnsi="Times New Roman" w:cs="Times New Roman"/>
          <w:sz w:val="22"/>
          <w:szCs w:val="22"/>
        </w:rPr>
        <w:t xml:space="preserve"> as:</w:t>
      </w:r>
    </w:p>
    <w:p w14:paraId="1BB42ADC" w14:textId="7881A758" w:rsidR="003D0332" w:rsidRDefault="005C2E29" w:rsidP="00E96323">
      <w:pPr>
        <w:rPr>
          <w:rFonts w:ascii="Times New Roman" w:hAnsi="Times New Roman" w:cs="Times New Roman"/>
          <w:sz w:val="22"/>
          <w:szCs w:val="22"/>
        </w:rPr>
      </w:pPr>
      <w:r w:rsidRPr="005C2E29">
        <w:rPr>
          <w:rFonts w:ascii="Times New Roman" w:hAnsi="Times New Roman" w:cs="Times New Roman"/>
          <w:noProof/>
          <w:sz w:val="22"/>
          <w:szCs w:val="22"/>
        </w:rPr>
        <w:drawing>
          <wp:inline distT="0" distB="0" distL="0" distR="0" wp14:anchorId="584637CA" wp14:editId="18D71A00">
            <wp:extent cx="5857240" cy="467360"/>
            <wp:effectExtent l="0" t="0" r="0" b="8890"/>
            <wp:docPr id="16" name="图片 15">
              <a:extLst xmlns:a="http://schemas.openxmlformats.org/drawingml/2006/main">
                <a:ext uri="{FF2B5EF4-FFF2-40B4-BE49-F238E27FC236}">
                  <a16:creationId xmlns:a16="http://schemas.microsoft.com/office/drawing/2014/main" id="{8AC22E45-BB89-42A7-9837-DCA1A3F42C5D}"/>
                </a:ext>
              </a:extLst>
            </wp:docPr>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8AC22E45-BB89-42A7-9837-DCA1A3F42C5D}"/>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240" cy="467360"/>
                    </a:xfrm>
                    <a:prstGeom prst="rect">
                      <a:avLst/>
                    </a:prstGeom>
                    <a:noFill/>
                    <a:ln>
                      <a:noFill/>
                    </a:ln>
                  </pic:spPr>
                </pic:pic>
              </a:graphicData>
            </a:graphic>
          </wp:inline>
        </w:drawing>
      </w:r>
    </w:p>
    <w:p w14:paraId="10DC21F7" w14:textId="47922120" w:rsidR="00A57F44" w:rsidRPr="00A57F44" w:rsidRDefault="00051C4C" w:rsidP="00A57F44">
      <w:pPr>
        <w:pStyle w:val="a6"/>
        <w:numPr>
          <w:ilvl w:val="0"/>
          <w:numId w:val="16"/>
        </w:numPr>
      </w:pPr>
      <m:oMath>
        <m:sSub>
          <m:sSubPr>
            <m:ctrlPr>
              <w:rPr>
                <w:rFonts w:ascii="Cambria Math" w:eastAsia="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C2CF3">
        <w:rPr>
          <w:rFonts w:hint="eastAsia"/>
        </w:rPr>
        <w:t xml:space="preserve"> </w:t>
      </w:r>
      <w:r w:rsidR="00A57F44" w:rsidRPr="00A57F44">
        <w:rPr>
          <w:rFonts w:hint="eastAsia"/>
        </w:rPr>
        <w:t>is th</w:t>
      </w:r>
      <w:r w:rsidR="002C2CF3">
        <w:t>e</w:t>
      </w:r>
      <w:r w:rsidR="00A57F44" w:rsidRPr="00A57F44">
        <w:rPr>
          <w:rFonts w:hint="eastAsia"/>
        </w:rPr>
        <w:t xml:space="preserve"> configured maximum output power based on the </w:t>
      </w:r>
      <w:r w:rsidR="002C2CF3">
        <w:t xml:space="preserve">UE </w:t>
      </w:r>
      <w:r w:rsidR="00A57F44" w:rsidRPr="00A57F44">
        <w:rPr>
          <w:rFonts w:hint="eastAsia"/>
        </w:rPr>
        <w:t xml:space="preserve">power class for carrier </w:t>
      </w:r>
      <m:oMath>
        <m:r>
          <w:rPr>
            <w:rFonts w:ascii="Cambria Math" w:hAnsi="Cambria Math"/>
          </w:rPr>
          <m:t>f</m:t>
        </m:r>
      </m:oMath>
      <w:r w:rsidR="00A57F44" w:rsidRPr="00A57F44">
        <w:rPr>
          <w:rFonts w:hint="eastAsia"/>
        </w:rPr>
        <w:t xml:space="preserve"> of serving cell </w:t>
      </w:r>
      <m:oMath>
        <m:r>
          <w:rPr>
            <w:rFonts w:ascii="Cambria Math" w:hAnsi="Cambria Math"/>
          </w:rPr>
          <m:t>c</m:t>
        </m:r>
      </m:oMath>
      <w:r w:rsidR="00A57F44" w:rsidRPr="00A57F44">
        <w:rPr>
          <w:rFonts w:hint="eastAsia"/>
        </w:rPr>
        <w:t xml:space="preserve"> in PUSCH transmission occasion </w:t>
      </w:r>
      <m:oMath>
        <m:r>
          <w:rPr>
            <w:rFonts w:ascii="Cambria Math" w:hAnsi="Cambria Math"/>
          </w:rPr>
          <m:t>i</m:t>
        </m:r>
      </m:oMath>
    </w:p>
    <w:p w14:paraId="154BA748" w14:textId="77777777" w:rsidR="006B58C1" w:rsidRDefault="00051C4C" w:rsidP="00A57F44">
      <w:pPr>
        <w:pStyle w:val="a6"/>
        <w:numPr>
          <w:ilvl w:val="0"/>
          <w:numId w:val="16"/>
        </w:numPr>
      </w:pPr>
      <m:oMath>
        <m:sSub>
          <m:sSubPr>
            <m:ctrlPr>
              <w:rPr>
                <w:rFonts w:ascii="Cambria Math" w:eastAsia="Cambria Math" w:hAnsi="Cambria Math"/>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00A57F44" w:rsidRPr="00A57F44">
        <w:rPr>
          <w:rFonts w:hint="eastAsia"/>
        </w:rPr>
        <w:t xml:space="preserve">  </w:t>
      </w:r>
      <w:r w:rsidR="00E4528E">
        <w:t>is the tar</w:t>
      </w:r>
      <w:r w:rsidR="006B58C1">
        <w:t>get reciving power</w:t>
      </w:r>
    </w:p>
    <w:p w14:paraId="680FCDE8" w14:textId="37F13B3D" w:rsidR="00A57F44" w:rsidRPr="00A57F44" w:rsidRDefault="00051C4C" w:rsidP="00A57F44">
      <w:pPr>
        <w:pStyle w:val="a6"/>
        <w:numPr>
          <w:ilvl w:val="0"/>
          <w:numId w:val="16"/>
        </w:numPr>
      </w:pP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A57F44" w:rsidRPr="00A57F44">
        <w:rPr>
          <w:rFonts w:hint="eastAsia"/>
        </w:rPr>
        <w:t xml:space="preserve"> </w:t>
      </w:r>
      <w:r w:rsidR="006B58C1">
        <w:t xml:space="preserve">is a configured scaled factor </w:t>
      </w:r>
    </w:p>
    <w:p w14:paraId="415B1A91" w14:textId="77777777" w:rsidR="00A57F44" w:rsidRPr="00A57F44" w:rsidRDefault="00051C4C" w:rsidP="00A57F44">
      <w:pPr>
        <w:pStyle w:val="a6"/>
        <w:numPr>
          <w:ilvl w:val="0"/>
          <w:numId w:val="16"/>
        </w:numPr>
      </w:pPr>
      <m:oMath>
        <m:sSubSup>
          <m:sSubSupPr>
            <m:ctrlPr>
              <w:rPr>
                <w:rFonts w:ascii="Cambria Math" w:eastAsia="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00A57F44" w:rsidRPr="00A57F44">
        <w:rPr>
          <w:rFonts w:hint="eastAsia"/>
        </w:rPr>
        <w:t xml:space="preserve"> is the bandwidth of the PUSCH</w:t>
      </w:r>
    </w:p>
    <w:p w14:paraId="5F170BFC" w14:textId="4E695421" w:rsidR="00A57F44" w:rsidRPr="00A57F44" w:rsidRDefault="00051C4C" w:rsidP="00A57F44">
      <w:pPr>
        <w:pStyle w:val="a6"/>
        <w:numPr>
          <w:ilvl w:val="0"/>
          <w:numId w:val="16"/>
        </w:numPr>
      </w:pPr>
      <m:oMath>
        <m:sSub>
          <m:sSubPr>
            <m:ctrlPr>
              <w:rPr>
                <w:rFonts w:ascii="Cambria Math" w:eastAsia="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eastAsia="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oMath>
      <w:r w:rsidR="00A57F44" w:rsidRPr="00A57F44">
        <w:rPr>
          <w:rFonts w:hint="eastAsia"/>
        </w:rPr>
        <w:t xml:space="preserve"> is a downlink pathloss estimate in dB calculated by the UE using </w:t>
      </w:r>
      <w:r w:rsidR="000D3340">
        <w:rPr>
          <w:lang w:eastAsia="ko-KR"/>
        </w:rPr>
        <w:t>a RS resource from an SS/PBCH block with same SS/PBCH block index as the one the UE uses to monitor PDCCH scheduling dynamic UL grant for initial transmission</w:t>
      </w:r>
    </w:p>
    <w:p w14:paraId="12339E30" w14:textId="26D3E211" w:rsidR="00A57F44" w:rsidRPr="00A57F44" w:rsidRDefault="00051C4C" w:rsidP="00A57F44">
      <w:pPr>
        <w:pStyle w:val="a6"/>
        <w:numPr>
          <w:ilvl w:val="0"/>
          <w:numId w:val="16"/>
        </w:numPr>
      </w:pPr>
      <m:oMath>
        <m:sSub>
          <m:sSubPr>
            <m:ctrlPr>
              <w:rPr>
                <w:rFonts w:ascii="Cambria Math" w:eastAsia="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Cambria Math" w:hAnsi="Cambria Math"/>
              </w:rPr>
            </m:ctrlPr>
          </m:dPr>
          <m:e>
            <m:r>
              <w:rPr>
                <w:rFonts w:ascii="Cambria Math" w:hAnsi="Cambria Math"/>
              </w:rPr>
              <m:t>i</m:t>
            </m:r>
          </m:e>
        </m:d>
      </m:oMath>
      <w:r w:rsidR="00A57F44" w:rsidRPr="00A57F44">
        <w:rPr>
          <w:rFonts w:hint="eastAsia"/>
        </w:rPr>
        <w:t xml:space="preserve"> is </w:t>
      </w:r>
      <w:r w:rsidR="000D3340">
        <w:t>determined by the</w:t>
      </w:r>
      <w:r w:rsidR="00A57F44" w:rsidRPr="00A57F44">
        <w:rPr>
          <w:rFonts w:hint="eastAsia"/>
        </w:rPr>
        <w:t xml:space="preserve"> MCS</w:t>
      </w:r>
    </w:p>
    <w:p w14:paraId="20FDE451" w14:textId="61485088" w:rsidR="005C2E29" w:rsidRPr="00A57F44" w:rsidRDefault="00051C4C" w:rsidP="00A57F44">
      <w:pPr>
        <w:pStyle w:val="a6"/>
        <w:numPr>
          <w:ilvl w:val="0"/>
          <w:numId w:val="16"/>
        </w:numPr>
      </w:pPr>
      <m:oMath>
        <m:sSub>
          <m:sSubPr>
            <m:ctrlPr>
              <w:rPr>
                <w:rFonts w:ascii="Cambria Math" w:eastAsia="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l</m:t>
        </m:r>
        <m:r>
          <m:rPr>
            <m:sty m:val="p"/>
          </m:rPr>
          <w:rPr>
            <w:rFonts w:ascii="Cambria Math" w:hAnsi="Cambria Math"/>
          </w:rPr>
          <m:t>)</m:t>
        </m:r>
      </m:oMath>
      <w:r w:rsidR="00A57F44" w:rsidRPr="00A57F44">
        <w:rPr>
          <w:rFonts w:hint="eastAsia"/>
        </w:rPr>
        <w:t xml:space="preserve"> is power control adjustment state</w:t>
      </w:r>
    </w:p>
    <w:p w14:paraId="44173567" w14:textId="08A3EF63" w:rsidR="008A3117" w:rsidRDefault="00B92EC3" w:rsidP="00E96323">
      <w:pPr>
        <w:rPr>
          <w:rFonts w:ascii="Times New Roman" w:hAnsi="Times New Roman" w:cs="Times New Roman"/>
          <w:sz w:val="22"/>
          <w:szCs w:val="22"/>
        </w:rPr>
      </w:pPr>
      <w:r>
        <w:rPr>
          <w:rFonts w:ascii="Times New Roman" w:hAnsi="Times New Roman" w:cs="Times New Roman"/>
          <w:sz w:val="22"/>
          <w:szCs w:val="22"/>
        </w:rPr>
        <w:t>B</w:t>
      </w:r>
      <w:r w:rsidR="00201673">
        <w:rPr>
          <w:rFonts w:ascii="Times New Roman" w:hAnsi="Times New Roman" w:cs="Times New Roman"/>
          <w:sz w:val="22"/>
          <w:szCs w:val="22"/>
        </w:rPr>
        <w:t xml:space="preserve">ased on the agreements </w:t>
      </w:r>
      <w:r w:rsidR="00BF6F76">
        <w:rPr>
          <w:rFonts w:ascii="Times New Roman" w:hAnsi="Times New Roman" w:cs="Times New Roman"/>
          <w:sz w:val="22"/>
          <w:szCs w:val="22"/>
        </w:rPr>
        <w:t xml:space="preserve">from RAN2#121bis-e, the following RACH-less HO </w:t>
      </w:r>
      <w:r w:rsidR="008A3117">
        <w:rPr>
          <w:rFonts w:ascii="Times New Roman" w:hAnsi="Times New Roman" w:cs="Times New Roman"/>
          <w:sz w:val="22"/>
          <w:szCs w:val="22"/>
        </w:rPr>
        <w:t>are supported:</w:t>
      </w:r>
    </w:p>
    <w:p w14:paraId="0E3317ED" w14:textId="772DDF07" w:rsidR="008549F8" w:rsidRPr="008549F8" w:rsidRDefault="001050C4" w:rsidP="008549F8">
      <w:pPr>
        <w:pStyle w:val="a6"/>
        <w:numPr>
          <w:ilvl w:val="0"/>
          <w:numId w:val="14"/>
        </w:numPr>
      </w:pPr>
      <w:r w:rsidRPr="001050C4">
        <w:rPr>
          <w:lang w:val="en-GB"/>
        </w:rPr>
        <w:t>Intra-satellite handover with the same feeder link. i.e., with same gateway/gNB</w:t>
      </w:r>
    </w:p>
    <w:p w14:paraId="07183CF5" w14:textId="77777777" w:rsidR="0034387A" w:rsidRDefault="00605409" w:rsidP="0034387A">
      <w:pPr>
        <w:keepNext/>
        <w:ind w:left="100"/>
        <w:jc w:val="center"/>
      </w:pPr>
      <w:r w:rsidRPr="00605409">
        <w:rPr>
          <w:noProof/>
        </w:rPr>
        <w:lastRenderedPageBreak/>
        <w:drawing>
          <wp:inline distT="0" distB="0" distL="0" distR="0" wp14:anchorId="5552098D" wp14:editId="47454070">
            <wp:extent cx="3143250" cy="1803400"/>
            <wp:effectExtent l="0" t="0" r="0" b="6350"/>
            <wp:docPr id="6" name="图片 5">
              <a:extLst xmlns:a="http://schemas.openxmlformats.org/drawingml/2006/main">
                <a:ext uri="{FF2B5EF4-FFF2-40B4-BE49-F238E27FC236}">
                  <a16:creationId xmlns:a16="http://schemas.microsoft.com/office/drawing/2014/main" id="{D3D8FB43-2F7E-43BD-B99D-A47000382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D3D8FB43-2F7E-43BD-B99D-A47000382D58}"/>
                        </a:ext>
                      </a:extLst>
                    </pic:cNvPr>
                    <pic:cNvPicPr>
                      <a:picLocks noChangeAspect="1"/>
                    </pic:cNvPicPr>
                  </pic:nvPicPr>
                  <pic:blipFill>
                    <a:blip r:embed="rId9"/>
                    <a:stretch>
                      <a:fillRect/>
                    </a:stretch>
                  </pic:blipFill>
                  <pic:spPr>
                    <a:xfrm>
                      <a:off x="0" y="0"/>
                      <a:ext cx="3143250" cy="1803400"/>
                    </a:xfrm>
                    <a:prstGeom prst="rect">
                      <a:avLst/>
                    </a:prstGeom>
                  </pic:spPr>
                </pic:pic>
              </a:graphicData>
            </a:graphic>
          </wp:inline>
        </w:drawing>
      </w:r>
    </w:p>
    <w:p w14:paraId="35D2070E" w14:textId="3E37C6A4" w:rsidR="008549F8" w:rsidRPr="008549F8" w:rsidRDefault="0034387A" w:rsidP="0034387A">
      <w:pPr>
        <w:pStyle w:val="ad"/>
        <w:rPr>
          <w:lang w:val="en-US"/>
        </w:rPr>
      </w:pPr>
      <w:r>
        <w:t xml:space="preserve">Fig. </w:t>
      </w:r>
      <w:fldSimple w:instr=" SEQ Fig. \* ARABIC ">
        <w:r w:rsidR="004A0EBD">
          <w:rPr>
            <w:noProof/>
          </w:rPr>
          <w:t>1</w:t>
        </w:r>
      </w:fldSimple>
      <w:r>
        <w:t xml:space="preserve"> </w:t>
      </w:r>
      <w:r w:rsidRPr="001050C4">
        <w:t>Intra-satellite handover with the same feeder link</w:t>
      </w:r>
    </w:p>
    <w:p w14:paraId="6424C7F2" w14:textId="6F22A6E1" w:rsidR="008549F8" w:rsidRPr="00D06996" w:rsidRDefault="008549F8" w:rsidP="008549F8">
      <w:pPr>
        <w:pStyle w:val="a6"/>
        <w:numPr>
          <w:ilvl w:val="0"/>
          <w:numId w:val="14"/>
        </w:numPr>
      </w:pPr>
      <w:r w:rsidRPr="008549F8">
        <w:rPr>
          <w:lang w:val="en-IN"/>
        </w:rPr>
        <w:t>Intra-satellite handover with different feeder links, i.e., with gateway/gNB switch</w:t>
      </w:r>
    </w:p>
    <w:p w14:paraId="665EADC7" w14:textId="77777777" w:rsidR="0034387A" w:rsidRDefault="00D06996" w:rsidP="0034387A">
      <w:pPr>
        <w:keepNext/>
        <w:ind w:left="100"/>
        <w:jc w:val="center"/>
      </w:pPr>
      <w:r w:rsidRPr="00D06996">
        <w:rPr>
          <w:noProof/>
        </w:rPr>
        <w:drawing>
          <wp:inline distT="0" distB="0" distL="0" distR="0" wp14:anchorId="0955AC78" wp14:editId="36C63D0E">
            <wp:extent cx="4686300" cy="1803400"/>
            <wp:effectExtent l="0" t="0" r="0" b="6350"/>
            <wp:docPr id="7" name="图片 6">
              <a:extLst xmlns:a="http://schemas.openxmlformats.org/drawingml/2006/main">
                <a:ext uri="{FF2B5EF4-FFF2-40B4-BE49-F238E27FC236}">
                  <a16:creationId xmlns:a16="http://schemas.microsoft.com/office/drawing/2014/main" id="{DECF6785-AF99-4831-970D-91C2D8D29D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ECF6785-AF99-4831-970D-91C2D8D29D4D}"/>
                        </a:ext>
                      </a:extLst>
                    </pic:cNvPr>
                    <pic:cNvPicPr>
                      <a:picLocks noChangeAspect="1"/>
                    </pic:cNvPicPr>
                  </pic:nvPicPr>
                  <pic:blipFill>
                    <a:blip r:embed="rId10"/>
                    <a:stretch>
                      <a:fillRect/>
                    </a:stretch>
                  </pic:blipFill>
                  <pic:spPr>
                    <a:xfrm>
                      <a:off x="0" y="0"/>
                      <a:ext cx="4686300" cy="1803400"/>
                    </a:xfrm>
                    <a:prstGeom prst="rect">
                      <a:avLst/>
                    </a:prstGeom>
                  </pic:spPr>
                </pic:pic>
              </a:graphicData>
            </a:graphic>
          </wp:inline>
        </w:drawing>
      </w:r>
    </w:p>
    <w:p w14:paraId="1F6909B0" w14:textId="4EA6660B" w:rsidR="00D06996" w:rsidRPr="008549F8" w:rsidRDefault="0034387A" w:rsidP="0034387A">
      <w:pPr>
        <w:pStyle w:val="ad"/>
        <w:rPr>
          <w:lang w:val="en-US"/>
        </w:rPr>
      </w:pPr>
      <w:r>
        <w:t xml:space="preserve">Fig. </w:t>
      </w:r>
      <w:fldSimple w:instr=" SEQ Fig. \* ARABIC ">
        <w:r w:rsidR="004A0EBD">
          <w:rPr>
            <w:noProof/>
          </w:rPr>
          <w:t>2</w:t>
        </w:r>
      </w:fldSimple>
      <w:r>
        <w:t xml:space="preserve"> </w:t>
      </w:r>
      <w:r w:rsidRPr="008549F8">
        <w:rPr>
          <w:lang w:val="en-IN"/>
        </w:rPr>
        <w:t>Intra-satellite handover with different feeder links</w:t>
      </w:r>
    </w:p>
    <w:p w14:paraId="175A787C" w14:textId="11EC63ED" w:rsidR="008549F8" w:rsidRPr="00D06996" w:rsidRDefault="008549F8" w:rsidP="008549F8">
      <w:pPr>
        <w:pStyle w:val="a6"/>
        <w:numPr>
          <w:ilvl w:val="0"/>
          <w:numId w:val="14"/>
        </w:numPr>
      </w:pPr>
      <w:r>
        <w:rPr>
          <w:lang w:val="en-GB" w:eastAsia="zh-CN"/>
        </w:rPr>
        <w:t>Inter-satellite handover with gateway/gNB switch</w:t>
      </w:r>
    </w:p>
    <w:p w14:paraId="493AB943" w14:textId="77777777" w:rsidR="004A0EBD" w:rsidRDefault="00CD7C80" w:rsidP="004A0EBD">
      <w:pPr>
        <w:keepNext/>
        <w:ind w:left="100"/>
        <w:jc w:val="center"/>
      </w:pPr>
      <w:r w:rsidRPr="00CD7C80">
        <w:rPr>
          <w:noProof/>
        </w:rPr>
        <w:drawing>
          <wp:inline distT="0" distB="0" distL="0" distR="0" wp14:anchorId="49A8ED8F" wp14:editId="70AE5D1D">
            <wp:extent cx="4686300" cy="1803400"/>
            <wp:effectExtent l="0" t="0" r="0" b="6350"/>
            <wp:docPr id="10" name="图片 9">
              <a:extLst xmlns:a="http://schemas.openxmlformats.org/drawingml/2006/main">
                <a:ext uri="{FF2B5EF4-FFF2-40B4-BE49-F238E27FC236}">
                  <a16:creationId xmlns:a16="http://schemas.microsoft.com/office/drawing/2014/main" id="{2A82586C-EAA6-4021-8A70-C0A567B38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A82586C-EAA6-4021-8A70-C0A567B38871}"/>
                        </a:ext>
                      </a:extLst>
                    </pic:cNvPr>
                    <pic:cNvPicPr>
                      <a:picLocks noChangeAspect="1"/>
                    </pic:cNvPicPr>
                  </pic:nvPicPr>
                  <pic:blipFill>
                    <a:blip r:embed="rId11"/>
                    <a:stretch>
                      <a:fillRect/>
                    </a:stretch>
                  </pic:blipFill>
                  <pic:spPr>
                    <a:xfrm>
                      <a:off x="0" y="0"/>
                      <a:ext cx="4686300" cy="1803400"/>
                    </a:xfrm>
                    <a:prstGeom prst="rect">
                      <a:avLst/>
                    </a:prstGeom>
                  </pic:spPr>
                </pic:pic>
              </a:graphicData>
            </a:graphic>
          </wp:inline>
        </w:drawing>
      </w:r>
    </w:p>
    <w:p w14:paraId="34C23DB6" w14:textId="664CE64F" w:rsidR="00D06996" w:rsidRPr="008549F8" w:rsidRDefault="004A0EBD" w:rsidP="004A0EBD">
      <w:pPr>
        <w:pStyle w:val="ad"/>
      </w:pPr>
      <w:r>
        <w:t xml:space="preserve">Fig. </w:t>
      </w:r>
      <w:fldSimple w:instr=" SEQ Fig. \* ARABIC ">
        <w:r>
          <w:rPr>
            <w:noProof/>
          </w:rPr>
          <w:t>3</w:t>
        </w:r>
      </w:fldSimple>
      <w:r>
        <w:t xml:space="preserve"> </w:t>
      </w:r>
      <w:r w:rsidRPr="008549F8">
        <w:rPr>
          <w:lang w:val="en-IN"/>
        </w:rPr>
        <w:t>Intra-satellite handover with different feeder links</w:t>
      </w:r>
    </w:p>
    <w:p w14:paraId="6FC740E5" w14:textId="1764FBFA" w:rsidR="008549F8" w:rsidRPr="00CD7C80" w:rsidRDefault="008549F8" w:rsidP="008549F8">
      <w:pPr>
        <w:pStyle w:val="a6"/>
        <w:numPr>
          <w:ilvl w:val="0"/>
          <w:numId w:val="14"/>
        </w:numPr>
      </w:pPr>
      <w:r>
        <w:rPr>
          <w:lang w:val="en-GB" w:eastAsia="zh-CN"/>
        </w:rPr>
        <w:t>Inter-satellite handover with same gateway/gNB</w:t>
      </w:r>
    </w:p>
    <w:p w14:paraId="20918806" w14:textId="77777777" w:rsidR="004A0EBD" w:rsidRDefault="001741E4" w:rsidP="004A0EBD">
      <w:pPr>
        <w:keepNext/>
        <w:ind w:left="100"/>
        <w:jc w:val="center"/>
      </w:pPr>
      <w:r w:rsidRPr="001741E4">
        <w:rPr>
          <w:noProof/>
        </w:rPr>
        <w:drawing>
          <wp:inline distT="0" distB="0" distL="0" distR="0" wp14:anchorId="7391BBD8" wp14:editId="38E040DC">
            <wp:extent cx="3441700" cy="1803400"/>
            <wp:effectExtent l="0" t="0" r="6350" b="6350"/>
            <wp:docPr id="12" name="图片 11">
              <a:extLst xmlns:a="http://schemas.openxmlformats.org/drawingml/2006/main">
                <a:ext uri="{FF2B5EF4-FFF2-40B4-BE49-F238E27FC236}">
                  <a16:creationId xmlns:a16="http://schemas.microsoft.com/office/drawing/2014/main" id="{33F29C0E-AC9E-4DE6-AA90-D84976467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33F29C0E-AC9E-4DE6-AA90-D84976467B23}"/>
                        </a:ext>
                      </a:extLst>
                    </pic:cNvPr>
                    <pic:cNvPicPr>
                      <a:picLocks noChangeAspect="1"/>
                    </pic:cNvPicPr>
                  </pic:nvPicPr>
                  <pic:blipFill>
                    <a:blip r:embed="rId12"/>
                    <a:stretch>
                      <a:fillRect/>
                    </a:stretch>
                  </pic:blipFill>
                  <pic:spPr>
                    <a:xfrm>
                      <a:off x="0" y="0"/>
                      <a:ext cx="3441700" cy="1803400"/>
                    </a:xfrm>
                    <a:prstGeom prst="rect">
                      <a:avLst/>
                    </a:prstGeom>
                  </pic:spPr>
                </pic:pic>
              </a:graphicData>
            </a:graphic>
          </wp:inline>
        </w:drawing>
      </w:r>
    </w:p>
    <w:p w14:paraId="18237506" w14:textId="448883C0" w:rsidR="00CD7C80" w:rsidRDefault="004A0EBD" w:rsidP="004A0EBD">
      <w:pPr>
        <w:pStyle w:val="ad"/>
      </w:pPr>
      <w:r>
        <w:t xml:space="preserve">Fig. </w:t>
      </w:r>
      <w:fldSimple w:instr=" SEQ Fig. \* ARABIC ">
        <w:r>
          <w:rPr>
            <w:noProof/>
          </w:rPr>
          <w:t>4</w:t>
        </w:r>
      </w:fldSimple>
      <w:r>
        <w:t xml:space="preserve"> </w:t>
      </w:r>
      <w:r w:rsidRPr="008549F8">
        <w:rPr>
          <w:lang w:val="en-IN"/>
        </w:rPr>
        <w:t>Intra-satellite handover with different feeder links</w:t>
      </w:r>
    </w:p>
    <w:p w14:paraId="5B595649" w14:textId="4DA40F1C" w:rsidR="008508E9" w:rsidRDefault="00EA0F3C"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lastRenderedPageBreak/>
        <w:t>F</w:t>
      </w:r>
      <w:r>
        <w:rPr>
          <w:rFonts w:ascii="Times New Roman" w:eastAsia="Batang" w:hAnsi="Times New Roman" w:cs="Times New Roman"/>
          <w:sz w:val="22"/>
          <w:szCs w:val="22"/>
          <w:lang w:val="en-US" w:eastAsia="en-US"/>
        </w:rPr>
        <w:t>or intra-satellite handover with the same gateway/gNB</w:t>
      </w:r>
      <w:r w:rsidR="00F77799">
        <w:rPr>
          <w:rFonts w:ascii="Times New Roman" w:eastAsia="Batang" w:hAnsi="Times New Roman" w:cs="Times New Roman"/>
          <w:sz w:val="22"/>
          <w:szCs w:val="22"/>
          <w:lang w:val="en-US" w:eastAsia="en-US"/>
        </w:rPr>
        <w:t xml:space="preserve">, the </w:t>
      </w:r>
      <w:r w:rsidR="00C94604">
        <w:rPr>
          <w:rFonts w:ascii="Times New Roman" w:eastAsia="Batang" w:hAnsi="Times New Roman" w:cs="Times New Roman"/>
          <w:sz w:val="22"/>
          <w:szCs w:val="22"/>
          <w:lang w:val="en-US" w:eastAsia="en-US"/>
        </w:rPr>
        <w:t>DL and UL path</w:t>
      </w:r>
      <w:r w:rsidR="00446024">
        <w:rPr>
          <w:rFonts w:ascii="Times New Roman" w:eastAsia="Batang" w:hAnsi="Times New Roman" w:cs="Times New Roman"/>
          <w:sz w:val="22"/>
          <w:szCs w:val="22"/>
          <w:lang w:val="en-US" w:eastAsia="en-US"/>
        </w:rPr>
        <w:t xml:space="preserve"> </w:t>
      </w:r>
      <w:r w:rsidR="00C94604">
        <w:rPr>
          <w:rFonts w:ascii="Times New Roman" w:eastAsia="Batang" w:hAnsi="Times New Roman" w:cs="Times New Roman"/>
          <w:sz w:val="22"/>
          <w:szCs w:val="22"/>
          <w:lang w:val="en-US" w:eastAsia="en-US"/>
        </w:rPr>
        <w:t>loss</w:t>
      </w:r>
      <w:r w:rsidR="00251113">
        <w:rPr>
          <w:rFonts w:ascii="Times New Roman" w:eastAsia="Batang" w:hAnsi="Times New Roman" w:cs="Times New Roman"/>
          <w:sz w:val="22"/>
          <w:szCs w:val="22"/>
          <w:lang w:val="en-US" w:eastAsia="en-US"/>
        </w:rPr>
        <w:t xml:space="preserve"> are different due to imperfect channel reciprocity (FDD), </w:t>
      </w:r>
      <w:r w:rsidR="00446024">
        <w:rPr>
          <w:rFonts w:ascii="Times New Roman" w:eastAsia="Batang" w:hAnsi="Times New Roman" w:cs="Times New Roman"/>
          <w:sz w:val="22"/>
          <w:szCs w:val="22"/>
          <w:lang w:val="en-US" w:eastAsia="en-US"/>
        </w:rPr>
        <w:t xml:space="preserve">and </w:t>
      </w:r>
      <w:r w:rsidR="00736862">
        <w:rPr>
          <w:rFonts w:ascii="Times New Roman" w:eastAsia="Batang" w:hAnsi="Times New Roman" w:cs="Times New Roman"/>
          <w:sz w:val="22"/>
          <w:szCs w:val="22"/>
          <w:lang w:val="en-US" w:eastAsia="en-US"/>
        </w:rPr>
        <w:t xml:space="preserve">different DL/UL </w:t>
      </w:r>
      <w:r w:rsidR="00C10F8E">
        <w:rPr>
          <w:rFonts w:ascii="Times New Roman" w:eastAsia="Batang" w:hAnsi="Times New Roman" w:cs="Times New Roman"/>
          <w:sz w:val="22"/>
          <w:szCs w:val="22"/>
          <w:lang w:val="en-US" w:eastAsia="en-US"/>
        </w:rPr>
        <w:t xml:space="preserve">antenna gain </w:t>
      </w:r>
      <w:r w:rsidR="00446024">
        <w:rPr>
          <w:rFonts w:ascii="Times New Roman" w:eastAsia="Batang" w:hAnsi="Times New Roman" w:cs="Times New Roman"/>
          <w:sz w:val="22"/>
          <w:szCs w:val="22"/>
          <w:lang w:val="en-US" w:eastAsia="en-US"/>
        </w:rPr>
        <w:t>differences</w:t>
      </w:r>
      <w:r w:rsidR="007766BC">
        <w:rPr>
          <w:rFonts w:ascii="Times New Roman" w:eastAsia="Batang" w:hAnsi="Times New Roman" w:cs="Times New Roman"/>
          <w:sz w:val="22"/>
          <w:szCs w:val="22"/>
          <w:lang w:val="en-US" w:eastAsia="en-US"/>
        </w:rPr>
        <w:t xml:space="preserve"> at different beam directions </w:t>
      </w:r>
      <w:r w:rsidR="00757271">
        <w:rPr>
          <w:rFonts w:ascii="Times New Roman" w:eastAsia="Batang" w:hAnsi="Times New Roman" w:cs="Times New Roman"/>
          <w:sz w:val="22"/>
          <w:szCs w:val="22"/>
          <w:lang w:val="en-US" w:eastAsia="en-US"/>
        </w:rPr>
        <w:t>(DL</w:t>
      </w:r>
      <w:r w:rsidR="006B4746">
        <w:rPr>
          <w:rFonts w:ascii="Times New Roman" w:eastAsia="Batang" w:hAnsi="Times New Roman" w:cs="Times New Roman"/>
          <w:sz w:val="22"/>
          <w:szCs w:val="22"/>
          <w:lang w:val="en-US" w:eastAsia="en-US"/>
        </w:rPr>
        <w:t>/</w:t>
      </w:r>
      <w:r w:rsidR="00757271">
        <w:rPr>
          <w:rFonts w:ascii="Times New Roman" w:eastAsia="Batang" w:hAnsi="Times New Roman" w:cs="Times New Roman"/>
          <w:sz w:val="22"/>
          <w:szCs w:val="22"/>
          <w:lang w:val="en-US" w:eastAsia="en-US"/>
        </w:rPr>
        <w:t>UL</w:t>
      </w:r>
      <w:r w:rsidR="006B4746">
        <w:rPr>
          <w:rFonts w:ascii="Times New Roman" w:eastAsia="Batang" w:hAnsi="Times New Roman" w:cs="Times New Roman"/>
          <w:sz w:val="22"/>
          <w:szCs w:val="22"/>
          <w:lang w:val="en-US" w:eastAsia="en-US"/>
        </w:rPr>
        <w:t xml:space="preserve"> and </w:t>
      </w:r>
      <w:r w:rsidR="00757271">
        <w:rPr>
          <w:rFonts w:ascii="Times New Roman" w:eastAsia="Batang" w:hAnsi="Times New Roman" w:cs="Times New Roman"/>
          <w:sz w:val="22"/>
          <w:szCs w:val="22"/>
          <w:lang w:val="en-US" w:eastAsia="en-US"/>
        </w:rPr>
        <w:t>service link</w:t>
      </w:r>
      <w:r w:rsidR="006B4746">
        <w:rPr>
          <w:rFonts w:ascii="Times New Roman" w:eastAsia="Batang" w:hAnsi="Times New Roman" w:cs="Times New Roman"/>
          <w:sz w:val="22"/>
          <w:szCs w:val="22"/>
          <w:lang w:val="en-US" w:eastAsia="en-US"/>
        </w:rPr>
        <w:t>/</w:t>
      </w:r>
      <w:r w:rsidR="00A22539">
        <w:rPr>
          <w:rFonts w:ascii="Times New Roman" w:eastAsia="Batang" w:hAnsi="Times New Roman" w:cs="Times New Roman"/>
          <w:sz w:val="22"/>
          <w:szCs w:val="22"/>
          <w:lang w:val="en-US" w:eastAsia="en-US"/>
        </w:rPr>
        <w:t xml:space="preserve">feeder link are using </w:t>
      </w:r>
      <w:r w:rsidR="00456079">
        <w:rPr>
          <w:rFonts w:ascii="Times New Roman" w:eastAsia="Batang" w:hAnsi="Times New Roman" w:cs="Times New Roman"/>
          <w:sz w:val="22"/>
          <w:szCs w:val="22"/>
          <w:lang w:val="en-US" w:eastAsia="en-US"/>
        </w:rPr>
        <w:t>ded</w:t>
      </w:r>
      <w:r w:rsidR="005C639A">
        <w:rPr>
          <w:rFonts w:ascii="Times New Roman" w:eastAsia="Batang" w:hAnsi="Times New Roman" w:cs="Times New Roman"/>
          <w:sz w:val="22"/>
          <w:szCs w:val="22"/>
          <w:lang w:val="en-US" w:eastAsia="en-US"/>
        </w:rPr>
        <w:t xml:space="preserve">icated </w:t>
      </w:r>
      <w:r w:rsidR="00924109">
        <w:rPr>
          <w:rFonts w:ascii="Times New Roman" w:eastAsia="Batang" w:hAnsi="Times New Roman" w:cs="Times New Roman"/>
          <w:sz w:val="22"/>
          <w:szCs w:val="22"/>
          <w:lang w:val="en-US" w:eastAsia="en-US"/>
        </w:rPr>
        <w:t>antenna</w:t>
      </w:r>
      <w:r w:rsidR="00A22539">
        <w:rPr>
          <w:rFonts w:ascii="Times New Roman" w:eastAsia="Batang" w:hAnsi="Times New Roman" w:cs="Times New Roman"/>
          <w:sz w:val="22"/>
          <w:szCs w:val="22"/>
          <w:lang w:val="en-US" w:eastAsia="en-US"/>
        </w:rPr>
        <w:t xml:space="preserve"> panel</w:t>
      </w:r>
      <w:r w:rsidR="005C639A">
        <w:rPr>
          <w:rFonts w:ascii="Times New Roman" w:eastAsia="Batang" w:hAnsi="Times New Roman" w:cs="Times New Roman"/>
          <w:sz w:val="22"/>
          <w:szCs w:val="22"/>
          <w:lang w:val="en-US" w:eastAsia="en-US"/>
        </w:rPr>
        <w:t>s</w:t>
      </w:r>
      <w:r w:rsidR="00757271">
        <w:rPr>
          <w:rFonts w:ascii="Times New Roman" w:eastAsia="Batang" w:hAnsi="Times New Roman" w:cs="Times New Roman"/>
          <w:sz w:val="22"/>
          <w:szCs w:val="22"/>
          <w:lang w:val="en-US" w:eastAsia="en-US"/>
        </w:rPr>
        <w:t>)</w:t>
      </w:r>
      <w:r w:rsidR="00702001">
        <w:rPr>
          <w:rFonts w:ascii="Times New Roman" w:eastAsia="Batang" w:hAnsi="Times New Roman" w:cs="Times New Roman"/>
          <w:sz w:val="22"/>
          <w:szCs w:val="22"/>
          <w:lang w:val="en-US" w:eastAsia="en-US"/>
        </w:rPr>
        <w:t>.</w:t>
      </w:r>
    </w:p>
    <w:p w14:paraId="72A12F63" w14:textId="7FDEF91F" w:rsidR="00702001" w:rsidRDefault="008461D3"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Under the transparent archi</w:t>
      </w:r>
      <w:r w:rsidR="00BD0282">
        <w:rPr>
          <w:rFonts w:ascii="Times New Roman" w:eastAsia="Batang" w:hAnsi="Times New Roman" w:cs="Times New Roman"/>
          <w:sz w:val="22"/>
          <w:szCs w:val="22"/>
          <w:lang w:val="en-US" w:eastAsia="en-US"/>
        </w:rPr>
        <w:t xml:space="preserve">tecture, </w:t>
      </w:r>
      <w:r w:rsidR="00BE2129">
        <w:rPr>
          <w:rFonts w:ascii="Times New Roman" w:eastAsia="Batang" w:hAnsi="Times New Roman" w:cs="Times New Roman"/>
          <w:sz w:val="22"/>
          <w:szCs w:val="22"/>
          <w:lang w:val="en-US" w:eastAsia="en-US"/>
        </w:rPr>
        <w:t>any</w:t>
      </w:r>
      <w:r w:rsidR="00BD0282">
        <w:rPr>
          <w:rFonts w:ascii="Times New Roman" w:eastAsia="Batang" w:hAnsi="Times New Roman" w:cs="Times New Roman"/>
          <w:sz w:val="22"/>
          <w:szCs w:val="22"/>
          <w:lang w:val="en-US" w:eastAsia="en-US"/>
        </w:rPr>
        <w:t xml:space="preserve"> </w:t>
      </w:r>
      <w:r w:rsidR="00BE2129">
        <w:rPr>
          <w:rFonts w:ascii="Times New Roman" w:eastAsia="Batang" w:hAnsi="Times New Roman" w:cs="Times New Roman"/>
          <w:sz w:val="22"/>
          <w:szCs w:val="22"/>
          <w:lang w:val="en-US" w:eastAsia="en-US"/>
        </w:rPr>
        <w:t xml:space="preserve">implementation of an onboard </w:t>
      </w:r>
      <w:r w:rsidR="008934AA">
        <w:rPr>
          <w:rFonts w:ascii="Times New Roman" w:eastAsia="Batang" w:hAnsi="Times New Roman" w:cs="Times New Roman"/>
          <w:sz w:val="22"/>
          <w:szCs w:val="22"/>
          <w:lang w:val="en-US" w:eastAsia="en-US"/>
        </w:rPr>
        <w:t>amplifier</w:t>
      </w:r>
      <w:r w:rsidR="00BE2129">
        <w:rPr>
          <w:rFonts w:ascii="Times New Roman" w:eastAsia="Batang" w:hAnsi="Times New Roman" w:cs="Times New Roman"/>
          <w:sz w:val="22"/>
          <w:szCs w:val="22"/>
          <w:lang w:val="en-US" w:eastAsia="en-US"/>
        </w:rPr>
        <w:t xml:space="preserve"> </w:t>
      </w:r>
      <w:r w:rsidR="000A5D36">
        <w:rPr>
          <w:rFonts w:ascii="Times New Roman" w:eastAsia="Batang" w:hAnsi="Times New Roman" w:cs="Times New Roman"/>
          <w:sz w:val="22"/>
          <w:szCs w:val="22"/>
          <w:lang w:val="en-US" w:eastAsia="en-US"/>
        </w:rPr>
        <w:t>has to fac</w:t>
      </w:r>
      <w:r w:rsidR="000613A4">
        <w:rPr>
          <w:rFonts w:ascii="Times New Roman" w:eastAsia="Batang" w:hAnsi="Times New Roman" w:cs="Times New Roman"/>
          <w:sz w:val="22"/>
          <w:szCs w:val="22"/>
          <w:lang w:val="en-US" w:eastAsia="en-US"/>
        </w:rPr>
        <w:t xml:space="preserve">e </w:t>
      </w:r>
      <w:r w:rsidR="00477AC5">
        <w:rPr>
          <w:rFonts w:ascii="Times New Roman" w:eastAsia="Batang" w:hAnsi="Times New Roman" w:cs="Times New Roman"/>
          <w:sz w:val="22"/>
          <w:szCs w:val="22"/>
          <w:lang w:val="en-US" w:eastAsia="en-US"/>
        </w:rPr>
        <w:t xml:space="preserve">a </w:t>
      </w:r>
      <w:r w:rsidR="000613A4">
        <w:rPr>
          <w:rFonts w:ascii="Times New Roman" w:eastAsia="Batang" w:hAnsi="Times New Roman" w:cs="Times New Roman"/>
          <w:sz w:val="22"/>
          <w:szCs w:val="22"/>
          <w:lang w:val="en-US" w:eastAsia="en-US"/>
        </w:rPr>
        <w:t>gain compression</w:t>
      </w:r>
      <w:r w:rsidR="00AC2DDB">
        <w:rPr>
          <w:rFonts w:ascii="Times New Roman" w:eastAsia="Batang" w:hAnsi="Times New Roman" w:cs="Times New Roman"/>
          <w:sz w:val="22"/>
          <w:szCs w:val="22"/>
          <w:lang w:val="en-US" w:eastAsia="en-US"/>
        </w:rPr>
        <w:t xml:space="preserve"> problem</w:t>
      </w:r>
      <w:r w:rsidR="001D4FD1">
        <w:rPr>
          <w:rFonts w:ascii="Times New Roman" w:eastAsia="Batang" w:hAnsi="Times New Roman" w:cs="Times New Roman"/>
          <w:sz w:val="22"/>
          <w:szCs w:val="22"/>
          <w:lang w:val="en-US" w:eastAsia="en-US"/>
        </w:rPr>
        <w:t xml:space="preserve">. </w:t>
      </w:r>
      <w:r w:rsidR="00374FB3">
        <w:rPr>
          <w:rFonts w:ascii="Times New Roman" w:eastAsia="Batang" w:hAnsi="Times New Roman" w:cs="Times New Roman"/>
          <w:sz w:val="22"/>
          <w:szCs w:val="22"/>
          <w:lang w:val="en-US" w:eastAsia="en-US"/>
        </w:rPr>
        <w:t>F</w:t>
      </w:r>
      <w:r w:rsidR="00182AD6">
        <w:rPr>
          <w:rFonts w:ascii="Times New Roman" w:eastAsia="Batang" w:hAnsi="Times New Roman" w:cs="Times New Roman"/>
          <w:sz w:val="22"/>
          <w:szCs w:val="22"/>
          <w:lang w:val="en-US" w:eastAsia="en-US"/>
        </w:rPr>
        <w:t xml:space="preserve">or </w:t>
      </w:r>
      <w:r w:rsidR="00382031">
        <w:rPr>
          <w:rFonts w:ascii="Times New Roman" w:eastAsia="Batang" w:hAnsi="Times New Roman" w:cs="Times New Roman"/>
          <w:sz w:val="22"/>
          <w:szCs w:val="22"/>
          <w:lang w:val="en-US" w:eastAsia="en-US"/>
        </w:rPr>
        <w:t>intra-satellite handover with gateway/gNB switch, the</w:t>
      </w:r>
      <w:r w:rsidR="005B6CF9">
        <w:rPr>
          <w:rFonts w:ascii="Times New Roman" w:eastAsia="Batang" w:hAnsi="Times New Roman" w:cs="Times New Roman"/>
          <w:sz w:val="22"/>
          <w:szCs w:val="22"/>
          <w:lang w:val="en-US" w:eastAsia="en-US"/>
        </w:rPr>
        <w:t xml:space="preserve"> </w:t>
      </w:r>
      <w:r w:rsidR="009C1175">
        <w:rPr>
          <w:rFonts w:ascii="Times New Roman" w:eastAsia="Batang" w:hAnsi="Times New Roman" w:cs="Times New Roman"/>
          <w:sz w:val="22"/>
          <w:szCs w:val="22"/>
          <w:lang w:val="en-US" w:eastAsia="en-US"/>
        </w:rPr>
        <w:t xml:space="preserve">DL signal from </w:t>
      </w:r>
      <w:r w:rsidR="001A359C">
        <w:rPr>
          <w:rFonts w:ascii="Times New Roman" w:eastAsia="Batang" w:hAnsi="Times New Roman" w:cs="Times New Roman"/>
          <w:sz w:val="22"/>
          <w:szCs w:val="22"/>
          <w:lang w:val="en-US" w:eastAsia="en-US"/>
        </w:rPr>
        <w:t xml:space="preserve">gateways/gNBs </w:t>
      </w:r>
      <w:r w:rsidR="000026BA">
        <w:rPr>
          <w:rFonts w:ascii="Times New Roman" w:eastAsia="Batang" w:hAnsi="Times New Roman" w:cs="Times New Roman"/>
          <w:sz w:val="22"/>
          <w:szCs w:val="22"/>
          <w:lang w:val="en-US" w:eastAsia="en-US"/>
        </w:rPr>
        <w:t xml:space="preserve">with different power levels </w:t>
      </w:r>
      <w:r w:rsidR="00F320D6">
        <w:rPr>
          <w:rFonts w:ascii="Times New Roman" w:eastAsia="Batang" w:hAnsi="Times New Roman" w:cs="Times New Roman"/>
          <w:sz w:val="22"/>
          <w:szCs w:val="22"/>
          <w:lang w:val="en-US" w:eastAsia="en-US"/>
        </w:rPr>
        <w:t>at the satellite</w:t>
      </w:r>
      <w:r w:rsidR="000026BA">
        <w:rPr>
          <w:rFonts w:ascii="Times New Roman" w:eastAsia="Batang" w:hAnsi="Times New Roman" w:cs="Times New Roman"/>
          <w:sz w:val="22"/>
          <w:szCs w:val="22"/>
          <w:lang w:val="en-US" w:eastAsia="en-US"/>
        </w:rPr>
        <w:t xml:space="preserve"> </w:t>
      </w:r>
      <w:r w:rsidR="001A359C">
        <w:rPr>
          <w:rFonts w:ascii="Times New Roman" w:eastAsia="Batang" w:hAnsi="Times New Roman" w:cs="Times New Roman"/>
          <w:sz w:val="22"/>
          <w:szCs w:val="22"/>
          <w:lang w:val="en-US" w:eastAsia="en-US"/>
        </w:rPr>
        <w:t>will</w:t>
      </w:r>
      <w:r w:rsidR="00F320D6">
        <w:rPr>
          <w:rFonts w:ascii="Times New Roman" w:eastAsia="Batang" w:hAnsi="Times New Roman" w:cs="Times New Roman"/>
          <w:sz w:val="22"/>
          <w:szCs w:val="22"/>
          <w:lang w:val="en-US" w:eastAsia="en-US"/>
        </w:rPr>
        <w:t xml:space="preserve"> </w:t>
      </w:r>
      <w:r w:rsidR="003D0F40">
        <w:rPr>
          <w:rFonts w:ascii="Times New Roman" w:eastAsia="Batang" w:hAnsi="Times New Roman" w:cs="Times New Roman"/>
          <w:sz w:val="22"/>
          <w:szCs w:val="22"/>
          <w:lang w:val="en-US" w:eastAsia="en-US"/>
        </w:rPr>
        <w:t>transpond</w:t>
      </w:r>
      <w:r w:rsidR="00F320D6">
        <w:rPr>
          <w:rFonts w:ascii="Times New Roman" w:eastAsia="Batang" w:hAnsi="Times New Roman" w:cs="Times New Roman"/>
          <w:sz w:val="22"/>
          <w:szCs w:val="22"/>
          <w:lang w:val="en-US" w:eastAsia="en-US"/>
        </w:rPr>
        <w:t xml:space="preserve"> to the </w:t>
      </w:r>
      <w:r w:rsidR="00477AC5">
        <w:rPr>
          <w:rFonts w:ascii="Times New Roman" w:eastAsia="Batang" w:hAnsi="Times New Roman" w:cs="Times New Roman"/>
          <w:sz w:val="22"/>
          <w:szCs w:val="22"/>
          <w:lang w:val="en-US" w:eastAsia="en-US"/>
        </w:rPr>
        <w:t>terminals with different amplifier gains</w:t>
      </w:r>
      <w:r w:rsidR="00374FB3">
        <w:rPr>
          <w:rFonts w:ascii="Times New Roman" w:eastAsia="Batang" w:hAnsi="Times New Roman" w:cs="Times New Roman"/>
          <w:sz w:val="22"/>
          <w:szCs w:val="22"/>
          <w:lang w:val="en-US" w:eastAsia="en-US"/>
        </w:rPr>
        <w:t>,</w:t>
      </w:r>
      <w:r w:rsidR="00477AC5">
        <w:rPr>
          <w:rFonts w:ascii="Times New Roman" w:eastAsia="Batang" w:hAnsi="Times New Roman" w:cs="Times New Roman"/>
          <w:sz w:val="22"/>
          <w:szCs w:val="22"/>
          <w:lang w:val="en-US" w:eastAsia="en-US"/>
        </w:rPr>
        <w:t xml:space="preserve"> </w:t>
      </w:r>
      <w:r w:rsidR="00374FB3">
        <w:rPr>
          <w:rFonts w:ascii="Times New Roman" w:eastAsia="Batang" w:hAnsi="Times New Roman" w:cs="Times New Roman"/>
          <w:sz w:val="22"/>
          <w:szCs w:val="22"/>
          <w:lang w:val="en-US" w:eastAsia="en-US"/>
        </w:rPr>
        <w:t xml:space="preserve">which </w:t>
      </w:r>
      <w:r w:rsidR="00182AD6">
        <w:rPr>
          <w:rFonts w:ascii="Times New Roman" w:eastAsia="Batang" w:hAnsi="Times New Roman" w:cs="Times New Roman"/>
          <w:sz w:val="22"/>
          <w:szCs w:val="22"/>
          <w:lang w:val="en-US" w:eastAsia="en-US"/>
        </w:rPr>
        <w:t xml:space="preserve">introduce additional </w:t>
      </w:r>
      <w:r w:rsidR="00446024">
        <w:rPr>
          <w:rFonts w:ascii="Times New Roman" w:eastAsia="Batang" w:hAnsi="Times New Roman" w:cs="Times New Roman"/>
          <w:sz w:val="22"/>
          <w:szCs w:val="22"/>
          <w:lang w:val="en-US" w:eastAsia="en-US"/>
        </w:rPr>
        <w:t>path loss</w:t>
      </w:r>
      <w:r w:rsidR="001A590F">
        <w:rPr>
          <w:rFonts w:ascii="Times New Roman" w:eastAsia="Batang" w:hAnsi="Times New Roman" w:cs="Times New Roman"/>
          <w:sz w:val="22"/>
          <w:szCs w:val="22"/>
          <w:lang w:val="en-US" w:eastAsia="en-US"/>
        </w:rPr>
        <w:t xml:space="preserve"> differences between UL and DL.</w:t>
      </w:r>
      <w:r w:rsidR="00182AD6">
        <w:rPr>
          <w:rFonts w:ascii="Times New Roman" w:eastAsia="Batang" w:hAnsi="Times New Roman" w:cs="Times New Roman"/>
          <w:sz w:val="22"/>
          <w:szCs w:val="22"/>
          <w:lang w:val="en-US" w:eastAsia="en-US"/>
        </w:rPr>
        <w:t xml:space="preserve"> </w:t>
      </w:r>
    </w:p>
    <w:p w14:paraId="5782B5D6" w14:textId="77777777" w:rsidR="009B7EBE" w:rsidRDefault="009B7EBE" w:rsidP="009B7EBE">
      <w:pPr>
        <w:jc w:val="both"/>
        <w:rPr>
          <w:rFonts w:ascii="Times New Roman" w:hAnsi="Times New Roman" w:cs="Times New Roman"/>
          <w:b/>
          <w:bCs/>
          <w:i/>
          <w:iCs/>
          <w:sz w:val="22"/>
          <w:szCs w:val="22"/>
          <w:lang w:eastAsia="zh-CN"/>
        </w:rPr>
      </w:pPr>
    </w:p>
    <w:p w14:paraId="3A00685C" w14:textId="503A8961" w:rsidR="009B7EBE" w:rsidRDefault="009B7EBE" w:rsidP="009B7EBE">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sidR="00D15DD1">
        <w:rPr>
          <w:rFonts w:ascii="Times New Roman" w:hAnsi="Times New Roman" w:cs="Times New Roman"/>
          <w:b/>
          <w:bCs/>
          <w:i/>
          <w:iCs/>
          <w:sz w:val="22"/>
          <w:szCs w:val="22"/>
          <w:lang w:eastAsia="zh-CN"/>
        </w:rPr>
        <w:t xml:space="preserve"> </w:t>
      </w:r>
      <w:r w:rsidR="00870765">
        <w:rPr>
          <w:rFonts w:ascii="Times New Roman" w:hAnsi="Times New Roman" w:cs="Times New Roman"/>
          <w:b/>
          <w:bCs/>
          <w:i/>
          <w:iCs/>
          <w:sz w:val="22"/>
          <w:szCs w:val="22"/>
          <w:lang w:eastAsia="zh-CN"/>
        </w:rPr>
        <w:t xml:space="preserve">The </w:t>
      </w:r>
      <w:r w:rsidR="00D66C60">
        <w:rPr>
          <w:rFonts w:ascii="Times New Roman" w:hAnsi="Times New Roman" w:cs="Times New Roman"/>
          <w:b/>
          <w:bCs/>
          <w:i/>
          <w:iCs/>
          <w:sz w:val="22"/>
          <w:szCs w:val="22"/>
          <w:lang w:eastAsia="zh-CN"/>
        </w:rPr>
        <w:t xml:space="preserve">path loss differences between UL and DL are different from the </w:t>
      </w:r>
      <w:r w:rsidR="00331E25">
        <w:rPr>
          <w:rFonts w:ascii="Times New Roman" w:hAnsi="Times New Roman" w:cs="Times New Roman"/>
          <w:b/>
          <w:bCs/>
          <w:i/>
          <w:iCs/>
          <w:sz w:val="22"/>
          <w:szCs w:val="22"/>
          <w:lang w:eastAsia="zh-CN"/>
        </w:rPr>
        <w:t>source cell to the target cell</w:t>
      </w:r>
      <w:r w:rsidRPr="006A6FDA">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 xml:space="preserve"> </w:t>
      </w:r>
    </w:p>
    <w:p w14:paraId="2893408B" w14:textId="341FDED3" w:rsidR="009B7EBE" w:rsidRPr="00331E25" w:rsidRDefault="009B7EBE" w:rsidP="008D64B1">
      <w:pPr>
        <w:snapToGrid w:val="0"/>
        <w:jc w:val="both"/>
        <w:rPr>
          <w:rFonts w:ascii="Times New Roman" w:eastAsia="Batang" w:hAnsi="Times New Roman" w:cs="Times New Roman"/>
          <w:sz w:val="22"/>
          <w:szCs w:val="22"/>
          <w:lang w:eastAsia="en-US"/>
        </w:rPr>
      </w:pPr>
    </w:p>
    <w:p w14:paraId="45B425AF" w14:textId="7E1436B0" w:rsidR="009B7EBE" w:rsidRDefault="006C4E9A" w:rsidP="008D64B1">
      <w:pPr>
        <w:snapToGrid w:val="0"/>
        <w:jc w:val="both"/>
        <w:rPr>
          <w:rFonts w:ascii="Times New Roman" w:hAnsi="Times New Roman" w:cs="Times New Roman"/>
          <w:sz w:val="22"/>
          <w:szCs w:val="22"/>
        </w:rPr>
      </w:pPr>
      <w:r>
        <w:rPr>
          <w:rFonts w:ascii="Times New Roman" w:eastAsia="Batang" w:hAnsi="Times New Roman" w:cs="Times New Roman"/>
          <w:sz w:val="22"/>
          <w:szCs w:val="22"/>
          <w:lang w:val="en-US" w:eastAsia="en-US"/>
        </w:rPr>
        <w:t xml:space="preserve">If the </w:t>
      </w:r>
      <w:r w:rsidR="00673B17" w:rsidRPr="00A57F44">
        <w:rPr>
          <w:rFonts w:ascii="Times New Roman" w:hAnsi="Times New Roman" w:cs="Times New Roman" w:hint="eastAsia"/>
          <w:sz w:val="22"/>
          <w:szCs w:val="22"/>
        </w:rPr>
        <w:t>power control adjustment state</w:t>
      </w:r>
      <w:r w:rsidR="009B1A4C">
        <w:rPr>
          <w:rFonts w:ascii="Times New Roman" w:hAnsi="Times New Roman" w:cs="Times New Roman"/>
          <w:sz w:val="22"/>
          <w:szCs w:val="22"/>
        </w:rPr>
        <w:t xml:space="preserve"> is not set appropriately for the PUSCH </w:t>
      </w:r>
      <w:r w:rsidR="00E15D8D">
        <w:rPr>
          <w:rFonts w:ascii="Times New Roman" w:hAnsi="Times New Roman" w:cs="Times New Roman"/>
          <w:sz w:val="22"/>
          <w:szCs w:val="22"/>
        </w:rPr>
        <w:t>transmitting</w:t>
      </w:r>
      <w:r w:rsidR="009B1A4C">
        <w:rPr>
          <w:rFonts w:ascii="Times New Roman" w:hAnsi="Times New Roman" w:cs="Times New Roman"/>
          <w:sz w:val="22"/>
          <w:szCs w:val="22"/>
        </w:rPr>
        <w:t xml:space="preserve"> </w:t>
      </w:r>
      <w:r w:rsidR="00E15D8D">
        <w:rPr>
          <w:rFonts w:ascii="Times New Roman" w:hAnsi="Times New Roman" w:cs="Times New Roman"/>
          <w:sz w:val="22"/>
          <w:szCs w:val="22"/>
        </w:rPr>
        <w:t xml:space="preserve">the </w:t>
      </w:r>
      <w:r w:rsidR="009B1A4C">
        <w:rPr>
          <w:rFonts w:ascii="Times New Roman" w:hAnsi="Times New Roman" w:cs="Times New Roman"/>
          <w:sz w:val="22"/>
          <w:szCs w:val="22"/>
        </w:rPr>
        <w:t>RRC</w:t>
      </w:r>
      <w:r w:rsidR="00E15D8D">
        <w:rPr>
          <w:rFonts w:ascii="Times New Roman" w:hAnsi="Times New Roman" w:cs="Times New Roman"/>
          <w:sz w:val="22"/>
          <w:szCs w:val="22"/>
        </w:rPr>
        <w:t>ReconfigurationComplete message</w:t>
      </w:r>
      <w:r w:rsidR="00673B17">
        <w:rPr>
          <w:rFonts w:ascii="Times New Roman" w:hAnsi="Times New Roman" w:cs="Times New Roman"/>
          <w:sz w:val="22"/>
          <w:szCs w:val="22"/>
        </w:rPr>
        <w:t xml:space="preserve">, </w:t>
      </w:r>
      <w:r w:rsidR="00DF19CF">
        <w:rPr>
          <w:rFonts w:ascii="Times New Roman" w:hAnsi="Times New Roman" w:cs="Times New Roman"/>
          <w:sz w:val="22"/>
          <w:szCs w:val="22"/>
        </w:rPr>
        <w:t xml:space="preserve">the </w:t>
      </w:r>
      <w:r w:rsidR="00FD1E30">
        <w:rPr>
          <w:rFonts w:ascii="Times New Roman" w:hAnsi="Times New Roman" w:cs="Times New Roman"/>
          <w:sz w:val="22"/>
          <w:szCs w:val="22"/>
        </w:rPr>
        <w:t xml:space="preserve">network </w:t>
      </w:r>
      <w:r w:rsidR="00FC256E">
        <w:rPr>
          <w:rFonts w:ascii="Times New Roman" w:hAnsi="Times New Roman" w:cs="Times New Roman"/>
          <w:sz w:val="22"/>
          <w:szCs w:val="22"/>
        </w:rPr>
        <w:t>can</w:t>
      </w:r>
      <w:r w:rsidR="00FD1E30">
        <w:rPr>
          <w:rFonts w:ascii="Times New Roman" w:hAnsi="Times New Roman" w:cs="Times New Roman"/>
          <w:sz w:val="22"/>
          <w:szCs w:val="22"/>
        </w:rPr>
        <w:t xml:space="preserve"> never receive the signaling and </w:t>
      </w:r>
      <w:r w:rsidR="00437445">
        <w:rPr>
          <w:rFonts w:ascii="Times New Roman" w:hAnsi="Times New Roman" w:cs="Times New Roman"/>
          <w:sz w:val="22"/>
          <w:szCs w:val="22"/>
        </w:rPr>
        <w:t>UE will trigger the RRCRestablishment when T304 is expired.</w:t>
      </w:r>
    </w:p>
    <w:p w14:paraId="472EF61D" w14:textId="6FA49A69" w:rsidR="00F61054" w:rsidRDefault="00F61054" w:rsidP="008D64B1">
      <w:pPr>
        <w:snapToGrid w:val="0"/>
        <w:jc w:val="both"/>
        <w:rPr>
          <w:rFonts w:ascii="Times New Roman" w:hAnsi="Times New Roman" w:cs="Times New Roman"/>
          <w:sz w:val="22"/>
          <w:szCs w:val="22"/>
        </w:rPr>
      </w:pPr>
    </w:p>
    <w:p w14:paraId="36EFB652" w14:textId="00864299" w:rsidR="00F61054" w:rsidRPr="00051C4C" w:rsidRDefault="00F61054" w:rsidP="00F610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1: Support Network </w:t>
      </w:r>
      <w:r w:rsidR="00FC256E" w:rsidRPr="00051C4C">
        <w:rPr>
          <w:rFonts w:ascii="Times New Roman" w:hAnsi="Times New Roman" w:cs="Times New Roman"/>
          <w:b/>
          <w:bCs/>
          <w:i/>
          <w:iCs/>
          <w:sz w:val="22"/>
          <w:szCs w:val="22"/>
          <w:lang w:eastAsia="zh-CN"/>
        </w:rPr>
        <w:t>configure</w:t>
      </w:r>
      <w:r w:rsidRPr="00051C4C">
        <w:rPr>
          <w:rFonts w:ascii="Times New Roman" w:hAnsi="Times New Roman" w:cs="Times New Roman"/>
          <w:b/>
          <w:bCs/>
          <w:i/>
          <w:iCs/>
          <w:sz w:val="22"/>
          <w:szCs w:val="22"/>
          <w:lang w:eastAsia="zh-CN"/>
        </w:rPr>
        <w:t xml:space="preserve"> </w:t>
      </w:r>
      <w:r w:rsidR="00FC256E" w:rsidRPr="00051C4C">
        <w:rPr>
          <w:rFonts w:ascii="Times New Roman" w:hAnsi="Times New Roman" w:cs="Times New Roman"/>
          <w:b/>
          <w:bCs/>
          <w:i/>
          <w:iCs/>
          <w:sz w:val="22"/>
          <w:szCs w:val="22"/>
          <w:lang w:eastAsia="zh-CN"/>
        </w:rPr>
        <w:t>the power control adjustment state of the target cell during RACH-less HO</w:t>
      </w:r>
      <w:r w:rsidRPr="00051C4C">
        <w:rPr>
          <w:rFonts w:ascii="Times New Roman" w:hAnsi="Times New Roman" w:cs="Times New Roman"/>
          <w:b/>
          <w:bCs/>
          <w:i/>
          <w:iCs/>
          <w:sz w:val="22"/>
          <w:szCs w:val="22"/>
          <w:lang w:eastAsia="zh-CN"/>
        </w:rPr>
        <w:t xml:space="preserve">. </w:t>
      </w:r>
    </w:p>
    <w:p w14:paraId="18C4B338" w14:textId="733037CF" w:rsidR="00F61054" w:rsidRDefault="00F61054" w:rsidP="008D64B1">
      <w:pPr>
        <w:snapToGrid w:val="0"/>
        <w:jc w:val="both"/>
        <w:rPr>
          <w:rFonts w:ascii="Times New Roman" w:eastAsia="Batang" w:hAnsi="Times New Roman" w:cs="Times New Roman"/>
          <w:sz w:val="22"/>
          <w:szCs w:val="22"/>
          <w:lang w:eastAsia="en-US"/>
        </w:rPr>
      </w:pPr>
    </w:p>
    <w:p w14:paraId="31D6B755" w14:textId="1104A99B" w:rsidR="00243C72" w:rsidRDefault="00243C72" w:rsidP="008D64B1">
      <w:pPr>
        <w:snapToGrid w:val="0"/>
        <w:jc w:val="both"/>
        <w:rPr>
          <w:rFonts w:ascii="Times New Roman" w:hAnsi="Times New Roman" w:cs="Times New Roman"/>
          <w:sz w:val="22"/>
          <w:szCs w:val="22"/>
        </w:rPr>
      </w:pPr>
      <w:r>
        <w:rPr>
          <w:rFonts w:ascii="Times New Roman" w:eastAsia="Batang" w:hAnsi="Times New Roman" w:cs="Times New Roman"/>
          <w:sz w:val="22"/>
          <w:szCs w:val="22"/>
          <w:lang w:eastAsia="en-US"/>
        </w:rPr>
        <w:t>Inappropriate</w:t>
      </w:r>
      <w:r w:rsidR="00FC256E">
        <w:rPr>
          <w:rFonts w:ascii="Times New Roman" w:eastAsia="Batang" w:hAnsi="Times New Roman" w:cs="Times New Roman"/>
          <w:sz w:val="22"/>
          <w:szCs w:val="22"/>
          <w:lang w:eastAsia="en-US"/>
        </w:rPr>
        <w:t xml:space="preserve"> power control in CG RACH-less HO </w:t>
      </w:r>
      <w:r w:rsidR="00177195">
        <w:rPr>
          <w:rFonts w:ascii="Times New Roman" w:eastAsia="Batang" w:hAnsi="Times New Roman" w:cs="Times New Roman"/>
          <w:sz w:val="22"/>
          <w:szCs w:val="22"/>
          <w:lang w:eastAsia="en-US"/>
        </w:rPr>
        <w:t xml:space="preserve">would also result in HO failure. For </w:t>
      </w:r>
      <w:r w:rsidR="006441B4">
        <w:rPr>
          <w:rFonts w:ascii="Times New Roman" w:eastAsia="Batang" w:hAnsi="Times New Roman" w:cs="Times New Roman"/>
          <w:sz w:val="22"/>
          <w:szCs w:val="22"/>
          <w:lang w:eastAsia="en-US"/>
        </w:rPr>
        <w:t>RACH-based</w:t>
      </w:r>
      <w:r w:rsidR="00177195">
        <w:rPr>
          <w:rFonts w:ascii="Times New Roman" w:eastAsia="Batang" w:hAnsi="Times New Roman" w:cs="Times New Roman"/>
          <w:sz w:val="22"/>
          <w:szCs w:val="22"/>
          <w:lang w:eastAsia="en-US"/>
        </w:rPr>
        <w:t xml:space="preserve"> HO, there is </w:t>
      </w:r>
      <w:r w:rsidR="006441B4">
        <w:rPr>
          <w:rFonts w:ascii="Times New Roman" w:eastAsia="Batang" w:hAnsi="Times New Roman" w:cs="Times New Roman"/>
          <w:sz w:val="22"/>
          <w:szCs w:val="22"/>
          <w:lang w:eastAsia="en-US"/>
        </w:rPr>
        <w:t xml:space="preserve">a </w:t>
      </w:r>
      <w:r w:rsidR="00177195">
        <w:rPr>
          <w:rFonts w:ascii="Times New Roman" w:eastAsia="Batang" w:hAnsi="Times New Roman" w:cs="Times New Roman"/>
          <w:sz w:val="22"/>
          <w:szCs w:val="22"/>
          <w:lang w:eastAsia="en-US"/>
        </w:rPr>
        <w:t xml:space="preserve">preamble power ramping procedure to provide a reference to the PUSCH </w:t>
      </w:r>
      <w:r w:rsidR="006441B4">
        <w:rPr>
          <w:rFonts w:ascii="Times New Roman" w:eastAsia="Batang" w:hAnsi="Times New Roman" w:cs="Times New Roman"/>
          <w:sz w:val="22"/>
          <w:szCs w:val="22"/>
          <w:lang w:eastAsia="en-US"/>
        </w:rPr>
        <w:t>transmission</w:t>
      </w:r>
      <w:r w:rsidR="00177195">
        <w:rPr>
          <w:rFonts w:ascii="Times New Roman" w:eastAsia="Batang" w:hAnsi="Times New Roman" w:cs="Times New Roman"/>
          <w:sz w:val="22"/>
          <w:szCs w:val="22"/>
          <w:lang w:eastAsia="en-US"/>
        </w:rPr>
        <w:t xml:space="preserve"> power control. </w:t>
      </w:r>
      <w:r>
        <w:rPr>
          <w:rFonts w:ascii="Times New Roman" w:eastAsia="Batang" w:hAnsi="Times New Roman" w:cs="Times New Roman"/>
          <w:sz w:val="22"/>
          <w:szCs w:val="22"/>
          <w:lang w:eastAsia="en-US"/>
        </w:rPr>
        <w:t xml:space="preserve">For RACH-less HO, we support power ramping </w:t>
      </w:r>
      <w:bookmarkStart w:id="5" w:name="_Hlk149587103"/>
      <w:r>
        <w:rPr>
          <w:rFonts w:ascii="Times New Roman" w:eastAsia="Batang" w:hAnsi="Times New Roman" w:cs="Times New Roman"/>
          <w:sz w:val="22"/>
          <w:szCs w:val="22"/>
          <w:lang w:eastAsia="en-US"/>
        </w:rPr>
        <w:t>for the initial PUSCH transmission</w:t>
      </w:r>
      <w:bookmarkEnd w:id="5"/>
      <w:r>
        <w:rPr>
          <w:rFonts w:ascii="Times New Roman" w:eastAsia="Batang" w:hAnsi="Times New Roman" w:cs="Times New Roman"/>
          <w:sz w:val="22"/>
          <w:szCs w:val="22"/>
          <w:lang w:eastAsia="en-US"/>
        </w:rPr>
        <w:t xml:space="preserve"> which carries the </w:t>
      </w:r>
      <w:r>
        <w:rPr>
          <w:rFonts w:ascii="Times New Roman" w:hAnsi="Times New Roman" w:cs="Times New Roman"/>
          <w:sz w:val="22"/>
          <w:szCs w:val="22"/>
        </w:rPr>
        <w:t xml:space="preserve">RRCReconfigurationComplete message. </w:t>
      </w:r>
      <w:r>
        <w:rPr>
          <w:rFonts w:ascii="Times New Roman" w:hAnsi="Times New Roman" w:cs="Times New Roman" w:hint="eastAsia"/>
          <w:sz w:val="22"/>
          <w:szCs w:val="22"/>
        </w:rPr>
        <w:t>T</w:t>
      </w:r>
      <w:r>
        <w:rPr>
          <w:rFonts w:ascii="Times New Roman" w:hAnsi="Times New Roman" w:cs="Times New Roman"/>
          <w:sz w:val="22"/>
          <w:szCs w:val="22"/>
        </w:rPr>
        <w:t xml:space="preserve">o ensure the UE </w:t>
      </w:r>
      <w:r w:rsidR="009F0456">
        <w:rPr>
          <w:rFonts w:ascii="Times New Roman" w:hAnsi="Times New Roman" w:cs="Times New Roman"/>
          <w:sz w:val="22"/>
          <w:szCs w:val="22"/>
        </w:rPr>
        <w:t>has</w:t>
      </w:r>
      <w:r>
        <w:rPr>
          <w:rFonts w:ascii="Times New Roman" w:hAnsi="Times New Roman" w:cs="Times New Roman"/>
          <w:sz w:val="22"/>
          <w:szCs w:val="22"/>
        </w:rPr>
        <w:t xml:space="preserve"> tried </w:t>
      </w:r>
      <w:r w:rsidR="009F0456">
        <w:rPr>
          <w:rFonts w:ascii="Times New Roman" w:hAnsi="Times New Roman" w:cs="Times New Roman"/>
          <w:sz w:val="22"/>
          <w:szCs w:val="22"/>
        </w:rPr>
        <w:t>its</w:t>
      </w:r>
      <w:r>
        <w:rPr>
          <w:rFonts w:ascii="Times New Roman" w:hAnsi="Times New Roman" w:cs="Times New Roman"/>
          <w:sz w:val="22"/>
          <w:szCs w:val="22"/>
        </w:rPr>
        <w:t xml:space="preserve"> best </w:t>
      </w:r>
      <w:r w:rsidR="00B36968">
        <w:rPr>
          <w:rFonts w:ascii="Times New Roman" w:hAnsi="Times New Roman" w:cs="Times New Roman"/>
          <w:sz w:val="22"/>
          <w:szCs w:val="22"/>
        </w:rPr>
        <w:t>and ha</w:t>
      </w:r>
      <w:r w:rsidR="00D6615E">
        <w:rPr>
          <w:rFonts w:ascii="Times New Roman" w:hAnsi="Times New Roman" w:cs="Times New Roman"/>
          <w:sz w:val="22"/>
          <w:szCs w:val="22"/>
        </w:rPr>
        <w:t>s</w:t>
      </w:r>
      <w:r w:rsidR="00B36968">
        <w:rPr>
          <w:rFonts w:ascii="Times New Roman" w:hAnsi="Times New Roman" w:cs="Times New Roman"/>
          <w:sz w:val="22"/>
          <w:szCs w:val="22"/>
        </w:rPr>
        <w:t xml:space="preserve"> enough time to receive the response from </w:t>
      </w:r>
      <w:r w:rsidR="00D6615E">
        <w:rPr>
          <w:rFonts w:ascii="Times New Roman" w:hAnsi="Times New Roman" w:cs="Times New Roman"/>
          <w:sz w:val="22"/>
          <w:szCs w:val="22"/>
        </w:rPr>
        <w:t xml:space="preserve">the </w:t>
      </w:r>
      <w:r w:rsidR="002F124C">
        <w:rPr>
          <w:rFonts w:ascii="Times New Roman" w:hAnsi="Times New Roman" w:cs="Times New Roman"/>
          <w:sz w:val="22"/>
          <w:szCs w:val="22"/>
        </w:rPr>
        <w:t>target</w:t>
      </w:r>
      <w:r w:rsidR="00B36968">
        <w:rPr>
          <w:rFonts w:ascii="Times New Roman" w:hAnsi="Times New Roman" w:cs="Times New Roman"/>
          <w:sz w:val="22"/>
          <w:szCs w:val="22"/>
        </w:rPr>
        <w:t xml:space="preserve"> cell</w:t>
      </w:r>
      <w:r w:rsidR="00D6615E">
        <w:rPr>
          <w:rFonts w:ascii="Times New Roman" w:hAnsi="Times New Roman" w:cs="Times New Roman"/>
          <w:sz w:val="22"/>
          <w:szCs w:val="22"/>
        </w:rPr>
        <w:t xml:space="preserve"> before the T304 expires</w:t>
      </w:r>
      <w:r>
        <w:rPr>
          <w:rFonts w:ascii="Times New Roman" w:hAnsi="Times New Roman" w:cs="Times New Roman"/>
          <w:sz w:val="22"/>
          <w:szCs w:val="22"/>
        </w:rPr>
        <w:t xml:space="preserve">, the </w:t>
      </w:r>
      <w:r w:rsidR="00725078">
        <w:rPr>
          <w:rFonts w:ascii="Times New Roman" w:hAnsi="Times New Roman" w:cs="Times New Roman"/>
          <w:sz w:val="22"/>
          <w:szCs w:val="22"/>
        </w:rPr>
        <w:t xml:space="preserve">PUSCH </w:t>
      </w:r>
      <w:r>
        <w:rPr>
          <w:rFonts w:ascii="Times New Roman" w:hAnsi="Times New Roman" w:cs="Times New Roman"/>
          <w:sz w:val="22"/>
          <w:szCs w:val="22"/>
        </w:rPr>
        <w:t xml:space="preserve">power should be </w:t>
      </w:r>
      <w:r w:rsidR="009F0456">
        <w:rPr>
          <w:rFonts w:ascii="Times New Roman" w:hAnsi="Times New Roman" w:cs="Times New Roman"/>
          <w:sz w:val="22"/>
          <w:szCs w:val="22"/>
        </w:rPr>
        <w:t>ramped</w:t>
      </w:r>
      <w:r>
        <w:rPr>
          <w:rFonts w:ascii="Times New Roman" w:hAnsi="Times New Roman" w:cs="Times New Roman"/>
          <w:sz w:val="22"/>
          <w:szCs w:val="22"/>
        </w:rPr>
        <w:t xml:space="preserve"> up to the</w:t>
      </w:r>
      <w:r>
        <w:rPr>
          <w:rFonts w:ascii="Times New Roman" w:hAnsi="Times New Roman" w:cs="Times New Roman" w:hint="eastAsia"/>
          <w:sz w:val="22"/>
          <w:szCs w:val="22"/>
        </w:rPr>
        <w:t xml:space="preserve"> </w:t>
      </w:r>
      <m:oMath>
        <m:sSub>
          <m:sSubPr>
            <m:ctrlPr>
              <w:rPr>
                <w:rFonts w:ascii="Cambria Math" w:eastAsia="Cambria Math" w:hAnsi="Cambria Math" w:cs="Times New Roman"/>
                <w:sz w:val="22"/>
                <w:szCs w:val="22"/>
              </w:rPr>
            </m:ctrlPr>
          </m:sSubPr>
          <m:e>
            <m:r>
              <w:rPr>
                <w:rFonts w:ascii="Cambria Math" w:hAnsi="Cambria Math" w:cs="Times New Roman"/>
                <w:sz w:val="22"/>
                <w:szCs w:val="22"/>
              </w:rPr>
              <m:t>P</m:t>
            </m:r>
          </m:e>
          <m:sub>
            <m:r>
              <m:rPr>
                <m:nor/>
              </m:rPr>
              <w:rPr>
                <w:rFonts w:ascii="Times New Roman" w:hAnsi="Times New Roman" w:cs="Times New Roman"/>
                <w:sz w:val="22"/>
                <w:szCs w:val="22"/>
              </w:rPr>
              <m:t>CMAX</m:t>
            </m:r>
          </m:sub>
        </m:sSub>
      </m:oMath>
      <w:r>
        <w:rPr>
          <w:rFonts w:ascii="Times New Roman" w:hAnsi="Times New Roman" w:cs="Times New Roman" w:hint="eastAsia"/>
          <w:sz w:val="22"/>
          <w:szCs w:val="22"/>
        </w:rPr>
        <w:t xml:space="preserve"> </w:t>
      </w:r>
      <w:r w:rsidR="002D04C4">
        <w:rPr>
          <w:rFonts w:ascii="Times New Roman" w:hAnsi="Times New Roman" w:cs="Times New Roman"/>
          <w:sz w:val="22"/>
          <w:szCs w:val="22"/>
        </w:rPr>
        <w:t>before a</w:t>
      </w:r>
      <w:r w:rsidR="00C438F4">
        <w:rPr>
          <w:rFonts w:ascii="Times New Roman" w:hAnsi="Times New Roman" w:cs="Times New Roman"/>
          <w:sz w:val="22"/>
          <w:szCs w:val="22"/>
        </w:rPr>
        <w:t>n appropriate timing</w:t>
      </w:r>
      <w:r w:rsidR="006441B4">
        <w:rPr>
          <w:rFonts w:ascii="Times New Roman" w:hAnsi="Times New Roman" w:cs="Times New Roman"/>
          <w:sz w:val="22"/>
          <w:szCs w:val="22"/>
        </w:rPr>
        <w:t>.</w:t>
      </w:r>
    </w:p>
    <w:p w14:paraId="7082C1B1" w14:textId="72C3D030" w:rsidR="00243C72" w:rsidRDefault="00243C72" w:rsidP="008D64B1">
      <w:pPr>
        <w:snapToGrid w:val="0"/>
        <w:jc w:val="both"/>
        <w:rPr>
          <w:rFonts w:ascii="Times New Roman" w:hAnsi="Times New Roman" w:cs="Times New Roman"/>
          <w:sz w:val="22"/>
          <w:szCs w:val="22"/>
        </w:rPr>
      </w:pPr>
    </w:p>
    <w:p w14:paraId="5692307E" w14:textId="1729D195" w:rsidR="006441B4" w:rsidRPr="00051C4C" w:rsidRDefault="006441B4" w:rsidP="006441B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2: Support power ramping for the initial PUSCH transmission in RACH-less HO. </w:t>
      </w:r>
    </w:p>
    <w:p w14:paraId="3A5A07DD" w14:textId="77777777" w:rsidR="009F0456" w:rsidRDefault="009F0456" w:rsidP="006441B4">
      <w:pPr>
        <w:jc w:val="both"/>
        <w:rPr>
          <w:rFonts w:ascii="Times New Roman" w:hAnsi="Times New Roman" w:cs="Times New Roman"/>
          <w:i/>
          <w:iCs/>
          <w:sz w:val="22"/>
          <w:szCs w:val="22"/>
          <w:lang w:eastAsia="zh-CN"/>
        </w:rPr>
      </w:pPr>
    </w:p>
    <w:p w14:paraId="5D16C071" w14:textId="2AEDD13F" w:rsidR="00243C72" w:rsidRPr="00051C4C" w:rsidRDefault="006441B4" w:rsidP="008D64B1">
      <w:pPr>
        <w:snapToGrid w:val="0"/>
        <w:jc w:val="both"/>
        <w:rPr>
          <w:rFonts w:ascii="Times New Roman" w:hAnsi="Times New Roman" w:cs="Times New Roman"/>
          <w:b/>
          <w:bCs/>
          <w:sz w:val="22"/>
          <w:szCs w:val="22"/>
        </w:rPr>
      </w:pPr>
      <w:r w:rsidRPr="00051C4C">
        <w:rPr>
          <w:rFonts w:ascii="Times New Roman" w:hAnsi="Times New Roman" w:cs="Times New Roman"/>
          <w:b/>
          <w:bCs/>
          <w:i/>
          <w:iCs/>
          <w:sz w:val="22"/>
          <w:szCs w:val="22"/>
          <w:lang w:eastAsia="zh-CN"/>
        </w:rPr>
        <w:t xml:space="preserve">Proposal 3: Support configuring the power ramping rate/step </w:t>
      </w:r>
      <w:r w:rsidR="009F0456" w:rsidRPr="00051C4C">
        <w:rPr>
          <w:rFonts w:ascii="Times New Roman" w:hAnsi="Times New Roman" w:cs="Times New Roman"/>
          <w:b/>
          <w:bCs/>
          <w:i/>
          <w:iCs/>
          <w:sz w:val="22"/>
          <w:szCs w:val="22"/>
          <w:lang w:eastAsia="zh-CN"/>
        </w:rPr>
        <w:t>related</w:t>
      </w:r>
      <w:r w:rsidRPr="00051C4C">
        <w:rPr>
          <w:rFonts w:ascii="Times New Roman" w:hAnsi="Times New Roman" w:cs="Times New Roman"/>
          <w:b/>
          <w:bCs/>
          <w:i/>
          <w:iCs/>
          <w:sz w:val="22"/>
          <w:szCs w:val="22"/>
          <w:lang w:eastAsia="zh-CN"/>
        </w:rPr>
        <w:t xml:space="preserve"> to </w:t>
      </w:r>
      <w:r w:rsidR="00FE5BE5" w:rsidRPr="00051C4C">
        <w:rPr>
          <w:rFonts w:ascii="Times New Roman" w:hAnsi="Times New Roman" w:cs="Times New Roman"/>
          <w:b/>
          <w:bCs/>
          <w:i/>
          <w:iCs/>
          <w:sz w:val="22"/>
          <w:szCs w:val="22"/>
          <w:lang w:eastAsia="zh-CN"/>
        </w:rPr>
        <w:t>T304</w:t>
      </w:r>
      <w:r w:rsidRPr="00051C4C">
        <w:rPr>
          <w:rFonts w:ascii="Times New Roman" w:hAnsi="Times New Roman" w:cs="Times New Roman"/>
          <w:b/>
          <w:bCs/>
          <w:i/>
          <w:iCs/>
          <w:sz w:val="22"/>
          <w:szCs w:val="22"/>
          <w:lang w:eastAsia="zh-CN"/>
        </w:rPr>
        <w:t>.</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78E003B1" w14:textId="77777777" w:rsidR="00FC256E" w:rsidRDefault="00FC256E" w:rsidP="00FC256E">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The path loss differences between UL and DL are different from the source cell to the target cell</w:t>
      </w:r>
      <w:r w:rsidRPr="006A6FDA">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 xml:space="preserve"> </w:t>
      </w:r>
    </w:p>
    <w:p w14:paraId="4051DD1D" w14:textId="2F8439DA" w:rsidR="00FC256E" w:rsidRPr="00FC256E" w:rsidRDefault="00FC256E" w:rsidP="0021786D">
      <w:pPr>
        <w:jc w:val="both"/>
        <w:rPr>
          <w:rFonts w:ascii="Times New Roman" w:eastAsia="宋体" w:hAnsi="Times New Roman" w:cs="Times New Roman"/>
          <w:sz w:val="22"/>
          <w:szCs w:val="22"/>
          <w:lang w:eastAsia="zh-CN"/>
        </w:rPr>
      </w:pPr>
    </w:p>
    <w:p w14:paraId="7EAC26D9" w14:textId="77777777" w:rsidR="00FC256E" w:rsidRPr="00FC256E" w:rsidRDefault="00FC256E" w:rsidP="0021786D">
      <w:pPr>
        <w:jc w:val="both"/>
        <w:rPr>
          <w:rFonts w:ascii="Times New Roman" w:eastAsia="宋体" w:hAnsi="Times New Roman" w:cs="Times New Roman"/>
          <w:sz w:val="22"/>
          <w:szCs w:val="22"/>
          <w:lang w:eastAsia="zh-CN"/>
        </w:rPr>
      </w:pPr>
    </w:p>
    <w:bookmarkEnd w:id="4"/>
    <w:bookmarkEnd w:id="6"/>
    <w:bookmarkEnd w:id="7"/>
    <w:bookmarkEnd w:id="8"/>
    <w:p w14:paraId="6045E467" w14:textId="77777777" w:rsidR="00FC256E" w:rsidRPr="00051C4C" w:rsidRDefault="00FC256E" w:rsidP="00FE124E">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Support Network configure the power control adjustment state of the target cell during RACH-less HO.</w:t>
      </w:r>
    </w:p>
    <w:p w14:paraId="734A7FF0" w14:textId="77777777" w:rsidR="00FC256E" w:rsidRPr="00051C4C" w:rsidRDefault="00FC256E" w:rsidP="00FE124E">
      <w:pPr>
        <w:jc w:val="both"/>
        <w:rPr>
          <w:rFonts w:ascii="Times New Roman" w:hAnsi="Times New Roman" w:cs="Times New Roman"/>
          <w:b/>
          <w:bCs/>
          <w:i/>
          <w:iCs/>
          <w:sz w:val="22"/>
          <w:szCs w:val="22"/>
          <w:lang w:eastAsia="zh-CN"/>
        </w:rPr>
      </w:pPr>
    </w:p>
    <w:p w14:paraId="475C0428" w14:textId="77777777" w:rsidR="009F0456" w:rsidRPr="00051C4C" w:rsidRDefault="009F0456" w:rsidP="009F0456">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2: Support power ramping for the initial PUSCH transmission in RACH-less HO. </w:t>
      </w:r>
    </w:p>
    <w:p w14:paraId="35C593D7" w14:textId="77777777" w:rsidR="009F0456" w:rsidRPr="00051C4C" w:rsidRDefault="009F0456" w:rsidP="009F0456">
      <w:pPr>
        <w:snapToGrid w:val="0"/>
        <w:jc w:val="both"/>
        <w:rPr>
          <w:rFonts w:ascii="Times New Roman" w:hAnsi="Times New Roman" w:cs="Times New Roman"/>
          <w:b/>
          <w:bCs/>
          <w:i/>
          <w:iCs/>
          <w:sz w:val="22"/>
          <w:szCs w:val="22"/>
          <w:lang w:eastAsia="zh-CN"/>
        </w:rPr>
      </w:pPr>
    </w:p>
    <w:p w14:paraId="30184E2B" w14:textId="45C55D8F" w:rsidR="009F0456" w:rsidRPr="00051C4C" w:rsidRDefault="009F0456" w:rsidP="009F0456">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3: Support configuring the power ramping rate/step related to </w:t>
      </w:r>
      <w:r w:rsidR="003E2F53" w:rsidRPr="00051C4C">
        <w:rPr>
          <w:rFonts w:ascii="Times New Roman" w:hAnsi="Times New Roman" w:cs="Times New Roman"/>
          <w:b/>
          <w:bCs/>
          <w:i/>
          <w:iCs/>
          <w:sz w:val="22"/>
          <w:szCs w:val="22"/>
          <w:lang w:eastAsia="zh-CN"/>
        </w:rPr>
        <w:t>T3</w:t>
      </w:r>
      <w:r w:rsidR="003E2F53" w:rsidRPr="00051C4C">
        <w:rPr>
          <w:rFonts w:ascii="Times New Roman" w:eastAsia="宋体" w:hAnsi="Times New Roman" w:cs="Times New Roman" w:hint="eastAsia"/>
          <w:b/>
          <w:bCs/>
          <w:i/>
          <w:iCs/>
          <w:sz w:val="22"/>
          <w:szCs w:val="22"/>
          <w:lang w:eastAsia="zh-CN"/>
        </w:rPr>
        <w:t>0</w:t>
      </w:r>
      <w:r w:rsidR="003E2F53" w:rsidRPr="00051C4C">
        <w:rPr>
          <w:rFonts w:ascii="Times New Roman" w:eastAsia="宋体" w:hAnsi="Times New Roman" w:cs="Times New Roman"/>
          <w:b/>
          <w:bCs/>
          <w:i/>
          <w:iCs/>
          <w:sz w:val="22"/>
          <w:szCs w:val="22"/>
          <w:lang w:eastAsia="zh-CN"/>
        </w:rPr>
        <w:t>4</w:t>
      </w:r>
      <w:r w:rsidRPr="00051C4C">
        <w:rPr>
          <w:rFonts w:ascii="Times New Roman" w:hAnsi="Times New Roman" w:cs="Times New Roman"/>
          <w:b/>
          <w:bCs/>
          <w:i/>
          <w:iCs/>
          <w:sz w:val="22"/>
          <w:szCs w:val="22"/>
          <w:lang w:eastAsia="zh-CN"/>
        </w:rPr>
        <w:t>.</w:t>
      </w:r>
    </w:p>
    <w:p w14:paraId="13AAB68C" w14:textId="77777777" w:rsidR="009F0456" w:rsidRPr="006441B4"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31D70460" w14:textId="296BE0CA" w:rsidR="00870D87" w:rsidRDefault="00870D87" w:rsidP="00870D87">
      <w:pPr>
        <w:pStyle w:val="a3"/>
        <w:numPr>
          <w:ilvl w:val="0"/>
          <w:numId w:val="4"/>
        </w:numPr>
        <w:rPr>
          <w:sz w:val="22"/>
          <w:szCs w:val="22"/>
        </w:rPr>
      </w:pPr>
      <w:bookmarkStart w:id="9" w:name="_Ref534892461"/>
      <w:r w:rsidRPr="0052001C">
        <w:rPr>
          <w:sz w:val="22"/>
          <w:szCs w:val="22"/>
        </w:rPr>
        <w:t>Chair’s Notes RAN</w:t>
      </w:r>
      <w:r>
        <w:rPr>
          <w:sz w:val="22"/>
          <w:szCs w:val="22"/>
        </w:rPr>
        <w:t>2</w:t>
      </w:r>
      <w:r w:rsidRPr="0052001C">
        <w:rPr>
          <w:sz w:val="22"/>
          <w:szCs w:val="22"/>
        </w:rPr>
        <w:t xml:space="preserve"> #1</w:t>
      </w:r>
      <w:r>
        <w:rPr>
          <w:sz w:val="22"/>
          <w:szCs w:val="22"/>
        </w:rPr>
        <w:t>21bis</w:t>
      </w:r>
      <w:r w:rsidR="006F36FB">
        <w:rPr>
          <w:sz w:val="22"/>
          <w:szCs w:val="22"/>
        </w:rPr>
        <w:t>-</w:t>
      </w:r>
      <w:r>
        <w:rPr>
          <w:sz w:val="22"/>
          <w:szCs w:val="22"/>
        </w:rPr>
        <w:t>e</w:t>
      </w:r>
    </w:p>
    <w:p w14:paraId="782B3C7D" w14:textId="3CF1616D" w:rsidR="00870D87" w:rsidRPr="006F36FB" w:rsidRDefault="006F36FB" w:rsidP="006F36FB">
      <w:pPr>
        <w:pStyle w:val="a3"/>
        <w:numPr>
          <w:ilvl w:val="0"/>
          <w:numId w:val="4"/>
        </w:numPr>
        <w:rPr>
          <w:sz w:val="22"/>
          <w:szCs w:val="22"/>
        </w:rPr>
      </w:pPr>
      <w:r w:rsidRPr="0052001C">
        <w:rPr>
          <w:sz w:val="22"/>
          <w:szCs w:val="22"/>
        </w:rPr>
        <w:t>Chair’s Notes RAN1 #11</w:t>
      </w:r>
      <w:r>
        <w:rPr>
          <w:sz w:val="22"/>
          <w:szCs w:val="22"/>
        </w:rPr>
        <w:t>4</w:t>
      </w:r>
    </w:p>
    <w:p w14:paraId="7D59E895" w14:textId="430787CD" w:rsidR="00FF3577" w:rsidRPr="006F36FB" w:rsidRDefault="004E0815" w:rsidP="006F36FB">
      <w:pPr>
        <w:pStyle w:val="a3"/>
        <w:numPr>
          <w:ilvl w:val="0"/>
          <w:numId w:val="4"/>
        </w:numPr>
        <w:rPr>
          <w:bCs/>
          <w:sz w:val="22"/>
          <w:szCs w:val="22"/>
        </w:rPr>
      </w:pPr>
      <w:r w:rsidRPr="004E0815">
        <w:rPr>
          <w:bCs/>
          <w:sz w:val="22"/>
          <w:szCs w:val="22"/>
        </w:rPr>
        <w:t>R1-2310496</w:t>
      </w:r>
      <w:r>
        <w:rPr>
          <w:bCs/>
          <w:sz w:val="22"/>
          <w:szCs w:val="22"/>
        </w:rPr>
        <w:t xml:space="preserve"> </w:t>
      </w:r>
      <w:r w:rsidR="004C7E18">
        <w:rPr>
          <w:bCs/>
          <w:sz w:val="22"/>
          <w:szCs w:val="22"/>
        </w:rPr>
        <w:t>“</w:t>
      </w:r>
      <w:r w:rsidR="004C7E18" w:rsidRPr="004C7E18">
        <w:rPr>
          <w:bCs/>
          <w:sz w:val="22"/>
          <w:szCs w:val="22"/>
        </w:rPr>
        <w:t>Summary of discussion on remaining issues for RACH-less handover</w:t>
      </w:r>
      <w:r w:rsidR="004C7E18">
        <w:rPr>
          <w:bCs/>
          <w:sz w:val="22"/>
          <w:szCs w:val="22"/>
        </w:rPr>
        <w:t xml:space="preserve">,” </w:t>
      </w:r>
      <w:r w:rsidR="00324245" w:rsidRPr="00324245">
        <w:rPr>
          <w:bCs/>
          <w:sz w:val="22"/>
          <w:szCs w:val="22"/>
        </w:rPr>
        <w:t xml:space="preserve">Moderator (Samsung) </w:t>
      </w:r>
      <w:bookmarkEnd w:id="9"/>
    </w:p>
    <w:sectPr w:rsidR="00FF3577" w:rsidRPr="006F36F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0387" w14:textId="77777777" w:rsidR="00790C81" w:rsidRDefault="00790C81" w:rsidP="00731E07">
      <w:r>
        <w:separator/>
      </w:r>
    </w:p>
  </w:endnote>
  <w:endnote w:type="continuationSeparator" w:id="0">
    <w:p w14:paraId="2B358F46" w14:textId="77777777" w:rsidR="00790C81" w:rsidRDefault="00790C81" w:rsidP="00731E07">
      <w:r>
        <w:continuationSeparator/>
      </w:r>
    </w:p>
  </w:endnote>
  <w:endnote w:type="continuationNotice" w:id="1">
    <w:p w14:paraId="127526BB" w14:textId="77777777" w:rsidR="00790C81" w:rsidRDefault="00790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782C" w14:textId="77777777" w:rsidR="00790C81" w:rsidRDefault="00790C81" w:rsidP="00731E07">
      <w:r>
        <w:separator/>
      </w:r>
    </w:p>
  </w:footnote>
  <w:footnote w:type="continuationSeparator" w:id="0">
    <w:p w14:paraId="797414AD" w14:textId="77777777" w:rsidR="00790C81" w:rsidRDefault="00790C81" w:rsidP="00731E07">
      <w:r>
        <w:continuationSeparator/>
      </w:r>
    </w:p>
  </w:footnote>
  <w:footnote w:type="continuationNotice" w:id="1">
    <w:p w14:paraId="3720D5E3" w14:textId="77777777" w:rsidR="00790C81" w:rsidRDefault="00790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abstractNumId w:val="7"/>
  </w:num>
  <w:num w:numId="2">
    <w:abstractNumId w:val="1"/>
  </w:num>
  <w:num w:numId="3">
    <w:abstractNumId w:val="11"/>
  </w:num>
  <w:num w:numId="4">
    <w:abstractNumId w:val="0"/>
  </w:num>
  <w:num w:numId="5">
    <w:abstractNumId w:val="14"/>
  </w:num>
  <w:num w:numId="6">
    <w:abstractNumId w:val="3"/>
  </w:num>
  <w:num w:numId="7">
    <w:abstractNumId w:val="10"/>
  </w:num>
  <w:num w:numId="8">
    <w:abstractNumId w:val="9"/>
  </w:num>
  <w:num w:numId="9">
    <w:abstractNumId w:val="8"/>
  </w:num>
  <w:num w:numId="10">
    <w:abstractNumId w:val="15"/>
  </w:num>
  <w:num w:numId="11">
    <w:abstractNumId w:val="6"/>
  </w:num>
  <w:num w:numId="12">
    <w:abstractNumId w:val="5"/>
  </w:num>
  <w:num w:numId="13">
    <w:abstractNumId w:val="13"/>
  </w:num>
  <w:num w:numId="14">
    <w:abstractNumId w:val="2"/>
  </w:num>
  <w:num w:numId="15">
    <w:abstractNumId w:val="12"/>
  </w:num>
  <w:num w:numId="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3"/>
  <w:doNotDisplayPageBoundaries/>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209FE"/>
    <w:rsid w:val="00020EDA"/>
    <w:rsid w:val="00023667"/>
    <w:rsid w:val="00024C3F"/>
    <w:rsid w:val="00026658"/>
    <w:rsid w:val="000270D7"/>
    <w:rsid w:val="00031532"/>
    <w:rsid w:val="00033AE8"/>
    <w:rsid w:val="00034DC5"/>
    <w:rsid w:val="00037E6A"/>
    <w:rsid w:val="00042FF2"/>
    <w:rsid w:val="000450BD"/>
    <w:rsid w:val="000470CE"/>
    <w:rsid w:val="000507E6"/>
    <w:rsid w:val="00051C4C"/>
    <w:rsid w:val="000525AF"/>
    <w:rsid w:val="00053EEA"/>
    <w:rsid w:val="000555DA"/>
    <w:rsid w:val="000613A4"/>
    <w:rsid w:val="000649E8"/>
    <w:rsid w:val="000664CA"/>
    <w:rsid w:val="00067D7D"/>
    <w:rsid w:val="00071FD3"/>
    <w:rsid w:val="0007288C"/>
    <w:rsid w:val="0007289F"/>
    <w:rsid w:val="00072D3A"/>
    <w:rsid w:val="00073694"/>
    <w:rsid w:val="000757FA"/>
    <w:rsid w:val="00075988"/>
    <w:rsid w:val="000763D8"/>
    <w:rsid w:val="000824CF"/>
    <w:rsid w:val="00084B25"/>
    <w:rsid w:val="00086586"/>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10E1"/>
    <w:rsid w:val="000D3340"/>
    <w:rsid w:val="000D3C96"/>
    <w:rsid w:val="000D4395"/>
    <w:rsid w:val="000E1B80"/>
    <w:rsid w:val="000F0455"/>
    <w:rsid w:val="000F4541"/>
    <w:rsid w:val="000F469C"/>
    <w:rsid w:val="000F4D82"/>
    <w:rsid w:val="00103021"/>
    <w:rsid w:val="001050C4"/>
    <w:rsid w:val="001065D3"/>
    <w:rsid w:val="001073FF"/>
    <w:rsid w:val="00107CD5"/>
    <w:rsid w:val="0011364E"/>
    <w:rsid w:val="0011389A"/>
    <w:rsid w:val="00113B9C"/>
    <w:rsid w:val="0012525E"/>
    <w:rsid w:val="00130881"/>
    <w:rsid w:val="0013304B"/>
    <w:rsid w:val="00140A1E"/>
    <w:rsid w:val="001413A9"/>
    <w:rsid w:val="00141DC2"/>
    <w:rsid w:val="001424CD"/>
    <w:rsid w:val="001425C8"/>
    <w:rsid w:val="00143901"/>
    <w:rsid w:val="0014634E"/>
    <w:rsid w:val="00151953"/>
    <w:rsid w:val="0015642E"/>
    <w:rsid w:val="00164F31"/>
    <w:rsid w:val="00166AE6"/>
    <w:rsid w:val="001732E8"/>
    <w:rsid w:val="001741E4"/>
    <w:rsid w:val="00174C9B"/>
    <w:rsid w:val="0017671B"/>
    <w:rsid w:val="00177195"/>
    <w:rsid w:val="0017784C"/>
    <w:rsid w:val="00177E00"/>
    <w:rsid w:val="00182AD6"/>
    <w:rsid w:val="001838C6"/>
    <w:rsid w:val="00186341"/>
    <w:rsid w:val="00190321"/>
    <w:rsid w:val="00190917"/>
    <w:rsid w:val="00190F4F"/>
    <w:rsid w:val="0019246D"/>
    <w:rsid w:val="00192A25"/>
    <w:rsid w:val="00193592"/>
    <w:rsid w:val="001A359C"/>
    <w:rsid w:val="001A590F"/>
    <w:rsid w:val="001B0AE7"/>
    <w:rsid w:val="001B55C5"/>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F0E4F"/>
    <w:rsid w:val="001F24C2"/>
    <w:rsid w:val="001F3C41"/>
    <w:rsid w:val="001F494C"/>
    <w:rsid w:val="001F6F39"/>
    <w:rsid w:val="001F7F09"/>
    <w:rsid w:val="00200883"/>
    <w:rsid w:val="00201673"/>
    <w:rsid w:val="00201AE6"/>
    <w:rsid w:val="00201F93"/>
    <w:rsid w:val="00205EBA"/>
    <w:rsid w:val="00212865"/>
    <w:rsid w:val="0021761F"/>
    <w:rsid w:val="0021786D"/>
    <w:rsid w:val="00220EF9"/>
    <w:rsid w:val="002226ED"/>
    <w:rsid w:val="00223807"/>
    <w:rsid w:val="00223FDA"/>
    <w:rsid w:val="00232975"/>
    <w:rsid w:val="002351E2"/>
    <w:rsid w:val="00236190"/>
    <w:rsid w:val="00236963"/>
    <w:rsid w:val="002425DD"/>
    <w:rsid w:val="00243C72"/>
    <w:rsid w:val="002456CA"/>
    <w:rsid w:val="002464B7"/>
    <w:rsid w:val="002509ED"/>
    <w:rsid w:val="00251113"/>
    <w:rsid w:val="00251B94"/>
    <w:rsid w:val="002547EA"/>
    <w:rsid w:val="002567B8"/>
    <w:rsid w:val="00260E12"/>
    <w:rsid w:val="0026606B"/>
    <w:rsid w:val="00272730"/>
    <w:rsid w:val="002736DB"/>
    <w:rsid w:val="00280160"/>
    <w:rsid w:val="002827E5"/>
    <w:rsid w:val="00282A4F"/>
    <w:rsid w:val="0028663B"/>
    <w:rsid w:val="002969E8"/>
    <w:rsid w:val="00297EAC"/>
    <w:rsid w:val="002A0764"/>
    <w:rsid w:val="002A2311"/>
    <w:rsid w:val="002A249E"/>
    <w:rsid w:val="002A2B3D"/>
    <w:rsid w:val="002A7157"/>
    <w:rsid w:val="002B0497"/>
    <w:rsid w:val="002B47EA"/>
    <w:rsid w:val="002B4926"/>
    <w:rsid w:val="002B4C3B"/>
    <w:rsid w:val="002C0FFE"/>
    <w:rsid w:val="002C1A7B"/>
    <w:rsid w:val="002C2CF3"/>
    <w:rsid w:val="002C6F2E"/>
    <w:rsid w:val="002C7F79"/>
    <w:rsid w:val="002D04C4"/>
    <w:rsid w:val="002D49F4"/>
    <w:rsid w:val="002D60E3"/>
    <w:rsid w:val="002D6255"/>
    <w:rsid w:val="002D665A"/>
    <w:rsid w:val="002E472B"/>
    <w:rsid w:val="002F124C"/>
    <w:rsid w:val="002F2E8C"/>
    <w:rsid w:val="002F7FF6"/>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5684"/>
    <w:rsid w:val="0035118E"/>
    <w:rsid w:val="0035140E"/>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92480"/>
    <w:rsid w:val="00394118"/>
    <w:rsid w:val="00395540"/>
    <w:rsid w:val="003A2595"/>
    <w:rsid w:val="003B07CD"/>
    <w:rsid w:val="003B2BCA"/>
    <w:rsid w:val="003B5B6E"/>
    <w:rsid w:val="003B7E8C"/>
    <w:rsid w:val="003C10E2"/>
    <w:rsid w:val="003C24EA"/>
    <w:rsid w:val="003C2BF1"/>
    <w:rsid w:val="003C54C2"/>
    <w:rsid w:val="003C55DE"/>
    <w:rsid w:val="003C607E"/>
    <w:rsid w:val="003C6EE3"/>
    <w:rsid w:val="003D0332"/>
    <w:rsid w:val="003D0F40"/>
    <w:rsid w:val="003D770A"/>
    <w:rsid w:val="003E2F53"/>
    <w:rsid w:val="003E31CD"/>
    <w:rsid w:val="003E5E6F"/>
    <w:rsid w:val="003F3E1F"/>
    <w:rsid w:val="003F65EB"/>
    <w:rsid w:val="003F6A6C"/>
    <w:rsid w:val="00402616"/>
    <w:rsid w:val="00402F24"/>
    <w:rsid w:val="0040381B"/>
    <w:rsid w:val="00411FF7"/>
    <w:rsid w:val="00413808"/>
    <w:rsid w:val="00414307"/>
    <w:rsid w:val="00415963"/>
    <w:rsid w:val="00433610"/>
    <w:rsid w:val="00433B53"/>
    <w:rsid w:val="00435AAC"/>
    <w:rsid w:val="00437445"/>
    <w:rsid w:val="0044436D"/>
    <w:rsid w:val="00444C96"/>
    <w:rsid w:val="00446024"/>
    <w:rsid w:val="00456079"/>
    <w:rsid w:val="004661F6"/>
    <w:rsid w:val="00471100"/>
    <w:rsid w:val="004727BF"/>
    <w:rsid w:val="00472D08"/>
    <w:rsid w:val="00473338"/>
    <w:rsid w:val="00476525"/>
    <w:rsid w:val="00477AC5"/>
    <w:rsid w:val="00477AF4"/>
    <w:rsid w:val="004821F0"/>
    <w:rsid w:val="00482574"/>
    <w:rsid w:val="0048501E"/>
    <w:rsid w:val="00486768"/>
    <w:rsid w:val="00487374"/>
    <w:rsid w:val="004901E0"/>
    <w:rsid w:val="00491CC4"/>
    <w:rsid w:val="00496959"/>
    <w:rsid w:val="00497D95"/>
    <w:rsid w:val="004A0EBD"/>
    <w:rsid w:val="004B2F31"/>
    <w:rsid w:val="004B3931"/>
    <w:rsid w:val="004B4115"/>
    <w:rsid w:val="004B46E2"/>
    <w:rsid w:val="004B6A4B"/>
    <w:rsid w:val="004C41F4"/>
    <w:rsid w:val="004C4978"/>
    <w:rsid w:val="004C74AA"/>
    <w:rsid w:val="004C7E18"/>
    <w:rsid w:val="004C7E87"/>
    <w:rsid w:val="004C7E88"/>
    <w:rsid w:val="004D1874"/>
    <w:rsid w:val="004D26FA"/>
    <w:rsid w:val="004D3785"/>
    <w:rsid w:val="004E0815"/>
    <w:rsid w:val="004E0ECF"/>
    <w:rsid w:val="004E419B"/>
    <w:rsid w:val="004E4F08"/>
    <w:rsid w:val="004E61BC"/>
    <w:rsid w:val="004E66DE"/>
    <w:rsid w:val="004E68BE"/>
    <w:rsid w:val="004E7AEC"/>
    <w:rsid w:val="004E7F2E"/>
    <w:rsid w:val="004F0EE3"/>
    <w:rsid w:val="004F1E8B"/>
    <w:rsid w:val="004F4BF8"/>
    <w:rsid w:val="005010CB"/>
    <w:rsid w:val="0050217E"/>
    <w:rsid w:val="005032C0"/>
    <w:rsid w:val="00504BB0"/>
    <w:rsid w:val="00511C8B"/>
    <w:rsid w:val="005173E0"/>
    <w:rsid w:val="0052001C"/>
    <w:rsid w:val="00523823"/>
    <w:rsid w:val="00527ED1"/>
    <w:rsid w:val="00530AE3"/>
    <w:rsid w:val="0053243A"/>
    <w:rsid w:val="00532F7A"/>
    <w:rsid w:val="00535005"/>
    <w:rsid w:val="00536223"/>
    <w:rsid w:val="0053781B"/>
    <w:rsid w:val="0054339B"/>
    <w:rsid w:val="005450C9"/>
    <w:rsid w:val="0054568A"/>
    <w:rsid w:val="0055064E"/>
    <w:rsid w:val="00552E16"/>
    <w:rsid w:val="00552FB0"/>
    <w:rsid w:val="00561438"/>
    <w:rsid w:val="00563F7B"/>
    <w:rsid w:val="00565790"/>
    <w:rsid w:val="00567296"/>
    <w:rsid w:val="0057103B"/>
    <w:rsid w:val="005728DA"/>
    <w:rsid w:val="005730D3"/>
    <w:rsid w:val="00577724"/>
    <w:rsid w:val="005804CC"/>
    <w:rsid w:val="00581AC6"/>
    <w:rsid w:val="00583CBC"/>
    <w:rsid w:val="00586559"/>
    <w:rsid w:val="00586B1C"/>
    <w:rsid w:val="00587D09"/>
    <w:rsid w:val="005A3EAB"/>
    <w:rsid w:val="005A5FED"/>
    <w:rsid w:val="005B085E"/>
    <w:rsid w:val="005B142A"/>
    <w:rsid w:val="005B2663"/>
    <w:rsid w:val="005B4DDE"/>
    <w:rsid w:val="005B6CBA"/>
    <w:rsid w:val="005B6CF9"/>
    <w:rsid w:val="005C2E29"/>
    <w:rsid w:val="005C31E9"/>
    <w:rsid w:val="005C639A"/>
    <w:rsid w:val="005C6E8F"/>
    <w:rsid w:val="005C7726"/>
    <w:rsid w:val="005D0F5B"/>
    <w:rsid w:val="005D24CB"/>
    <w:rsid w:val="005D2800"/>
    <w:rsid w:val="005D6059"/>
    <w:rsid w:val="005D73E4"/>
    <w:rsid w:val="005E0B03"/>
    <w:rsid w:val="005E1094"/>
    <w:rsid w:val="005F07CA"/>
    <w:rsid w:val="005F349B"/>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73B4C"/>
    <w:rsid w:val="007766BC"/>
    <w:rsid w:val="00780350"/>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C2177"/>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13FE6"/>
    <w:rsid w:val="00816077"/>
    <w:rsid w:val="008173E5"/>
    <w:rsid w:val="00823CBC"/>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3030"/>
    <w:rsid w:val="00876583"/>
    <w:rsid w:val="008766CE"/>
    <w:rsid w:val="00877FAD"/>
    <w:rsid w:val="0088185F"/>
    <w:rsid w:val="008827B6"/>
    <w:rsid w:val="00887DB9"/>
    <w:rsid w:val="00887E3F"/>
    <w:rsid w:val="00891689"/>
    <w:rsid w:val="00892A41"/>
    <w:rsid w:val="008934AA"/>
    <w:rsid w:val="008936A2"/>
    <w:rsid w:val="00893BFB"/>
    <w:rsid w:val="00894607"/>
    <w:rsid w:val="00896324"/>
    <w:rsid w:val="00897B02"/>
    <w:rsid w:val="008A3117"/>
    <w:rsid w:val="008A5FF2"/>
    <w:rsid w:val="008A7B05"/>
    <w:rsid w:val="008B6005"/>
    <w:rsid w:val="008C18D9"/>
    <w:rsid w:val="008D5484"/>
    <w:rsid w:val="008D5DF5"/>
    <w:rsid w:val="008D64B1"/>
    <w:rsid w:val="008D6BEE"/>
    <w:rsid w:val="008E0A38"/>
    <w:rsid w:val="008E0ED6"/>
    <w:rsid w:val="008E30E2"/>
    <w:rsid w:val="008E3BC1"/>
    <w:rsid w:val="008E4703"/>
    <w:rsid w:val="008E7790"/>
    <w:rsid w:val="008F1E1A"/>
    <w:rsid w:val="008F4CD1"/>
    <w:rsid w:val="009012F0"/>
    <w:rsid w:val="009019EA"/>
    <w:rsid w:val="009051C4"/>
    <w:rsid w:val="009075C4"/>
    <w:rsid w:val="00910500"/>
    <w:rsid w:val="00911883"/>
    <w:rsid w:val="00913839"/>
    <w:rsid w:val="00913DE3"/>
    <w:rsid w:val="00915DC4"/>
    <w:rsid w:val="00916629"/>
    <w:rsid w:val="00917F21"/>
    <w:rsid w:val="00924109"/>
    <w:rsid w:val="009309C4"/>
    <w:rsid w:val="009312BD"/>
    <w:rsid w:val="0093347B"/>
    <w:rsid w:val="00935866"/>
    <w:rsid w:val="009359C1"/>
    <w:rsid w:val="00937148"/>
    <w:rsid w:val="00940F2D"/>
    <w:rsid w:val="00941CCE"/>
    <w:rsid w:val="00941F91"/>
    <w:rsid w:val="00946088"/>
    <w:rsid w:val="009462E5"/>
    <w:rsid w:val="00947A53"/>
    <w:rsid w:val="009522D7"/>
    <w:rsid w:val="00953169"/>
    <w:rsid w:val="009539B6"/>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909E9"/>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6B8D"/>
    <w:rsid w:val="009F72C8"/>
    <w:rsid w:val="009F76D9"/>
    <w:rsid w:val="00A004FB"/>
    <w:rsid w:val="00A00E25"/>
    <w:rsid w:val="00A15C84"/>
    <w:rsid w:val="00A160F2"/>
    <w:rsid w:val="00A209B6"/>
    <w:rsid w:val="00A20CA6"/>
    <w:rsid w:val="00A22539"/>
    <w:rsid w:val="00A24833"/>
    <w:rsid w:val="00A257D2"/>
    <w:rsid w:val="00A279D1"/>
    <w:rsid w:val="00A31A58"/>
    <w:rsid w:val="00A3297F"/>
    <w:rsid w:val="00A41BDE"/>
    <w:rsid w:val="00A4280C"/>
    <w:rsid w:val="00A43083"/>
    <w:rsid w:val="00A43A53"/>
    <w:rsid w:val="00A47914"/>
    <w:rsid w:val="00A47C22"/>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3A38"/>
    <w:rsid w:val="00A84EC2"/>
    <w:rsid w:val="00A8758B"/>
    <w:rsid w:val="00A87C18"/>
    <w:rsid w:val="00A92A89"/>
    <w:rsid w:val="00A94009"/>
    <w:rsid w:val="00A94135"/>
    <w:rsid w:val="00A95E0D"/>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72DF"/>
    <w:rsid w:val="00B13DDE"/>
    <w:rsid w:val="00B15ECC"/>
    <w:rsid w:val="00B168B8"/>
    <w:rsid w:val="00B232FD"/>
    <w:rsid w:val="00B2482D"/>
    <w:rsid w:val="00B363F7"/>
    <w:rsid w:val="00B367CE"/>
    <w:rsid w:val="00B36968"/>
    <w:rsid w:val="00B37F7F"/>
    <w:rsid w:val="00B40AF7"/>
    <w:rsid w:val="00B428BC"/>
    <w:rsid w:val="00B42EA8"/>
    <w:rsid w:val="00B45B95"/>
    <w:rsid w:val="00B471A6"/>
    <w:rsid w:val="00B518E0"/>
    <w:rsid w:val="00B56CF4"/>
    <w:rsid w:val="00B62026"/>
    <w:rsid w:val="00B66864"/>
    <w:rsid w:val="00B720F5"/>
    <w:rsid w:val="00B751E0"/>
    <w:rsid w:val="00B77F44"/>
    <w:rsid w:val="00B850BF"/>
    <w:rsid w:val="00B85A80"/>
    <w:rsid w:val="00B87F82"/>
    <w:rsid w:val="00B90B17"/>
    <w:rsid w:val="00B92840"/>
    <w:rsid w:val="00B92EC3"/>
    <w:rsid w:val="00BA0646"/>
    <w:rsid w:val="00BA09A4"/>
    <w:rsid w:val="00BA2914"/>
    <w:rsid w:val="00BA3615"/>
    <w:rsid w:val="00BA47F8"/>
    <w:rsid w:val="00BA50FA"/>
    <w:rsid w:val="00BA5481"/>
    <w:rsid w:val="00BA6611"/>
    <w:rsid w:val="00BC10D9"/>
    <w:rsid w:val="00BC14B6"/>
    <w:rsid w:val="00BC1ADD"/>
    <w:rsid w:val="00BC7E8F"/>
    <w:rsid w:val="00BD0282"/>
    <w:rsid w:val="00BD054B"/>
    <w:rsid w:val="00BD3839"/>
    <w:rsid w:val="00BD66D9"/>
    <w:rsid w:val="00BD6CC4"/>
    <w:rsid w:val="00BD72D9"/>
    <w:rsid w:val="00BD7E95"/>
    <w:rsid w:val="00BE04DE"/>
    <w:rsid w:val="00BE0592"/>
    <w:rsid w:val="00BE2129"/>
    <w:rsid w:val="00BE6BC6"/>
    <w:rsid w:val="00BF0576"/>
    <w:rsid w:val="00BF38E9"/>
    <w:rsid w:val="00BF3A90"/>
    <w:rsid w:val="00BF3C7E"/>
    <w:rsid w:val="00BF40D9"/>
    <w:rsid w:val="00BF47D2"/>
    <w:rsid w:val="00BF6EA9"/>
    <w:rsid w:val="00BF6F76"/>
    <w:rsid w:val="00C000DE"/>
    <w:rsid w:val="00C004A0"/>
    <w:rsid w:val="00C02A15"/>
    <w:rsid w:val="00C046C2"/>
    <w:rsid w:val="00C05431"/>
    <w:rsid w:val="00C10F8E"/>
    <w:rsid w:val="00C11D7D"/>
    <w:rsid w:val="00C149A8"/>
    <w:rsid w:val="00C15809"/>
    <w:rsid w:val="00C15A1E"/>
    <w:rsid w:val="00C25DD3"/>
    <w:rsid w:val="00C265F2"/>
    <w:rsid w:val="00C26F08"/>
    <w:rsid w:val="00C32BE5"/>
    <w:rsid w:val="00C34B5B"/>
    <w:rsid w:val="00C36A73"/>
    <w:rsid w:val="00C4042B"/>
    <w:rsid w:val="00C41DCF"/>
    <w:rsid w:val="00C438F4"/>
    <w:rsid w:val="00C44A3F"/>
    <w:rsid w:val="00C457F9"/>
    <w:rsid w:val="00C552B0"/>
    <w:rsid w:val="00C57F53"/>
    <w:rsid w:val="00C600C4"/>
    <w:rsid w:val="00C61079"/>
    <w:rsid w:val="00C62031"/>
    <w:rsid w:val="00C62C20"/>
    <w:rsid w:val="00C630D5"/>
    <w:rsid w:val="00C71012"/>
    <w:rsid w:val="00C72211"/>
    <w:rsid w:val="00C72EE2"/>
    <w:rsid w:val="00C74807"/>
    <w:rsid w:val="00C77B5B"/>
    <w:rsid w:val="00C8080E"/>
    <w:rsid w:val="00C81C8F"/>
    <w:rsid w:val="00C85AD8"/>
    <w:rsid w:val="00C8756C"/>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65C1"/>
    <w:rsid w:val="00CB7C30"/>
    <w:rsid w:val="00CC6241"/>
    <w:rsid w:val="00CD084A"/>
    <w:rsid w:val="00CD10CD"/>
    <w:rsid w:val="00CD110C"/>
    <w:rsid w:val="00CD1DFB"/>
    <w:rsid w:val="00CD35B2"/>
    <w:rsid w:val="00CD4E89"/>
    <w:rsid w:val="00CD7038"/>
    <w:rsid w:val="00CD708C"/>
    <w:rsid w:val="00CD717E"/>
    <w:rsid w:val="00CD7C80"/>
    <w:rsid w:val="00CE2222"/>
    <w:rsid w:val="00CE5203"/>
    <w:rsid w:val="00CF074C"/>
    <w:rsid w:val="00CF1EB0"/>
    <w:rsid w:val="00CF2B18"/>
    <w:rsid w:val="00CF2CD5"/>
    <w:rsid w:val="00CF474D"/>
    <w:rsid w:val="00CF5846"/>
    <w:rsid w:val="00CF5C6F"/>
    <w:rsid w:val="00D0018F"/>
    <w:rsid w:val="00D01AE1"/>
    <w:rsid w:val="00D02D7E"/>
    <w:rsid w:val="00D06996"/>
    <w:rsid w:val="00D10DDA"/>
    <w:rsid w:val="00D15DD1"/>
    <w:rsid w:val="00D173E4"/>
    <w:rsid w:val="00D2139C"/>
    <w:rsid w:val="00D219E4"/>
    <w:rsid w:val="00D25FF8"/>
    <w:rsid w:val="00D34964"/>
    <w:rsid w:val="00D35460"/>
    <w:rsid w:val="00D35F7A"/>
    <w:rsid w:val="00D370E7"/>
    <w:rsid w:val="00D40834"/>
    <w:rsid w:val="00D4381B"/>
    <w:rsid w:val="00D5006E"/>
    <w:rsid w:val="00D52401"/>
    <w:rsid w:val="00D5334F"/>
    <w:rsid w:val="00D60243"/>
    <w:rsid w:val="00D6615E"/>
    <w:rsid w:val="00D66C60"/>
    <w:rsid w:val="00D67053"/>
    <w:rsid w:val="00D7147C"/>
    <w:rsid w:val="00D720C6"/>
    <w:rsid w:val="00D72F36"/>
    <w:rsid w:val="00D75B26"/>
    <w:rsid w:val="00D76000"/>
    <w:rsid w:val="00D77DF3"/>
    <w:rsid w:val="00D8349C"/>
    <w:rsid w:val="00D86695"/>
    <w:rsid w:val="00D87EEA"/>
    <w:rsid w:val="00D95EE4"/>
    <w:rsid w:val="00D9647D"/>
    <w:rsid w:val="00D97A00"/>
    <w:rsid w:val="00DA075F"/>
    <w:rsid w:val="00DA5DA6"/>
    <w:rsid w:val="00DA774D"/>
    <w:rsid w:val="00DB62C8"/>
    <w:rsid w:val="00DB710C"/>
    <w:rsid w:val="00DB776A"/>
    <w:rsid w:val="00DC038D"/>
    <w:rsid w:val="00DC2829"/>
    <w:rsid w:val="00DC4033"/>
    <w:rsid w:val="00DD14F9"/>
    <w:rsid w:val="00DD6DB7"/>
    <w:rsid w:val="00DE03F4"/>
    <w:rsid w:val="00DE1E60"/>
    <w:rsid w:val="00DF1509"/>
    <w:rsid w:val="00DF19CF"/>
    <w:rsid w:val="00DF3655"/>
    <w:rsid w:val="00DF575B"/>
    <w:rsid w:val="00DF5989"/>
    <w:rsid w:val="00E00B79"/>
    <w:rsid w:val="00E01726"/>
    <w:rsid w:val="00E0337B"/>
    <w:rsid w:val="00E04195"/>
    <w:rsid w:val="00E0472E"/>
    <w:rsid w:val="00E04CC6"/>
    <w:rsid w:val="00E074E6"/>
    <w:rsid w:val="00E106B2"/>
    <w:rsid w:val="00E12EE5"/>
    <w:rsid w:val="00E1392C"/>
    <w:rsid w:val="00E15D8D"/>
    <w:rsid w:val="00E23AC3"/>
    <w:rsid w:val="00E25189"/>
    <w:rsid w:val="00E2706B"/>
    <w:rsid w:val="00E3765F"/>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2131"/>
    <w:rsid w:val="00E72256"/>
    <w:rsid w:val="00E73021"/>
    <w:rsid w:val="00E76963"/>
    <w:rsid w:val="00E818F5"/>
    <w:rsid w:val="00E85344"/>
    <w:rsid w:val="00E85666"/>
    <w:rsid w:val="00E9437D"/>
    <w:rsid w:val="00E9500A"/>
    <w:rsid w:val="00E96323"/>
    <w:rsid w:val="00EA0F3C"/>
    <w:rsid w:val="00EA5DC9"/>
    <w:rsid w:val="00EA7141"/>
    <w:rsid w:val="00EC0149"/>
    <w:rsid w:val="00EC089C"/>
    <w:rsid w:val="00EC0F64"/>
    <w:rsid w:val="00ED2614"/>
    <w:rsid w:val="00ED2EEC"/>
    <w:rsid w:val="00EE06A3"/>
    <w:rsid w:val="00EE2B0E"/>
    <w:rsid w:val="00EF13BD"/>
    <w:rsid w:val="00EF13CC"/>
    <w:rsid w:val="00EF25CC"/>
    <w:rsid w:val="00EF44CF"/>
    <w:rsid w:val="00F033EE"/>
    <w:rsid w:val="00F05B00"/>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40689"/>
    <w:rsid w:val="00F42378"/>
    <w:rsid w:val="00F42E80"/>
    <w:rsid w:val="00F4535D"/>
    <w:rsid w:val="00F453EF"/>
    <w:rsid w:val="00F45FE6"/>
    <w:rsid w:val="00F50BF9"/>
    <w:rsid w:val="00F527DA"/>
    <w:rsid w:val="00F54AD0"/>
    <w:rsid w:val="00F55866"/>
    <w:rsid w:val="00F56A2D"/>
    <w:rsid w:val="00F61054"/>
    <w:rsid w:val="00F6285F"/>
    <w:rsid w:val="00F71DB0"/>
    <w:rsid w:val="00F724B2"/>
    <w:rsid w:val="00F77799"/>
    <w:rsid w:val="00F81DF1"/>
    <w:rsid w:val="00F826CF"/>
    <w:rsid w:val="00F87EC2"/>
    <w:rsid w:val="00FA4EFC"/>
    <w:rsid w:val="00FB0093"/>
    <w:rsid w:val="00FB4686"/>
    <w:rsid w:val="00FB67A5"/>
    <w:rsid w:val="00FC1094"/>
    <w:rsid w:val="00FC256E"/>
    <w:rsid w:val="00FC68B3"/>
    <w:rsid w:val="00FD1194"/>
    <w:rsid w:val="00FD1E30"/>
    <w:rsid w:val="00FD6363"/>
    <w:rsid w:val="00FD6AAF"/>
    <w:rsid w:val="00FD6F71"/>
    <w:rsid w:val="00FE124E"/>
    <w:rsid w:val="00FE3F75"/>
    <w:rsid w:val="00FE4B4C"/>
    <w:rsid w:val="00FE5BE5"/>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1240</Words>
  <Characters>6905</Characters>
  <Application>Microsoft Office Word</Application>
  <DocSecurity>0</DocSecurity>
  <Lines>150</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周悦</cp:lastModifiedBy>
  <cp:revision>42</cp:revision>
  <dcterms:created xsi:type="dcterms:W3CDTF">2023-10-30T11:42:00Z</dcterms:created>
  <dcterms:modified xsi:type="dcterms:W3CDTF">2023-11-01T06:38:00Z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