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7E312" w14:textId="71CBAB04" w:rsidR="003A2C99" w:rsidRPr="001A3D5B" w:rsidRDefault="003A2C99" w:rsidP="003A2C99">
      <w:pPr>
        <w:tabs>
          <w:tab w:val="left" w:pos="4590"/>
          <w:tab w:val="right" w:pos="10000"/>
        </w:tabs>
        <w:jc w:val="both"/>
        <w:rPr>
          <w:rFonts w:ascii="Arial" w:hAnsi="Arial" w:cs="Arial"/>
          <w:b/>
        </w:rPr>
      </w:pPr>
      <w:r w:rsidRPr="001A3D5B">
        <w:rPr>
          <w:rFonts w:ascii="Arial" w:hAnsi="Arial" w:cs="Arial"/>
          <w:b/>
          <w:lang w:val="de-DE"/>
        </w:rPr>
        <w:t xml:space="preserve">3GPP TSG RAN WG1 </w:t>
      </w:r>
      <w:r w:rsidRPr="001A3D5B">
        <w:rPr>
          <w:rFonts w:ascii="Arial" w:hAnsi="Arial" w:cs="Arial"/>
          <w:b/>
          <w:bCs/>
          <w:lang w:val="de-DE"/>
        </w:rPr>
        <w:t>#</w:t>
      </w:r>
      <w:r>
        <w:rPr>
          <w:rFonts w:ascii="Arial" w:hAnsi="Arial" w:cs="Arial"/>
          <w:b/>
          <w:bCs/>
          <w:lang w:val="de-DE"/>
        </w:rPr>
        <w:t>11</w:t>
      </w:r>
      <w:r w:rsidR="00EB38B6">
        <w:rPr>
          <w:rFonts w:ascii="Arial" w:hAnsi="Arial" w:cs="Arial"/>
          <w:b/>
          <w:bCs/>
          <w:lang w:val="de-DE"/>
        </w:rPr>
        <w:t>4</w:t>
      </w:r>
      <w:r w:rsidRPr="001A3D5B">
        <w:rPr>
          <w:rFonts w:ascii="Arial" w:hAnsi="Arial" w:cs="Arial"/>
          <w:b/>
          <w:lang w:val="de-DE"/>
        </w:rPr>
        <w:tab/>
      </w:r>
      <w:r w:rsidRPr="001A3D5B">
        <w:rPr>
          <w:rFonts w:ascii="Arial" w:hAnsi="Arial" w:cs="Arial"/>
          <w:b/>
          <w:lang w:val="de-DE"/>
        </w:rPr>
        <w:tab/>
      </w:r>
      <w:r w:rsidR="00F81C24" w:rsidRPr="00F81C24">
        <w:rPr>
          <w:rFonts w:ascii="Arial" w:hAnsi="Arial" w:cs="Arial"/>
          <w:b/>
          <w:color w:val="000000" w:themeColor="text1"/>
          <w:lang w:val="de-DE"/>
        </w:rPr>
        <w:t>R1-2307261</w:t>
      </w:r>
    </w:p>
    <w:p w14:paraId="0972455C" w14:textId="2DF6577F" w:rsidR="00ED780E" w:rsidRDefault="00EB38B6" w:rsidP="00ED780E">
      <w:pPr>
        <w:tabs>
          <w:tab w:val="left" w:pos="1985"/>
        </w:tabs>
        <w:jc w:val="both"/>
        <w:rPr>
          <w:rFonts w:ascii="Arial" w:hAnsi="Arial" w:cs="Arial"/>
          <w:b/>
          <w:lang w:val="de-DE"/>
        </w:rPr>
      </w:pPr>
      <w:r w:rsidRPr="00EB38B6">
        <w:rPr>
          <w:rFonts w:ascii="Arial" w:hAnsi="Arial" w:cs="Arial"/>
          <w:b/>
          <w:lang w:val="de-DE"/>
        </w:rPr>
        <w:t>Toulouse, France, August 21</w:t>
      </w:r>
      <w:r w:rsidRPr="00F81C24">
        <w:rPr>
          <w:rFonts w:ascii="Arial" w:hAnsi="Arial" w:cs="Arial"/>
          <w:b/>
          <w:vertAlign w:val="superscript"/>
          <w:lang w:val="de-DE"/>
        </w:rPr>
        <w:t>st</w:t>
      </w:r>
      <w:r w:rsidRPr="00EB38B6">
        <w:rPr>
          <w:rFonts w:ascii="Arial" w:hAnsi="Arial" w:cs="Arial"/>
          <w:b/>
          <w:lang w:val="de-DE"/>
        </w:rPr>
        <w:t xml:space="preserve"> – August 25</w:t>
      </w:r>
      <w:r w:rsidRPr="00F81C24">
        <w:rPr>
          <w:rFonts w:ascii="Arial" w:hAnsi="Arial" w:cs="Arial"/>
          <w:b/>
          <w:vertAlign w:val="superscript"/>
          <w:lang w:val="de-DE"/>
        </w:rPr>
        <w:t>th</w:t>
      </w:r>
      <w:r w:rsidRPr="00EB38B6">
        <w:rPr>
          <w:rFonts w:ascii="Arial" w:hAnsi="Arial" w:cs="Arial"/>
          <w:b/>
          <w:lang w:val="de-DE"/>
        </w:rPr>
        <w:t>, 2023</w:t>
      </w:r>
    </w:p>
    <w:p w14:paraId="5F6E8522" w14:textId="77777777" w:rsidR="00EB38B6" w:rsidRDefault="00EB38B6" w:rsidP="00ED780E">
      <w:pPr>
        <w:tabs>
          <w:tab w:val="left" w:pos="1985"/>
        </w:tabs>
        <w:jc w:val="both"/>
        <w:rPr>
          <w:rFonts w:ascii="Arial" w:hAnsi="Arial" w:cs="Arial"/>
          <w:b/>
          <w:lang w:val="de-DE"/>
        </w:rPr>
      </w:pPr>
    </w:p>
    <w:p w14:paraId="4E210BBB" w14:textId="52268674" w:rsidR="00B975F2" w:rsidRPr="00404C4B" w:rsidRDefault="00B975F2" w:rsidP="00B975F2">
      <w:pPr>
        <w:tabs>
          <w:tab w:val="left" w:pos="1985"/>
        </w:tabs>
        <w:jc w:val="both"/>
        <w:rPr>
          <w:rFonts w:ascii="Arial" w:hAnsi="Arial" w:cs="Arial"/>
        </w:rPr>
      </w:pPr>
      <w:r w:rsidRPr="00404C4B">
        <w:rPr>
          <w:rFonts w:ascii="Arial" w:hAnsi="Arial" w:cs="Arial"/>
          <w:b/>
        </w:rPr>
        <w:t xml:space="preserve">Source: </w:t>
      </w:r>
      <w:r w:rsidRPr="00404C4B">
        <w:rPr>
          <w:rFonts w:ascii="Arial" w:hAnsi="Arial" w:cs="Arial"/>
          <w:b/>
        </w:rPr>
        <w:tab/>
      </w:r>
      <w:r w:rsidR="00284187" w:rsidRPr="00404C4B">
        <w:rPr>
          <w:rFonts w:ascii="Arial" w:hAnsi="Arial" w:cs="Arial"/>
          <w:b/>
        </w:rPr>
        <w:t>Apple Inc.</w:t>
      </w:r>
    </w:p>
    <w:p w14:paraId="71701AB9" w14:textId="49737733" w:rsidR="000017D8" w:rsidRDefault="00B975F2" w:rsidP="00B975F2">
      <w:pPr>
        <w:ind w:left="2014" w:hangingChars="823" w:hanging="2014"/>
        <w:jc w:val="both"/>
        <w:rPr>
          <w:rFonts w:ascii="Arial" w:hAnsi="Arial" w:cs="Arial"/>
          <w:b/>
        </w:rPr>
      </w:pPr>
      <w:r w:rsidRPr="00404C4B">
        <w:rPr>
          <w:rFonts w:ascii="Arial" w:hAnsi="Arial" w:cs="Arial"/>
          <w:b/>
        </w:rPr>
        <w:t xml:space="preserve">Title:                  </w:t>
      </w:r>
      <w:r w:rsidR="000017D8">
        <w:rPr>
          <w:rFonts w:ascii="Arial" w:hAnsi="Arial" w:cs="Arial"/>
          <w:b/>
        </w:rPr>
        <w:t xml:space="preserve">   </w:t>
      </w:r>
      <w:r w:rsidR="00EB38B6" w:rsidRPr="00EB38B6">
        <w:rPr>
          <w:rFonts w:ascii="Arial" w:hAnsi="Arial" w:cs="Arial"/>
          <w:b/>
        </w:rPr>
        <w:t>Two TAs for multi-DCI Uplink Transmissions</w:t>
      </w:r>
    </w:p>
    <w:p w14:paraId="7B288F5E" w14:textId="4610F958" w:rsidR="00B975F2" w:rsidRPr="00404C4B" w:rsidRDefault="00B975F2" w:rsidP="00B975F2">
      <w:pPr>
        <w:ind w:left="2014" w:hangingChars="823" w:hanging="2014"/>
        <w:jc w:val="both"/>
        <w:rPr>
          <w:rFonts w:ascii="Arial" w:hAnsi="Arial" w:cs="Arial"/>
        </w:rPr>
      </w:pPr>
      <w:r w:rsidRPr="00404C4B">
        <w:rPr>
          <w:rFonts w:ascii="Arial" w:hAnsi="Arial" w:cs="Arial"/>
          <w:b/>
        </w:rPr>
        <w:t>Agenda item:</w:t>
      </w:r>
      <w:r w:rsidRPr="00404C4B">
        <w:rPr>
          <w:rFonts w:ascii="Arial" w:hAnsi="Arial" w:cs="Arial"/>
          <w:b/>
        </w:rPr>
        <w:tab/>
      </w:r>
      <w:bookmarkStart w:id="0" w:name="Source"/>
      <w:bookmarkEnd w:id="0"/>
      <w:r w:rsidR="00CD5559">
        <w:rPr>
          <w:rFonts w:ascii="Arial" w:hAnsi="Arial" w:cs="Arial"/>
          <w:b/>
        </w:rPr>
        <w:t>9.</w:t>
      </w:r>
      <w:r w:rsidR="00E9699B">
        <w:rPr>
          <w:rFonts w:ascii="Arial" w:hAnsi="Arial" w:cs="Arial"/>
          <w:b/>
        </w:rPr>
        <w:t>1.1.2</w:t>
      </w:r>
    </w:p>
    <w:p w14:paraId="5E110048" w14:textId="77777777" w:rsidR="00B975F2" w:rsidRPr="00404C4B" w:rsidRDefault="00B975F2" w:rsidP="00B975F2">
      <w:pPr>
        <w:ind w:left="1988" w:hanging="1988"/>
        <w:jc w:val="both"/>
        <w:rPr>
          <w:rFonts w:ascii="Arial" w:hAnsi="Arial" w:cs="Arial"/>
        </w:rPr>
      </w:pPr>
      <w:r w:rsidRPr="00404C4B">
        <w:rPr>
          <w:rFonts w:ascii="Arial" w:hAnsi="Arial" w:cs="Arial"/>
          <w:b/>
        </w:rPr>
        <w:t>Document for:</w:t>
      </w:r>
      <w:r w:rsidRPr="00404C4B">
        <w:rPr>
          <w:rFonts w:ascii="Arial" w:hAnsi="Arial" w:cs="Arial"/>
        </w:rPr>
        <w:tab/>
      </w:r>
      <w:bookmarkStart w:id="1" w:name="DocumentFor"/>
      <w:bookmarkEnd w:id="1"/>
      <w:r w:rsidRPr="00404C4B">
        <w:rPr>
          <w:rFonts w:ascii="Arial" w:hAnsi="Arial" w:cs="Arial"/>
          <w:b/>
        </w:rPr>
        <w:t>Discussion and Decision</w:t>
      </w:r>
    </w:p>
    <w:p w14:paraId="59D4521B" w14:textId="2A5B8C43" w:rsidR="0081172B" w:rsidRDefault="00B975F2" w:rsidP="00BD516A">
      <w:pPr>
        <w:pStyle w:val="Heading1"/>
        <w:ind w:left="1140" w:hanging="1140"/>
        <w:jc w:val="both"/>
        <w:rPr>
          <w:rFonts w:cs="Arial"/>
          <w:lang w:val="en-US"/>
        </w:rPr>
      </w:pPr>
      <w:r w:rsidRPr="00404C4B">
        <w:rPr>
          <w:rFonts w:cs="Arial"/>
          <w:lang w:val="en-US"/>
        </w:rPr>
        <w:t>1 Introduction</w:t>
      </w:r>
    </w:p>
    <w:p w14:paraId="4F8624E9" w14:textId="314E2A67" w:rsidR="00D145E6" w:rsidRDefault="00E9699B" w:rsidP="006A7A09">
      <w:pPr>
        <w:jc w:val="both"/>
        <w:rPr>
          <w:rFonts w:ascii="Arial" w:hAnsi="Arial" w:cs="Arial"/>
          <w:sz w:val="20"/>
          <w:szCs w:val="20"/>
        </w:rPr>
      </w:pPr>
      <w:r w:rsidRPr="00792A33">
        <w:rPr>
          <w:rFonts w:ascii="Arial" w:hAnsi="Arial" w:cs="Arial"/>
          <w:sz w:val="20"/>
          <w:szCs w:val="20"/>
        </w:rPr>
        <w:t xml:space="preserve">In this contribution, we discuss the open issues related to supporting two timing advance (TA) values for UL multi-DCI for multi-TRP operation.   </w:t>
      </w:r>
    </w:p>
    <w:p w14:paraId="064AC5A7" w14:textId="77777777" w:rsidR="00EB38B6" w:rsidRPr="00792A33" w:rsidRDefault="00EB38B6" w:rsidP="006A7A09">
      <w:pPr>
        <w:jc w:val="both"/>
        <w:rPr>
          <w:rFonts w:ascii="Arial" w:hAnsi="Arial" w:cs="Arial"/>
          <w:sz w:val="20"/>
          <w:szCs w:val="20"/>
        </w:rPr>
      </w:pPr>
    </w:p>
    <w:p w14:paraId="0ACA9283" w14:textId="257DB3DB" w:rsidR="00EB38B6" w:rsidRDefault="00EB38B6" w:rsidP="00EB38B6">
      <w:pPr>
        <w:pStyle w:val="Heading1"/>
        <w:ind w:left="1140" w:hanging="1140"/>
        <w:jc w:val="both"/>
        <w:rPr>
          <w:rFonts w:cs="Arial"/>
          <w:lang w:val="en-US"/>
        </w:rPr>
      </w:pPr>
      <w:r>
        <w:rPr>
          <w:rFonts w:cs="Arial"/>
          <w:lang w:val="en-US"/>
        </w:rPr>
        <w:t>2</w:t>
      </w:r>
      <w:r w:rsidRPr="00D145E6">
        <w:rPr>
          <w:rFonts w:cs="Arial"/>
          <w:lang w:val="en-US"/>
        </w:rPr>
        <w:t>.</w:t>
      </w:r>
      <w:r w:rsidRPr="00507777">
        <w:rPr>
          <w:rFonts w:cs="Arial"/>
          <w:lang w:val="en-US"/>
        </w:rPr>
        <w:t xml:space="preserve"> </w:t>
      </w:r>
      <w:r>
        <w:rPr>
          <w:rFonts w:cs="Arial"/>
          <w:lang w:val="en-US"/>
        </w:rPr>
        <w:t xml:space="preserve"> Intra-Cell mDCI-based mTRP </w:t>
      </w:r>
    </w:p>
    <w:p w14:paraId="186367FC" w14:textId="7ED4FEAB" w:rsidR="00EB38B6" w:rsidRPr="00D24407" w:rsidRDefault="00EB38B6" w:rsidP="00EB38B6">
      <w:pPr>
        <w:spacing w:after="120"/>
        <w:jc w:val="both"/>
        <w:rPr>
          <w:rFonts w:ascii="Arial" w:hAnsi="Arial" w:cs="Arial"/>
          <w:sz w:val="20"/>
          <w:szCs w:val="20"/>
          <w:lang w:eastAsia="ja-JP"/>
        </w:rPr>
      </w:pPr>
      <w:r w:rsidRPr="00D24407">
        <w:rPr>
          <w:rFonts w:ascii="Arial" w:hAnsi="Arial" w:cs="Arial"/>
          <w:sz w:val="20"/>
          <w:szCs w:val="20"/>
          <w:lang w:eastAsia="ja-JP"/>
        </w:rPr>
        <w:t>In RAN1 11</w:t>
      </w:r>
      <w:r>
        <w:rPr>
          <w:rFonts w:ascii="Arial" w:hAnsi="Arial" w:cs="Arial"/>
          <w:sz w:val="20"/>
          <w:szCs w:val="20"/>
          <w:lang w:eastAsia="ja-JP"/>
        </w:rPr>
        <w:t>2bis-e meeting</w:t>
      </w:r>
      <w:r w:rsidRPr="00D24407">
        <w:rPr>
          <w:rFonts w:ascii="Arial" w:hAnsi="Arial" w:cs="Arial"/>
          <w:sz w:val="20"/>
          <w:szCs w:val="20"/>
          <w:lang w:eastAsia="ja-JP"/>
        </w:rPr>
        <w:t>, how to identify the TA/TAG for intra-cell multi-DCI case was</w:t>
      </w:r>
      <w:r>
        <w:rPr>
          <w:rFonts w:ascii="Arial" w:hAnsi="Arial" w:cs="Arial"/>
          <w:sz w:val="20"/>
          <w:szCs w:val="20"/>
          <w:lang w:eastAsia="ja-JP"/>
        </w:rPr>
        <w:t xml:space="preserve"> further</w:t>
      </w:r>
      <w:r w:rsidRPr="00D24407">
        <w:rPr>
          <w:rFonts w:ascii="Arial" w:hAnsi="Arial" w:cs="Arial"/>
          <w:sz w:val="20"/>
          <w:szCs w:val="20"/>
          <w:lang w:eastAsia="ja-JP"/>
        </w:rPr>
        <w:t xml:space="preserve"> discussed and </w:t>
      </w:r>
      <w:r>
        <w:rPr>
          <w:rFonts w:ascii="Arial" w:hAnsi="Arial" w:cs="Arial"/>
          <w:sz w:val="20"/>
          <w:szCs w:val="20"/>
          <w:lang w:eastAsia="ja-JP"/>
        </w:rPr>
        <w:t>the following was agreed for down-selection [</w:t>
      </w:r>
      <w:r w:rsidR="00240BE4">
        <w:rPr>
          <w:rFonts w:ascii="Arial" w:hAnsi="Arial" w:cs="Arial"/>
          <w:sz w:val="20"/>
          <w:szCs w:val="20"/>
          <w:lang w:eastAsia="ja-JP"/>
        </w:rPr>
        <w:t>1</w:t>
      </w:r>
      <w:r>
        <w:rPr>
          <w:rFonts w:ascii="Arial" w:hAnsi="Arial" w:cs="Arial"/>
          <w:sz w:val="20"/>
          <w:szCs w:val="20"/>
          <w:lang w:eastAsia="ja-JP"/>
        </w:rPr>
        <w:t>]</w:t>
      </w:r>
      <w:r w:rsidRPr="00D24407">
        <w:rPr>
          <w:rFonts w:ascii="Arial" w:hAnsi="Arial" w:cs="Arial"/>
          <w:sz w:val="20"/>
          <w:szCs w:val="20"/>
          <w:lang w:eastAsia="ja-JP"/>
        </w:rPr>
        <w:t xml:space="preserve">: </w:t>
      </w:r>
    </w:p>
    <w:tbl>
      <w:tblPr>
        <w:tblStyle w:val="TableGrid"/>
        <w:tblW w:w="0" w:type="auto"/>
        <w:tblLook w:val="04A0" w:firstRow="1" w:lastRow="0" w:firstColumn="1" w:lastColumn="0" w:noHBand="0" w:noVBand="1"/>
      </w:tblPr>
      <w:tblGrid>
        <w:gridCol w:w="9962"/>
      </w:tblGrid>
      <w:tr w:rsidR="00EB38B6" w:rsidRPr="00D24407" w14:paraId="713F7349" w14:textId="77777777" w:rsidTr="00336CE3">
        <w:tc>
          <w:tcPr>
            <w:tcW w:w="9962" w:type="dxa"/>
          </w:tcPr>
          <w:p w14:paraId="3898F175" w14:textId="77777777" w:rsidR="00EB38B6" w:rsidRPr="00D24407" w:rsidRDefault="00EB38B6" w:rsidP="00336CE3">
            <w:pPr>
              <w:rPr>
                <w:rFonts w:ascii="Arial" w:hAnsi="Arial" w:cs="Arial"/>
                <w:b/>
                <w:sz w:val="20"/>
                <w:szCs w:val="20"/>
                <w:highlight w:val="green"/>
                <w:lang w:eastAsia="x-none"/>
              </w:rPr>
            </w:pPr>
            <w:r w:rsidRPr="00D24407">
              <w:rPr>
                <w:rFonts w:ascii="Arial" w:hAnsi="Arial" w:cs="Arial"/>
                <w:b/>
                <w:sz w:val="20"/>
                <w:szCs w:val="20"/>
                <w:highlight w:val="green"/>
                <w:lang w:eastAsia="x-none"/>
              </w:rPr>
              <w:t>Agreement</w:t>
            </w:r>
          </w:p>
          <w:p w14:paraId="5E73F735" w14:textId="77777777" w:rsidR="00EB38B6" w:rsidRPr="00D24407" w:rsidRDefault="00EB38B6" w:rsidP="00336CE3">
            <w:pPr>
              <w:jc w:val="both"/>
              <w:rPr>
                <w:rFonts w:ascii="Arial" w:hAnsi="Arial" w:cs="Arial"/>
                <w:i/>
                <w:iCs/>
                <w:sz w:val="20"/>
                <w:szCs w:val="20"/>
                <w:lang w:val="en-CA"/>
              </w:rPr>
            </w:pPr>
            <w:r w:rsidRPr="00D24407">
              <w:rPr>
                <w:rStyle w:val="Emphasis"/>
                <w:rFonts w:ascii="Arial" w:hAnsi="Arial" w:cs="Arial"/>
                <w:i w:val="0"/>
                <w:sz w:val="20"/>
                <w:szCs w:val="20"/>
                <w:lang w:val="en-CA"/>
              </w:rPr>
              <w:t>For intra-cell multi-DCI based Multi-TRP operation with two TA enhancement, down-select one of the following alternatives:</w:t>
            </w:r>
          </w:p>
          <w:p w14:paraId="21DFA710" w14:textId="77777777" w:rsidR="00EB38B6" w:rsidRPr="00D24407" w:rsidRDefault="00EB38B6" w:rsidP="00336CE3">
            <w:pPr>
              <w:numPr>
                <w:ilvl w:val="0"/>
                <w:numId w:val="36"/>
              </w:numPr>
              <w:tabs>
                <w:tab w:val="left" w:pos="720"/>
              </w:tabs>
              <w:rPr>
                <w:rStyle w:val="Emphasis"/>
                <w:rFonts w:ascii="Arial" w:hAnsi="Arial" w:cs="Arial"/>
                <w:i w:val="0"/>
                <w:sz w:val="20"/>
                <w:szCs w:val="20"/>
              </w:rPr>
            </w:pPr>
            <w:r w:rsidRPr="00D24407">
              <w:rPr>
                <w:rStyle w:val="Emphasis"/>
                <w:rFonts w:ascii="Arial" w:hAnsi="Arial" w:cs="Arial"/>
                <w:i w:val="0"/>
                <w:sz w:val="20"/>
                <w:szCs w:val="20"/>
                <w:lang w:val="en-CA"/>
              </w:rPr>
              <w:t>Alt 1: indicate TAG ID as part of TA command in RAR</w:t>
            </w:r>
          </w:p>
          <w:p w14:paraId="1C18DF7D" w14:textId="77777777" w:rsidR="00EB38B6" w:rsidRPr="00D24407" w:rsidRDefault="00EB38B6" w:rsidP="00336CE3">
            <w:pPr>
              <w:numPr>
                <w:ilvl w:val="0"/>
                <w:numId w:val="36"/>
              </w:numPr>
              <w:tabs>
                <w:tab w:val="left" w:pos="720"/>
              </w:tabs>
              <w:rPr>
                <w:rStyle w:val="Emphasis"/>
                <w:rFonts w:ascii="Arial" w:hAnsi="Arial" w:cs="Arial"/>
                <w:i w:val="0"/>
                <w:sz w:val="20"/>
                <w:szCs w:val="20"/>
                <w:lang w:val="en-CA"/>
              </w:rPr>
            </w:pPr>
            <w:r w:rsidRPr="00D24407">
              <w:rPr>
                <w:rStyle w:val="Emphasis"/>
                <w:rFonts w:ascii="Arial" w:hAnsi="Arial" w:cs="Arial"/>
                <w:i w:val="0"/>
                <w:sz w:val="20"/>
                <w:szCs w:val="20"/>
                <w:lang w:val="en-CA"/>
              </w:rPr>
              <w:t>Alt 2: indicate TAG ID as part of PDCCH order</w:t>
            </w:r>
          </w:p>
          <w:p w14:paraId="01428D9D" w14:textId="77777777" w:rsidR="00EB38B6" w:rsidRPr="00D24407" w:rsidRDefault="00EB38B6" w:rsidP="00336CE3">
            <w:pPr>
              <w:numPr>
                <w:ilvl w:val="0"/>
                <w:numId w:val="36"/>
              </w:numPr>
              <w:tabs>
                <w:tab w:val="left" w:pos="720"/>
              </w:tabs>
              <w:rPr>
                <w:iCs/>
                <w:lang w:val="en-CA"/>
              </w:rPr>
            </w:pPr>
            <w:r w:rsidRPr="00D24407">
              <w:rPr>
                <w:rStyle w:val="Emphasis"/>
                <w:rFonts w:ascii="Arial" w:hAnsi="Arial" w:cs="Arial"/>
                <w:i w:val="0"/>
                <w:sz w:val="20"/>
                <w:szCs w:val="20"/>
                <w:lang w:val="en-CA"/>
              </w:rPr>
              <w:t>Alt 3: divide SSBs into two groups, one for each TRP. If a SSB associated to a RACH procedure belongs to the nth group (n=1, 2), then the TA obtained via the RACH procedure corresponds to the nth TRP.</w:t>
            </w:r>
          </w:p>
        </w:tc>
      </w:tr>
    </w:tbl>
    <w:p w14:paraId="2A369AA7" w14:textId="77777777" w:rsidR="00EB38B6" w:rsidRPr="00D24407" w:rsidRDefault="00EB38B6" w:rsidP="00EB38B6">
      <w:pPr>
        <w:spacing w:before="120" w:after="120"/>
        <w:jc w:val="both"/>
        <w:rPr>
          <w:rFonts w:ascii="Arial" w:hAnsi="Arial" w:cs="Arial"/>
          <w:sz w:val="20"/>
          <w:szCs w:val="20"/>
          <w:lang w:eastAsia="ja-JP"/>
        </w:rPr>
      </w:pPr>
      <w:r w:rsidRPr="00D24407">
        <w:rPr>
          <w:rFonts w:ascii="Arial" w:hAnsi="Arial" w:cs="Arial"/>
          <w:sz w:val="20"/>
          <w:szCs w:val="20"/>
          <w:lang w:eastAsia="ja-JP"/>
        </w:rPr>
        <w:t xml:space="preserve">The current PDCCH order DCI consists of a couple of information fields for CFRA procedure including SSB index, RA preamble index and PRACH mask index etc. For intra-cell mTRP, upon receiving the PDCCH order, UE can transmit the preamble in a UL beam direction derived based on the associated SSB. In our view, the association between SSB and TRPs can be transparent to UE. The TAG ID for TA indicated by a RAR can be explicitly indicated in the RAR payload by repurposing the reserved bit (i.e., Alt.1). Given the simplicity and good extensivity to be used in other cases, e.g., inter-cell mTRP, we have preference for this alternative.  </w:t>
      </w:r>
    </w:p>
    <w:p w14:paraId="0BD7C386" w14:textId="300A21CE" w:rsidR="00EB38B6" w:rsidRPr="00D24407" w:rsidRDefault="00EB38B6" w:rsidP="00EB38B6">
      <w:pPr>
        <w:ind w:left="1166" w:hanging="1166"/>
        <w:rPr>
          <w:rFonts w:ascii="Arial" w:hAnsi="Arial" w:cs="Arial"/>
          <w:sz w:val="20"/>
          <w:szCs w:val="20"/>
          <w:lang w:eastAsia="ja-JP"/>
        </w:rPr>
      </w:pPr>
      <w:r w:rsidRPr="00D24407">
        <w:rPr>
          <w:rFonts w:ascii="Arial" w:hAnsi="Arial" w:cs="Arial"/>
          <w:b/>
          <w:bCs/>
          <w:sz w:val="20"/>
          <w:szCs w:val="20"/>
          <w:lang w:eastAsia="ja-JP"/>
        </w:rPr>
        <w:t xml:space="preserve">Proposal </w:t>
      </w:r>
      <w:r>
        <w:rPr>
          <w:rFonts w:ascii="Arial" w:hAnsi="Arial" w:cs="Arial"/>
          <w:b/>
          <w:bCs/>
          <w:sz w:val="20"/>
          <w:szCs w:val="20"/>
          <w:lang w:eastAsia="ja-JP"/>
        </w:rPr>
        <w:t>1</w:t>
      </w:r>
      <w:r w:rsidRPr="00D24407">
        <w:rPr>
          <w:rFonts w:ascii="Arial" w:hAnsi="Arial" w:cs="Arial"/>
          <w:sz w:val="20"/>
          <w:szCs w:val="20"/>
          <w:lang w:eastAsia="ja-JP"/>
        </w:rPr>
        <w:t xml:space="preserve">: </w:t>
      </w:r>
    </w:p>
    <w:p w14:paraId="6F74B0C3" w14:textId="0333AF3F" w:rsidR="00EB38B6" w:rsidRPr="00EB38B6" w:rsidRDefault="00EB38B6" w:rsidP="00EB38B6">
      <w:pPr>
        <w:pStyle w:val="ListParagraph"/>
        <w:numPr>
          <w:ilvl w:val="0"/>
          <w:numId w:val="23"/>
        </w:numPr>
        <w:overflowPunct w:val="0"/>
        <w:autoSpaceDE w:val="0"/>
        <w:autoSpaceDN w:val="0"/>
        <w:adjustRightInd w:val="0"/>
        <w:spacing w:after="180"/>
        <w:textAlignment w:val="baseline"/>
        <w:rPr>
          <w:rFonts w:ascii="Arial" w:hAnsi="Arial" w:cs="Arial"/>
          <w:sz w:val="20"/>
          <w:szCs w:val="20"/>
          <w:lang w:eastAsia="ja-JP"/>
        </w:rPr>
      </w:pPr>
      <w:r>
        <w:rPr>
          <w:rFonts w:ascii="Arial" w:hAnsi="Arial" w:cs="Arial"/>
          <w:i/>
          <w:iCs/>
          <w:sz w:val="20"/>
          <w:szCs w:val="20"/>
          <w:lang w:eastAsia="ja-JP"/>
        </w:rPr>
        <w:t xml:space="preserve">At least for PDCCH-order CFRA </w:t>
      </w:r>
      <w:r w:rsidRPr="00D24407">
        <w:rPr>
          <w:rFonts w:ascii="Arial" w:hAnsi="Arial" w:cs="Arial"/>
          <w:i/>
          <w:iCs/>
          <w:sz w:val="20"/>
          <w:szCs w:val="20"/>
          <w:lang w:eastAsia="ja-JP"/>
        </w:rPr>
        <w:t>in</w:t>
      </w:r>
      <w:r>
        <w:rPr>
          <w:rFonts w:ascii="Arial" w:hAnsi="Arial" w:cs="Arial"/>
          <w:i/>
          <w:iCs/>
          <w:sz w:val="20"/>
          <w:szCs w:val="20"/>
          <w:lang w:eastAsia="ja-JP"/>
        </w:rPr>
        <w:t xml:space="preserve"> an</w:t>
      </w:r>
      <w:r w:rsidRPr="00D24407">
        <w:rPr>
          <w:rFonts w:ascii="Arial" w:hAnsi="Arial" w:cs="Arial"/>
          <w:i/>
          <w:iCs/>
          <w:sz w:val="20"/>
          <w:szCs w:val="20"/>
          <w:lang w:eastAsia="ja-JP"/>
        </w:rPr>
        <w:t xml:space="preserve"> intra-cell mTRP use case</w:t>
      </w:r>
      <w:r>
        <w:rPr>
          <w:rFonts w:ascii="Arial" w:hAnsi="Arial" w:cs="Arial"/>
          <w:i/>
          <w:iCs/>
          <w:sz w:val="20"/>
          <w:szCs w:val="20"/>
          <w:lang w:eastAsia="ja-JP"/>
        </w:rPr>
        <w:t>, s</w:t>
      </w:r>
      <w:r w:rsidRPr="00D24407">
        <w:rPr>
          <w:rFonts w:ascii="Arial" w:hAnsi="Arial" w:cs="Arial"/>
          <w:i/>
          <w:iCs/>
          <w:sz w:val="20"/>
          <w:szCs w:val="20"/>
          <w:lang w:eastAsia="ja-JP"/>
        </w:rPr>
        <w:t>upport to include TAG</w:t>
      </w:r>
      <w:r>
        <w:rPr>
          <w:rFonts w:ascii="Arial" w:hAnsi="Arial" w:cs="Arial"/>
          <w:i/>
          <w:iCs/>
          <w:sz w:val="20"/>
          <w:szCs w:val="20"/>
          <w:lang w:eastAsia="ja-JP"/>
        </w:rPr>
        <w:t>-</w:t>
      </w:r>
      <w:r w:rsidRPr="00D24407">
        <w:rPr>
          <w:rFonts w:ascii="Arial" w:hAnsi="Arial" w:cs="Arial"/>
          <w:i/>
          <w:iCs/>
          <w:sz w:val="20"/>
          <w:szCs w:val="20"/>
          <w:lang w:eastAsia="ja-JP"/>
        </w:rPr>
        <w:t>ID as part of TA command in RAR to enable two TAs</w:t>
      </w:r>
      <w:r>
        <w:rPr>
          <w:rFonts w:ascii="Arial" w:hAnsi="Arial" w:cs="Arial"/>
          <w:i/>
          <w:iCs/>
          <w:sz w:val="20"/>
          <w:szCs w:val="20"/>
          <w:lang w:eastAsia="ja-JP"/>
        </w:rPr>
        <w:t xml:space="preserve"> (Alt.1)</w:t>
      </w:r>
      <w:r w:rsidRPr="00D24407">
        <w:rPr>
          <w:rFonts w:ascii="Arial" w:hAnsi="Arial" w:cs="Arial"/>
          <w:i/>
          <w:iCs/>
          <w:sz w:val="20"/>
          <w:szCs w:val="20"/>
          <w:lang w:eastAsia="ja-JP"/>
        </w:rPr>
        <w:t xml:space="preserve">. </w:t>
      </w:r>
    </w:p>
    <w:p w14:paraId="765F8496" w14:textId="77777777" w:rsidR="00EB38B6" w:rsidRPr="00D24407" w:rsidRDefault="00EB38B6" w:rsidP="00EB38B6">
      <w:pPr>
        <w:pStyle w:val="ListParagraph"/>
        <w:overflowPunct w:val="0"/>
        <w:autoSpaceDE w:val="0"/>
        <w:autoSpaceDN w:val="0"/>
        <w:adjustRightInd w:val="0"/>
        <w:spacing w:after="180"/>
        <w:ind w:left="360"/>
        <w:jc w:val="both"/>
        <w:textAlignment w:val="baseline"/>
        <w:rPr>
          <w:rFonts w:ascii="Arial" w:hAnsi="Arial" w:cs="Arial"/>
          <w:sz w:val="20"/>
          <w:szCs w:val="20"/>
          <w:lang w:eastAsia="ja-JP"/>
        </w:rPr>
      </w:pPr>
    </w:p>
    <w:p w14:paraId="4F3E3C08" w14:textId="4B821985" w:rsidR="00EB38B6" w:rsidRPr="00404C4B" w:rsidRDefault="00EB38B6" w:rsidP="00EB38B6">
      <w:pPr>
        <w:pStyle w:val="Heading1"/>
        <w:rPr>
          <w:rFonts w:cs="Arial"/>
          <w:lang w:val="en-US" w:eastAsia="zh-CN"/>
        </w:rPr>
      </w:pPr>
      <w:r>
        <w:rPr>
          <w:rFonts w:cs="Arial"/>
          <w:lang w:val="en-US"/>
        </w:rPr>
        <w:t>3</w:t>
      </w:r>
      <w:r w:rsidRPr="00404C4B">
        <w:rPr>
          <w:rFonts w:cs="Arial"/>
          <w:lang w:val="en-US"/>
        </w:rPr>
        <w:t xml:space="preserve">. </w:t>
      </w:r>
      <w:r w:rsidR="001D61C1">
        <w:rPr>
          <w:rFonts w:cs="Arial"/>
          <w:lang w:val="en-US"/>
        </w:rPr>
        <w:t>Indication</w:t>
      </w:r>
      <w:r w:rsidR="001D61C1">
        <w:rPr>
          <w:rFonts w:eastAsia="Times New Roman"/>
          <w:lang w:eastAsia="ja-JP"/>
        </w:rPr>
        <w:t xml:space="preserve"> of PRACH configuration in PDCCH order</w:t>
      </w:r>
    </w:p>
    <w:p w14:paraId="34D416E7" w14:textId="5FFA55FA" w:rsidR="00EB38B6" w:rsidRDefault="00EB38B6" w:rsidP="00EB38B6">
      <w:pPr>
        <w:spacing w:after="120"/>
        <w:rPr>
          <w:rFonts w:ascii="Arial" w:hAnsi="Arial" w:cs="Arial"/>
          <w:sz w:val="20"/>
          <w:szCs w:val="20"/>
        </w:rPr>
      </w:pPr>
      <w:r>
        <w:rPr>
          <w:rFonts w:ascii="Arial" w:hAnsi="Arial" w:cs="Arial"/>
          <w:sz w:val="20"/>
          <w:szCs w:val="20"/>
        </w:rPr>
        <w:t>In RAN1 112bis-e meeting, the following was agreed for TAG-ID indication when PDCCH-order CFRA procedure is triggered for inter-cell mDCI mTRP [</w:t>
      </w:r>
      <w:r w:rsidR="00240BE4">
        <w:rPr>
          <w:rFonts w:ascii="Arial" w:hAnsi="Arial" w:cs="Arial"/>
          <w:sz w:val="20"/>
          <w:szCs w:val="20"/>
        </w:rPr>
        <w:t>1</w:t>
      </w:r>
      <w:r>
        <w:rPr>
          <w:rFonts w:ascii="Arial" w:hAnsi="Arial" w:cs="Arial"/>
          <w:sz w:val="20"/>
          <w:szCs w:val="20"/>
        </w:rPr>
        <w:t xml:space="preserve">]: </w:t>
      </w:r>
    </w:p>
    <w:tbl>
      <w:tblPr>
        <w:tblStyle w:val="TableGrid"/>
        <w:tblW w:w="0" w:type="auto"/>
        <w:tblLook w:val="04A0" w:firstRow="1" w:lastRow="0" w:firstColumn="1" w:lastColumn="0" w:noHBand="0" w:noVBand="1"/>
      </w:tblPr>
      <w:tblGrid>
        <w:gridCol w:w="9962"/>
      </w:tblGrid>
      <w:tr w:rsidR="00EB38B6" w14:paraId="71F32F18" w14:textId="77777777" w:rsidTr="00336CE3">
        <w:tc>
          <w:tcPr>
            <w:tcW w:w="9962" w:type="dxa"/>
          </w:tcPr>
          <w:p w14:paraId="477F73F5" w14:textId="77777777" w:rsidR="00EB38B6" w:rsidRPr="002A0CDF" w:rsidRDefault="00EB38B6" w:rsidP="00336CE3">
            <w:pPr>
              <w:rPr>
                <w:rFonts w:ascii="Arial" w:hAnsi="Arial" w:cs="Arial"/>
                <w:b/>
                <w:sz w:val="20"/>
                <w:szCs w:val="20"/>
                <w:highlight w:val="green"/>
                <w:lang w:eastAsia="x-none"/>
              </w:rPr>
            </w:pPr>
            <w:r w:rsidRPr="002A0CDF">
              <w:rPr>
                <w:rFonts w:ascii="Arial" w:hAnsi="Arial" w:cs="Arial"/>
                <w:b/>
                <w:sz w:val="20"/>
                <w:szCs w:val="20"/>
                <w:highlight w:val="green"/>
                <w:lang w:eastAsia="x-none"/>
              </w:rPr>
              <w:t>Agreement</w:t>
            </w:r>
          </w:p>
          <w:p w14:paraId="7F906840" w14:textId="77777777" w:rsidR="00EB38B6" w:rsidRPr="002A0CDF" w:rsidRDefault="00EB38B6" w:rsidP="00336CE3">
            <w:pPr>
              <w:jc w:val="both"/>
              <w:rPr>
                <w:rFonts w:ascii="Arial" w:hAnsi="Arial" w:cs="Arial"/>
                <w:i/>
                <w:sz w:val="20"/>
                <w:szCs w:val="20"/>
                <w:lang w:val="en-CA"/>
              </w:rPr>
            </w:pPr>
            <w:r w:rsidRPr="002A0CDF">
              <w:rPr>
                <w:rStyle w:val="Emphasis"/>
                <w:rFonts w:ascii="Arial" w:hAnsi="Arial" w:cs="Arial"/>
                <w:i w:val="0"/>
                <w:sz w:val="20"/>
                <w:szCs w:val="20"/>
                <w:lang w:val="en-CA"/>
              </w:rPr>
              <w:t>For intercell multi-DCI based Multi-TRP operation with two TA enhancement, support indication of which PRACH configuration to be used in the RACH procedure in the PDCCH order.</w:t>
            </w:r>
          </w:p>
          <w:p w14:paraId="61FC4ED1" w14:textId="77777777" w:rsidR="00EB38B6" w:rsidRPr="002A0CDF" w:rsidRDefault="00EB38B6" w:rsidP="00336CE3">
            <w:pPr>
              <w:numPr>
                <w:ilvl w:val="0"/>
                <w:numId w:val="37"/>
              </w:numPr>
              <w:jc w:val="both"/>
              <w:rPr>
                <w:rFonts w:ascii="Arial" w:hAnsi="Arial" w:cs="Arial"/>
                <w:i/>
                <w:sz w:val="20"/>
                <w:szCs w:val="20"/>
                <w:lang w:val="en-CA"/>
              </w:rPr>
            </w:pPr>
            <w:r w:rsidRPr="002A0CDF">
              <w:rPr>
                <w:rStyle w:val="Emphasis"/>
                <w:rFonts w:ascii="Arial" w:hAnsi="Arial" w:cs="Arial"/>
                <w:i w:val="0"/>
                <w:sz w:val="20"/>
                <w:szCs w:val="20"/>
                <w:lang w:val="en-CA"/>
              </w:rPr>
              <w:t xml:space="preserve">FFS: Whether </w:t>
            </w:r>
            <w:r w:rsidRPr="002A0CDF">
              <w:rPr>
                <w:rStyle w:val="Emphasis"/>
                <w:rFonts w:ascii="Arial" w:hAnsi="Arial" w:cs="Arial"/>
                <w:sz w:val="20"/>
                <w:szCs w:val="20"/>
                <w:lang w:val="en-CA"/>
              </w:rPr>
              <w:t>additionalPCI</w:t>
            </w:r>
            <w:r w:rsidRPr="002A0CDF">
              <w:rPr>
                <w:rStyle w:val="Emphasis"/>
                <w:rFonts w:ascii="Arial" w:hAnsi="Arial" w:cs="Arial"/>
                <w:i w:val="0"/>
                <w:sz w:val="20"/>
                <w:szCs w:val="20"/>
                <w:lang w:val="en-CA"/>
              </w:rPr>
              <w:t xml:space="preserve"> or a generic identifier is indicated in PDCCH order</w:t>
            </w:r>
          </w:p>
          <w:p w14:paraId="27689399" w14:textId="77777777" w:rsidR="00EB38B6" w:rsidRPr="002A0CDF" w:rsidRDefault="00EB38B6" w:rsidP="00336CE3">
            <w:pPr>
              <w:numPr>
                <w:ilvl w:val="0"/>
                <w:numId w:val="37"/>
              </w:numPr>
              <w:jc w:val="both"/>
              <w:rPr>
                <w:rFonts w:cs="Times"/>
                <w:i/>
                <w:sz w:val="20"/>
                <w:szCs w:val="20"/>
                <w:lang w:val="en-CA"/>
              </w:rPr>
            </w:pPr>
            <w:r w:rsidRPr="002A0CDF">
              <w:rPr>
                <w:rStyle w:val="Emphasis"/>
                <w:rFonts w:ascii="Arial" w:hAnsi="Arial" w:cs="Arial"/>
                <w:i w:val="0"/>
                <w:sz w:val="20"/>
                <w:szCs w:val="20"/>
                <w:lang w:val="en-CA"/>
              </w:rPr>
              <w:t>FFS: The detail of the indication in PDCCH order in terms of whether to support PRACH</w:t>
            </w:r>
            <w:r w:rsidRPr="002A0CDF">
              <w:rPr>
                <w:rStyle w:val="apple-converted-space"/>
                <w:rFonts w:ascii="Arial" w:hAnsi="Arial" w:cs="Arial"/>
                <w:i/>
                <w:iCs/>
                <w:sz w:val="20"/>
                <w:szCs w:val="20"/>
                <w:lang w:val="en-CA"/>
              </w:rPr>
              <w:t> </w:t>
            </w:r>
            <w:r w:rsidRPr="002A0CDF">
              <w:rPr>
                <w:rStyle w:val="Emphasis"/>
                <w:rFonts w:ascii="Arial" w:hAnsi="Arial" w:cs="Arial"/>
                <w:i w:val="0"/>
                <w:sz w:val="20"/>
                <w:szCs w:val="20"/>
                <w:lang w:val="en-CA"/>
              </w:rPr>
              <w:t xml:space="preserve">triggered for inactive </w:t>
            </w:r>
            <w:r w:rsidRPr="002A0CDF">
              <w:rPr>
                <w:rStyle w:val="Emphasis"/>
                <w:rFonts w:ascii="Arial" w:hAnsi="Arial" w:cs="Arial"/>
                <w:sz w:val="20"/>
                <w:szCs w:val="20"/>
                <w:lang w:val="en-CA"/>
              </w:rPr>
              <w:t>additionalPCI</w:t>
            </w:r>
            <w:r w:rsidRPr="002A0CDF">
              <w:rPr>
                <w:rStyle w:val="Emphasis"/>
                <w:rFonts w:ascii="Arial" w:hAnsi="Arial" w:cs="Arial"/>
                <w:i w:val="0"/>
                <w:sz w:val="20"/>
                <w:szCs w:val="20"/>
                <w:lang w:val="en-CA"/>
              </w:rPr>
              <w:t>.</w:t>
            </w:r>
          </w:p>
        </w:tc>
      </w:tr>
    </w:tbl>
    <w:p w14:paraId="196295BF" w14:textId="77777777" w:rsidR="00EB38B6" w:rsidRPr="002A0CDF" w:rsidRDefault="00EB38B6" w:rsidP="00EB38B6">
      <w:pPr>
        <w:rPr>
          <w:rFonts w:ascii="Arial" w:hAnsi="Arial" w:cs="Arial"/>
          <w:sz w:val="20"/>
          <w:szCs w:val="20"/>
        </w:rPr>
      </w:pPr>
    </w:p>
    <w:p w14:paraId="7CE73567" w14:textId="77777777" w:rsidR="00EB38B6" w:rsidRDefault="00EB38B6" w:rsidP="00EB38B6">
      <w:pPr>
        <w:rPr>
          <w:rFonts w:ascii="Arial" w:hAnsi="Arial" w:cs="Arial"/>
          <w:sz w:val="20"/>
          <w:szCs w:val="20"/>
        </w:rPr>
      </w:pPr>
    </w:p>
    <w:p w14:paraId="4CF8A515" w14:textId="6161D349" w:rsidR="00EB38B6" w:rsidRDefault="00EB38B6" w:rsidP="00E412AF">
      <w:pPr>
        <w:jc w:val="both"/>
        <w:rPr>
          <w:rFonts w:ascii="Arial" w:hAnsi="Arial" w:cs="Arial"/>
          <w:sz w:val="20"/>
          <w:szCs w:val="20"/>
        </w:rPr>
      </w:pPr>
      <w:r>
        <w:rPr>
          <w:rFonts w:ascii="Arial" w:hAnsi="Arial" w:cs="Arial"/>
          <w:sz w:val="20"/>
          <w:szCs w:val="20"/>
        </w:rPr>
        <w:lastRenderedPageBreak/>
        <w:t xml:space="preserve">In Rel-17 ICBM framework, up to seven additional PCIs can be configured for L1-RSRP measurement report. However, only one can be selected for </w:t>
      </w:r>
      <w:r w:rsidR="001D61C1">
        <w:rPr>
          <w:rFonts w:ascii="Arial" w:hAnsi="Arial" w:cs="Arial"/>
          <w:sz w:val="20"/>
          <w:szCs w:val="20"/>
        </w:rPr>
        <w:t xml:space="preserve">DL </w:t>
      </w:r>
      <w:r>
        <w:rPr>
          <w:rFonts w:ascii="Arial" w:hAnsi="Arial" w:cs="Arial"/>
          <w:sz w:val="20"/>
          <w:szCs w:val="20"/>
        </w:rPr>
        <w:t xml:space="preserve">TCI-states activation for PDSCH scheduling, a tradeoff between throughput benefit and UE complexity. </w:t>
      </w:r>
      <w:r w:rsidR="00E13930">
        <w:rPr>
          <w:rFonts w:ascii="Arial" w:hAnsi="Arial" w:cs="Arial"/>
          <w:sz w:val="20"/>
          <w:szCs w:val="20"/>
        </w:rPr>
        <w:t xml:space="preserve">A potential benefit of allowing PDCCH orde for inactive additional PCI is claimed to reduce UL TA acqusistion latency as the PDCCH order CFRA can be initiated </w:t>
      </w:r>
      <w:r w:rsidR="003250F7">
        <w:rPr>
          <w:rFonts w:ascii="Arial" w:hAnsi="Arial" w:cs="Arial"/>
          <w:sz w:val="20"/>
          <w:szCs w:val="20"/>
        </w:rPr>
        <w:t xml:space="preserve">and no need to wait until </w:t>
      </w:r>
      <w:r w:rsidR="00E13930">
        <w:rPr>
          <w:rFonts w:ascii="Arial" w:hAnsi="Arial" w:cs="Arial"/>
          <w:sz w:val="20"/>
          <w:szCs w:val="20"/>
        </w:rPr>
        <w:t>TCI-state activation</w:t>
      </w:r>
      <w:r w:rsidR="003250F7">
        <w:rPr>
          <w:rFonts w:ascii="Arial" w:hAnsi="Arial" w:cs="Arial"/>
          <w:sz w:val="20"/>
          <w:szCs w:val="20"/>
        </w:rPr>
        <w:t xml:space="preserve"> completes</w:t>
      </w:r>
      <w:r w:rsidR="00E13930">
        <w:rPr>
          <w:rFonts w:ascii="Arial" w:hAnsi="Arial" w:cs="Arial"/>
          <w:sz w:val="20"/>
          <w:szCs w:val="20"/>
        </w:rPr>
        <w:t xml:space="preserve">. </w:t>
      </w:r>
      <w:r w:rsidR="00EB7AF5">
        <w:rPr>
          <w:rFonts w:ascii="Arial" w:hAnsi="Arial" w:cs="Arial"/>
          <w:sz w:val="20"/>
          <w:szCs w:val="20"/>
        </w:rPr>
        <w:t>On the other hand, support</w:t>
      </w:r>
      <w:r w:rsidR="00192292">
        <w:rPr>
          <w:rFonts w:ascii="Arial" w:hAnsi="Arial" w:cs="Arial"/>
          <w:sz w:val="20"/>
          <w:szCs w:val="20"/>
        </w:rPr>
        <w:t>ing a</w:t>
      </w:r>
      <w:r w:rsidR="00EB7AF5">
        <w:rPr>
          <w:rFonts w:ascii="Arial" w:hAnsi="Arial" w:cs="Arial"/>
          <w:sz w:val="20"/>
          <w:szCs w:val="20"/>
        </w:rPr>
        <w:t xml:space="preserve"> CFRA on inactive additional PCI causes extra complexity at the UE and tightens the process timeline due to simutaneous PRACH preparasion and DL TO/FO estimation</w:t>
      </w:r>
      <w:r w:rsidR="00904B19">
        <w:rPr>
          <w:rFonts w:ascii="Arial" w:hAnsi="Arial" w:cs="Arial"/>
          <w:sz w:val="20"/>
          <w:szCs w:val="20"/>
        </w:rPr>
        <w:t xml:space="preserve"> for the activated TCI-state</w:t>
      </w:r>
      <w:r w:rsidR="00EB7AF5">
        <w:rPr>
          <w:rFonts w:ascii="Arial" w:hAnsi="Arial" w:cs="Arial"/>
          <w:sz w:val="20"/>
          <w:szCs w:val="20"/>
        </w:rPr>
        <w:t xml:space="preserve">. </w:t>
      </w:r>
      <w:r w:rsidR="00904B19">
        <w:rPr>
          <w:rFonts w:ascii="Arial" w:hAnsi="Arial" w:cs="Arial"/>
          <w:sz w:val="20"/>
          <w:szCs w:val="20"/>
        </w:rPr>
        <w:t xml:space="preserve">Furthermore, it is less clear how much practical benefit it provides since the latency is not critical requirement for two TAs in mDCI mTRP use case. To make progress, it needs to be defined as an optional UE feature, if majority companeis prefer to support it. </w:t>
      </w:r>
    </w:p>
    <w:p w14:paraId="2909292F" w14:textId="77777777" w:rsidR="001D61C1" w:rsidRDefault="001D61C1" w:rsidP="00E412AF">
      <w:pPr>
        <w:jc w:val="both"/>
        <w:rPr>
          <w:rFonts w:ascii="Arial" w:hAnsi="Arial" w:cs="Arial"/>
          <w:sz w:val="20"/>
          <w:szCs w:val="20"/>
        </w:rPr>
      </w:pPr>
    </w:p>
    <w:p w14:paraId="40A0C6A1" w14:textId="1D3B6CC4" w:rsidR="001D61C1" w:rsidRDefault="001D61C1" w:rsidP="00E412AF">
      <w:pPr>
        <w:jc w:val="both"/>
        <w:rPr>
          <w:rFonts w:ascii="Arial" w:hAnsi="Arial" w:cs="Arial"/>
          <w:sz w:val="20"/>
          <w:szCs w:val="20"/>
        </w:rPr>
      </w:pPr>
      <w:r>
        <w:rPr>
          <w:rFonts w:ascii="Arial" w:hAnsi="Arial" w:cs="Arial"/>
          <w:sz w:val="20"/>
          <w:szCs w:val="20"/>
        </w:rPr>
        <w:t>Another</w:t>
      </w:r>
      <w:r w:rsidRPr="002A0CDF">
        <w:rPr>
          <w:rFonts w:ascii="Arial" w:hAnsi="Arial" w:cs="Arial"/>
          <w:sz w:val="20"/>
          <w:szCs w:val="20"/>
        </w:rPr>
        <w:t xml:space="preserve"> FFS aspect of PDCCH order CFRA is how to indicate the target TRP to determine the corresponding PRACH resource associated with the SSB index indicated by the PDCCH order. In Rel-17 ICBM framework, each candidate cell is assigned with a dedicated additional PCI index.</w:t>
      </w:r>
      <w:r>
        <w:rPr>
          <w:rFonts w:ascii="Arial" w:hAnsi="Arial" w:cs="Arial"/>
          <w:sz w:val="20"/>
          <w:szCs w:val="20"/>
        </w:rPr>
        <w:t xml:space="preserve"> Assuming the PRACH triggered for an inactive additional PCI is supported,</w:t>
      </w:r>
      <w:r w:rsidRPr="002A0CDF">
        <w:rPr>
          <w:rFonts w:ascii="Arial" w:hAnsi="Arial" w:cs="Arial"/>
          <w:sz w:val="20"/>
          <w:szCs w:val="20"/>
        </w:rPr>
        <w:t xml:space="preserve"> </w:t>
      </w:r>
      <w:r>
        <w:rPr>
          <w:rFonts w:ascii="Arial" w:hAnsi="Arial" w:cs="Arial"/>
          <w:sz w:val="20"/>
          <w:szCs w:val="20"/>
        </w:rPr>
        <w:t>i</w:t>
      </w:r>
      <w:r w:rsidRPr="002A0CDF">
        <w:rPr>
          <w:rFonts w:ascii="Arial" w:hAnsi="Arial" w:cs="Arial"/>
          <w:sz w:val="20"/>
          <w:szCs w:val="20"/>
        </w:rPr>
        <w:t>t is quite straightforward to include the ‘additional PCI Index’ in the PDCCH order</w:t>
      </w:r>
      <w:r>
        <w:rPr>
          <w:rFonts w:ascii="Arial" w:hAnsi="Arial" w:cs="Arial"/>
          <w:sz w:val="20"/>
          <w:szCs w:val="20"/>
        </w:rPr>
        <w:t xml:space="preserve"> DCI</w:t>
      </w:r>
      <w:r w:rsidRPr="002A0CDF">
        <w:rPr>
          <w:rFonts w:ascii="Arial" w:hAnsi="Arial" w:cs="Arial"/>
          <w:sz w:val="20"/>
          <w:szCs w:val="20"/>
        </w:rPr>
        <w:t xml:space="preserve"> to inform UE which candidate cell the CFRA is triggered for.</w:t>
      </w:r>
    </w:p>
    <w:p w14:paraId="77AF4811" w14:textId="77777777" w:rsidR="001D61C1" w:rsidRDefault="001D61C1" w:rsidP="00EB38B6">
      <w:pPr>
        <w:rPr>
          <w:rFonts w:ascii="Arial" w:hAnsi="Arial" w:cs="Arial"/>
          <w:sz w:val="20"/>
          <w:szCs w:val="20"/>
        </w:rPr>
      </w:pPr>
    </w:p>
    <w:p w14:paraId="79E1E96C" w14:textId="77777777" w:rsidR="00EB38B6" w:rsidRDefault="00EB38B6" w:rsidP="00EB38B6">
      <w:pPr>
        <w:rPr>
          <w:rFonts w:ascii="Arial" w:hAnsi="Arial" w:cs="Arial"/>
          <w:sz w:val="20"/>
          <w:szCs w:val="20"/>
        </w:rPr>
      </w:pPr>
    </w:p>
    <w:p w14:paraId="6AC4C96C" w14:textId="492F39C2" w:rsidR="00EB38B6" w:rsidRDefault="00EB38B6" w:rsidP="00EB38B6">
      <w:pPr>
        <w:rPr>
          <w:rFonts w:ascii="Arial" w:hAnsi="Arial" w:cs="Arial"/>
          <w:sz w:val="20"/>
          <w:szCs w:val="20"/>
          <w:lang w:eastAsia="ja-JP"/>
        </w:rPr>
      </w:pPr>
      <w:r w:rsidRPr="00D24407">
        <w:rPr>
          <w:rFonts w:ascii="Arial" w:hAnsi="Arial" w:cs="Arial"/>
          <w:b/>
          <w:bCs/>
          <w:sz w:val="20"/>
          <w:szCs w:val="20"/>
          <w:lang w:eastAsia="ja-JP"/>
        </w:rPr>
        <w:t xml:space="preserve">Proposal </w:t>
      </w:r>
      <w:r>
        <w:rPr>
          <w:rFonts w:ascii="Arial" w:hAnsi="Arial" w:cs="Arial"/>
          <w:b/>
          <w:bCs/>
          <w:sz w:val="20"/>
          <w:szCs w:val="20"/>
          <w:lang w:eastAsia="ja-JP"/>
        </w:rPr>
        <w:t>2</w:t>
      </w:r>
      <w:r w:rsidRPr="00D24407">
        <w:rPr>
          <w:rFonts w:ascii="Arial" w:hAnsi="Arial" w:cs="Arial"/>
          <w:sz w:val="20"/>
          <w:szCs w:val="20"/>
          <w:lang w:eastAsia="ja-JP"/>
        </w:rPr>
        <w:t>:</w:t>
      </w:r>
    </w:p>
    <w:p w14:paraId="1EC157E9" w14:textId="79099122" w:rsidR="001D61C1" w:rsidRDefault="00192292" w:rsidP="00EB38B6">
      <w:pPr>
        <w:pStyle w:val="ListParagraph"/>
        <w:numPr>
          <w:ilvl w:val="0"/>
          <w:numId w:val="23"/>
        </w:numPr>
        <w:rPr>
          <w:rFonts w:ascii="Arial" w:hAnsi="Arial" w:cs="Arial"/>
          <w:i/>
          <w:iCs/>
          <w:sz w:val="20"/>
          <w:szCs w:val="20"/>
        </w:rPr>
      </w:pPr>
      <w:r w:rsidRPr="00192292">
        <w:rPr>
          <w:rFonts w:ascii="Arial" w:hAnsi="Arial" w:cs="Arial"/>
          <w:i/>
          <w:iCs/>
          <w:sz w:val="20"/>
          <w:szCs w:val="20"/>
        </w:rPr>
        <w:t>PRACH triggering towards an inactive additionalPCI</w:t>
      </w:r>
      <w:r>
        <w:rPr>
          <w:rFonts w:ascii="Arial" w:hAnsi="Arial" w:cs="Arial"/>
          <w:i/>
          <w:iCs/>
          <w:sz w:val="20"/>
          <w:szCs w:val="20"/>
        </w:rPr>
        <w:t xml:space="preserve"> is supported</w:t>
      </w:r>
      <w:r w:rsidRPr="00192292">
        <w:rPr>
          <w:rFonts w:ascii="Arial" w:hAnsi="Arial" w:cs="Arial"/>
          <w:i/>
          <w:iCs/>
          <w:sz w:val="20"/>
          <w:szCs w:val="20"/>
        </w:rPr>
        <w:t xml:space="preserve"> as an optional UE capability</w:t>
      </w:r>
      <w:r>
        <w:rPr>
          <w:rFonts w:ascii="Arial" w:hAnsi="Arial" w:cs="Arial"/>
          <w:i/>
          <w:iCs/>
          <w:sz w:val="20"/>
          <w:szCs w:val="20"/>
        </w:rPr>
        <w:t xml:space="preserve">. </w:t>
      </w:r>
    </w:p>
    <w:p w14:paraId="2410EC0B" w14:textId="0D9AA66A" w:rsidR="00192292" w:rsidRDefault="00192292" w:rsidP="00EB38B6">
      <w:pPr>
        <w:pStyle w:val="ListParagraph"/>
        <w:numPr>
          <w:ilvl w:val="0"/>
          <w:numId w:val="23"/>
        </w:numPr>
        <w:rPr>
          <w:rFonts w:ascii="Arial" w:hAnsi="Arial" w:cs="Arial"/>
          <w:i/>
          <w:iCs/>
          <w:sz w:val="20"/>
          <w:szCs w:val="20"/>
        </w:rPr>
      </w:pPr>
      <w:r w:rsidRPr="00192292">
        <w:rPr>
          <w:rFonts w:ascii="Arial" w:hAnsi="Arial" w:cs="Arial"/>
          <w:i/>
          <w:iCs/>
          <w:sz w:val="20"/>
          <w:szCs w:val="20"/>
        </w:rPr>
        <w:t>A UE maintains a single uplink TA value for additional PCIs that are configured by RRC signaling.</w:t>
      </w:r>
    </w:p>
    <w:p w14:paraId="1A70115F" w14:textId="0BC85068" w:rsidR="00EB38B6" w:rsidRPr="00B97E0A" w:rsidRDefault="00EB38B6" w:rsidP="00EB38B6">
      <w:pPr>
        <w:pStyle w:val="ListParagraph"/>
        <w:numPr>
          <w:ilvl w:val="0"/>
          <w:numId w:val="23"/>
        </w:numPr>
        <w:rPr>
          <w:rFonts w:ascii="Arial" w:hAnsi="Arial" w:cs="Arial"/>
          <w:i/>
          <w:iCs/>
          <w:sz w:val="20"/>
          <w:szCs w:val="20"/>
        </w:rPr>
      </w:pPr>
      <w:r w:rsidRPr="00B97E0A">
        <w:rPr>
          <w:rFonts w:ascii="Arial" w:hAnsi="Arial" w:cs="Arial"/>
          <w:i/>
          <w:iCs/>
          <w:sz w:val="20"/>
          <w:szCs w:val="20"/>
        </w:rPr>
        <w:t xml:space="preserve">Support to explicitly indicate the ‘additional PCI index’ in the PDCCH order to identify the target cell. </w:t>
      </w:r>
    </w:p>
    <w:p w14:paraId="159E8006" w14:textId="77777777" w:rsidR="00EB38B6" w:rsidRDefault="00EB38B6" w:rsidP="00EB38B6">
      <w:pPr>
        <w:rPr>
          <w:lang w:val="en-GB"/>
        </w:rPr>
      </w:pPr>
    </w:p>
    <w:p w14:paraId="3A32BA17" w14:textId="52456BB4" w:rsidR="00192292" w:rsidRPr="00404C4B" w:rsidRDefault="00192292" w:rsidP="00192292">
      <w:pPr>
        <w:pStyle w:val="Heading1"/>
        <w:rPr>
          <w:rFonts w:cs="Arial"/>
          <w:lang w:val="en-US" w:eastAsia="zh-CN"/>
        </w:rPr>
      </w:pPr>
      <w:r>
        <w:rPr>
          <w:rFonts w:cs="Arial"/>
          <w:lang w:val="en-US"/>
        </w:rPr>
        <w:t>4</w:t>
      </w:r>
      <w:r w:rsidRPr="00404C4B">
        <w:rPr>
          <w:rFonts w:cs="Arial"/>
          <w:lang w:val="en-US"/>
        </w:rPr>
        <w:t xml:space="preserve">. </w:t>
      </w:r>
      <w:r>
        <w:rPr>
          <w:rFonts w:eastAsia="Times New Roman"/>
          <w:lang w:eastAsia="ja-JP"/>
        </w:rPr>
        <w:t>PRACH power control and spatial filter determination</w:t>
      </w:r>
      <w:r>
        <w:rPr>
          <w:rFonts w:cs="Arial"/>
          <w:lang w:val="en-US"/>
        </w:rPr>
        <w:t xml:space="preserve"> </w:t>
      </w:r>
    </w:p>
    <w:p w14:paraId="4719DBCC" w14:textId="77777777" w:rsidR="00192292" w:rsidRDefault="00192292" w:rsidP="00192292">
      <w:pPr>
        <w:rPr>
          <w:rFonts w:ascii="Arial" w:hAnsi="Arial" w:cs="Arial"/>
          <w:sz w:val="20"/>
          <w:szCs w:val="20"/>
        </w:rPr>
      </w:pPr>
      <w:r>
        <w:rPr>
          <w:rFonts w:ascii="Arial" w:hAnsi="Arial" w:cs="Arial"/>
          <w:sz w:val="20"/>
          <w:szCs w:val="20"/>
        </w:rPr>
        <w:t xml:space="preserve">In RAN1 112bis-e meeting, the following was agreed to study how to determine the transmission power for a CFRA PRACH that is triggered towards another TRP. </w:t>
      </w:r>
    </w:p>
    <w:p w14:paraId="4611F9F9" w14:textId="77777777" w:rsidR="00192292" w:rsidRDefault="00192292" w:rsidP="00192292">
      <w:pPr>
        <w:rPr>
          <w:rFonts w:ascii="Arial" w:hAnsi="Arial" w:cs="Arial"/>
          <w:sz w:val="20"/>
          <w:szCs w:val="20"/>
        </w:rPr>
      </w:pPr>
    </w:p>
    <w:tbl>
      <w:tblPr>
        <w:tblStyle w:val="TableGrid"/>
        <w:tblW w:w="0" w:type="auto"/>
        <w:tblLook w:val="04A0" w:firstRow="1" w:lastRow="0" w:firstColumn="1" w:lastColumn="0" w:noHBand="0" w:noVBand="1"/>
      </w:tblPr>
      <w:tblGrid>
        <w:gridCol w:w="9962"/>
      </w:tblGrid>
      <w:tr w:rsidR="00192292" w14:paraId="4FFDE7B6" w14:textId="77777777" w:rsidTr="00336CE3">
        <w:tc>
          <w:tcPr>
            <w:tcW w:w="9962" w:type="dxa"/>
          </w:tcPr>
          <w:p w14:paraId="3AAFAFA2" w14:textId="77777777" w:rsidR="00192292" w:rsidRPr="009E05F0" w:rsidRDefault="00192292" w:rsidP="00336CE3">
            <w:pPr>
              <w:rPr>
                <w:rFonts w:ascii="Arial" w:hAnsi="Arial" w:cs="Arial"/>
                <w:b/>
                <w:sz w:val="20"/>
                <w:szCs w:val="20"/>
                <w:highlight w:val="green"/>
                <w:lang w:eastAsia="x-none"/>
              </w:rPr>
            </w:pPr>
            <w:r w:rsidRPr="009E05F0">
              <w:rPr>
                <w:rFonts w:ascii="Arial" w:hAnsi="Arial" w:cs="Arial"/>
                <w:b/>
                <w:sz w:val="20"/>
                <w:szCs w:val="20"/>
                <w:highlight w:val="green"/>
                <w:lang w:eastAsia="x-none"/>
              </w:rPr>
              <w:t>Agreement</w:t>
            </w:r>
          </w:p>
          <w:p w14:paraId="00F19C18" w14:textId="77777777" w:rsidR="00192292" w:rsidRPr="009E05F0" w:rsidRDefault="00192292" w:rsidP="00336CE3">
            <w:pPr>
              <w:pStyle w:val="NormalWeb"/>
              <w:spacing w:before="0" w:beforeAutospacing="0" w:after="0" w:afterAutospacing="0"/>
              <w:rPr>
                <w:i/>
                <w:sz w:val="20"/>
              </w:rPr>
            </w:pPr>
            <w:r w:rsidRPr="009E05F0">
              <w:rPr>
                <w:rStyle w:val="Emphasis"/>
                <w:rFonts w:ascii="Arial" w:hAnsi="Arial" w:cs="Arial"/>
                <w:i w:val="0"/>
                <w:sz w:val="20"/>
                <w:szCs w:val="20"/>
              </w:rPr>
              <w:t>For multi-DCI based inter-cell multi-TRP and intra-cell multi-TRP operation with two TAGs configured in a CC, for a CFRA based PDCCH order from one TRP triggering PRACH towards another TRP, study whether and, if needed, how to determine the transmit power of the triggered PRACH preamble</w:t>
            </w:r>
          </w:p>
        </w:tc>
      </w:tr>
    </w:tbl>
    <w:p w14:paraId="5AAF044A" w14:textId="77777777" w:rsidR="00192292" w:rsidRDefault="00192292" w:rsidP="00192292">
      <w:pPr>
        <w:rPr>
          <w:rFonts w:ascii="Arial" w:hAnsi="Arial" w:cs="Arial"/>
          <w:sz w:val="20"/>
          <w:szCs w:val="20"/>
        </w:rPr>
      </w:pPr>
    </w:p>
    <w:p w14:paraId="074461A7" w14:textId="77777777" w:rsidR="00192292" w:rsidRDefault="00192292" w:rsidP="00E412AF">
      <w:pPr>
        <w:spacing w:after="120"/>
        <w:jc w:val="both"/>
        <w:rPr>
          <w:rFonts w:ascii="Arial" w:hAnsi="Arial" w:cs="Arial"/>
          <w:sz w:val="20"/>
          <w:szCs w:val="20"/>
        </w:rPr>
      </w:pPr>
      <w:r>
        <w:rPr>
          <w:rFonts w:ascii="Arial" w:hAnsi="Arial" w:cs="Arial"/>
          <w:sz w:val="20"/>
          <w:szCs w:val="20"/>
        </w:rPr>
        <w:t xml:space="preserve">In the previous releases, for CFRA preamble transmission, UE computes the pathloss based on the SSB indicated by the PDCCH order or a CSI-RS that is associated with the selected preamble. This rule can be reused for intra-cell and inter-cell cross-TRP CFRA preamble. </w:t>
      </w:r>
    </w:p>
    <w:p w14:paraId="6563042E" w14:textId="77777777" w:rsidR="00192292" w:rsidRDefault="00192292" w:rsidP="00E412AF">
      <w:pPr>
        <w:pStyle w:val="ListParagraph"/>
        <w:numPr>
          <w:ilvl w:val="2"/>
          <w:numId w:val="23"/>
        </w:numPr>
        <w:spacing w:after="120"/>
        <w:ind w:left="907" w:hanging="547"/>
        <w:contextualSpacing w:val="0"/>
        <w:jc w:val="both"/>
        <w:rPr>
          <w:rFonts w:ascii="Arial" w:hAnsi="Arial" w:cs="Arial"/>
          <w:sz w:val="20"/>
          <w:szCs w:val="20"/>
        </w:rPr>
      </w:pPr>
      <w:r>
        <w:rPr>
          <w:rFonts w:ascii="Arial" w:hAnsi="Arial" w:cs="Arial"/>
          <w:sz w:val="20"/>
          <w:szCs w:val="20"/>
        </w:rPr>
        <w:t>For intra-cell case, NW can properly select a SSB and PRACH resource associated with the 2</w:t>
      </w:r>
      <w:r w:rsidRPr="00A86306">
        <w:rPr>
          <w:rFonts w:ascii="Arial" w:hAnsi="Arial" w:cs="Arial"/>
          <w:sz w:val="20"/>
          <w:szCs w:val="20"/>
          <w:vertAlign w:val="superscript"/>
        </w:rPr>
        <w:t>nd</w:t>
      </w:r>
      <w:r>
        <w:rPr>
          <w:rFonts w:ascii="Arial" w:hAnsi="Arial" w:cs="Arial"/>
          <w:sz w:val="20"/>
          <w:szCs w:val="20"/>
        </w:rPr>
        <w:t xml:space="preserve"> TRP and indicate these in PDCCH-order DCI payload. The association between SSB/PRACH resources and a respective TRP is up to NW implementation and transparent to UE. The SSB indicated by the PDCCH order is used for PRACH resource selection and pathloss calculation. </w:t>
      </w:r>
    </w:p>
    <w:p w14:paraId="22A4419D" w14:textId="77777777" w:rsidR="00192292" w:rsidRPr="00A86306" w:rsidRDefault="00192292" w:rsidP="00E412AF">
      <w:pPr>
        <w:pStyle w:val="ListParagraph"/>
        <w:numPr>
          <w:ilvl w:val="2"/>
          <w:numId w:val="23"/>
        </w:numPr>
        <w:spacing w:after="120"/>
        <w:ind w:left="900" w:hanging="540"/>
        <w:jc w:val="both"/>
        <w:rPr>
          <w:rFonts w:ascii="Arial" w:hAnsi="Arial" w:cs="Arial"/>
          <w:sz w:val="20"/>
          <w:szCs w:val="20"/>
        </w:rPr>
      </w:pPr>
      <w:r>
        <w:rPr>
          <w:rFonts w:ascii="Arial" w:hAnsi="Arial" w:cs="Arial"/>
          <w:sz w:val="20"/>
          <w:szCs w:val="20"/>
        </w:rPr>
        <w:t xml:space="preserve">The procedure used for intra-cell case is workable for inter-cell as well in our opinion. </w:t>
      </w:r>
    </w:p>
    <w:p w14:paraId="1275E2E7" w14:textId="77777777" w:rsidR="00192292" w:rsidRDefault="00192292" w:rsidP="00192292">
      <w:pPr>
        <w:rPr>
          <w:rFonts w:ascii="Arial" w:hAnsi="Arial" w:cs="Arial"/>
          <w:sz w:val="20"/>
          <w:szCs w:val="20"/>
        </w:rPr>
      </w:pPr>
    </w:p>
    <w:p w14:paraId="4F8E7A9B" w14:textId="79426D79" w:rsidR="00192292" w:rsidRDefault="00192292" w:rsidP="00192292">
      <w:pPr>
        <w:rPr>
          <w:rFonts w:ascii="Arial" w:hAnsi="Arial" w:cs="Arial"/>
          <w:sz w:val="20"/>
          <w:szCs w:val="20"/>
          <w:lang w:eastAsia="ja-JP"/>
        </w:rPr>
      </w:pPr>
      <w:r w:rsidRPr="00D24407">
        <w:rPr>
          <w:rFonts w:ascii="Arial" w:hAnsi="Arial" w:cs="Arial"/>
          <w:b/>
          <w:bCs/>
          <w:sz w:val="20"/>
          <w:szCs w:val="20"/>
          <w:lang w:eastAsia="ja-JP"/>
        </w:rPr>
        <w:t xml:space="preserve">Proposal </w:t>
      </w:r>
      <w:r>
        <w:rPr>
          <w:rFonts w:ascii="Arial" w:hAnsi="Arial" w:cs="Arial"/>
          <w:b/>
          <w:bCs/>
          <w:sz w:val="20"/>
          <w:szCs w:val="20"/>
          <w:lang w:eastAsia="ja-JP"/>
        </w:rPr>
        <w:t>3</w:t>
      </w:r>
      <w:r w:rsidRPr="00D24407">
        <w:rPr>
          <w:rFonts w:ascii="Arial" w:hAnsi="Arial" w:cs="Arial"/>
          <w:sz w:val="20"/>
          <w:szCs w:val="20"/>
          <w:lang w:eastAsia="ja-JP"/>
        </w:rPr>
        <w:t>:</w:t>
      </w:r>
    </w:p>
    <w:p w14:paraId="2802591D" w14:textId="77777777" w:rsidR="00192292" w:rsidRPr="00A86306" w:rsidRDefault="00192292" w:rsidP="00192292">
      <w:pPr>
        <w:pStyle w:val="ListParagraph"/>
        <w:numPr>
          <w:ilvl w:val="0"/>
          <w:numId w:val="23"/>
        </w:numPr>
        <w:rPr>
          <w:rFonts w:ascii="Arial" w:hAnsi="Arial" w:cs="Arial"/>
          <w:i/>
          <w:iCs/>
          <w:sz w:val="20"/>
          <w:szCs w:val="20"/>
        </w:rPr>
      </w:pPr>
      <w:r>
        <w:rPr>
          <w:rFonts w:ascii="Arial" w:hAnsi="Arial" w:cs="Arial"/>
          <w:i/>
          <w:iCs/>
          <w:sz w:val="20"/>
          <w:szCs w:val="20"/>
        </w:rPr>
        <w:t>For a CFRA procedure in both intra-cell and inter-cell mTRP use case, t</w:t>
      </w:r>
      <w:r w:rsidRPr="00A86306">
        <w:rPr>
          <w:rFonts w:ascii="Arial" w:hAnsi="Arial" w:cs="Arial"/>
          <w:i/>
          <w:iCs/>
          <w:sz w:val="20"/>
          <w:szCs w:val="20"/>
        </w:rPr>
        <w:t xml:space="preserve">he </w:t>
      </w:r>
      <w:r>
        <w:rPr>
          <w:rFonts w:ascii="Arial" w:hAnsi="Arial" w:cs="Arial"/>
          <w:i/>
          <w:iCs/>
          <w:sz w:val="20"/>
          <w:szCs w:val="20"/>
        </w:rPr>
        <w:t xml:space="preserve">SSB indicated in a PDCCH order is used as pathloss RS to determine the transmission power of CFRA preamble. </w:t>
      </w:r>
    </w:p>
    <w:p w14:paraId="7D2167FA" w14:textId="77777777" w:rsidR="00192292" w:rsidRDefault="00192292" w:rsidP="00192292">
      <w:pPr>
        <w:rPr>
          <w:rFonts w:ascii="Arial" w:hAnsi="Arial" w:cs="Arial"/>
          <w:sz w:val="20"/>
          <w:szCs w:val="20"/>
        </w:rPr>
      </w:pPr>
    </w:p>
    <w:p w14:paraId="059ED5BD" w14:textId="77777777" w:rsidR="00192292" w:rsidRDefault="00192292" w:rsidP="00192292">
      <w:pPr>
        <w:rPr>
          <w:rFonts w:ascii="Arial" w:hAnsi="Arial" w:cs="Arial"/>
          <w:sz w:val="20"/>
          <w:szCs w:val="20"/>
        </w:rPr>
      </w:pPr>
    </w:p>
    <w:p w14:paraId="397A6723" w14:textId="77777777" w:rsidR="00192292" w:rsidRDefault="00192292" w:rsidP="00192292">
      <w:pPr>
        <w:spacing w:after="120"/>
        <w:rPr>
          <w:rFonts w:ascii="Arial" w:hAnsi="Arial" w:cs="Arial"/>
          <w:sz w:val="20"/>
          <w:szCs w:val="20"/>
        </w:rPr>
      </w:pPr>
      <w:r>
        <w:rPr>
          <w:rFonts w:ascii="Arial" w:hAnsi="Arial" w:cs="Arial"/>
          <w:sz w:val="20"/>
          <w:szCs w:val="20"/>
        </w:rPr>
        <w:t xml:space="preserve">Another open issue related to CFRA procedure is </w:t>
      </w:r>
      <w:r w:rsidRPr="003B7BE8">
        <w:rPr>
          <w:rFonts w:ascii="Arial" w:hAnsi="Arial" w:cs="Arial"/>
          <w:sz w:val="20"/>
          <w:szCs w:val="20"/>
        </w:rPr>
        <w:t>whether and if needed how to determine QCL of PDCCH order, PDCCH RAR and PDSCH RAR</w:t>
      </w:r>
      <w:r>
        <w:rPr>
          <w:rFonts w:ascii="Arial" w:hAnsi="Arial" w:cs="Arial"/>
          <w:sz w:val="20"/>
          <w:szCs w:val="20"/>
        </w:rPr>
        <w:t xml:space="preserve">. In RAN1 112 meeting, the following was agreed for RAR PDSCH transmission, which implies the RAR PDSCH is transmitted from serving cell only: </w:t>
      </w:r>
    </w:p>
    <w:tbl>
      <w:tblPr>
        <w:tblStyle w:val="TableGrid"/>
        <w:tblW w:w="0" w:type="auto"/>
        <w:tblLook w:val="04A0" w:firstRow="1" w:lastRow="0" w:firstColumn="1" w:lastColumn="0" w:noHBand="0" w:noVBand="1"/>
      </w:tblPr>
      <w:tblGrid>
        <w:gridCol w:w="9962"/>
      </w:tblGrid>
      <w:tr w:rsidR="00192292" w14:paraId="3BFD9749" w14:textId="77777777" w:rsidTr="00336CE3">
        <w:tc>
          <w:tcPr>
            <w:tcW w:w="9962" w:type="dxa"/>
          </w:tcPr>
          <w:p w14:paraId="27D37B63" w14:textId="77777777" w:rsidR="00192292" w:rsidRPr="00E51406" w:rsidRDefault="00192292" w:rsidP="00336CE3">
            <w:pPr>
              <w:rPr>
                <w:rFonts w:ascii="Arial" w:hAnsi="Arial" w:cs="Arial"/>
                <w:b/>
                <w:bCs/>
                <w:sz w:val="20"/>
                <w:szCs w:val="20"/>
                <w:lang w:eastAsia="x-none"/>
              </w:rPr>
            </w:pPr>
            <w:r w:rsidRPr="00E51406">
              <w:rPr>
                <w:rFonts w:ascii="Arial" w:hAnsi="Arial" w:cs="Arial"/>
                <w:b/>
                <w:bCs/>
                <w:sz w:val="20"/>
                <w:szCs w:val="20"/>
                <w:lang w:eastAsia="x-none"/>
              </w:rPr>
              <w:t>Conclusion</w:t>
            </w:r>
          </w:p>
          <w:p w14:paraId="77315E5A" w14:textId="77777777" w:rsidR="00192292" w:rsidRPr="00E51406" w:rsidRDefault="00192292" w:rsidP="00336CE3">
            <w:pPr>
              <w:rPr>
                <w:lang w:eastAsia="x-none"/>
              </w:rPr>
            </w:pPr>
            <w:r w:rsidRPr="00E51406">
              <w:rPr>
                <w:rFonts w:ascii="Arial" w:hAnsi="Arial" w:cs="Arial"/>
                <w:sz w:val="20"/>
                <w:szCs w:val="20"/>
                <w:lang w:eastAsia="x-none"/>
              </w:rPr>
              <w:t>For inter-cell multi-DCI based multi-TRP operation with two TA enhancement, there is no consensus to introduce additional type 1 CSS configuration per additional PCI.</w:t>
            </w:r>
          </w:p>
        </w:tc>
      </w:tr>
    </w:tbl>
    <w:p w14:paraId="0AA19747" w14:textId="77777777" w:rsidR="00192292" w:rsidRDefault="00192292" w:rsidP="00192292">
      <w:pPr>
        <w:spacing w:after="120"/>
        <w:rPr>
          <w:rFonts w:ascii="Arial" w:hAnsi="Arial" w:cs="Arial"/>
          <w:sz w:val="20"/>
          <w:szCs w:val="20"/>
        </w:rPr>
      </w:pPr>
    </w:p>
    <w:p w14:paraId="74352467" w14:textId="77777777" w:rsidR="00192292" w:rsidRDefault="00192292" w:rsidP="00192292">
      <w:pPr>
        <w:spacing w:after="120"/>
        <w:rPr>
          <w:rFonts w:ascii="Arial" w:hAnsi="Arial" w:cs="Arial"/>
          <w:sz w:val="20"/>
          <w:szCs w:val="20"/>
        </w:rPr>
      </w:pPr>
      <w:r>
        <w:rPr>
          <w:rFonts w:ascii="Arial" w:hAnsi="Arial" w:cs="Arial"/>
          <w:sz w:val="20"/>
          <w:szCs w:val="20"/>
        </w:rPr>
        <w:lastRenderedPageBreak/>
        <w:t xml:space="preserve">So far, the following QCL relations are specified for PDCCH-order CFRA procedure: </w:t>
      </w:r>
    </w:p>
    <w:p w14:paraId="35C28AAA" w14:textId="77777777" w:rsidR="00192292" w:rsidRDefault="00192292" w:rsidP="00192292">
      <w:pPr>
        <w:pStyle w:val="ListParagraph"/>
        <w:numPr>
          <w:ilvl w:val="2"/>
          <w:numId w:val="23"/>
        </w:numPr>
        <w:ind w:left="630" w:hanging="270"/>
        <w:rPr>
          <w:rFonts w:ascii="Arial" w:hAnsi="Arial" w:cs="Arial"/>
          <w:sz w:val="20"/>
          <w:szCs w:val="20"/>
        </w:rPr>
      </w:pPr>
      <w:r>
        <w:rPr>
          <w:rFonts w:ascii="Arial" w:hAnsi="Arial" w:cs="Arial"/>
          <w:sz w:val="20"/>
          <w:szCs w:val="20"/>
        </w:rPr>
        <w:t>Rule #1: T</w:t>
      </w:r>
      <w:r w:rsidRPr="003B7BE8">
        <w:rPr>
          <w:rFonts w:ascii="Arial" w:hAnsi="Arial" w:cs="Arial"/>
          <w:sz w:val="20"/>
          <w:szCs w:val="20"/>
        </w:rPr>
        <w:t>he RAR</w:t>
      </w:r>
      <w:r>
        <w:rPr>
          <w:rFonts w:ascii="Arial" w:hAnsi="Arial" w:cs="Arial"/>
          <w:sz w:val="20"/>
          <w:szCs w:val="20"/>
        </w:rPr>
        <w:t xml:space="preserve"> PDCCH </w:t>
      </w:r>
      <w:r w:rsidRPr="003B7BE8">
        <w:rPr>
          <w:rFonts w:ascii="Arial" w:hAnsi="Arial" w:cs="Arial"/>
          <w:sz w:val="20"/>
          <w:szCs w:val="20"/>
        </w:rPr>
        <w:t>and the PDCCH order triggering CFRA ha</w:t>
      </w:r>
      <w:r>
        <w:rPr>
          <w:rFonts w:ascii="Arial" w:hAnsi="Arial" w:cs="Arial"/>
          <w:sz w:val="20"/>
          <w:szCs w:val="20"/>
        </w:rPr>
        <w:t>ve</w:t>
      </w:r>
      <w:r w:rsidRPr="003B7BE8">
        <w:rPr>
          <w:rFonts w:ascii="Arial" w:hAnsi="Arial" w:cs="Arial"/>
          <w:sz w:val="20"/>
          <w:szCs w:val="20"/>
        </w:rPr>
        <w:t xml:space="preserve"> a same DM-RS antenna port QCL properties.  </w:t>
      </w:r>
    </w:p>
    <w:p w14:paraId="034E705B" w14:textId="77777777" w:rsidR="00192292" w:rsidRPr="003B7BE8" w:rsidRDefault="00192292" w:rsidP="00192292">
      <w:pPr>
        <w:pStyle w:val="ListParagraph"/>
        <w:numPr>
          <w:ilvl w:val="2"/>
          <w:numId w:val="23"/>
        </w:numPr>
        <w:ind w:left="630" w:hanging="270"/>
        <w:rPr>
          <w:rFonts w:ascii="Arial" w:hAnsi="Arial" w:cs="Arial"/>
          <w:sz w:val="20"/>
          <w:szCs w:val="20"/>
        </w:rPr>
      </w:pPr>
      <w:r>
        <w:rPr>
          <w:rFonts w:ascii="Arial" w:hAnsi="Arial" w:cs="Arial"/>
          <w:sz w:val="20"/>
          <w:szCs w:val="20"/>
        </w:rPr>
        <w:t xml:space="preserve">Rule #2: The RAR PDSCH has a same QCL properties as the SSB or CSI-RS that UE used for PRACH association. </w:t>
      </w:r>
    </w:p>
    <w:p w14:paraId="7339094E" w14:textId="77777777" w:rsidR="00192292" w:rsidRDefault="00192292" w:rsidP="00192292">
      <w:pPr>
        <w:rPr>
          <w:rFonts w:ascii="Arial" w:hAnsi="Arial" w:cs="Arial"/>
          <w:sz w:val="20"/>
          <w:szCs w:val="20"/>
        </w:rPr>
      </w:pPr>
    </w:p>
    <w:p w14:paraId="6E26E2A8" w14:textId="77777777" w:rsidR="00192292" w:rsidRDefault="00192292" w:rsidP="00E412AF">
      <w:pPr>
        <w:jc w:val="both"/>
        <w:rPr>
          <w:rFonts w:ascii="Arial" w:hAnsi="Arial" w:cs="Arial"/>
          <w:sz w:val="20"/>
          <w:szCs w:val="20"/>
        </w:rPr>
      </w:pPr>
      <w:r>
        <w:rPr>
          <w:rFonts w:ascii="Arial" w:hAnsi="Arial" w:cs="Arial"/>
          <w:sz w:val="20"/>
          <w:szCs w:val="20"/>
        </w:rPr>
        <w:t xml:space="preserve">The rule#1 can be reused for CFRA for intra-cell mTRP use case, where the RAR PDCCH and PDCCH order have a same QCL relation. For inter-cell, if the PDCCH-order DCI is transmitted from serving cell, the rule #1 can be reused. However, for inter-cell case where PDCCH order is transmitted from non-serving cell TRP, the RAR PDCCH from Type-1 CSS is transmitted form serving cell per the previous agreement. </w:t>
      </w:r>
    </w:p>
    <w:p w14:paraId="64D23865" w14:textId="77777777" w:rsidR="00192292" w:rsidRDefault="00192292" w:rsidP="00E412AF">
      <w:pPr>
        <w:jc w:val="both"/>
        <w:rPr>
          <w:rFonts w:ascii="Arial" w:hAnsi="Arial" w:cs="Arial"/>
          <w:sz w:val="20"/>
          <w:szCs w:val="20"/>
        </w:rPr>
      </w:pPr>
    </w:p>
    <w:p w14:paraId="6FCA7426" w14:textId="77777777" w:rsidR="00192292" w:rsidRDefault="00192292" w:rsidP="00E412AF">
      <w:pPr>
        <w:jc w:val="both"/>
        <w:rPr>
          <w:rFonts w:ascii="Arial" w:hAnsi="Arial" w:cs="Arial"/>
          <w:sz w:val="20"/>
          <w:szCs w:val="20"/>
        </w:rPr>
      </w:pPr>
      <w:r>
        <w:rPr>
          <w:rFonts w:ascii="Arial" w:hAnsi="Arial" w:cs="Arial"/>
          <w:sz w:val="20"/>
          <w:szCs w:val="20"/>
        </w:rPr>
        <w:t xml:space="preserve">For Rule #2, our understanding is that it can be kept for intra-cell case. For inter-cell CFRA where the triggered CFRA PRACH is associated with SSB from the non-serving cell, the rule needs to be modified such that the RAR PDSCH is received from serving cell. </w:t>
      </w:r>
    </w:p>
    <w:p w14:paraId="44D6C081" w14:textId="77777777" w:rsidR="00192292" w:rsidRDefault="00192292" w:rsidP="00192292">
      <w:pPr>
        <w:rPr>
          <w:rFonts w:ascii="Arial" w:hAnsi="Arial" w:cs="Arial"/>
          <w:sz w:val="20"/>
          <w:szCs w:val="20"/>
        </w:rPr>
      </w:pPr>
    </w:p>
    <w:p w14:paraId="7DA3E183" w14:textId="77777777" w:rsidR="00192292" w:rsidRDefault="00192292" w:rsidP="00192292">
      <w:pPr>
        <w:rPr>
          <w:rFonts w:ascii="Arial" w:hAnsi="Arial" w:cs="Arial"/>
          <w:sz w:val="20"/>
          <w:szCs w:val="20"/>
        </w:rPr>
      </w:pPr>
      <w:r>
        <w:rPr>
          <w:rFonts w:ascii="Arial" w:hAnsi="Arial" w:cs="Arial"/>
          <w:sz w:val="20"/>
          <w:szCs w:val="20"/>
        </w:rPr>
        <w:t xml:space="preserve">We therefore made the following proposal: </w:t>
      </w:r>
    </w:p>
    <w:p w14:paraId="130F57D4" w14:textId="77777777" w:rsidR="00192292" w:rsidRDefault="00192292" w:rsidP="00192292">
      <w:pPr>
        <w:rPr>
          <w:rFonts w:ascii="Arial" w:hAnsi="Arial" w:cs="Arial"/>
          <w:sz w:val="20"/>
          <w:szCs w:val="20"/>
        </w:rPr>
      </w:pPr>
    </w:p>
    <w:p w14:paraId="4EA90F72" w14:textId="2623303F" w:rsidR="00192292" w:rsidRDefault="00192292" w:rsidP="00192292">
      <w:pPr>
        <w:rPr>
          <w:rFonts w:ascii="Arial" w:hAnsi="Arial" w:cs="Arial"/>
          <w:sz w:val="20"/>
          <w:szCs w:val="20"/>
          <w:lang w:eastAsia="ja-JP"/>
        </w:rPr>
      </w:pPr>
      <w:r w:rsidRPr="00D24407">
        <w:rPr>
          <w:rFonts w:ascii="Arial" w:hAnsi="Arial" w:cs="Arial"/>
          <w:b/>
          <w:bCs/>
          <w:sz w:val="20"/>
          <w:szCs w:val="20"/>
          <w:lang w:eastAsia="ja-JP"/>
        </w:rPr>
        <w:t xml:space="preserve">Proposal </w:t>
      </w:r>
      <w:r>
        <w:rPr>
          <w:rFonts w:ascii="Arial" w:hAnsi="Arial" w:cs="Arial"/>
          <w:b/>
          <w:bCs/>
          <w:sz w:val="20"/>
          <w:szCs w:val="20"/>
          <w:lang w:eastAsia="ja-JP"/>
        </w:rPr>
        <w:t>4</w:t>
      </w:r>
      <w:r w:rsidRPr="00D24407">
        <w:rPr>
          <w:rFonts w:ascii="Arial" w:hAnsi="Arial" w:cs="Arial"/>
          <w:sz w:val="20"/>
          <w:szCs w:val="20"/>
          <w:lang w:eastAsia="ja-JP"/>
        </w:rPr>
        <w:t>:</w:t>
      </w:r>
    </w:p>
    <w:p w14:paraId="46C2616E" w14:textId="7295E6B0" w:rsidR="00192292" w:rsidRDefault="00192292" w:rsidP="00192292">
      <w:pPr>
        <w:pStyle w:val="ListParagraph"/>
        <w:numPr>
          <w:ilvl w:val="0"/>
          <w:numId w:val="23"/>
        </w:numPr>
        <w:rPr>
          <w:rFonts w:ascii="Arial" w:hAnsi="Arial" w:cs="Arial"/>
          <w:i/>
          <w:iCs/>
          <w:sz w:val="20"/>
          <w:szCs w:val="20"/>
        </w:rPr>
      </w:pPr>
      <w:r w:rsidRPr="004947CB">
        <w:rPr>
          <w:rFonts w:ascii="Arial" w:hAnsi="Arial" w:cs="Arial"/>
          <w:i/>
          <w:iCs/>
          <w:sz w:val="20"/>
          <w:szCs w:val="20"/>
        </w:rPr>
        <w:t>When</w:t>
      </w:r>
      <w:r>
        <w:rPr>
          <w:rFonts w:ascii="Arial" w:hAnsi="Arial" w:cs="Arial"/>
          <w:i/>
          <w:iCs/>
          <w:sz w:val="20"/>
          <w:szCs w:val="20"/>
        </w:rPr>
        <w:t xml:space="preserve"> cross-TRP</w:t>
      </w:r>
      <w:r w:rsidRPr="004947CB">
        <w:rPr>
          <w:rFonts w:ascii="Arial" w:hAnsi="Arial" w:cs="Arial"/>
          <w:i/>
          <w:iCs/>
          <w:sz w:val="20"/>
          <w:szCs w:val="20"/>
        </w:rPr>
        <w:t xml:space="preserve"> </w:t>
      </w:r>
      <w:r>
        <w:rPr>
          <w:rFonts w:ascii="Arial" w:hAnsi="Arial" w:cs="Arial"/>
          <w:i/>
          <w:iCs/>
          <w:sz w:val="20"/>
          <w:szCs w:val="20"/>
        </w:rPr>
        <w:t xml:space="preserve">CFRA preamble is triggered by a PDCCH order from a non-serving cell with an additional PCI, the RAR PDCCH </w:t>
      </w:r>
      <w:r w:rsidR="00240BE4">
        <w:rPr>
          <w:rFonts w:ascii="Arial" w:hAnsi="Arial" w:cs="Arial"/>
          <w:i/>
          <w:iCs/>
          <w:sz w:val="20"/>
          <w:szCs w:val="20"/>
        </w:rPr>
        <w:t>are both QCLed with the CORESET assocaited with Type-1 CSS set</w:t>
      </w:r>
      <w:r>
        <w:rPr>
          <w:rFonts w:ascii="Arial" w:hAnsi="Arial" w:cs="Arial"/>
          <w:i/>
          <w:iCs/>
          <w:sz w:val="20"/>
          <w:szCs w:val="20"/>
        </w:rPr>
        <w:t xml:space="preserve">. </w:t>
      </w:r>
    </w:p>
    <w:p w14:paraId="2A208AB6" w14:textId="77777777" w:rsidR="00192292" w:rsidRDefault="00192292" w:rsidP="00192292">
      <w:pPr>
        <w:pStyle w:val="ListParagraph"/>
        <w:numPr>
          <w:ilvl w:val="0"/>
          <w:numId w:val="23"/>
        </w:numPr>
        <w:rPr>
          <w:rFonts w:ascii="Arial" w:hAnsi="Arial" w:cs="Arial"/>
          <w:i/>
          <w:iCs/>
          <w:sz w:val="20"/>
          <w:szCs w:val="20"/>
        </w:rPr>
      </w:pPr>
      <w:r>
        <w:rPr>
          <w:rFonts w:ascii="Arial" w:hAnsi="Arial" w:cs="Arial"/>
          <w:i/>
          <w:iCs/>
          <w:sz w:val="20"/>
          <w:szCs w:val="20"/>
        </w:rPr>
        <w:t>When cross-TRP</w:t>
      </w:r>
      <w:r w:rsidRPr="004947CB">
        <w:rPr>
          <w:rFonts w:ascii="Arial" w:hAnsi="Arial" w:cs="Arial"/>
          <w:i/>
          <w:iCs/>
          <w:sz w:val="20"/>
          <w:szCs w:val="20"/>
        </w:rPr>
        <w:t xml:space="preserve"> </w:t>
      </w:r>
      <w:r>
        <w:rPr>
          <w:rFonts w:ascii="Arial" w:hAnsi="Arial" w:cs="Arial"/>
          <w:i/>
          <w:iCs/>
          <w:sz w:val="20"/>
          <w:szCs w:val="20"/>
        </w:rPr>
        <w:t xml:space="preserve">CFRA preamble is triggered by a PDCCH order from serving cell, the RAR PDSCH has a same QCL property as the PDCCH order. </w:t>
      </w:r>
    </w:p>
    <w:p w14:paraId="3D76221D" w14:textId="77777777" w:rsidR="00192292" w:rsidRDefault="00192292" w:rsidP="00192292">
      <w:pPr>
        <w:pStyle w:val="ListParagraph"/>
        <w:numPr>
          <w:ilvl w:val="0"/>
          <w:numId w:val="23"/>
        </w:numPr>
        <w:rPr>
          <w:rFonts w:ascii="Arial" w:hAnsi="Arial" w:cs="Arial"/>
          <w:i/>
          <w:iCs/>
          <w:sz w:val="20"/>
          <w:szCs w:val="20"/>
        </w:rPr>
      </w:pPr>
      <w:r>
        <w:rPr>
          <w:rFonts w:ascii="Arial" w:hAnsi="Arial" w:cs="Arial"/>
          <w:i/>
          <w:iCs/>
          <w:sz w:val="20"/>
          <w:szCs w:val="20"/>
        </w:rPr>
        <w:t xml:space="preserve">For other cases, the legacy QCL rule is reused. </w:t>
      </w:r>
    </w:p>
    <w:p w14:paraId="6DB45521" w14:textId="77777777" w:rsidR="00192292" w:rsidRPr="00EB38B6" w:rsidRDefault="00192292" w:rsidP="00EB38B6">
      <w:pPr>
        <w:rPr>
          <w:lang w:val="en-GB"/>
        </w:rPr>
      </w:pPr>
    </w:p>
    <w:p w14:paraId="7D94BF48" w14:textId="12842EE6" w:rsidR="00507777" w:rsidRDefault="00192292" w:rsidP="00507777">
      <w:pPr>
        <w:pStyle w:val="Heading1"/>
        <w:ind w:left="1140" w:hanging="1140"/>
        <w:jc w:val="both"/>
        <w:rPr>
          <w:rFonts w:cs="Arial"/>
          <w:lang w:val="en-US"/>
        </w:rPr>
      </w:pPr>
      <w:r>
        <w:rPr>
          <w:rFonts w:cs="Arial"/>
          <w:lang w:val="en-US"/>
        </w:rPr>
        <w:t>5</w:t>
      </w:r>
      <w:r w:rsidR="00507777" w:rsidRPr="00D145E6">
        <w:rPr>
          <w:rFonts w:cs="Arial"/>
          <w:lang w:val="en-US"/>
        </w:rPr>
        <w:t>.</w:t>
      </w:r>
      <w:r w:rsidR="00507777" w:rsidRPr="00507777">
        <w:rPr>
          <w:rFonts w:cs="Arial"/>
          <w:lang w:val="en-US"/>
        </w:rPr>
        <w:t xml:space="preserve"> </w:t>
      </w:r>
      <w:r w:rsidR="00507777">
        <w:rPr>
          <w:rFonts w:cs="Arial"/>
          <w:lang w:val="en-US"/>
        </w:rPr>
        <w:t>Handling Overlapped Uplink Transmission</w:t>
      </w:r>
      <w:r w:rsidR="00EC64A7">
        <w:rPr>
          <w:rFonts w:cs="Arial"/>
          <w:lang w:val="en-US"/>
        </w:rPr>
        <w:t>s</w:t>
      </w:r>
      <w:r w:rsidR="00507777">
        <w:rPr>
          <w:rFonts w:cs="Arial"/>
          <w:lang w:val="en-US"/>
        </w:rPr>
        <w:t xml:space="preserve"> </w:t>
      </w:r>
    </w:p>
    <w:p w14:paraId="6EF48224" w14:textId="77777777" w:rsidR="00507777" w:rsidRDefault="00507777" w:rsidP="00507777">
      <w:pPr>
        <w:rPr>
          <w:rFonts w:ascii="Arial" w:hAnsi="Arial" w:cs="Arial"/>
          <w:sz w:val="20"/>
          <w:szCs w:val="20"/>
          <w:lang w:eastAsia="ja-JP"/>
        </w:rPr>
      </w:pPr>
      <w:r w:rsidRPr="00792A33">
        <w:rPr>
          <w:rFonts w:ascii="Arial" w:hAnsi="Arial" w:cs="Arial"/>
          <w:sz w:val="20"/>
          <w:szCs w:val="20"/>
          <w:lang w:eastAsia="ja-JP"/>
        </w:rPr>
        <w:t xml:space="preserve">With two TAs, one issue identified in RAN1 110 meeting is that two UL transmissions on a same CC towards two TRPs maybe overlapped in time. A variety of potential solutions were identified in RAN1 110 meeting to address this problem as follows [2]: </w:t>
      </w:r>
    </w:p>
    <w:p w14:paraId="0FCA8BD2" w14:textId="77777777" w:rsidR="00792A33" w:rsidRPr="00792A33" w:rsidRDefault="00792A33" w:rsidP="00507777">
      <w:pPr>
        <w:rPr>
          <w:rFonts w:ascii="Arial" w:hAnsi="Arial" w:cs="Arial"/>
          <w:sz w:val="20"/>
          <w:szCs w:val="20"/>
          <w:lang w:eastAsia="ja-JP"/>
        </w:rPr>
      </w:pPr>
    </w:p>
    <w:tbl>
      <w:tblPr>
        <w:tblStyle w:val="TableGrid"/>
        <w:tblW w:w="0" w:type="auto"/>
        <w:tblLook w:val="04A0" w:firstRow="1" w:lastRow="0" w:firstColumn="1" w:lastColumn="0" w:noHBand="0" w:noVBand="1"/>
      </w:tblPr>
      <w:tblGrid>
        <w:gridCol w:w="9962"/>
      </w:tblGrid>
      <w:tr w:rsidR="00507777" w:rsidRPr="00792A33" w14:paraId="36B6296F" w14:textId="77777777" w:rsidTr="005B6C20">
        <w:tc>
          <w:tcPr>
            <w:tcW w:w="9962" w:type="dxa"/>
          </w:tcPr>
          <w:p w14:paraId="353192D8" w14:textId="77777777" w:rsidR="00507777" w:rsidRPr="00792A33" w:rsidRDefault="00507777" w:rsidP="005B6C20">
            <w:pPr>
              <w:jc w:val="both"/>
              <w:rPr>
                <w:rFonts w:ascii="Arial" w:hAnsi="Arial" w:cs="Arial"/>
                <w:b/>
                <w:bCs/>
                <w:sz w:val="20"/>
                <w:szCs w:val="20"/>
                <w:highlight w:val="green"/>
              </w:rPr>
            </w:pPr>
            <w:r w:rsidRPr="00792A33">
              <w:rPr>
                <w:rFonts w:ascii="Arial" w:hAnsi="Arial" w:cs="Arial"/>
                <w:b/>
                <w:bCs/>
                <w:sz w:val="20"/>
                <w:szCs w:val="20"/>
                <w:highlight w:val="green"/>
              </w:rPr>
              <w:t>Agreement</w:t>
            </w:r>
          </w:p>
          <w:p w14:paraId="49DB345F" w14:textId="77777777" w:rsidR="00507777" w:rsidRPr="00792A33" w:rsidRDefault="00507777" w:rsidP="005B6C20">
            <w:pPr>
              <w:jc w:val="both"/>
              <w:rPr>
                <w:rFonts w:ascii="Arial" w:hAnsi="Arial" w:cs="Arial"/>
                <w:sz w:val="20"/>
                <w:szCs w:val="20"/>
              </w:rPr>
            </w:pPr>
            <w:r w:rsidRPr="00792A33">
              <w:rPr>
                <w:rFonts w:ascii="Arial" w:hAnsi="Arial" w:cs="Arial"/>
                <w:sz w:val="20"/>
                <w:szCs w:val="20"/>
              </w:rPr>
              <w:t>For multi-DCI based multi-TRP operation with two TAs, study how to handle overlapping part between two UL transmissions associated with two TAs, where the study includes:</w:t>
            </w:r>
          </w:p>
          <w:p w14:paraId="7974FA6C" w14:textId="77777777" w:rsidR="00507777" w:rsidRPr="00792A33" w:rsidRDefault="00507777" w:rsidP="00507777">
            <w:pPr>
              <w:pStyle w:val="ListParagraph"/>
              <w:numPr>
                <w:ilvl w:val="0"/>
                <w:numId w:val="20"/>
              </w:numPr>
              <w:contextualSpacing w:val="0"/>
              <w:jc w:val="both"/>
              <w:rPr>
                <w:rFonts w:ascii="Arial" w:hAnsi="Arial" w:cs="Arial"/>
                <w:sz w:val="20"/>
                <w:szCs w:val="20"/>
              </w:rPr>
            </w:pPr>
            <w:r w:rsidRPr="00792A33">
              <w:rPr>
                <w:rFonts w:ascii="Arial" w:hAnsi="Arial" w:cs="Arial"/>
                <w:sz w:val="20"/>
                <w:szCs w:val="20"/>
              </w:rPr>
              <w:t>whether to introduce scheduling restriction in overlapping part</w:t>
            </w:r>
          </w:p>
          <w:p w14:paraId="17B8003E" w14:textId="77777777" w:rsidR="00507777" w:rsidRPr="00792A33" w:rsidRDefault="00507777" w:rsidP="00507777">
            <w:pPr>
              <w:pStyle w:val="ListParagraph"/>
              <w:numPr>
                <w:ilvl w:val="0"/>
                <w:numId w:val="20"/>
              </w:numPr>
              <w:contextualSpacing w:val="0"/>
              <w:jc w:val="both"/>
              <w:rPr>
                <w:rFonts w:ascii="Arial" w:hAnsi="Arial" w:cs="Arial"/>
                <w:sz w:val="20"/>
                <w:szCs w:val="20"/>
              </w:rPr>
            </w:pPr>
            <w:r w:rsidRPr="00792A33">
              <w:rPr>
                <w:rFonts w:ascii="Arial" w:hAnsi="Arial" w:cs="Arial"/>
                <w:sz w:val="20"/>
                <w:szCs w:val="20"/>
              </w:rPr>
              <w:t xml:space="preserve">whether to introduce dropping rules </w:t>
            </w:r>
          </w:p>
          <w:p w14:paraId="08EDF982" w14:textId="77777777" w:rsidR="00507777" w:rsidRPr="00792A33" w:rsidRDefault="00507777" w:rsidP="00507777">
            <w:pPr>
              <w:pStyle w:val="ListParagraph"/>
              <w:numPr>
                <w:ilvl w:val="0"/>
                <w:numId w:val="20"/>
              </w:numPr>
              <w:contextualSpacing w:val="0"/>
              <w:jc w:val="both"/>
              <w:rPr>
                <w:rFonts w:ascii="Arial" w:hAnsi="Arial" w:cs="Arial"/>
                <w:sz w:val="20"/>
                <w:szCs w:val="20"/>
              </w:rPr>
            </w:pPr>
            <w:r w:rsidRPr="00792A33">
              <w:rPr>
                <w:rFonts w:ascii="Arial" w:hAnsi="Arial" w:cs="Arial"/>
                <w:sz w:val="20"/>
                <w:szCs w:val="20"/>
              </w:rPr>
              <w:t>whether specification impact is needed, or if the issue can be handled via implementation</w:t>
            </w:r>
          </w:p>
          <w:p w14:paraId="2C899F6F" w14:textId="77777777" w:rsidR="00507777" w:rsidRPr="00792A33" w:rsidRDefault="00507777" w:rsidP="00507777">
            <w:pPr>
              <w:pStyle w:val="ListParagraph"/>
              <w:numPr>
                <w:ilvl w:val="0"/>
                <w:numId w:val="20"/>
              </w:numPr>
              <w:contextualSpacing w:val="0"/>
              <w:jc w:val="both"/>
              <w:rPr>
                <w:rFonts w:cs="Times"/>
                <w:sz w:val="20"/>
                <w:szCs w:val="20"/>
              </w:rPr>
            </w:pPr>
            <w:r w:rsidRPr="00792A33">
              <w:rPr>
                <w:rFonts w:ascii="Arial" w:hAnsi="Arial" w:cs="Arial"/>
                <w:sz w:val="20"/>
                <w:szCs w:val="20"/>
              </w:rPr>
              <w:t>whether to allow overlapped transmission in case the UE supports STxMP transmission (if STxMP feature is agreed in NR Rel-18)</w:t>
            </w:r>
          </w:p>
        </w:tc>
      </w:tr>
    </w:tbl>
    <w:p w14:paraId="5B9F6E3A" w14:textId="63D91634" w:rsidR="00507777" w:rsidRPr="00792A33" w:rsidRDefault="00507777" w:rsidP="00507777">
      <w:pPr>
        <w:spacing w:before="120"/>
        <w:jc w:val="both"/>
        <w:rPr>
          <w:rFonts w:ascii="Arial" w:hAnsi="Arial" w:cs="Arial"/>
          <w:sz w:val="20"/>
          <w:szCs w:val="20"/>
          <w:lang w:eastAsia="ja-JP"/>
        </w:rPr>
      </w:pPr>
    </w:p>
    <w:p w14:paraId="1A35B83D" w14:textId="29A724ED" w:rsidR="0061740B" w:rsidRPr="00792A33" w:rsidRDefault="0061740B" w:rsidP="00507777">
      <w:pPr>
        <w:spacing w:before="120"/>
        <w:jc w:val="both"/>
        <w:rPr>
          <w:rFonts w:ascii="Arial" w:hAnsi="Arial" w:cs="Arial"/>
          <w:sz w:val="20"/>
          <w:szCs w:val="20"/>
          <w:lang w:eastAsia="ja-JP"/>
        </w:rPr>
      </w:pPr>
      <w:r w:rsidRPr="00792A33">
        <w:rPr>
          <w:rFonts w:ascii="Arial" w:hAnsi="Arial" w:cs="Arial"/>
          <w:sz w:val="20"/>
          <w:szCs w:val="20"/>
          <w:lang w:eastAsia="ja-JP"/>
        </w:rPr>
        <w:t>In [</w:t>
      </w:r>
      <w:r w:rsidR="00240BE4">
        <w:rPr>
          <w:rFonts w:ascii="Arial" w:hAnsi="Arial" w:cs="Arial"/>
          <w:sz w:val="20"/>
          <w:szCs w:val="20"/>
          <w:lang w:eastAsia="ja-JP"/>
        </w:rPr>
        <w:t>3</w:t>
      </w:r>
      <w:r w:rsidRPr="00792A33">
        <w:rPr>
          <w:rFonts w:ascii="Arial" w:hAnsi="Arial" w:cs="Arial"/>
          <w:sz w:val="20"/>
          <w:szCs w:val="20"/>
          <w:lang w:eastAsia="ja-JP"/>
        </w:rPr>
        <w:t xml:space="preserve">], RAN4 provides response on the maximum uplink timing difference as follows: </w:t>
      </w:r>
    </w:p>
    <w:tbl>
      <w:tblPr>
        <w:tblStyle w:val="TableGrid"/>
        <w:tblW w:w="0" w:type="auto"/>
        <w:tblLook w:val="04A0" w:firstRow="1" w:lastRow="0" w:firstColumn="1" w:lastColumn="0" w:noHBand="0" w:noVBand="1"/>
      </w:tblPr>
      <w:tblGrid>
        <w:gridCol w:w="9962"/>
      </w:tblGrid>
      <w:tr w:rsidR="0061740B" w:rsidRPr="00792A33" w14:paraId="70E3F3B1" w14:textId="77777777" w:rsidTr="0061740B">
        <w:tc>
          <w:tcPr>
            <w:tcW w:w="9962" w:type="dxa"/>
          </w:tcPr>
          <w:p w14:paraId="70620F25" w14:textId="77777777" w:rsidR="0061740B" w:rsidRPr="00792A33" w:rsidRDefault="0061740B" w:rsidP="0061740B">
            <w:pPr>
              <w:spacing w:after="120"/>
              <w:rPr>
                <w:rFonts w:ascii="Arial" w:hAnsi="Arial" w:cs="Arial"/>
                <w:sz w:val="20"/>
                <w:szCs w:val="20"/>
              </w:rPr>
            </w:pPr>
            <w:r w:rsidRPr="00792A33">
              <w:rPr>
                <w:rFonts w:ascii="Arial" w:hAnsi="Arial" w:cs="Arial"/>
                <w:sz w:val="20"/>
                <w:szCs w:val="20"/>
              </w:rPr>
              <w:t>For a UE capable of supporting Receive Time Difference (RTD) &gt; CP, MRTD/MTTD value for FR1 is 33/34.6 µs and MRTD/MTTD value for FR2 is 8/8.5 µs.</w:t>
            </w:r>
          </w:p>
          <w:p w14:paraId="77E6EB76" w14:textId="30195283" w:rsidR="0061740B" w:rsidRPr="00792A33" w:rsidRDefault="0061740B" w:rsidP="0061740B">
            <w:pPr>
              <w:spacing w:after="120"/>
              <w:rPr>
                <w:sz w:val="20"/>
                <w:szCs w:val="20"/>
              </w:rPr>
            </w:pPr>
            <w:r w:rsidRPr="00792A33">
              <w:rPr>
                <w:rFonts w:ascii="Arial" w:hAnsi="Arial" w:cs="Arial"/>
                <w:sz w:val="20"/>
                <w:szCs w:val="20"/>
              </w:rPr>
              <w:t>For a UE not capable of supporting RTD&gt;CP, MTTD is within (CP + M1 µs) for FR1 and MTTD is within (CP + M2 µs) for FR2. Where M1 and M2 are FFS in RAN4.</w:t>
            </w:r>
            <w:r w:rsidRPr="00792A33">
              <w:rPr>
                <w:rFonts w:cs="Arial"/>
                <w:sz w:val="20"/>
                <w:szCs w:val="20"/>
              </w:rPr>
              <w:t xml:space="preserve"> </w:t>
            </w:r>
          </w:p>
        </w:tc>
      </w:tr>
    </w:tbl>
    <w:p w14:paraId="023FFCBF" w14:textId="7BE2364A" w:rsidR="0061740B" w:rsidRPr="00792A33" w:rsidRDefault="0061740B" w:rsidP="00507777">
      <w:pPr>
        <w:spacing w:before="120"/>
        <w:jc w:val="both"/>
        <w:rPr>
          <w:rFonts w:ascii="Arial" w:hAnsi="Arial" w:cs="Arial"/>
          <w:sz w:val="20"/>
          <w:szCs w:val="20"/>
          <w:lang w:eastAsia="ja-JP"/>
        </w:rPr>
      </w:pPr>
    </w:p>
    <w:p w14:paraId="135C4548" w14:textId="0391D437" w:rsidR="0061740B" w:rsidRPr="00792A33" w:rsidRDefault="0061740B" w:rsidP="0061740B">
      <w:pPr>
        <w:ind w:left="1166" w:hanging="1166"/>
        <w:rPr>
          <w:rFonts w:ascii="Arial" w:hAnsi="Arial" w:cs="Arial"/>
          <w:sz w:val="20"/>
          <w:szCs w:val="20"/>
          <w:lang w:eastAsia="ja-JP"/>
        </w:rPr>
      </w:pPr>
      <w:r w:rsidRPr="00792A33">
        <w:rPr>
          <w:rFonts w:ascii="Arial" w:hAnsi="Arial" w:cs="Arial"/>
          <w:b/>
          <w:bCs/>
          <w:sz w:val="20"/>
          <w:szCs w:val="20"/>
          <w:lang w:eastAsia="ja-JP"/>
        </w:rPr>
        <w:t xml:space="preserve">Observation </w:t>
      </w:r>
      <w:r w:rsidR="00440D11" w:rsidRPr="00792A33">
        <w:rPr>
          <w:rFonts w:ascii="Arial" w:hAnsi="Arial" w:cs="Arial"/>
          <w:b/>
          <w:bCs/>
          <w:sz w:val="20"/>
          <w:szCs w:val="20"/>
          <w:lang w:eastAsia="ja-JP"/>
        </w:rPr>
        <w:t>1</w:t>
      </w:r>
      <w:r w:rsidRPr="00792A33">
        <w:rPr>
          <w:rFonts w:ascii="Arial" w:hAnsi="Arial" w:cs="Arial"/>
          <w:sz w:val="20"/>
          <w:szCs w:val="20"/>
          <w:lang w:eastAsia="ja-JP"/>
        </w:rPr>
        <w:t xml:space="preserve">: </w:t>
      </w:r>
    </w:p>
    <w:p w14:paraId="30499EC2" w14:textId="703A27F4" w:rsidR="0061740B" w:rsidRPr="00792A33" w:rsidRDefault="0061740B" w:rsidP="0061740B">
      <w:pPr>
        <w:pStyle w:val="ListParagraph"/>
        <w:numPr>
          <w:ilvl w:val="0"/>
          <w:numId w:val="27"/>
        </w:numPr>
        <w:jc w:val="both"/>
        <w:rPr>
          <w:rFonts w:ascii="Arial" w:hAnsi="Arial" w:cs="Arial"/>
          <w:i/>
          <w:iCs/>
          <w:sz w:val="20"/>
          <w:szCs w:val="20"/>
        </w:rPr>
      </w:pPr>
      <w:r w:rsidRPr="00792A33">
        <w:rPr>
          <w:rFonts w:ascii="Arial" w:hAnsi="Arial" w:cs="Arial"/>
          <w:i/>
          <w:iCs/>
          <w:sz w:val="20"/>
          <w:szCs w:val="20"/>
          <w:lang w:eastAsia="ja-JP"/>
        </w:rPr>
        <w:t xml:space="preserve">For UE support RTD&gt; CP, the maximum MTTD is 34.6 us for FR1 and 8.5us for FR2 respectively. </w:t>
      </w:r>
    </w:p>
    <w:p w14:paraId="79B7E52E" w14:textId="77777777" w:rsidR="0061740B" w:rsidRPr="00792A33" w:rsidRDefault="0061740B" w:rsidP="00507777">
      <w:pPr>
        <w:spacing w:before="120"/>
        <w:jc w:val="both"/>
        <w:rPr>
          <w:rFonts w:ascii="Arial" w:hAnsi="Arial" w:cs="Arial"/>
          <w:sz w:val="20"/>
          <w:szCs w:val="20"/>
          <w:lang w:eastAsia="ja-JP"/>
        </w:rPr>
      </w:pPr>
    </w:p>
    <w:p w14:paraId="579A2048" w14:textId="62ECBDFE" w:rsidR="00874451" w:rsidRPr="00792A33" w:rsidRDefault="00874451" w:rsidP="00507777">
      <w:pPr>
        <w:spacing w:before="120"/>
        <w:jc w:val="both"/>
        <w:rPr>
          <w:rFonts w:ascii="Arial" w:hAnsi="Arial" w:cs="Arial"/>
          <w:sz w:val="20"/>
          <w:szCs w:val="20"/>
          <w:lang w:eastAsia="ja-JP"/>
        </w:rPr>
      </w:pPr>
      <w:r w:rsidRPr="00792A33">
        <w:rPr>
          <w:rFonts w:ascii="Arial" w:hAnsi="Arial" w:cs="Arial"/>
          <w:sz w:val="20"/>
          <w:szCs w:val="20"/>
          <w:lang w:eastAsia="ja-JP"/>
        </w:rPr>
        <w:t>In RAN1 11</w:t>
      </w:r>
      <w:r w:rsidR="00192292">
        <w:rPr>
          <w:rFonts w:ascii="Arial" w:hAnsi="Arial" w:cs="Arial"/>
          <w:sz w:val="20"/>
          <w:szCs w:val="20"/>
          <w:lang w:eastAsia="ja-JP"/>
        </w:rPr>
        <w:t xml:space="preserve">3 </w:t>
      </w:r>
      <w:r w:rsidRPr="00792A33">
        <w:rPr>
          <w:rFonts w:ascii="Arial" w:hAnsi="Arial" w:cs="Arial"/>
          <w:sz w:val="20"/>
          <w:szCs w:val="20"/>
          <w:lang w:eastAsia="ja-JP"/>
        </w:rPr>
        <w:t>meeting, the following was agreed for handling overlapping UL transmission with different TAs for mTRP use case</w:t>
      </w:r>
      <w:r w:rsidR="008A72E2" w:rsidRPr="00792A33">
        <w:rPr>
          <w:rFonts w:ascii="Arial" w:hAnsi="Arial" w:cs="Arial"/>
          <w:sz w:val="20"/>
          <w:szCs w:val="20"/>
          <w:lang w:eastAsia="ja-JP"/>
        </w:rPr>
        <w:t xml:space="preserve"> [</w:t>
      </w:r>
      <w:r w:rsidR="00240BE4">
        <w:rPr>
          <w:rFonts w:ascii="Arial" w:hAnsi="Arial" w:cs="Arial"/>
          <w:sz w:val="20"/>
          <w:szCs w:val="20"/>
          <w:lang w:eastAsia="ja-JP"/>
        </w:rPr>
        <w:t>4</w:t>
      </w:r>
      <w:r w:rsidR="008A72E2" w:rsidRPr="00792A33">
        <w:rPr>
          <w:rFonts w:ascii="Arial" w:hAnsi="Arial" w:cs="Arial"/>
          <w:sz w:val="20"/>
          <w:szCs w:val="20"/>
          <w:lang w:eastAsia="ja-JP"/>
        </w:rPr>
        <w:t>]</w:t>
      </w:r>
      <w:r w:rsidRPr="00792A33">
        <w:rPr>
          <w:rFonts w:ascii="Arial" w:hAnsi="Arial" w:cs="Arial"/>
          <w:sz w:val="20"/>
          <w:szCs w:val="20"/>
          <w:lang w:eastAsia="ja-JP"/>
        </w:rPr>
        <w:t xml:space="preserve">: </w:t>
      </w:r>
    </w:p>
    <w:tbl>
      <w:tblPr>
        <w:tblStyle w:val="TableGrid"/>
        <w:tblW w:w="0" w:type="auto"/>
        <w:tblLook w:val="04A0" w:firstRow="1" w:lastRow="0" w:firstColumn="1" w:lastColumn="0" w:noHBand="0" w:noVBand="1"/>
      </w:tblPr>
      <w:tblGrid>
        <w:gridCol w:w="9962"/>
      </w:tblGrid>
      <w:tr w:rsidR="00874451" w:rsidRPr="00792A33" w14:paraId="3E33D60F" w14:textId="77777777" w:rsidTr="00874451">
        <w:tc>
          <w:tcPr>
            <w:tcW w:w="9962" w:type="dxa"/>
          </w:tcPr>
          <w:p w14:paraId="55CDE7A6" w14:textId="77777777" w:rsidR="00240BE4" w:rsidRPr="00240BE4" w:rsidRDefault="00240BE4" w:rsidP="00240BE4">
            <w:pPr>
              <w:rPr>
                <w:rFonts w:ascii="Arial" w:hAnsi="Arial" w:cs="Arial"/>
                <w:b/>
                <w:bCs/>
                <w:sz w:val="20"/>
                <w:szCs w:val="20"/>
                <w:highlight w:val="green"/>
                <w:lang w:eastAsia="x-none"/>
              </w:rPr>
            </w:pPr>
            <w:r w:rsidRPr="00240BE4">
              <w:rPr>
                <w:rFonts w:ascii="Arial" w:hAnsi="Arial" w:cs="Arial"/>
                <w:b/>
                <w:bCs/>
                <w:sz w:val="20"/>
                <w:szCs w:val="20"/>
                <w:highlight w:val="green"/>
                <w:lang w:eastAsia="x-none"/>
              </w:rPr>
              <w:t>Agreement</w:t>
            </w:r>
          </w:p>
          <w:p w14:paraId="573CB780" w14:textId="77777777" w:rsidR="00240BE4" w:rsidRPr="00240BE4" w:rsidRDefault="00240BE4" w:rsidP="00240BE4">
            <w:pPr>
              <w:pStyle w:val="NormalWeb"/>
              <w:spacing w:before="0" w:beforeAutospacing="0" w:after="0" w:afterAutospacing="0"/>
              <w:rPr>
                <w:rFonts w:ascii="Arial" w:eastAsia="Batang" w:hAnsi="Arial" w:cs="Arial"/>
                <w:color w:val="000000"/>
                <w:kern w:val="24"/>
                <w:sz w:val="20"/>
                <w:szCs w:val="20"/>
                <w:lang w:val="en-GB" w:eastAsia="fr-FR"/>
              </w:rPr>
            </w:pPr>
            <w:r w:rsidRPr="00240BE4">
              <w:rPr>
                <w:rFonts w:ascii="Arial" w:eastAsia="Batang" w:hAnsi="Arial" w:cs="Arial"/>
                <w:color w:val="000000"/>
                <w:kern w:val="24"/>
                <w:sz w:val="20"/>
                <w:szCs w:val="20"/>
                <w:lang w:val="en-GB" w:eastAsia="fr-FR"/>
              </w:rPr>
              <w:lastRenderedPageBreak/>
              <w:t>For multi-DCI based Multi-TRP operation with two TA enhancement, for the case when the UE does not support UL STxMP transmission,</w:t>
            </w:r>
          </w:p>
          <w:p w14:paraId="4F588E6E" w14:textId="77777777" w:rsidR="00240BE4" w:rsidRPr="00240BE4" w:rsidRDefault="00240BE4" w:rsidP="00240BE4">
            <w:pPr>
              <w:pStyle w:val="NormalWeb"/>
              <w:numPr>
                <w:ilvl w:val="0"/>
                <w:numId w:val="40"/>
              </w:numPr>
              <w:spacing w:before="0" w:beforeAutospacing="0" w:after="0" w:afterAutospacing="0"/>
              <w:jc w:val="both"/>
              <w:rPr>
                <w:rFonts w:ascii="Arial" w:eastAsia="Batang" w:hAnsi="Arial" w:cs="Arial"/>
                <w:color w:val="000000"/>
                <w:kern w:val="24"/>
                <w:sz w:val="20"/>
                <w:szCs w:val="20"/>
                <w:lang w:val="en-GB" w:eastAsia="fr-FR"/>
              </w:rPr>
            </w:pPr>
            <w:r w:rsidRPr="00240BE4">
              <w:rPr>
                <w:rFonts w:ascii="Arial" w:eastAsia="Batang" w:hAnsi="Arial" w:cs="Arial"/>
                <w:color w:val="000000"/>
                <w:kern w:val="24"/>
                <w:sz w:val="20"/>
                <w:szCs w:val="20"/>
                <w:lang w:val="en-GB" w:eastAsia="fr-FR"/>
              </w:rPr>
              <w:t>for the baseline feature, the UE does not expect the two UL transmissions to overlap (i.e., scheduling restriction is applied to avoid overlap between the two UL transmissions)</w:t>
            </w:r>
          </w:p>
          <w:p w14:paraId="135CDF24" w14:textId="77777777" w:rsidR="00240BE4" w:rsidRPr="00240BE4" w:rsidRDefault="00240BE4" w:rsidP="00240BE4">
            <w:pPr>
              <w:pStyle w:val="NormalWeb"/>
              <w:numPr>
                <w:ilvl w:val="0"/>
                <w:numId w:val="40"/>
              </w:numPr>
              <w:spacing w:before="0" w:beforeAutospacing="0" w:after="0" w:afterAutospacing="0"/>
              <w:jc w:val="both"/>
              <w:rPr>
                <w:rFonts w:ascii="Arial" w:eastAsia="Batang" w:hAnsi="Arial" w:cs="Arial"/>
                <w:color w:val="000000"/>
                <w:kern w:val="24"/>
                <w:sz w:val="20"/>
                <w:szCs w:val="20"/>
                <w:lang w:val="en-GB" w:eastAsia="fr-FR"/>
              </w:rPr>
            </w:pPr>
            <w:r w:rsidRPr="00240BE4">
              <w:rPr>
                <w:rFonts w:ascii="Arial" w:eastAsia="Batang" w:hAnsi="Arial" w:cs="Arial"/>
                <w:color w:val="000000"/>
                <w:kern w:val="24"/>
                <w:sz w:val="20"/>
                <w:szCs w:val="20"/>
                <w:lang w:val="en-GB" w:eastAsia="fr-FR"/>
              </w:rPr>
              <w:t>as an optional feature, the overlapping duration of the later of the two UL transmissions is reduced.</w:t>
            </w:r>
          </w:p>
          <w:p w14:paraId="6CE91F00" w14:textId="77777777" w:rsidR="00240BE4" w:rsidRPr="00240BE4" w:rsidRDefault="00240BE4" w:rsidP="00240BE4">
            <w:pPr>
              <w:pStyle w:val="NormalWeb"/>
              <w:numPr>
                <w:ilvl w:val="1"/>
                <w:numId w:val="40"/>
              </w:numPr>
              <w:spacing w:before="0" w:beforeAutospacing="0" w:after="0" w:afterAutospacing="0"/>
              <w:jc w:val="both"/>
              <w:rPr>
                <w:rFonts w:ascii="Arial" w:eastAsia="Batang" w:hAnsi="Arial" w:cs="Arial"/>
                <w:color w:val="000000"/>
                <w:kern w:val="24"/>
                <w:sz w:val="20"/>
                <w:szCs w:val="20"/>
                <w:lang w:val="en-GB" w:eastAsia="fr-FR"/>
              </w:rPr>
            </w:pPr>
            <w:r w:rsidRPr="00240BE4">
              <w:rPr>
                <w:rFonts w:ascii="Arial" w:eastAsia="Batang" w:hAnsi="Arial" w:cs="Arial"/>
                <w:color w:val="000000"/>
                <w:kern w:val="24"/>
                <w:sz w:val="20"/>
                <w:szCs w:val="20"/>
                <w:lang w:val="en-GB" w:eastAsia="fr-FR"/>
              </w:rPr>
              <w:t>FFS: for the optional feature, whether or not the overlapping duration needs to be specified as 1 (in case 2) or 2 (in case 1) OFDM symbols where</w:t>
            </w:r>
          </w:p>
          <w:p w14:paraId="4657224F" w14:textId="77777777" w:rsidR="00240BE4" w:rsidRPr="00240BE4" w:rsidRDefault="00240BE4" w:rsidP="00240BE4">
            <w:pPr>
              <w:pStyle w:val="ListParagraph"/>
              <w:numPr>
                <w:ilvl w:val="2"/>
                <w:numId w:val="40"/>
              </w:numPr>
              <w:jc w:val="both"/>
              <w:rPr>
                <w:rFonts w:ascii="Arial" w:hAnsi="Arial" w:cs="Arial"/>
                <w:color w:val="000000"/>
                <w:kern w:val="24"/>
                <w:sz w:val="20"/>
                <w:szCs w:val="20"/>
                <w:lang w:eastAsia="fr-FR"/>
              </w:rPr>
            </w:pPr>
            <w:r w:rsidRPr="00240BE4">
              <w:rPr>
                <w:rFonts w:ascii="Arial" w:hAnsi="Arial" w:cs="Arial"/>
                <w:color w:val="000000"/>
                <w:kern w:val="24"/>
                <w:sz w:val="20"/>
                <w:szCs w:val="20"/>
                <w:lang w:eastAsia="fr-FR"/>
              </w:rPr>
              <w:t>Case 1 applies when UE is capable of supporting MRTD &gt; CP, SCS=60 kHz and frequency range is FR1.</w:t>
            </w:r>
          </w:p>
          <w:p w14:paraId="17CC0C57" w14:textId="77777777" w:rsidR="00240BE4" w:rsidRPr="00240BE4" w:rsidRDefault="00240BE4" w:rsidP="00240BE4">
            <w:pPr>
              <w:pStyle w:val="ListParagraph"/>
              <w:numPr>
                <w:ilvl w:val="2"/>
                <w:numId w:val="40"/>
              </w:numPr>
              <w:jc w:val="both"/>
              <w:rPr>
                <w:rFonts w:ascii="Arial" w:hAnsi="Arial" w:cs="Arial"/>
                <w:color w:val="000000"/>
                <w:kern w:val="24"/>
                <w:sz w:val="20"/>
                <w:szCs w:val="20"/>
                <w:lang w:eastAsia="fr-FR"/>
              </w:rPr>
            </w:pPr>
            <w:r w:rsidRPr="00240BE4">
              <w:rPr>
                <w:rFonts w:ascii="Arial" w:hAnsi="Arial" w:cs="Arial"/>
                <w:color w:val="000000"/>
                <w:kern w:val="24"/>
                <w:sz w:val="20"/>
                <w:szCs w:val="20"/>
                <w:lang w:eastAsia="fr-FR"/>
              </w:rPr>
              <w:t>Case 2 applies in all other cases</w:t>
            </w:r>
          </w:p>
          <w:p w14:paraId="70747184" w14:textId="04047782" w:rsidR="00874451" w:rsidRPr="00792A33" w:rsidRDefault="00874451" w:rsidP="00874451">
            <w:pPr>
              <w:jc w:val="both"/>
              <w:rPr>
                <w:rFonts w:ascii="Arial" w:eastAsia="Microsoft YaHei UI Light" w:hAnsi="Arial" w:cs="Arial"/>
                <w:sz w:val="20"/>
                <w:szCs w:val="20"/>
              </w:rPr>
            </w:pPr>
          </w:p>
        </w:tc>
      </w:tr>
    </w:tbl>
    <w:p w14:paraId="2E8E9D18" w14:textId="6CA07E5A" w:rsidR="00874451" w:rsidRPr="00792A33" w:rsidRDefault="00404931" w:rsidP="00507777">
      <w:pPr>
        <w:spacing w:before="120"/>
        <w:jc w:val="both"/>
        <w:rPr>
          <w:rFonts w:ascii="Arial" w:hAnsi="Arial" w:cs="Arial"/>
          <w:sz w:val="20"/>
          <w:szCs w:val="20"/>
          <w:lang w:eastAsia="ja-JP"/>
        </w:rPr>
      </w:pPr>
      <w:r>
        <w:rPr>
          <w:rFonts w:ascii="Arial" w:hAnsi="Arial" w:cs="Arial"/>
          <w:sz w:val="20"/>
          <w:szCs w:val="20"/>
          <w:lang w:eastAsia="ja-JP"/>
        </w:rPr>
        <w:lastRenderedPageBreak/>
        <w:t xml:space="preserve">On the </w:t>
      </w:r>
      <w:r w:rsidR="0015173E">
        <w:rPr>
          <w:rFonts w:ascii="Arial" w:hAnsi="Arial" w:cs="Arial"/>
          <w:sz w:val="20"/>
          <w:szCs w:val="20"/>
          <w:lang w:eastAsia="ja-JP"/>
        </w:rPr>
        <w:t>FFS aspect, how to apply the specified overlapping duration at the UE needs to be clarified first. It should be noted that the overlapping duration is UE-specific and unknown at NW side. The</w:t>
      </w:r>
      <w:r w:rsidR="00E93D35">
        <w:rPr>
          <w:rFonts w:ascii="Arial" w:hAnsi="Arial" w:cs="Arial"/>
          <w:sz w:val="20"/>
          <w:szCs w:val="20"/>
          <w:lang w:eastAsia="ja-JP"/>
        </w:rPr>
        <w:t xml:space="preserve"> value ‘1’ or ‘2’ OFDM symbols are calculated based on the MTTD. </w:t>
      </w:r>
      <w:r w:rsidR="00987257">
        <w:rPr>
          <w:rFonts w:ascii="Arial" w:hAnsi="Arial" w:cs="Arial"/>
          <w:sz w:val="20"/>
          <w:szCs w:val="20"/>
          <w:lang w:eastAsia="ja-JP"/>
        </w:rPr>
        <w:t>Hence, it is unclear for us whether all of UEs with optional feature are expected to drop the later UL transmission based on the ‘1’ or ‘2’ symbols, rather than based on an actual overlapping duration</w:t>
      </w:r>
      <w:r w:rsidR="0056248C">
        <w:rPr>
          <w:rFonts w:ascii="Arial" w:hAnsi="Arial" w:cs="Arial"/>
          <w:sz w:val="20"/>
          <w:szCs w:val="20"/>
          <w:lang w:eastAsia="ja-JP"/>
        </w:rPr>
        <w:t xml:space="preserve"> (e.g., &lt; the specified value)</w:t>
      </w:r>
      <w:r w:rsidR="00987257">
        <w:rPr>
          <w:rFonts w:ascii="Arial" w:hAnsi="Arial" w:cs="Arial"/>
          <w:sz w:val="20"/>
          <w:szCs w:val="20"/>
          <w:lang w:eastAsia="ja-JP"/>
        </w:rPr>
        <w:t xml:space="preserve">, such that the UE behavior is predictable by the reception TRP even the exact overlapping duration of two UL transmissions is still unknown at the NW. If the UL transmission dropping is still based on the actual overlapping, we do not see a clear justification to specify the overlapping duration.  </w:t>
      </w:r>
      <w:r w:rsidR="0015173E">
        <w:rPr>
          <w:rFonts w:ascii="Arial" w:hAnsi="Arial" w:cs="Arial"/>
          <w:sz w:val="20"/>
          <w:szCs w:val="20"/>
          <w:lang w:eastAsia="ja-JP"/>
        </w:rPr>
        <w:t xml:space="preserve">  </w:t>
      </w:r>
    </w:p>
    <w:p w14:paraId="2A180347" w14:textId="77777777" w:rsidR="00792A33" w:rsidRPr="00792A33" w:rsidRDefault="00792A33" w:rsidP="00507777">
      <w:pPr>
        <w:spacing w:before="120"/>
        <w:jc w:val="both"/>
        <w:rPr>
          <w:rFonts w:ascii="Arial" w:hAnsi="Arial" w:cs="Arial"/>
          <w:sz w:val="20"/>
          <w:szCs w:val="20"/>
          <w:lang w:eastAsia="ja-JP"/>
        </w:rPr>
      </w:pPr>
    </w:p>
    <w:p w14:paraId="5A35C413" w14:textId="558E23DA" w:rsidR="00507777" w:rsidRPr="00792A33" w:rsidRDefault="00507777" w:rsidP="00507777">
      <w:pPr>
        <w:ind w:left="1166" w:hanging="1166"/>
        <w:rPr>
          <w:rFonts w:ascii="Arial" w:hAnsi="Arial" w:cs="Arial"/>
          <w:sz w:val="20"/>
          <w:szCs w:val="20"/>
          <w:lang w:eastAsia="ja-JP"/>
        </w:rPr>
      </w:pPr>
      <w:r w:rsidRPr="00792A33">
        <w:rPr>
          <w:rFonts w:ascii="Arial" w:hAnsi="Arial" w:cs="Arial"/>
          <w:b/>
          <w:bCs/>
          <w:sz w:val="20"/>
          <w:szCs w:val="20"/>
          <w:lang w:eastAsia="ja-JP"/>
        </w:rPr>
        <w:t>Proposal</w:t>
      </w:r>
      <w:r w:rsidR="00440D11" w:rsidRPr="00792A33">
        <w:rPr>
          <w:rFonts w:ascii="Arial" w:hAnsi="Arial" w:cs="Arial"/>
          <w:b/>
          <w:bCs/>
          <w:sz w:val="20"/>
          <w:szCs w:val="20"/>
          <w:lang w:eastAsia="ja-JP"/>
        </w:rPr>
        <w:t xml:space="preserve"> </w:t>
      </w:r>
      <w:r w:rsidR="00987257">
        <w:rPr>
          <w:rFonts w:ascii="Arial" w:hAnsi="Arial" w:cs="Arial"/>
          <w:b/>
          <w:bCs/>
          <w:sz w:val="20"/>
          <w:szCs w:val="20"/>
          <w:lang w:eastAsia="ja-JP"/>
        </w:rPr>
        <w:t>5</w:t>
      </w:r>
      <w:r w:rsidRPr="00792A33">
        <w:rPr>
          <w:rFonts w:ascii="Arial" w:hAnsi="Arial" w:cs="Arial"/>
          <w:sz w:val="20"/>
          <w:szCs w:val="20"/>
          <w:lang w:eastAsia="ja-JP"/>
        </w:rPr>
        <w:t xml:space="preserve">: </w:t>
      </w:r>
    </w:p>
    <w:p w14:paraId="2B36C371" w14:textId="7265F8E5" w:rsidR="00507777" w:rsidRDefault="00987257" w:rsidP="00EB38B6">
      <w:pPr>
        <w:pStyle w:val="ListParagraph"/>
        <w:numPr>
          <w:ilvl w:val="0"/>
          <w:numId w:val="21"/>
        </w:numPr>
        <w:rPr>
          <w:rFonts w:ascii="Arial" w:hAnsi="Arial" w:cs="Arial"/>
        </w:rPr>
      </w:pPr>
      <w:r>
        <w:rPr>
          <w:rFonts w:ascii="Arial" w:hAnsi="Arial" w:cs="Arial"/>
          <w:i/>
          <w:iCs/>
          <w:sz w:val="20"/>
          <w:szCs w:val="20"/>
          <w:lang w:eastAsia="ja-JP"/>
        </w:rPr>
        <w:t xml:space="preserve">RAN1 to study the use case and the corresponding UE behaivor before specifying the exact overlapping duration for optional feature.  </w:t>
      </w:r>
    </w:p>
    <w:p w14:paraId="28536F30" w14:textId="77777777" w:rsidR="00B97E0A" w:rsidRDefault="00B97E0A" w:rsidP="00B97E0A">
      <w:pPr>
        <w:rPr>
          <w:rFonts w:ascii="Arial" w:hAnsi="Arial" w:cs="Arial"/>
          <w:sz w:val="20"/>
          <w:szCs w:val="20"/>
        </w:rPr>
      </w:pPr>
    </w:p>
    <w:p w14:paraId="6B6FBB17" w14:textId="77777777" w:rsidR="00B97E0A" w:rsidRDefault="00B97E0A" w:rsidP="00B97E0A">
      <w:pPr>
        <w:rPr>
          <w:rFonts w:ascii="Arial" w:hAnsi="Arial" w:cs="Arial"/>
          <w:sz w:val="20"/>
          <w:szCs w:val="20"/>
        </w:rPr>
      </w:pPr>
    </w:p>
    <w:p w14:paraId="40028204" w14:textId="3D6FED70" w:rsidR="006E2C0F" w:rsidRPr="00404C4B" w:rsidRDefault="00404931" w:rsidP="006E2C0F">
      <w:pPr>
        <w:pStyle w:val="Heading1"/>
        <w:rPr>
          <w:rFonts w:cs="Arial"/>
          <w:lang w:val="en-US" w:eastAsia="zh-CN"/>
        </w:rPr>
      </w:pPr>
      <w:r>
        <w:rPr>
          <w:rFonts w:cs="Arial"/>
          <w:lang w:val="en-US"/>
        </w:rPr>
        <w:t>6</w:t>
      </w:r>
      <w:r w:rsidR="006E2C0F" w:rsidRPr="00404C4B">
        <w:rPr>
          <w:rFonts w:cs="Arial"/>
          <w:lang w:val="en-US"/>
        </w:rPr>
        <w:t>. C</w:t>
      </w:r>
      <w:r w:rsidR="006E2C0F" w:rsidRPr="00404C4B">
        <w:rPr>
          <w:rFonts w:cs="Arial"/>
          <w:lang w:val="en-US" w:eastAsia="zh-CN"/>
        </w:rPr>
        <w:t xml:space="preserve">onclusion </w:t>
      </w:r>
    </w:p>
    <w:p w14:paraId="614EC3DB" w14:textId="65412E81" w:rsidR="00400B04" w:rsidRDefault="003250E2" w:rsidP="006A2D3B">
      <w:pPr>
        <w:rPr>
          <w:rFonts w:ascii="Arial" w:hAnsi="Arial" w:cs="Arial"/>
          <w:sz w:val="20"/>
          <w:szCs w:val="20"/>
        </w:rPr>
      </w:pPr>
      <w:r w:rsidRPr="00792A33">
        <w:rPr>
          <w:rFonts w:ascii="Arial" w:hAnsi="Arial" w:cs="Arial"/>
          <w:sz w:val="20"/>
          <w:szCs w:val="20"/>
        </w:rPr>
        <w:t>In this contribution, we have presented our views</w:t>
      </w:r>
      <w:r w:rsidR="005E185A" w:rsidRPr="00792A33">
        <w:rPr>
          <w:rFonts w:ascii="Arial" w:hAnsi="Arial" w:cs="Arial"/>
          <w:sz w:val="20"/>
          <w:szCs w:val="20"/>
        </w:rPr>
        <w:t xml:space="preserve"> on two TAs for mDCI</w:t>
      </w:r>
      <w:r w:rsidR="00835659">
        <w:rPr>
          <w:rFonts w:ascii="Arial" w:hAnsi="Arial" w:cs="Arial"/>
          <w:sz w:val="20"/>
          <w:szCs w:val="20"/>
        </w:rPr>
        <w:t>-based</w:t>
      </w:r>
      <w:r w:rsidR="005E185A" w:rsidRPr="00792A33">
        <w:rPr>
          <w:rFonts w:ascii="Arial" w:hAnsi="Arial" w:cs="Arial"/>
          <w:sz w:val="20"/>
          <w:szCs w:val="20"/>
        </w:rPr>
        <w:t xml:space="preserve"> mTRP</w:t>
      </w:r>
      <w:r w:rsidR="000E50CC" w:rsidRPr="00792A33">
        <w:rPr>
          <w:rFonts w:ascii="Arial" w:hAnsi="Arial" w:cs="Arial"/>
          <w:sz w:val="20"/>
          <w:szCs w:val="20"/>
        </w:rPr>
        <w:t>. Based on the discussions in the previous sections, we</w:t>
      </w:r>
      <w:r w:rsidR="00F1413B" w:rsidRPr="00792A33">
        <w:rPr>
          <w:rFonts w:ascii="Arial" w:hAnsi="Arial" w:cs="Arial"/>
          <w:sz w:val="20"/>
          <w:szCs w:val="20"/>
        </w:rPr>
        <w:t xml:space="preserve"> </w:t>
      </w:r>
      <w:r w:rsidR="000E50CC" w:rsidRPr="00792A33">
        <w:rPr>
          <w:rFonts w:ascii="Arial" w:hAnsi="Arial" w:cs="Arial"/>
          <w:sz w:val="20"/>
          <w:szCs w:val="20"/>
        </w:rPr>
        <w:t xml:space="preserve">propose the following: </w:t>
      </w:r>
    </w:p>
    <w:p w14:paraId="6E1500F7" w14:textId="77777777" w:rsidR="00054944" w:rsidRPr="00792A33" w:rsidRDefault="00054944" w:rsidP="006A2D3B">
      <w:pPr>
        <w:rPr>
          <w:rFonts w:ascii="Arial" w:hAnsi="Arial" w:cs="Arial"/>
          <w:sz w:val="20"/>
          <w:szCs w:val="20"/>
        </w:rPr>
      </w:pPr>
    </w:p>
    <w:p w14:paraId="2FA16CC9" w14:textId="77777777" w:rsidR="00054944" w:rsidRPr="00D24407" w:rsidRDefault="00054944" w:rsidP="00054944">
      <w:pPr>
        <w:ind w:left="1166" w:hanging="1166"/>
        <w:rPr>
          <w:rFonts w:ascii="Arial" w:hAnsi="Arial" w:cs="Arial"/>
          <w:sz w:val="20"/>
          <w:szCs w:val="20"/>
          <w:lang w:eastAsia="ja-JP"/>
        </w:rPr>
      </w:pPr>
      <w:r w:rsidRPr="00D24407">
        <w:rPr>
          <w:rFonts w:ascii="Arial" w:hAnsi="Arial" w:cs="Arial"/>
          <w:b/>
          <w:bCs/>
          <w:sz w:val="20"/>
          <w:szCs w:val="20"/>
          <w:lang w:eastAsia="ja-JP"/>
        </w:rPr>
        <w:t xml:space="preserve">Proposal </w:t>
      </w:r>
      <w:r>
        <w:rPr>
          <w:rFonts w:ascii="Arial" w:hAnsi="Arial" w:cs="Arial"/>
          <w:b/>
          <w:bCs/>
          <w:sz w:val="20"/>
          <w:szCs w:val="20"/>
          <w:lang w:eastAsia="ja-JP"/>
        </w:rPr>
        <w:t>1</w:t>
      </w:r>
      <w:r w:rsidRPr="00D24407">
        <w:rPr>
          <w:rFonts w:ascii="Arial" w:hAnsi="Arial" w:cs="Arial"/>
          <w:sz w:val="20"/>
          <w:szCs w:val="20"/>
          <w:lang w:eastAsia="ja-JP"/>
        </w:rPr>
        <w:t xml:space="preserve">: </w:t>
      </w:r>
    </w:p>
    <w:p w14:paraId="5ED71636" w14:textId="77777777" w:rsidR="00054944" w:rsidRPr="00EB38B6" w:rsidRDefault="00054944" w:rsidP="00054944">
      <w:pPr>
        <w:pStyle w:val="ListParagraph"/>
        <w:numPr>
          <w:ilvl w:val="0"/>
          <w:numId w:val="23"/>
        </w:numPr>
        <w:overflowPunct w:val="0"/>
        <w:autoSpaceDE w:val="0"/>
        <w:autoSpaceDN w:val="0"/>
        <w:adjustRightInd w:val="0"/>
        <w:spacing w:after="180"/>
        <w:textAlignment w:val="baseline"/>
        <w:rPr>
          <w:rFonts w:ascii="Arial" w:hAnsi="Arial" w:cs="Arial"/>
          <w:sz w:val="20"/>
          <w:szCs w:val="20"/>
          <w:lang w:eastAsia="ja-JP"/>
        </w:rPr>
      </w:pPr>
      <w:r>
        <w:rPr>
          <w:rFonts w:ascii="Arial" w:hAnsi="Arial" w:cs="Arial"/>
          <w:i/>
          <w:iCs/>
          <w:sz w:val="20"/>
          <w:szCs w:val="20"/>
          <w:lang w:eastAsia="ja-JP"/>
        </w:rPr>
        <w:t xml:space="preserve">At least for PDCCH-order CFRA </w:t>
      </w:r>
      <w:r w:rsidRPr="00D24407">
        <w:rPr>
          <w:rFonts w:ascii="Arial" w:hAnsi="Arial" w:cs="Arial"/>
          <w:i/>
          <w:iCs/>
          <w:sz w:val="20"/>
          <w:szCs w:val="20"/>
          <w:lang w:eastAsia="ja-JP"/>
        </w:rPr>
        <w:t>in</w:t>
      </w:r>
      <w:r>
        <w:rPr>
          <w:rFonts w:ascii="Arial" w:hAnsi="Arial" w:cs="Arial"/>
          <w:i/>
          <w:iCs/>
          <w:sz w:val="20"/>
          <w:szCs w:val="20"/>
          <w:lang w:eastAsia="ja-JP"/>
        </w:rPr>
        <w:t xml:space="preserve"> an</w:t>
      </w:r>
      <w:r w:rsidRPr="00D24407">
        <w:rPr>
          <w:rFonts w:ascii="Arial" w:hAnsi="Arial" w:cs="Arial"/>
          <w:i/>
          <w:iCs/>
          <w:sz w:val="20"/>
          <w:szCs w:val="20"/>
          <w:lang w:eastAsia="ja-JP"/>
        </w:rPr>
        <w:t xml:space="preserve"> intra-cell mTRP use case</w:t>
      </w:r>
      <w:r>
        <w:rPr>
          <w:rFonts w:ascii="Arial" w:hAnsi="Arial" w:cs="Arial"/>
          <w:i/>
          <w:iCs/>
          <w:sz w:val="20"/>
          <w:szCs w:val="20"/>
          <w:lang w:eastAsia="ja-JP"/>
        </w:rPr>
        <w:t>, s</w:t>
      </w:r>
      <w:r w:rsidRPr="00D24407">
        <w:rPr>
          <w:rFonts w:ascii="Arial" w:hAnsi="Arial" w:cs="Arial"/>
          <w:i/>
          <w:iCs/>
          <w:sz w:val="20"/>
          <w:szCs w:val="20"/>
          <w:lang w:eastAsia="ja-JP"/>
        </w:rPr>
        <w:t>upport to include TAG</w:t>
      </w:r>
      <w:r>
        <w:rPr>
          <w:rFonts w:ascii="Arial" w:hAnsi="Arial" w:cs="Arial"/>
          <w:i/>
          <w:iCs/>
          <w:sz w:val="20"/>
          <w:szCs w:val="20"/>
          <w:lang w:eastAsia="ja-JP"/>
        </w:rPr>
        <w:t>-</w:t>
      </w:r>
      <w:r w:rsidRPr="00D24407">
        <w:rPr>
          <w:rFonts w:ascii="Arial" w:hAnsi="Arial" w:cs="Arial"/>
          <w:i/>
          <w:iCs/>
          <w:sz w:val="20"/>
          <w:szCs w:val="20"/>
          <w:lang w:eastAsia="ja-JP"/>
        </w:rPr>
        <w:t>ID as part of TA command in RAR to enable two TAs</w:t>
      </w:r>
      <w:r>
        <w:rPr>
          <w:rFonts w:ascii="Arial" w:hAnsi="Arial" w:cs="Arial"/>
          <w:i/>
          <w:iCs/>
          <w:sz w:val="20"/>
          <w:szCs w:val="20"/>
          <w:lang w:eastAsia="ja-JP"/>
        </w:rPr>
        <w:t xml:space="preserve"> (Alt.1)</w:t>
      </w:r>
      <w:r w:rsidRPr="00D24407">
        <w:rPr>
          <w:rFonts w:ascii="Arial" w:hAnsi="Arial" w:cs="Arial"/>
          <w:i/>
          <w:iCs/>
          <w:sz w:val="20"/>
          <w:szCs w:val="20"/>
          <w:lang w:eastAsia="ja-JP"/>
        </w:rPr>
        <w:t xml:space="preserve">. </w:t>
      </w:r>
    </w:p>
    <w:p w14:paraId="7DF20372" w14:textId="77777777" w:rsidR="00054944" w:rsidRDefault="00054944" w:rsidP="00054944">
      <w:pPr>
        <w:rPr>
          <w:rFonts w:ascii="Arial" w:hAnsi="Arial" w:cs="Arial"/>
          <w:sz w:val="20"/>
          <w:szCs w:val="20"/>
          <w:lang w:eastAsia="ja-JP"/>
        </w:rPr>
      </w:pPr>
      <w:r w:rsidRPr="00D24407">
        <w:rPr>
          <w:rFonts w:ascii="Arial" w:hAnsi="Arial" w:cs="Arial"/>
          <w:b/>
          <w:bCs/>
          <w:sz w:val="20"/>
          <w:szCs w:val="20"/>
          <w:lang w:eastAsia="ja-JP"/>
        </w:rPr>
        <w:t xml:space="preserve">Proposal </w:t>
      </w:r>
      <w:r>
        <w:rPr>
          <w:rFonts w:ascii="Arial" w:hAnsi="Arial" w:cs="Arial"/>
          <w:b/>
          <w:bCs/>
          <w:sz w:val="20"/>
          <w:szCs w:val="20"/>
          <w:lang w:eastAsia="ja-JP"/>
        </w:rPr>
        <w:t>2</w:t>
      </w:r>
      <w:r w:rsidRPr="00D24407">
        <w:rPr>
          <w:rFonts w:ascii="Arial" w:hAnsi="Arial" w:cs="Arial"/>
          <w:sz w:val="20"/>
          <w:szCs w:val="20"/>
          <w:lang w:eastAsia="ja-JP"/>
        </w:rPr>
        <w:t>:</w:t>
      </w:r>
    </w:p>
    <w:p w14:paraId="487B3096" w14:textId="77777777" w:rsidR="00054944" w:rsidRDefault="00054944" w:rsidP="00054944">
      <w:pPr>
        <w:pStyle w:val="ListParagraph"/>
        <w:numPr>
          <w:ilvl w:val="0"/>
          <w:numId w:val="23"/>
        </w:numPr>
        <w:rPr>
          <w:rFonts w:ascii="Arial" w:hAnsi="Arial" w:cs="Arial"/>
          <w:i/>
          <w:iCs/>
          <w:sz w:val="20"/>
          <w:szCs w:val="20"/>
        </w:rPr>
      </w:pPr>
      <w:r w:rsidRPr="00192292">
        <w:rPr>
          <w:rFonts w:ascii="Arial" w:hAnsi="Arial" w:cs="Arial"/>
          <w:i/>
          <w:iCs/>
          <w:sz w:val="20"/>
          <w:szCs w:val="20"/>
        </w:rPr>
        <w:t>PRACH triggering towards an inactive additionalPCI</w:t>
      </w:r>
      <w:r>
        <w:rPr>
          <w:rFonts w:ascii="Arial" w:hAnsi="Arial" w:cs="Arial"/>
          <w:i/>
          <w:iCs/>
          <w:sz w:val="20"/>
          <w:szCs w:val="20"/>
        </w:rPr>
        <w:t xml:space="preserve"> is supported</w:t>
      </w:r>
      <w:r w:rsidRPr="00192292">
        <w:rPr>
          <w:rFonts w:ascii="Arial" w:hAnsi="Arial" w:cs="Arial"/>
          <w:i/>
          <w:iCs/>
          <w:sz w:val="20"/>
          <w:szCs w:val="20"/>
        </w:rPr>
        <w:t xml:space="preserve"> as an optional UE capability</w:t>
      </w:r>
      <w:r>
        <w:rPr>
          <w:rFonts w:ascii="Arial" w:hAnsi="Arial" w:cs="Arial"/>
          <w:i/>
          <w:iCs/>
          <w:sz w:val="20"/>
          <w:szCs w:val="20"/>
        </w:rPr>
        <w:t xml:space="preserve">. </w:t>
      </w:r>
    </w:p>
    <w:p w14:paraId="3903D437" w14:textId="77777777" w:rsidR="00054944" w:rsidRDefault="00054944" w:rsidP="00054944">
      <w:pPr>
        <w:pStyle w:val="ListParagraph"/>
        <w:numPr>
          <w:ilvl w:val="0"/>
          <w:numId w:val="23"/>
        </w:numPr>
        <w:rPr>
          <w:rFonts w:ascii="Arial" w:hAnsi="Arial" w:cs="Arial"/>
          <w:i/>
          <w:iCs/>
          <w:sz w:val="20"/>
          <w:szCs w:val="20"/>
        </w:rPr>
      </w:pPr>
      <w:r w:rsidRPr="00192292">
        <w:rPr>
          <w:rFonts w:ascii="Arial" w:hAnsi="Arial" w:cs="Arial"/>
          <w:i/>
          <w:iCs/>
          <w:sz w:val="20"/>
          <w:szCs w:val="20"/>
        </w:rPr>
        <w:t>A UE maintains a single uplink TA value for additional PCIs that are configured by RRC signaling.</w:t>
      </w:r>
    </w:p>
    <w:p w14:paraId="62F12722" w14:textId="77777777" w:rsidR="00054944" w:rsidRPr="00B97E0A" w:rsidRDefault="00054944" w:rsidP="00054944">
      <w:pPr>
        <w:pStyle w:val="ListParagraph"/>
        <w:numPr>
          <w:ilvl w:val="0"/>
          <w:numId w:val="23"/>
        </w:numPr>
        <w:rPr>
          <w:rFonts w:ascii="Arial" w:hAnsi="Arial" w:cs="Arial"/>
          <w:i/>
          <w:iCs/>
          <w:sz w:val="20"/>
          <w:szCs w:val="20"/>
        </w:rPr>
      </w:pPr>
      <w:r w:rsidRPr="00B97E0A">
        <w:rPr>
          <w:rFonts w:ascii="Arial" w:hAnsi="Arial" w:cs="Arial"/>
          <w:i/>
          <w:iCs/>
          <w:sz w:val="20"/>
          <w:szCs w:val="20"/>
        </w:rPr>
        <w:t xml:space="preserve">Support to explicitly indicate the ‘additional PCI index’ in the PDCCH order to identify the target cell. </w:t>
      </w:r>
    </w:p>
    <w:p w14:paraId="784EF86C" w14:textId="089D2CFE" w:rsidR="008B7A33" w:rsidRDefault="008B7A33" w:rsidP="00D12341">
      <w:pPr>
        <w:rPr>
          <w:rFonts w:ascii="Arial" w:hAnsi="Arial" w:cs="Arial"/>
          <w:color w:val="000000" w:themeColor="text1"/>
        </w:rPr>
      </w:pPr>
    </w:p>
    <w:p w14:paraId="22233E9E" w14:textId="77777777" w:rsidR="00054944" w:rsidRDefault="00054944" w:rsidP="00054944">
      <w:pPr>
        <w:rPr>
          <w:rFonts w:ascii="Arial" w:hAnsi="Arial" w:cs="Arial"/>
          <w:sz w:val="20"/>
          <w:szCs w:val="20"/>
          <w:lang w:eastAsia="ja-JP"/>
        </w:rPr>
      </w:pPr>
      <w:r w:rsidRPr="00D24407">
        <w:rPr>
          <w:rFonts w:ascii="Arial" w:hAnsi="Arial" w:cs="Arial"/>
          <w:b/>
          <w:bCs/>
          <w:sz w:val="20"/>
          <w:szCs w:val="20"/>
          <w:lang w:eastAsia="ja-JP"/>
        </w:rPr>
        <w:t xml:space="preserve">Proposal </w:t>
      </w:r>
      <w:r>
        <w:rPr>
          <w:rFonts w:ascii="Arial" w:hAnsi="Arial" w:cs="Arial"/>
          <w:b/>
          <w:bCs/>
          <w:sz w:val="20"/>
          <w:szCs w:val="20"/>
          <w:lang w:eastAsia="ja-JP"/>
        </w:rPr>
        <w:t>3</w:t>
      </w:r>
      <w:r w:rsidRPr="00D24407">
        <w:rPr>
          <w:rFonts w:ascii="Arial" w:hAnsi="Arial" w:cs="Arial"/>
          <w:sz w:val="20"/>
          <w:szCs w:val="20"/>
          <w:lang w:eastAsia="ja-JP"/>
        </w:rPr>
        <w:t>:</w:t>
      </w:r>
    </w:p>
    <w:p w14:paraId="3D25F6D6" w14:textId="77777777" w:rsidR="00054944" w:rsidRPr="00A86306" w:rsidRDefault="00054944" w:rsidP="00054944">
      <w:pPr>
        <w:pStyle w:val="ListParagraph"/>
        <w:numPr>
          <w:ilvl w:val="0"/>
          <w:numId w:val="23"/>
        </w:numPr>
        <w:rPr>
          <w:rFonts w:ascii="Arial" w:hAnsi="Arial" w:cs="Arial"/>
          <w:i/>
          <w:iCs/>
          <w:sz w:val="20"/>
          <w:szCs w:val="20"/>
        </w:rPr>
      </w:pPr>
      <w:r>
        <w:rPr>
          <w:rFonts w:ascii="Arial" w:hAnsi="Arial" w:cs="Arial"/>
          <w:i/>
          <w:iCs/>
          <w:sz w:val="20"/>
          <w:szCs w:val="20"/>
        </w:rPr>
        <w:t>For a CFRA procedure in both intra-cell and inter-cell mTRP use case, t</w:t>
      </w:r>
      <w:r w:rsidRPr="00A86306">
        <w:rPr>
          <w:rFonts w:ascii="Arial" w:hAnsi="Arial" w:cs="Arial"/>
          <w:i/>
          <w:iCs/>
          <w:sz w:val="20"/>
          <w:szCs w:val="20"/>
        </w:rPr>
        <w:t xml:space="preserve">he </w:t>
      </w:r>
      <w:r>
        <w:rPr>
          <w:rFonts w:ascii="Arial" w:hAnsi="Arial" w:cs="Arial"/>
          <w:i/>
          <w:iCs/>
          <w:sz w:val="20"/>
          <w:szCs w:val="20"/>
        </w:rPr>
        <w:t xml:space="preserve">SSB indicated in a PDCCH order is used as pathloss RS to determine the transmission power of CFRA preamble. </w:t>
      </w:r>
    </w:p>
    <w:p w14:paraId="1C346C16" w14:textId="77777777" w:rsidR="00054944" w:rsidRDefault="00054944" w:rsidP="00D12341">
      <w:pPr>
        <w:rPr>
          <w:rFonts w:ascii="Arial" w:hAnsi="Arial" w:cs="Arial"/>
          <w:color w:val="000000" w:themeColor="text1"/>
        </w:rPr>
      </w:pPr>
    </w:p>
    <w:p w14:paraId="3E0EAB05" w14:textId="77777777" w:rsidR="00054944" w:rsidRDefault="00054944" w:rsidP="00054944">
      <w:pPr>
        <w:rPr>
          <w:rFonts w:ascii="Arial" w:hAnsi="Arial" w:cs="Arial"/>
          <w:sz w:val="20"/>
          <w:szCs w:val="20"/>
          <w:lang w:eastAsia="ja-JP"/>
        </w:rPr>
      </w:pPr>
      <w:r w:rsidRPr="00D24407">
        <w:rPr>
          <w:rFonts w:ascii="Arial" w:hAnsi="Arial" w:cs="Arial"/>
          <w:b/>
          <w:bCs/>
          <w:sz w:val="20"/>
          <w:szCs w:val="20"/>
          <w:lang w:eastAsia="ja-JP"/>
        </w:rPr>
        <w:t xml:space="preserve">Proposal </w:t>
      </w:r>
      <w:r>
        <w:rPr>
          <w:rFonts w:ascii="Arial" w:hAnsi="Arial" w:cs="Arial"/>
          <w:b/>
          <w:bCs/>
          <w:sz w:val="20"/>
          <w:szCs w:val="20"/>
          <w:lang w:eastAsia="ja-JP"/>
        </w:rPr>
        <w:t>4</w:t>
      </w:r>
      <w:r w:rsidRPr="00D24407">
        <w:rPr>
          <w:rFonts w:ascii="Arial" w:hAnsi="Arial" w:cs="Arial"/>
          <w:sz w:val="20"/>
          <w:szCs w:val="20"/>
          <w:lang w:eastAsia="ja-JP"/>
        </w:rPr>
        <w:t>:</w:t>
      </w:r>
    </w:p>
    <w:p w14:paraId="53C3BA4E" w14:textId="77777777" w:rsidR="00054944" w:rsidRDefault="00054944" w:rsidP="00054944">
      <w:pPr>
        <w:pStyle w:val="ListParagraph"/>
        <w:numPr>
          <w:ilvl w:val="0"/>
          <w:numId w:val="23"/>
        </w:numPr>
        <w:rPr>
          <w:rFonts w:ascii="Arial" w:hAnsi="Arial" w:cs="Arial"/>
          <w:i/>
          <w:iCs/>
          <w:sz w:val="20"/>
          <w:szCs w:val="20"/>
        </w:rPr>
      </w:pPr>
      <w:r w:rsidRPr="004947CB">
        <w:rPr>
          <w:rFonts w:ascii="Arial" w:hAnsi="Arial" w:cs="Arial"/>
          <w:i/>
          <w:iCs/>
          <w:sz w:val="20"/>
          <w:szCs w:val="20"/>
        </w:rPr>
        <w:t>When</w:t>
      </w:r>
      <w:r>
        <w:rPr>
          <w:rFonts w:ascii="Arial" w:hAnsi="Arial" w:cs="Arial"/>
          <w:i/>
          <w:iCs/>
          <w:sz w:val="20"/>
          <w:szCs w:val="20"/>
        </w:rPr>
        <w:t xml:space="preserve"> cross-TRP</w:t>
      </w:r>
      <w:r w:rsidRPr="004947CB">
        <w:rPr>
          <w:rFonts w:ascii="Arial" w:hAnsi="Arial" w:cs="Arial"/>
          <w:i/>
          <w:iCs/>
          <w:sz w:val="20"/>
          <w:szCs w:val="20"/>
        </w:rPr>
        <w:t xml:space="preserve"> </w:t>
      </w:r>
      <w:r>
        <w:rPr>
          <w:rFonts w:ascii="Arial" w:hAnsi="Arial" w:cs="Arial"/>
          <w:i/>
          <w:iCs/>
          <w:sz w:val="20"/>
          <w:szCs w:val="20"/>
        </w:rPr>
        <w:t xml:space="preserve">CFRA preamble is triggered by a PDCCH order from a non-serving cell with an additional PCI, the RAR PDCCH are both QCLed with the CORESET assocaited with Type-1 CSS set. </w:t>
      </w:r>
    </w:p>
    <w:p w14:paraId="16CF13DC" w14:textId="77777777" w:rsidR="00054944" w:rsidRDefault="00054944" w:rsidP="00054944">
      <w:pPr>
        <w:pStyle w:val="ListParagraph"/>
        <w:numPr>
          <w:ilvl w:val="0"/>
          <w:numId w:val="23"/>
        </w:numPr>
        <w:rPr>
          <w:rFonts w:ascii="Arial" w:hAnsi="Arial" w:cs="Arial"/>
          <w:i/>
          <w:iCs/>
          <w:sz w:val="20"/>
          <w:szCs w:val="20"/>
        </w:rPr>
      </w:pPr>
      <w:r>
        <w:rPr>
          <w:rFonts w:ascii="Arial" w:hAnsi="Arial" w:cs="Arial"/>
          <w:i/>
          <w:iCs/>
          <w:sz w:val="20"/>
          <w:szCs w:val="20"/>
        </w:rPr>
        <w:t>When cross-TRP</w:t>
      </w:r>
      <w:r w:rsidRPr="004947CB">
        <w:rPr>
          <w:rFonts w:ascii="Arial" w:hAnsi="Arial" w:cs="Arial"/>
          <w:i/>
          <w:iCs/>
          <w:sz w:val="20"/>
          <w:szCs w:val="20"/>
        </w:rPr>
        <w:t xml:space="preserve"> </w:t>
      </w:r>
      <w:r>
        <w:rPr>
          <w:rFonts w:ascii="Arial" w:hAnsi="Arial" w:cs="Arial"/>
          <w:i/>
          <w:iCs/>
          <w:sz w:val="20"/>
          <w:szCs w:val="20"/>
        </w:rPr>
        <w:t xml:space="preserve">CFRA preamble is triggered by a PDCCH order from serving cell, the RAR PDSCH has a same QCL property as the PDCCH order. </w:t>
      </w:r>
    </w:p>
    <w:p w14:paraId="2139AA60" w14:textId="77777777" w:rsidR="00054944" w:rsidRDefault="00054944" w:rsidP="00054944">
      <w:pPr>
        <w:pStyle w:val="ListParagraph"/>
        <w:numPr>
          <w:ilvl w:val="0"/>
          <w:numId w:val="23"/>
        </w:numPr>
        <w:rPr>
          <w:rFonts w:ascii="Arial" w:hAnsi="Arial" w:cs="Arial"/>
          <w:i/>
          <w:iCs/>
          <w:sz w:val="20"/>
          <w:szCs w:val="20"/>
        </w:rPr>
      </w:pPr>
      <w:r>
        <w:rPr>
          <w:rFonts w:ascii="Arial" w:hAnsi="Arial" w:cs="Arial"/>
          <w:i/>
          <w:iCs/>
          <w:sz w:val="20"/>
          <w:szCs w:val="20"/>
        </w:rPr>
        <w:t xml:space="preserve">For other cases, the legacy QCL rule is reused. </w:t>
      </w:r>
    </w:p>
    <w:p w14:paraId="54363150" w14:textId="77777777" w:rsidR="00054944" w:rsidRDefault="00054944" w:rsidP="00D12341">
      <w:pPr>
        <w:rPr>
          <w:rFonts w:ascii="Arial" w:hAnsi="Arial" w:cs="Arial"/>
          <w:color w:val="000000" w:themeColor="text1"/>
        </w:rPr>
      </w:pPr>
    </w:p>
    <w:p w14:paraId="2C8E0B14" w14:textId="77777777" w:rsidR="0056248C" w:rsidRPr="00792A33" w:rsidRDefault="0056248C" w:rsidP="0056248C">
      <w:pPr>
        <w:ind w:left="1166" w:hanging="1166"/>
        <w:rPr>
          <w:rFonts w:ascii="Arial" w:hAnsi="Arial" w:cs="Arial"/>
          <w:sz w:val="20"/>
          <w:szCs w:val="20"/>
          <w:lang w:eastAsia="ja-JP"/>
        </w:rPr>
      </w:pPr>
      <w:r w:rsidRPr="00792A33">
        <w:rPr>
          <w:rFonts w:ascii="Arial" w:hAnsi="Arial" w:cs="Arial"/>
          <w:b/>
          <w:bCs/>
          <w:sz w:val="20"/>
          <w:szCs w:val="20"/>
          <w:lang w:eastAsia="ja-JP"/>
        </w:rPr>
        <w:t xml:space="preserve">Proposal </w:t>
      </w:r>
      <w:r>
        <w:rPr>
          <w:rFonts w:ascii="Arial" w:hAnsi="Arial" w:cs="Arial"/>
          <w:b/>
          <w:bCs/>
          <w:sz w:val="20"/>
          <w:szCs w:val="20"/>
          <w:lang w:eastAsia="ja-JP"/>
        </w:rPr>
        <w:t>5</w:t>
      </w:r>
      <w:r w:rsidRPr="00792A33">
        <w:rPr>
          <w:rFonts w:ascii="Arial" w:hAnsi="Arial" w:cs="Arial"/>
          <w:sz w:val="20"/>
          <w:szCs w:val="20"/>
          <w:lang w:eastAsia="ja-JP"/>
        </w:rPr>
        <w:t xml:space="preserve">: </w:t>
      </w:r>
    </w:p>
    <w:p w14:paraId="73ED76AF" w14:textId="0110F6F6" w:rsidR="005B67A0" w:rsidRPr="0056248C" w:rsidRDefault="0056248C" w:rsidP="00D12341">
      <w:pPr>
        <w:pStyle w:val="ListParagraph"/>
        <w:numPr>
          <w:ilvl w:val="0"/>
          <w:numId w:val="21"/>
        </w:numPr>
        <w:rPr>
          <w:rFonts w:ascii="Arial" w:hAnsi="Arial" w:cs="Arial"/>
        </w:rPr>
      </w:pPr>
      <w:r>
        <w:rPr>
          <w:rFonts w:ascii="Arial" w:hAnsi="Arial" w:cs="Arial"/>
          <w:i/>
          <w:iCs/>
          <w:sz w:val="20"/>
          <w:szCs w:val="20"/>
          <w:lang w:eastAsia="ja-JP"/>
        </w:rPr>
        <w:t xml:space="preserve">RAN1 to study the use case and the corresponding UE behaivor before specifying the exact overlapping duration for optional feature.  </w:t>
      </w:r>
    </w:p>
    <w:p w14:paraId="4B7EB95C" w14:textId="77777777" w:rsidR="005B67A0" w:rsidRPr="0064642E" w:rsidRDefault="005B67A0" w:rsidP="00D12341">
      <w:pPr>
        <w:rPr>
          <w:rFonts w:ascii="Arial" w:hAnsi="Arial" w:cs="Arial"/>
          <w:color w:val="000000" w:themeColor="text1"/>
        </w:rPr>
      </w:pPr>
    </w:p>
    <w:p w14:paraId="69293581" w14:textId="0FA63EA7" w:rsidR="007A7D4E" w:rsidRDefault="006E2C0F" w:rsidP="00E661E3">
      <w:pPr>
        <w:pStyle w:val="Heading1"/>
        <w:pBdr>
          <w:top w:val="single" w:sz="12" w:space="4" w:color="auto"/>
        </w:pBdr>
        <w:ind w:left="0" w:firstLine="0"/>
        <w:rPr>
          <w:rFonts w:cs="Arial"/>
          <w:lang w:val="en-US"/>
        </w:rPr>
      </w:pPr>
      <w:r w:rsidRPr="00404C4B">
        <w:rPr>
          <w:rFonts w:cs="Arial"/>
          <w:lang w:val="en-US"/>
        </w:rPr>
        <w:lastRenderedPageBreak/>
        <w:t>References</w:t>
      </w:r>
      <w:r w:rsidR="00B26360" w:rsidRPr="00CD48C4">
        <w:rPr>
          <w:rFonts w:cs="Arial"/>
          <w:lang w:val="en-US" w:eastAsia="zh-CN"/>
        </w:rPr>
        <w:tab/>
      </w:r>
    </w:p>
    <w:p w14:paraId="03699EBD" w14:textId="0821045F" w:rsidR="0038234A" w:rsidRPr="00240BE4" w:rsidRDefault="00CD1DAE" w:rsidP="00EB38B6">
      <w:pPr>
        <w:numPr>
          <w:ilvl w:val="0"/>
          <w:numId w:val="1"/>
        </w:numPr>
        <w:jc w:val="both"/>
        <w:rPr>
          <w:rFonts w:ascii="Arial" w:hAnsi="Arial" w:cs="Arial"/>
        </w:rPr>
      </w:pPr>
      <w:r w:rsidRPr="00792A33">
        <w:rPr>
          <w:rFonts w:ascii="Arial" w:hAnsi="Arial" w:cs="Arial"/>
          <w:sz w:val="20"/>
          <w:szCs w:val="20"/>
        </w:rPr>
        <w:t>RAN1 11</w:t>
      </w:r>
      <w:r w:rsidR="00EB38B6">
        <w:rPr>
          <w:rFonts w:ascii="Arial" w:hAnsi="Arial" w:cs="Arial"/>
          <w:sz w:val="20"/>
          <w:szCs w:val="20"/>
        </w:rPr>
        <w:t xml:space="preserve">2bis Chairman note </w:t>
      </w:r>
    </w:p>
    <w:p w14:paraId="6BFB3CCD" w14:textId="77777777" w:rsidR="00240BE4" w:rsidRPr="00792A33" w:rsidRDefault="00240BE4" w:rsidP="00240BE4">
      <w:pPr>
        <w:numPr>
          <w:ilvl w:val="0"/>
          <w:numId w:val="1"/>
        </w:numPr>
        <w:jc w:val="both"/>
        <w:rPr>
          <w:rFonts w:ascii="Arial" w:hAnsi="Arial" w:cs="Arial"/>
          <w:sz w:val="20"/>
          <w:szCs w:val="20"/>
        </w:rPr>
      </w:pPr>
      <w:r w:rsidRPr="00792A33">
        <w:rPr>
          <w:rFonts w:ascii="Arial" w:hAnsi="Arial" w:cs="Arial"/>
          <w:sz w:val="20"/>
          <w:szCs w:val="20"/>
        </w:rPr>
        <w:t>RAN</w:t>
      </w:r>
      <w:r>
        <w:rPr>
          <w:rFonts w:ascii="Arial" w:hAnsi="Arial" w:cs="Arial"/>
          <w:sz w:val="20"/>
          <w:szCs w:val="20"/>
        </w:rPr>
        <w:t>1</w:t>
      </w:r>
      <w:r w:rsidRPr="00792A33">
        <w:rPr>
          <w:rFonts w:ascii="Arial" w:hAnsi="Arial" w:cs="Arial"/>
          <w:sz w:val="20"/>
          <w:szCs w:val="20"/>
        </w:rPr>
        <w:t xml:space="preserve"> 110 Meeting Chairman notes</w:t>
      </w:r>
    </w:p>
    <w:p w14:paraId="504498EB" w14:textId="77777777" w:rsidR="00240BE4" w:rsidRDefault="00240BE4" w:rsidP="00240BE4">
      <w:pPr>
        <w:pStyle w:val="Reference"/>
        <w:numPr>
          <w:ilvl w:val="0"/>
          <w:numId w:val="1"/>
        </w:numPr>
        <w:snapToGrid w:val="0"/>
        <w:spacing w:after="0"/>
        <w:ind w:left="418" w:hanging="418"/>
        <w:jc w:val="left"/>
        <w:rPr>
          <w:bCs/>
          <w:szCs w:val="20"/>
        </w:rPr>
      </w:pPr>
      <w:bookmarkStart w:id="2" w:name="_Ref118299156"/>
      <w:r w:rsidRPr="00792A33">
        <w:rPr>
          <w:bCs/>
          <w:szCs w:val="20"/>
        </w:rPr>
        <w:t>R1-2210817, Reply LS on MTTD for multi-DCI multi-TRP with two TAs, RAN4, RAN1#111, Toulouse, November 2022</w:t>
      </w:r>
      <w:bookmarkEnd w:id="2"/>
    </w:p>
    <w:p w14:paraId="67DB66E3" w14:textId="4BDCF1C1" w:rsidR="00240BE4" w:rsidRPr="00240BE4" w:rsidRDefault="00240BE4" w:rsidP="00240BE4">
      <w:pPr>
        <w:numPr>
          <w:ilvl w:val="0"/>
          <w:numId w:val="1"/>
        </w:numPr>
        <w:jc w:val="both"/>
        <w:rPr>
          <w:rFonts w:ascii="Arial" w:hAnsi="Arial" w:cs="Arial"/>
        </w:rPr>
      </w:pPr>
      <w:r w:rsidRPr="00792A33">
        <w:rPr>
          <w:rFonts w:ascii="Arial" w:hAnsi="Arial" w:cs="Arial"/>
          <w:sz w:val="20"/>
          <w:szCs w:val="20"/>
        </w:rPr>
        <w:t>RAN1 11</w:t>
      </w:r>
      <w:r>
        <w:rPr>
          <w:rFonts w:ascii="Arial" w:hAnsi="Arial" w:cs="Arial"/>
          <w:sz w:val="20"/>
          <w:szCs w:val="20"/>
        </w:rPr>
        <w:t xml:space="preserve">3 Chairman note </w:t>
      </w:r>
    </w:p>
    <w:p w14:paraId="1015DE78" w14:textId="77777777" w:rsidR="00240BE4" w:rsidRPr="000F024D" w:rsidRDefault="00240BE4" w:rsidP="00240BE4">
      <w:pPr>
        <w:ind w:left="420"/>
        <w:jc w:val="both"/>
        <w:rPr>
          <w:rFonts w:ascii="Arial" w:hAnsi="Arial" w:cs="Arial"/>
        </w:rPr>
      </w:pPr>
    </w:p>
    <w:sectPr w:rsidR="00240BE4" w:rsidRPr="000F024D" w:rsidSect="001F6C99">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34C64A" w14:textId="77777777" w:rsidR="006613D0" w:rsidRDefault="006613D0">
      <w:r>
        <w:separator/>
      </w:r>
    </w:p>
  </w:endnote>
  <w:endnote w:type="continuationSeparator" w:id="0">
    <w:p w14:paraId="6680033E" w14:textId="77777777" w:rsidR="006613D0" w:rsidRDefault="00661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Light">
    <w:panose1 w:val="020B0502040204020203"/>
    <w:charset w:val="86"/>
    <w:family w:val="swiss"/>
    <w:pitch w:val="variable"/>
    <w:sig w:usb0="80000287" w:usb1="2ACF001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287238" w14:textId="77777777" w:rsidR="006613D0" w:rsidRDefault="006613D0">
      <w:r>
        <w:separator/>
      </w:r>
    </w:p>
  </w:footnote>
  <w:footnote w:type="continuationSeparator" w:id="0">
    <w:p w14:paraId="623B0A1A" w14:textId="77777777" w:rsidR="006613D0" w:rsidRDefault="006613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A1ABC"/>
    <w:multiLevelType w:val="hybridMultilevel"/>
    <w:tmpl w:val="ABE853E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0BE265E"/>
    <w:multiLevelType w:val="multilevel"/>
    <w:tmpl w:val="1902DF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436B80"/>
    <w:multiLevelType w:val="hybridMultilevel"/>
    <w:tmpl w:val="B18A697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4056BEF"/>
    <w:multiLevelType w:val="multilevel"/>
    <w:tmpl w:val="493E682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41B31AA"/>
    <w:multiLevelType w:val="hybridMultilevel"/>
    <w:tmpl w:val="75DC002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7992AF1"/>
    <w:multiLevelType w:val="hybridMultilevel"/>
    <w:tmpl w:val="41B88C7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8D90D82"/>
    <w:multiLevelType w:val="hybridMultilevel"/>
    <w:tmpl w:val="4C18C40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B670EB3"/>
    <w:multiLevelType w:val="multilevel"/>
    <w:tmpl w:val="49D4E222"/>
    <w:lvl w:ilvl="0">
      <w:start w:val="1"/>
      <w:numFmt w:val="decimal"/>
      <w:pStyle w:val="TdocHeading1"/>
      <w:lvlText w:val="%1."/>
      <w:lvlJc w:val="left"/>
      <w:pPr>
        <w:tabs>
          <w:tab w:val="num" w:pos="720"/>
        </w:tabs>
        <w:ind w:left="720" w:hanging="720"/>
      </w:pPr>
    </w:lvl>
    <w:lvl w:ilvl="1">
      <w:start w:val="1"/>
      <w:numFmt w:val="decimal"/>
      <w:pStyle w:val="3GPPH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034437D"/>
    <w:multiLevelType w:val="hybridMultilevel"/>
    <w:tmpl w:val="122ED7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F34BC1"/>
    <w:multiLevelType w:val="hybridMultilevel"/>
    <w:tmpl w:val="8ED87F1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4CF4173"/>
    <w:multiLevelType w:val="hybridMultilevel"/>
    <w:tmpl w:val="24787EB8"/>
    <w:lvl w:ilvl="0" w:tplc="04090003">
      <w:start w:val="1"/>
      <w:numFmt w:val="bullet"/>
      <w:lvlText w:val="o"/>
      <w:lvlJc w:val="left"/>
      <w:pPr>
        <w:ind w:left="360" w:hanging="360"/>
      </w:pPr>
      <w:rPr>
        <w:rFonts w:ascii="Courier New" w:hAnsi="Courier New" w:cs="Courier New"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26DB5C2B"/>
    <w:multiLevelType w:val="multilevel"/>
    <w:tmpl w:val="6E926144"/>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Calibri" w:eastAsiaTheme="minorHAnsi" w:hAnsi="Calibri" w:cs="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77157FB"/>
    <w:multiLevelType w:val="hybridMultilevel"/>
    <w:tmpl w:val="441EBF2A"/>
    <w:lvl w:ilvl="0" w:tplc="1062DC6E">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2E413867"/>
    <w:multiLevelType w:val="hybridMultilevel"/>
    <w:tmpl w:val="34C4A194"/>
    <w:lvl w:ilvl="0" w:tplc="04090003">
      <w:start w:val="1"/>
      <w:numFmt w:val="bullet"/>
      <w:lvlText w:val="o"/>
      <w:lvlJc w:val="left"/>
      <w:pPr>
        <w:ind w:left="360" w:hanging="360"/>
      </w:pPr>
      <w:rPr>
        <w:rFonts w:ascii="Courier New" w:hAnsi="Courier New" w:cs="Courier New" w:hint="default"/>
      </w:rPr>
    </w:lvl>
    <w:lvl w:ilvl="1" w:tplc="95184670">
      <w:numFmt w:val="bullet"/>
      <w:lvlText w:val="-"/>
      <w:lvlJc w:val="left"/>
      <w:pPr>
        <w:ind w:left="36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37D7B6C"/>
    <w:multiLevelType w:val="hybridMultilevel"/>
    <w:tmpl w:val="75B64C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EB4507B"/>
    <w:multiLevelType w:val="hybridMultilevel"/>
    <w:tmpl w:val="A2E602EA"/>
    <w:lvl w:ilvl="0" w:tplc="1062DC6E">
      <w:start w:val="1"/>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155C23"/>
    <w:multiLevelType w:val="multilevel"/>
    <w:tmpl w:val="6E926144"/>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Calibri" w:eastAsiaTheme="minorHAnsi" w:hAnsi="Calibri" w:cs="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0CB45F2"/>
    <w:multiLevelType w:val="hybridMultilevel"/>
    <w:tmpl w:val="275AF0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144DD2"/>
    <w:multiLevelType w:val="multilevel"/>
    <w:tmpl w:val="58144D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3B13F21"/>
    <w:multiLevelType w:val="multilevel"/>
    <w:tmpl w:val="63B13F21"/>
    <w:lvl w:ilvl="0">
      <w:start w:val="1"/>
      <w:numFmt w:val="bullet"/>
      <w:lvlText w:val="-"/>
      <w:lvlJc w:val="left"/>
      <w:pPr>
        <w:ind w:left="360" w:hanging="360"/>
      </w:pPr>
      <w:rPr>
        <w:rFonts w:ascii="Arial" w:eastAsia="Malgun Gothic"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E0B67DF"/>
    <w:multiLevelType w:val="hybridMultilevel"/>
    <w:tmpl w:val="50007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7" w15:restartNumberingAfterBreak="0">
    <w:nsid w:val="70146DC0"/>
    <w:multiLevelType w:val="hybridMultilevel"/>
    <w:tmpl w:val="BD980D64"/>
    <w:lvl w:ilvl="0" w:tplc="32E4AD60">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8" w15:restartNumberingAfterBreak="0">
    <w:nsid w:val="74FD6AC5"/>
    <w:multiLevelType w:val="hybridMultilevel"/>
    <w:tmpl w:val="6C66110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151409599">
    <w:abstractNumId w:val="32"/>
  </w:num>
  <w:num w:numId="2" w16cid:durableId="775950945">
    <w:abstractNumId w:val="22"/>
  </w:num>
  <w:num w:numId="3" w16cid:durableId="1829443946">
    <w:abstractNumId w:val="7"/>
  </w:num>
  <w:num w:numId="4" w16cid:durableId="774908576">
    <w:abstractNumId w:val="37"/>
  </w:num>
  <w:num w:numId="5" w16cid:durableId="1080978509">
    <w:abstractNumId w:val="6"/>
  </w:num>
  <w:num w:numId="6" w16cid:durableId="1963072101">
    <w:abstractNumId w:val="36"/>
  </w:num>
  <w:num w:numId="7" w16cid:durableId="5251911">
    <w:abstractNumId w:val="28"/>
  </w:num>
  <w:num w:numId="8" w16cid:durableId="468136793">
    <w:abstractNumId w:val="3"/>
  </w:num>
  <w:num w:numId="9" w16cid:durableId="955254518">
    <w:abstractNumId w:val="16"/>
  </w:num>
  <w:num w:numId="10" w16cid:durableId="1102454232">
    <w:abstractNumId w:val="20"/>
  </w:num>
  <w:num w:numId="11" w16cid:durableId="249388093">
    <w:abstractNumId w:val="25"/>
  </w:num>
  <w:num w:numId="12" w16cid:durableId="1617564302">
    <w:abstractNumId w:val="24"/>
  </w:num>
  <w:num w:numId="13" w16cid:durableId="774445314">
    <w:abstractNumId w:val="13"/>
  </w:num>
  <w:num w:numId="14" w16cid:durableId="1478840111">
    <w:abstractNumId w:val="8"/>
  </w:num>
  <w:num w:numId="15" w16cid:durableId="523714013">
    <w:abstractNumId w:val="26"/>
  </w:num>
  <w:num w:numId="16" w16cid:durableId="2131432209">
    <w:abstractNumId w:val="17"/>
  </w:num>
  <w:num w:numId="17" w16cid:durableId="30425370">
    <w:abstractNumId w:val="38"/>
  </w:num>
  <w:num w:numId="18" w16cid:durableId="857357148">
    <w:abstractNumId w:val="33"/>
  </w:num>
  <w:num w:numId="19" w16cid:durableId="1185168470">
    <w:abstractNumId w:val="2"/>
  </w:num>
  <w:num w:numId="20" w16cid:durableId="572620473">
    <w:abstractNumId w:val="9"/>
  </w:num>
  <w:num w:numId="21" w16cid:durableId="1696540518">
    <w:abstractNumId w:val="0"/>
  </w:num>
  <w:num w:numId="22" w16cid:durableId="561990774">
    <w:abstractNumId w:val="31"/>
  </w:num>
  <w:num w:numId="23" w16cid:durableId="1321424776">
    <w:abstractNumId w:val="15"/>
  </w:num>
  <w:num w:numId="24" w16cid:durableId="642588540">
    <w:abstractNumId w:val="12"/>
  </w:num>
  <w:num w:numId="25" w16cid:durableId="227309444">
    <w:abstractNumId w:val="23"/>
  </w:num>
  <w:num w:numId="26" w16cid:durableId="721289497">
    <w:abstractNumId w:val="19"/>
  </w:num>
  <w:num w:numId="27" w16cid:durableId="411045378">
    <w:abstractNumId w:val="11"/>
  </w:num>
  <w:num w:numId="28" w16cid:durableId="1573344447">
    <w:abstractNumId w:val="14"/>
  </w:num>
  <w:num w:numId="29" w16cid:durableId="204371133">
    <w:abstractNumId w:val="18"/>
  </w:num>
  <w:num w:numId="30" w16cid:durableId="402263810">
    <w:abstractNumId w:val="35"/>
  </w:num>
  <w:num w:numId="31" w16cid:durableId="510224783">
    <w:abstractNumId w:val="29"/>
  </w:num>
  <w:num w:numId="32" w16cid:durableId="853501122">
    <w:abstractNumId w:val="27"/>
  </w:num>
  <w:num w:numId="33" w16cid:durableId="1195923195">
    <w:abstractNumId w:val="34"/>
  </w:num>
  <w:num w:numId="34" w16cid:durableId="47609914">
    <w:abstractNumId w:val="10"/>
  </w:num>
  <w:num w:numId="35" w16cid:durableId="1210724604">
    <w:abstractNumId w:val="1"/>
  </w:num>
  <w:num w:numId="36" w16cid:durableId="1607225224">
    <w:abstractNumId w:val="31"/>
  </w:num>
  <w:num w:numId="37" w16cid:durableId="2025937412">
    <w:abstractNumId w:val="21"/>
  </w:num>
  <w:num w:numId="38" w16cid:durableId="1630889743">
    <w:abstractNumId w:val="5"/>
  </w:num>
  <w:num w:numId="39" w16cid:durableId="1112554586">
    <w:abstractNumId w:val="4"/>
  </w:num>
  <w:num w:numId="40" w16cid:durableId="1116800964">
    <w:abstractNumId w:val="3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1268"/>
    <w:rsid w:val="000017D8"/>
    <w:rsid w:val="00001C08"/>
    <w:rsid w:val="00003895"/>
    <w:rsid w:val="000056D1"/>
    <w:rsid w:val="00005A6F"/>
    <w:rsid w:val="000069B9"/>
    <w:rsid w:val="00006EAB"/>
    <w:rsid w:val="00007165"/>
    <w:rsid w:val="00011E0A"/>
    <w:rsid w:val="00011FFE"/>
    <w:rsid w:val="00012BBC"/>
    <w:rsid w:val="000130D1"/>
    <w:rsid w:val="00014F16"/>
    <w:rsid w:val="00015206"/>
    <w:rsid w:val="00016535"/>
    <w:rsid w:val="00020AB8"/>
    <w:rsid w:val="00024423"/>
    <w:rsid w:val="000254A0"/>
    <w:rsid w:val="00025639"/>
    <w:rsid w:val="00026B6B"/>
    <w:rsid w:val="00026F2D"/>
    <w:rsid w:val="0003157B"/>
    <w:rsid w:val="000324AE"/>
    <w:rsid w:val="00033DE3"/>
    <w:rsid w:val="000353CB"/>
    <w:rsid w:val="0003574F"/>
    <w:rsid w:val="00036824"/>
    <w:rsid w:val="00036A8A"/>
    <w:rsid w:val="000370A0"/>
    <w:rsid w:val="000402EC"/>
    <w:rsid w:val="00041822"/>
    <w:rsid w:val="000419A5"/>
    <w:rsid w:val="00041E24"/>
    <w:rsid w:val="00042017"/>
    <w:rsid w:val="00042E35"/>
    <w:rsid w:val="00043671"/>
    <w:rsid w:val="00043EA5"/>
    <w:rsid w:val="000457C9"/>
    <w:rsid w:val="00046713"/>
    <w:rsid w:val="0005095F"/>
    <w:rsid w:val="00050CC7"/>
    <w:rsid w:val="00054944"/>
    <w:rsid w:val="00054A17"/>
    <w:rsid w:val="0005558B"/>
    <w:rsid w:val="00055D9E"/>
    <w:rsid w:val="00057030"/>
    <w:rsid w:val="000602C9"/>
    <w:rsid w:val="000617C2"/>
    <w:rsid w:val="00062579"/>
    <w:rsid w:val="00062A03"/>
    <w:rsid w:val="00063FE0"/>
    <w:rsid w:val="00064366"/>
    <w:rsid w:val="00065514"/>
    <w:rsid w:val="0006735F"/>
    <w:rsid w:val="00067A06"/>
    <w:rsid w:val="00067F48"/>
    <w:rsid w:val="00067FD7"/>
    <w:rsid w:val="00070448"/>
    <w:rsid w:val="00070B61"/>
    <w:rsid w:val="000722C9"/>
    <w:rsid w:val="000729CD"/>
    <w:rsid w:val="0007538E"/>
    <w:rsid w:val="00075A03"/>
    <w:rsid w:val="00075D7F"/>
    <w:rsid w:val="00076042"/>
    <w:rsid w:val="0007709B"/>
    <w:rsid w:val="00077AAF"/>
    <w:rsid w:val="00080F63"/>
    <w:rsid w:val="00081549"/>
    <w:rsid w:val="000815E9"/>
    <w:rsid w:val="00081727"/>
    <w:rsid w:val="000829D6"/>
    <w:rsid w:val="0008305E"/>
    <w:rsid w:val="000832D7"/>
    <w:rsid w:val="000833FC"/>
    <w:rsid w:val="00084AEC"/>
    <w:rsid w:val="00084F1B"/>
    <w:rsid w:val="00085C69"/>
    <w:rsid w:val="000868EE"/>
    <w:rsid w:val="00087945"/>
    <w:rsid w:val="00091FB3"/>
    <w:rsid w:val="00093A51"/>
    <w:rsid w:val="000940EB"/>
    <w:rsid w:val="00094241"/>
    <w:rsid w:val="00094B8C"/>
    <w:rsid w:val="0009535C"/>
    <w:rsid w:val="00095DA3"/>
    <w:rsid w:val="000973B9"/>
    <w:rsid w:val="000A1396"/>
    <w:rsid w:val="000A1780"/>
    <w:rsid w:val="000A26CE"/>
    <w:rsid w:val="000A2899"/>
    <w:rsid w:val="000A2DF1"/>
    <w:rsid w:val="000A3433"/>
    <w:rsid w:val="000A416F"/>
    <w:rsid w:val="000A4581"/>
    <w:rsid w:val="000A4785"/>
    <w:rsid w:val="000A573F"/>
    <w:rsid w:val="000A6B9F"/>
    <w:rsid w:val="000A6E18"/>
    <w:rsid w:val="000A7690"/>
    <w:rsid w:val="000A76C8"/>
    <w:rsid w:val="000B0059"/>
    <w:rsid w:val="000B0572"/>
    <w:rsid w:val="000B2B28"/>
    <w:rsid w:val="000B309B"/>
    <w:rsid w:val="000B3A78"/>
    <w:rsid w:val="000B658A"/>
    <w:rsid w:val="000C0C40"/>
    <w:rsid w:val="000C1200"/>
    <w:rsid w:val="000C1F78"/>
    <w:rsid w:val="000C2B74"/>
    <w:rsid w:val="000C2C4D"/>
    <w:rsid w:val="000C62FE"/>
    <w:rsid w:val="000C641D"/>
    <w:rsid w:val="000C689C"/>
    <w:rsid w:val="000D16AA"/>
    <w:rsid w:val="000D274E"/>
    <w:rsid w:val="000D479C"/>
    <w:rsid w:val="000D65F9"/>
    <w:rsid w:val="000D7ED1"/>
    <w:rsid w:val="000E190D"/>
    <w:rsid w:val="000E2B11"/>
    <w:rsid w:val="000E50CC"/>
    <w:rsid w:val="000E5B07"/>
    <w:rsid w:val="000E5C5C"/>
    <w:rsid w:val="000E675F"/>
    <w:rsid w:val="000E71EB"/>
    <w:rsid w:val="000F024D"/>
    <w:rsid w:val="000F0511"/>
    <w:rsid w:val="000F0D14"/>
    <w:rsid w:val="000F0F86"/>
    <w:rsid w:val="000F1171"/>
    <w:rsid w:val="000F1C67"/>
    <w:rsid w:val="000F2757"/>
    <w:rsid w:val="000F2FCE"/>
    <w:rsid w:val="000F649F"/>
    <w:rsid w:val="000F760B"/>
    <w:rsid w:val="001009F9"/>
    <w:rsid w:val="00101F9D"/>
    <w:rsid w:val="0010212F"/>
    <w:rsid w:val="00102F82"/>
    <w:rsid w:val="00103353"/>
    <w:rsid w:val="00104391"/>
    <w:rsid w:val="00105F6A"/>
    <w:rsid w:val="0010617E"/>
    <w:rsid w:val="001071B2"/>
    <w:rsid w:val="00107B65"/>
    <w:rsid w:val="00110569"/>
    <w:rsid w:val="00112563"/>
    <w:rsid w:val="00112BCA"/>
    <w:rsid w:val="001134AA"/>
    <w:rsid w:val="00113889"/>
    <w:rsid w:val="0011531B"/>
    <w:rsid w:val="001156E0"/>
    <w:rsid w:val="00116BF5"/>
    <w:rsid w:val="001202FA"/>
    <w:rsid w:val="00120D6A"/>
    <w:rsid w:val="0012288A"/>
    <w:rsid w:val="00123BBD"/>
    <w:rsid w:val="001258B7"/>
    <w:rsid w:val="00126F4F"/>
    <w:rsid w:val="00127542"/>
    <w:rsid w:val="00131EDC"/>
    <w:rsid w:val="001333E9"/>
    <w:rsid w:val="0013615E"/>
    <w:rsid w:val="00136C45"/>
    <w:rsid w:val="0013741B"/>
    <w:rsid w:val="00137FAF"/>
    <w:rsid w:val="00141351"/>
    <w:rsid w:val="00141FAE"/>
    <w:rsid w:val="00143B58"/>
    <w:rsid w:val="00144371"/>
    <w:rsid w:val="00145D3A"/>
    <w:rsid w:val="00146561"/>
    <w:rsid w:val="00146724"/>
    <w:rsid w:val="00146D20"/>
    <w:rsid w:val="0014729A"/>
    <w:rsid w:val="0014730F"/>
    <w:rsid w:val="00147B25"/>
    <w:rsid w:val="00147B78"/>
    <w:rsid w:val="001504AD"/>
    <w:rsid w:val="0015173E"/>
    <w:rsid w:val="00152571"/>
    <w:rsid w:val="00152B5A"/>
    <w:rsid w:val="00153144"/>
    <w:rsid w:val="00153667"/>
    <w:rsid w:val="00156BDC"/>
    <w:rsid w:val="00156FAA"/>
    <w:rsid w:val="0015788A"/>
    <w:rsid w:val="0016001C"/>
    <w:rsid w:val="001607B5"/>
    <w:rsid w:val="00160D18"/>
    <w:rsid w:val="001614D0"/>
    <w:rsid w:val="00161D42"/>
    <w:rsid w:val="001625DE"/>
    <w:rsid w:val="0016337B"/>
    <w:rsid w:val="00164DCB"/>
    <w:rsid w:val="00165011"/>
    <w:rsid w:val="00170C59"/>
    <w:rsid w:val="00170DFE"/>
    <w:rsid w:val="0017286E"/>
    <w:rsid w:val="001735E8"/>
    <w:rsid w:val="00173C97"/>
    <w:rsid w:val="00176912"/>
    <w:rsid w:val="00176EE9"/>
    <w:rsid w:val="0017759A"/>
    <w:rsid w:val="00177AA3"/>
    <w:rsid w:val="00180A24"/>
    <w:rsid w:val="00180C2B"/>
    <w:rsid w:val="00181D34"/>
    <w:rsid w:val="0018203C"/>
    <w:rsid w:val="0018231D"/>
    <w:rsid w:val="00182661"/>
    <w:rsid w:val="00183D1D"/>
    <w:rsid w:val="00184909"/>
    <w:rsid w:val="00185856"/>
    <w:rsid w:val="00185D56"/>
    <w:rsid w:val="00187556"/>
    <w:rsid w:val="001910D7"/>
    <w:rsid w:val="00191450"/>
    <w:rsid w:val="001916DC"/>
    <w:rsid w:val="001917E6"/>
    <w:rsid w:val="00192292"/>
    <w:rsid w:val="00192DAB"/>
    <w:rsid w:val="00194872"/>
    <w:rsid w:val="001949AF"/>
    <w:rsid w:val="00197DDB"/>
    <w:rsid w:val="001A000F"/>
    <w:rsid w:val="001A028F"/>
    <w:rsid w:val="001A05A3"/>
    <w:rsid w:val="001A1186"/>
    <w:rsid w:val="001A255D"/>
    <w:rsid w:val="001A3D5B"/>
    <w:rsid w:val="001A4971"/>
    <w:rsid w:val="001A6615"/>
    <w:rsid w:val="001A6646"/>
    <w:rsid w:val="001A6791"/>
    <w:rsid w:val="001A69E0"/>
    <w:rsid w:val="001B12E0"/>
    <w:rsid w:val="001B15A0"/>
    <w:rsid w:val="001B179E"/>
    <w:rsid w:val="001B1900"/>
    <w:rsid w:val="001B61D1"/>
    <w:rsid w:val="001B7CEB"/>
    <w:rsid w:val="001C09E0"/>
    <w:rsid w:val="001C0DA0"/>
    <w:rsid w:val="001C315E"/>
    <w:rsid w:val="001C3EF1"/>
    <w:rsid w:val="001C4118"/>
    <w:rsid w:val="001C5C89"/>
    <w:rsid w:val="001C6663"/>
    <w:rsid w:val="001C72E7"/>
    <w:rsid w:val="001D0693"/>
    <w:rsid w:val="001D0698"/>
    <w:rsid w:val="001D0F43"/>
    <w:rsid w:val="001D334C"/>
    <w:rsid w:val="001D3E2B"/>
    <w:rsid w:val="001D3EA3"/>
    <w:rsid w:val="001D4797"/>
    <w:rsid w:val="001D504A"/>
    <w:rsid w:val="001D61C1"/>
    <w:rsid w:val="001D657E"/>
    <w:rsid w:val="001D681E"/>
    <w:rsid w:val="001E07C4"/>
    <w:rsid w:val="001E0BBB"/>
    <w:rsid w:val="001E1E2F"/>
    <w:rsid w:val="001E418A"/>
    <w:rsid w:val="001E53B7"/>
    <w:rsid w:val="001E5686"/>
    <w:rsid w:val="001E7186"/>
    <w:rsid w:val="001F0B33"/>
    <w:rsid w:val="001F0DAD"/>
    <w:rsid w:val="001F20D8"/>
    <w:rsid w:val="001F26A1"/>
    <w:rsid w:val="001F2DB1"/>
    <w:rsid w:val="001F4FB6"/>
    <w:rsid w:val="001F6C99"/>
    <w:rsid w:val="001F7067"/>
    <w:rsid w:val="002002D4"/>
    <w:rsid w:val="00201F95"/>
    <w:rsid w:val="002028B1"/>
    <w:rsid w:val="00203A90"/>
    <w:rsid w:val="00204D5B"/>
    <w:rsid w:val="00204FE3"/>
    <w:rsid w:val="002053BF"/>
    <w:rsid w:val="00205715"/>
    <w:rsid w:val="0020711C"/>
    <w:rsid w:val="00210B2D"/>
    <w:rsid w:val="00210E7F"/>
    <w:rsid w:val="002114A9"/>
    <w:rsid w:val="00212557"/>
    <w:rsid w:val="002125A4"/>
    <w:rsid w:val="00212B85"/>
    <w:rsid w:val="00214320"/>
    <w:rsid w:val="00215DF0"/>
    <w:rsid w:val="002163BA"/>
    <w:rsid w:val="0021654D"/>
    <w:rsid w:val="00216AAA"/>
    <w:rsid w:val="00217655"/>
    <w:rsid w:val="0021795B"/>
    <w:rsid w:val="0022134D"/>
    <w:rsid w:val="002217A9"/>
    <w:rsid w:val="002224A7"/>
    <w:rsid w:val="002259B3"/>
    <w:rsid w:val="00225A84"/>
    <w:rsid w:val="00225C41"/>
    <w:rsid w:val="002265C7"/>
    <w:rsid w:val="00230A52"/>
    <w:rsid w:val="00231D54"/>
    <w:rsid w:val="00233D51"/>
    <w:rsid w:val="0023553D"/>
    <w:rsid w:val="0023735D"/>
    <w:rsid w:val="0023776F"/>
    <w:rsid w:val="00237A48"/>
    <w:rsid w:val="00240384"/>
    <w:rsid w:val="00240BE4"/>
    <w:rsid w:val="00241BA9"/>
    <w:rsid w:val="00242656"/>
    <w:rsid w:val="00242992"/>
    <w:rsid w:val="00244500"/>
    <w:rsid w:val="00246987"/>
    <w:rsid w:val="002472CD"/>
    <w:rsid w:val="00251C1D"/>
    <w:rsid w:val="00251D91"/>
    <w:rsid w:val="002527A7"/>
    <w:rsid w:val="0025345C"/>
    <w:rsid w:val="00254B2F"/>
    <w:rsid w:val="002555E0"/>
    <w:rsid w:val="002575CE"/>
    <w:rsid w:val="00260B38"/>
    <w:rsid w:val="002623A4"/>
    <w:rsid w:val="00262722"/>
    <w:rsid w:val="00262AD8"/>
    <w:rsid w:val="00263B80"/>
    <w:rsid w:val="00264BFF"/>
    <w:rsid w:val="002663D4"/>
    <w:rsid w:val="00266655"/>
    <w:rsid w:val="00266A7E"/>
    <w:rsid w:val="00270774"/>
    <w:rsid w:val="00271393"/>
    <w:rsid w:val="00272E2E"/>
    <w:rsid w:val="00273D2B"/>
    <w:rsid w:val="002753C6"/>
    <w:rsid w:val="00275A4E"/>
    <w:rsid w:val="00275E96"/>
    <w:rsid w:val="00276817"/>
    <w:rsid w:val="00277E08"/>
    <w:rsid w:val="00280EE1"/>
    <w:rsid w:val="002821AD"/>
    <w:rsid w:val="00284187"/>
    <w:rsid w:val="00284A29"/>
    <w:rsid w:val="0028649D"/>
    <w:rsid w:val="00287964"/>
    <w:rsid w:val="00287E7B"/>
    <w:rsid w:val="00290461"/>
    <w:rsid w:val="00291156"/>
    <w:rsid w:val="0029263B"/>
    <w:rsid w:val="00292B97"/>
    <w:rsid w:val="00292CDE"/>
    <w:rsid w:val="002939BA"/>
    <w:rsid w:val="002945F0"/>
    <w:rsid w:val="00296644"/>
    <w:rsid w:val="00297131"/>
    <w:rsid w:val="00297FC4"/>
    <w:rsid w:val="002A0CDF"/>
    <w:rsid w:val="002A2F47"/>
    <w:rsid w:val="002A321A"/>
    <w:rsid w:val="002A335A"/>
    <w:rsid w:val="002A63ED"/>
    <w:rsid w:val="002B18C2"/>
    <w:rsid w:val="002B3BC5"/>
    <w:rsid w:val="002B3BD7"/>
    <w:rsid w:val="002B3C32"/>
    <w:rsid w:val="002B459E"/>
    <w:rsid w:val="002C111B"/>
    <w:rsid w:val="002C1749"/>
    <w:rsid w:val="002C37C6"/>
    <w:rsid w:val="002C4184"/>
    <w:rsid w:val="002C576D"/>
    <w:rsid w:val="002C5C74"/>
    <w:rsid w:val="002C5EFD"/>
    <w:rsid w:val="002D14A1"/>
    <w:rsid w:val="002D3515"/>
    <w:rsid w:val="002D55B3"/>
    <w:rsid w:val="002D6ACE"/>
    <w:rsid w:val="002D7EE6"/>
    <w:rsid w:val="002E05FB"/>
    <w:rsid w:val="002E13A5"/>
    <w:rsid w:val="002E287A"/>
    <w:rsid w:val="002E2FF2"/>
    <w:rsid w:val="002E4F38"/>
    <w:rsid w:val="002F245F"/>
    <w:rsid w:val="002F288B"/>
    <w:rsid w:val="002F4906"/>
    <w:rsid w:val="002F4B97"/>
    <w:rsid w:val="002F5491"/>
    <w:rsid w:val="002F577B"/>
    <w:rsid w:val="002F6F2F"/>
    <w:rsid w:val="002F70F5"/>
    <w:rsid w:val="002F71D5"/>
    <w:rsid w:val="00300B2D"/>
    <w:rsid w:val="00300F01"/>
    <w:rsid w:val="00301551"/>
    <w:rsid w:val="00301D32"/>
    <w:rsid w:val="00302CA0"/>
    <w:rsid w:val="00302CCE"/>
    <w:rsid w:val="003071EC"/>
    <w:rsid w:val="003103EE"/>
    <w:rsid w:val="00310E5C"/>
    <w:rsid w:val="00311566"/>
    <w:rsid w:val="0031205C"/>
    <w:rsid w:val="0031323F"/>
    <w:rsid w:val="003138E5"/>
    <w:rsid w:val="00313D23"/>
    <w:rsid w:val="0031486F"/>
    <w:rsid w:val="003151A7"/>
    <w:rsid w:val="00315D38"/>
    <w:rsid w:val="0031614D"/>
    <w:rsid w:val="00317BCE"/>
    <w:rsid w:val="00320679"/>
    <w:rsid w:val="00322045"/>
    <w:rsid w:val="003248B1"/>
    <w:rsid w:val="003250E2"/>
    <w:rsid w:val="003250F7"/>
    <w:rsid w:val="00325359"/>
    <w:rsid w:val="00326838"/>
    <w:rsid w:val="00327A0E"/>
    <w:rsid w:val="0033036B"/>
    <w:rsid w:val="00330585"/>
    <w:rsid w:val="003320C1"/>
    <w:rsid w:val="0033210C"/>
    <w:rsid w:val="0033211D"/>
    <w:rsid w:val="00334B81"/>
    <w:rsid w:val="00334BE9"/>
    <w:rsid w:val="0033685C"/>
    <w:rsid w:val="003410D4"/>
    <w:rsid w:val="003411B4"/>
    <w:rsid w:val="003412CB"/>
    <w:rsid w:val="003419D5"/>
    <w:rsid w:val="00344210"/>
    <w:rsid w:val="00344E67"/>
    <w:rsid w:val="00347393"/>
    <w:rsid w:val="0035380E"/>
    <w:rsid w:val="003545E1"/>
    <w:rsid w:val="003545EE"/>
    <w:rsid w:val="003561A1"/>
    <w:rsid w:val="003577A8"/>
    <w:rsid w:val="00360055"/>
    <w:rsid w:val="00360306"/>
    <w:rsid w:val="003615F5"/>
    <w:rsid w:val="00363A68"/>
    <w:rsid w:val="00363BBA"/>
    <w:rsid w:val="0036562B"/>
    <w:rsid w:val="00365B4A"/>
    <w:rsid w:val="00366323"/>
    <w:rsid w:val="0036696E"/>
    <w:rsid w:val="0037105F"/>
    <w:rsid w:val="003717CF"/>
    <w:rsid w:val="0037197F"/>
    <w:rsid w:val="003731A2"/>
    <w:rsid w:val="003738FB"/>
    <w:rsid w:val="0037444B"/>
    <w:rsid w:val="00376DB8"/>
    <w:rsid w:val="00377C96"/>
    <w:rsid w:val="00377EB8"/>
    <w:rsid w:val="00380CBC"/>
    <w:rsid w:val="00380F64"/>
    <w:rsid w:val="00381A32"/>
    <w:rsid w:val="00382208"/>
    <w:rsid w:val="0038234A"/>
    <w:rsid w:val="003839DD"/>
    <w:rsid w:val="00384531"/>
    <w:rsid w:val="003849A5"/>
    <w:rsid w:val="00385568"/>
    <w:rsid w:val="003871BF"/>
    <w:rsid w:val="00390D74"/>
    <w:rsid w:val="0039172F"/>
    <w:rsid w:val="00391B0F"/>
    <w:rsid w:val="00391CB7"/>
    <w:rsid w:val="00392314"/>
    <w:rsid w:val="003927F5"/>
    <w:rsid w:val="00393072"/>
    <w:rsid w:val="00393457"/>
    <w:rsid w:val="00393809"/>
    <w:rsid w:val="003970BC"/>
    <w:rsid w:val="00397972"/>
    <w:rsid w:val="003A027A"/>
    <w:rsid w:val="003A04D1"/>
    <w:rsid w:val="003A2C99"/>
    <w:rsid w:val="003A310B"/>
    <w:rsid w:val="003A38F2"/>
    <w:rsid w:val="003A51E5"/>
    <w:rsid w:val="003A7EF8"/>
    <w:rsid w:val="003B03BE"/>
    <w:rsid w:val="003B0E02"/>
    <w:rsid w:val="003B30E4"/>
    <w:rsid w:val="003B3132"/>
    <w:rsid w:val="003B32E0"/>
    <w:rsid w:val="003B38EA"/>
    <w:rsid w:val="003B3CDC"/>
    <w:rsid w:val="003B62F0"/>
    <w:rsid w:val="003B6437"/>
    <w:rsid w:val="003B6CDF"/>
    <w:rsid w:val="003B7BE8"/>
    <w:rsid w:val="003C4E70"/>
    <w:rsid w:val="003C5D14"/>
    <w:rsid w:val="003C5E3B"/>
    <w:rsid w:val="003C626F"/>
    <w:rsid w:val="003C69D6"/>
    <w:rsid w:val="003C6EA8"/>
    <w:rsid w:val="003C70B9"/>
    <w:rsid w:val="003C73A0"/>
    <w:rsid w:val="003D05A0"/>
    <w:rsid w:val="003D074A"/>
    <w:rsid w:val="003D12CE"/>
    <w:rsid w:val="003D1964"/>
    <w:rsid w:val="003D25FE"/>
    <w:rsid w:val="003D2879"/>
    <w:rsid w:val="003D2C5E"/>
    <w:rsid w:val="003D33B3"/>
    <w:rsid w:val="003D38F9"/>
    <w:rsid w:val="003D4D61"/>
    <w:rsid w:val="003D4EC5"/>
    <w:rsid w:val="003D5991"/>
    <w:rsid w:val="003D5D41"/>
    <w:rsid w:val="003D5FA1"/>
    <w:rsid w:val="003D7193"/>
    <w:rsid w:val="003E1711"/>
    <w:rsid w:val="003E3B46"/>
    <w:rsid w:val="003E4C42"/>
    <w:rsid w:val="003E5619"/>
    <w:rsid w:val="003E59A3"/>
    <w:rsid w:val="003E603B"/>
    <w:rsid w:val="003E639D"/>
    <w:rsid w:val="003F0EA8"/>
    <w:rsid w:val="003F1A7A"/>
    <w:rsid w:val="003F1B5F"/>
    <w:rsid w:val="003F1BB5"/>
    <w:rsid w:val="003F25CC"/>
    <w:rsid w:val="003F2794"/>
    <w:rsid w:val="003F35C9"/>
    <w:rsid w:val="003F40E5"/>
    <w:rsid w:val="003F4368"/>
    <w:rsid w:val="003F4726"/>
    <w:rsid w:val="003F5ACC"/>
    <w:rsid w:val="003F5D0E"/>
    <w:rsid w:val="003F6621"/>
    <w:rsid w:val="003F6A87"/>
    <w:rsid w:val="003F6DAB"/>
    <w:rsid w:val="003F731B"/>
    <w:rsid w:val="00400B04"/>
    <w:rsid w:val="00400CE6"/>
    <w:rsid w:val="00401172"/>
    <w:rsid w:val="004029A8"/>
    <w:rsid w:val="00403BC5"/>
    <w:rsid w:val="00404931"/>
    <w:rsid w:val="00404C4B"/>
    <w:rsid w:val="004054A9"/>
    <w:rsid w:val="004056A0"/>
    <w:rsid w:val="00405A83"/>
    <w:rsid w:val="00405C2E"/>
    <w:rsid w:val="00407E8A"/>
    <w:rsid w:val="0041001B"/>
    <w:rsid w:val="00411BF4"/>
    <w:rsid w:val="0041206D"/>
    <w:rsid w:val="0041403C"/>
    <w:rsid w:val="00414A70"/>
    <w:rsid w:val="00414F5D"/>
    <w:rsid w:val="0041601D"/>
    <w:rsid w:val="00416BBA"/>
    <w:rsid w:val="00420296"/>
    <w:rsid w:val="00420A2E"/>
    <w:rsid w:val="004229CC"/>
    <w:rsid w:val="0042460F"/>
    <w:rsid w:val="00424F8C"/>
    <w:rsid w:val="00425A8E"/>
    <w:rsid w:val="00430460"/>
    <w:rsid w:val="00431C40"/>
    <w:rsid w:val="0043275C"/>
    <w:rsid w:val="00433863"/>
    <w:rsid w:val="0043436D"/>
    <w:rsid w:val="004407F9"/>
    <w:rsid w:val="0044081E"/>
    <w:rsid w:val="004408E0"/>
    <w:rsid w:val="00440D11"/>
    <w:rsid w:val="0044104F"/>
    <w:rsid w:val="00441AAF"/>
    <w:rsid w:val="00443035"/>
    <w:rsid w:val="00443491"/>
    <w:rsid w:val="00443D4F"/>
    <w:rsid w:val="004458C1"/>
    <w:rsid w:val="00445FFE"/>
    <w:rsid w:val="00447402"/>
    <w:rsid w:val="004519E5"/>
    <w:rsid w:val="00451A81"/>
    <w:rsid w:val="004528CC"/>
    <w:rsid w:val="004548E6"/>
    <w:rsid w:val="00456024"/>
    <w:rsid w:val="00460486"/>
    <w:rsid w:val="004611B2"/>
    <w:rsid w:val="004655DA"/>
    <w:rsid w:val="00465821"/>
    <w:rsid w:val="00466178"/>
    <w:rsid w:val="00466B3D"/>
    <w:rsid w:val="00467F8A"/>
    <w:rsid w:val="00471A02"/>
    <w:rsid w:val="0047272B"/>
    <w:rsid w:val="00472833"/>
    <w:rsid w:val="00473384"/>
    <w:rsid w:val="00473F4C"/>
    <w:rsid w:val="0047421E"/>
    <w:rsid w:val="0047717F"/>
    <w:rsid w:val="00477625"/>
    <w:rsid w:val="004776A3"/>
    <w:rsid w:val="00477855"/>
    <w:rsid w:val="0047792E"/>
    <w:rsid w:val="0048043C"/>
    <w:rsid w:val="004819B6"/>
    <w:rsid w:val="00481D61"/>
    <w:rsid w:val="00482A10"/>
    <w:rsid w:val="00483DD4"/>
    <w:rsid w:val="00483E85"/>
    <w:rsid w:val="00484947"/>
    <w:rsid w:val="00485C82"/>
    <w:rsid w:val="0048742C"/>
    <w:rsid w:val="00492E26"/>
    <w:rsid w:val="00493105"/>
    <w:rsid w:val="00493F74"/>
    <w:rsid w:val="004947CB"/>
    <w:rsid w:val="0049534F"/>
    <w:rsid w:val="0049619C"/>
    <w:rsid w:val="004A05E3"/>
    <w:rsid w:val="004A1058"/>
    <w:rsid w:val="004A1C65"/>
    <w:rsid w:val="004A2B23"/>
    <w:rsid w:val="004A2E57"/>
    <w:rsid w:val="004A3BB4"/>
    <w:rsid w:val="004A6250"/>
    <w:rsid w:val="004A74FB"/>
    <w:rsid w:val="004B3611"/>
    <w:rsid w:val="004B5169"/>
    <w:rsid w:val="004B5CBF"/>
    <w:rsid w:val="004B5E12"/>
    <w:rsid w:val="004B61FD"/>
    <w:rsid w:val="004B6315"/>
    <w:rsid w:val="004B6A44"/>
    <w:rsid w:val="004B6C9A"/>
    <w:rsid w:val="004B6F98"/>
    <w:rsid w:val="004C01A0"/>
    <w:rsid w:val="004C0437"/>
    <w:rsid w:val="004C2719"/>
    <w:rsid w:val="004C4071"/>
    <w:rsid w:val="004C49E0"/>
    <w:rsid w:val="004C5620"/>
    <w:rsid w:val="004C67E2"/>
    <w:rsid w:val="004C73D1"/>
    <w:rsid w:val="004D0C7A"/>
    <w:rsid w:val="004D22B0"/>
    <w:rsid w:val="004D2995"/>
    <w:rsid w:val="004D2DC9"/>
    <w:rsid w:val="004D3D09"/>
    <w:rsid w:val="004D40BD"/>
    <w:rsid w:val="004D448C"/>
    <w:rsid w:val="004D4E87"/>
    <w:rsid w:val="004E0663"/>
    <w:rsid w:val="004E0A0C"/>
    <w:rsid w:val="004E0AC9"/>
    <w:rsid w:val="004E14EC"/>
    <w:rsid w:val="004E155E"/>
    <w:rsid w:val="004E227A"/>
    <w:rsid w:val="004E2AC5"/>
    <w:rsid w:val="004E2F53"/>
    <w:rsid w:val="004E2FA1"/>
    <w:rsid w:val="004E416D"/>
    <w:rsid w:val="004E4BDF"/>
    <w:rsid w:val="004E6454"/>
    <w:rsid w:val="004E6EA9"/>
    <w:rsid w:val="004E774D"/>
    <w:rsid w:val="004E7CCF"/>
    <w:rsid w:val="004E7E84"/>
    <w:rsid w:val="004F2023"/>
    <w:rsid w:val="004F240D"/>
    <w:rsid w:val="004F2424"/>
    <w:rsid w:val="004F2443"/>
    <w:rsid w:val="004F28A4"/>
    <w:rsid w:val="004F2F7E"/>
    <w:rsid w:val="004F3C59"/>
    <w:rsid w:val="004F414C"/>
    <w:rsid w:val="004F5218"/>
    <w:rsid w:val="004F59CE"/>
    <w:rsid w:val="004F6179"/>
    <w:rsid w:val="004F62E9"/>
    <w:rsid w:val="004F6AE2"/>
    <w:rsid w:val="004F79E4"/>
    <w:rsid w:val="00500649"/>
    <w:rsid w:val="0050071A"/>
    <w:rsid w:val="00501D54"/>
    <w:rsid w:val="00503198"/>
    <w:rsid w:val="0050499B"/>
    <w:rsid w:val="005054DE"/>
    <w:rsid w:val="00507777"/>
    <w:rsid w:val="005077DB"/>
    <w:rsid w:val="00510C1E"/>
    <w:rsid w:val="00512C6C"/>
    <w:rsid w:val="005135D9"/>
    <w:rsid w:val="005146E6"/>
    <w:rsid w:val="00515477"/>
    <w:rsid w:val="00516B2E"/>
    <w:rsid w:val="00517154"/>
    <w:rsid w:val="00517BA0"/>
    <w:rsid w:val="00520A3E"/>
    <w:rsid w:val="00520D3B"/>
    <w:rsid w:val="0052202B"/>
    <w:rsid w:val="00523A3D"/>
    <w:rsid w:val="005252BB"/>
    <w:rsid w:val="00525663"/>
    <w:rsid w:val="00525C44"/>
    <w:rsid w:val="005263EF"/>
    <w:rsid w:val="00530B4A"/>
    <w:rsid w:val="00530B8E"/>
    <w:rsid w:val="005324DC"/>
    <w:rsid w:val="00532C35"/>
    <w:rsid w:val="00534AE9"/>
    <w:rsid w:val="00535CEC"/>
    <w:rsid w:val="00535EF4"/>
    <w:rsid w:val="00537476"/>
    <w:rsid w:val="00540A66"/>
    <w:rsid w:val="0054284B"/>
    <w:rsid w:val="00543C26"/>
    <w:rsid w:val="00544BEC"/>
    <w:rsid w:val="00545457"/>
    <w:rsid w:val="0055126E"/>
    <w:rsid w:val="005513AF"/>
    <w:rsid w:val="00553441"/>
    <w:rsid w:val="0055355B"/>
    <w:rsid w:val="005548E4"/>
    <w:rsid w:val="00554C6C"/>
    <w:rsid w:val="00555285"/>
    <w:rsid w:val="00555640"/>
    <w:rsid w:val="00556C6C"/>
    <w:rsid w:val="00557A33"/>
    <w:rsid w:val="00560042"/>
    <w:rsid w:val="005612A5"/>
    <w:rsid w:val="00561A69"/>
    <w:rsid w:val="0056248C"/>
    <w:rsid w:val="005628CF"/>
    <w:rsid w:val="00563A6D"/>
    <w:rsid w:val="00563D5B"/>
    <w:rsid w:val="005642DE"/>
    <w:rsid w:val="00564BF3"/>
    <w:rsid w:val="0057150E"/>
    <w:rsid w:val="00571994"/>
    <w:rsid w:val="00572F34"/>
    <w:rsid w:val="00574051"/>
    <w:rsid w:val="00574779"/>
    <w:rsid w:val="00576BFF"/>
    <w:rsid w:val="0057736C"/>
    <w:rsid w:val="00581AC7"/>
    <w:rsid w:val="00583C0C"/>
    <w:rsid w:val="00591A47"/>
    <w:rsid w:val="00593B39"/>
    <w:rsid w:val="0059418E"/>
    <w:rsid w:val="005970B6"/>
    <w:rsid w:val="005A2578"/>
    <w:rsid w:val="005A29B3"/>
    <w:rsid w:val="005A3B69"/>
    <w:rsid w:val="005A4056"/>
    <w:rsid w:val="005A40CA"/>
    <w:rsid w:val="005A5140"/>
    <w:rsid w:val="005A7F97"/>
    <w:rsid w:val="005B16BD"/>
    <w:rsid w:val="005B1E97"/>
    <w:rsid w:val="005B2E60"/>
    <w:rsid w:val="005B59E9"/>
    <w:rsid w:val="005B67A0"/>
    <w:rsid w:val="005B69FF"/>
    <w:rsid w:val="005C0784"/>
    <w:rsid w:val="005C2A5F"/>
    <w:rsid w:val="005C3F94"/>
    <w:rsid w:val="005C3FD7"/>
    <w:rsid w:val="005C4910"/>
    <w:rsid w:val="005C4F14"/>
    <w:rsid w:val="005C60B7"/>
    <w:rsid w:val="005C62C7"/>
    <w:rsid w:val="005C73AD"/>
    <w:rsid w:val="005C7A06"/>
    <w:rsid w:val="005D0604"/>
    <w:rsid w:val="005D181D"/>
    <w:rsid w:val="005D1CA8"/>
    <w:rsid w:val="005D28FF"/>
    <w:rsid w:val="005D4FB0"/>
    <w:rsid w:val="005D79A4"/>
    <w:rsid w:val="005E0E1C"/>
    <w:rsid w:val="005E148B"/>
    <w:rsid w:val="005E185A"/>
    <w:rsid w:val="005E3610"/>
    <w:rsid w:val="005E3FB2"/>
    <w:rsid w:val="005E4196"/>
    <w:rsid w:val="005E4217"/>
    <w:rsid w:val="005E44EC"/>
    <w:rsid w:val="005E4C99"/>
    <w:rsid w:val="005E4FF5"/>
    <w:rsid w:val="005E502F"/>
    <w:rsid w:val="005E6175"/>
    <w:rsid w:val="005F0AC8"/>
    <w:rsid w:val="005F0E6B"/>
    <w:rsid w:val="005F11E3"/>
    <w:rsid w:val="005F2273"/>
    <w:rsid w:val="005F3DC8"/>
    <w:rsid w:val="005F4099"/>
    <w:rsid w:val="005F6AC4"/>
    <w:rsid w:val="005F72D1"/>
    <w:rsid w:val="005F7E7B"/>
    <w:rsid w:val="00600B8D"/>
    <w:rsid w:val="00600BDC"/>
    <w:rsid w:val="00603682"/>
    <w:rsid w:val="0060370C"/>
    <w:rsid w:val="00603ADC"/>
    <w:rsid w:val="0060401D"/>
    <w:rsid w:val="006043EE"/>
    <w:rsid w:val="006043FA"/>
    <w:rsid w:val="00604E52"/>
    <w:rsid w:val="00606297"/>
    <w:rsid w:val="00606756"/>
    <w:rsid w:val="00606F6D"/>
    <w:rsid w:val="00607423"/>
    <w:rsid w:val="00610120"/>
    <w:rsid w:val="00611874"/>
    <w:rsid w:val="00612AFB"/>
    <w:rsid w:val="00614AD0"/>
    <w:rsid w:val="0061718D"/>
    <w:rsid w:val="0061740B"/>
    <w:rsid w:val="006202E1"/>
    <w:rsid w:val="0062068F"/>
    <w:rsid w:val="00620B30"/>
    <w:rsid w:val="006217ED"/>
    <w:rsid w:val="00622632"/>
    <w:rsid w:val="00622AD4"/>
    <w:rsid w:val="006239FA"/>
    <w:rsid w:val="00623B2E"/>
    <w:rsid w:val="00623B95"/>
    <w:rsid w:val="00623D74"/>
    <w:rsid w:val="0062456A"/>
    <w:rsid w:val="00631941"/>
    <w:rsid w:val="00632CF3"/>
    <w:rsid w:val="0063479C"/>
    <w:rsid w:val="006354EB"/>
    <w:rsid w:val="00635CB0"/>
    <w:rsid w:val="00640A42"/>
    <w:rsid w:val="0064140E"/>
    <w:rsid w:val="00644D23"/>
    <w:rsid w:val="00644F77"/>
    <w:rsid w:val="00645311"/>
    <w:rsid w:val="00645B27"/>
    <w:rsid w:val="00646021"/>
    <w:rsid w:val="0064642E"/>
    <w:rsid w:val="006478BF"/>
    <w:rsid w:val="006509D1"/>
    <w:rsid w:val="00650E5B"/>
    <w:rsid w:val="00652177"/>
    <w:rsid w:val="006535AA"/>
    <w:rsid w:val="0065556E"/>
    <w:rsid w:val="00655AF2"/>
    <w:rsid w:val="00656AAA"/>
    <w:rsid w:val="00656ECE"/>
    <w:rsid w:val="006613D0"/>
    <w:rsid w:val="00662020"/>
    <w:rsid w:val="006622E5"/>
    <w:rsid w:val="00662B4D"/>
    <w:rsid w:val="00662BD1"/>
    <w:rsid w:val="00662C09"/>
    <w:rsid w:val="0066447A"/>
    <w:rsid w:val="00664DC4"/>
    <w:rsid w:val="00665B7C"/>
    <w:rsid w:val="00667384"/>
    <w:rsid w:val="0067092D"/>
    <w:rsid w:val="0067188D"/>
    <w:rsid w:val="00673060"/>
    <w:rsid w:val="006749E4"/>
    <w:rsid w:val="0067541B"/>
    <w:rsid w:val="00676CA6"/>
    <w:rsid w:val="00680A87"/>
    <w:rsid w:val="006815D4"/>
    <w:rsid w:val="00682D7B"/>
    <w:rsid w:val="00683E86"/>
    <w:rsid w:val="006843A4"/>
    <w:rsid w:val="006844BE"/>
    <w:rsid w:val="00684FC8"/>
    <w:rsid w:val="006856D6"/>
    <w:rsid w:val="00685B8E"/>
    <w:rsid w:val="0068700F"/>
    <w:rsid w:val="006901EA"/>
    <w:rsid w:val="00690810"/>
    <w:rsid w:val="00691128"/>
    <w:rsid w:val="006917B9"/>
    <w:rsid w:val="0069307A"/>
    <w:rsid w:val="006946A4"/>
    <w:rsid w:val="006969D1"/>
    <w:rsid w:val="00697031"/>
    <w:rsid w:val="00697204"/>
    <w:rsid w:val="00697B95"/>
    <w:rsid w:val="006A2559"/>
    <w:rsid w:val="006A2D3B"/>
    <w:rsid w:val="006A2EE3"/>
    <w:rsid w:val="006A31A3"/>
    <w:rsid w:val="006A41BA"/>
    <w:rsid w:val="006A43FB"/>
    <w:rsid w:val="006A5D78"/>
    <w:rsid w:val="006A6391"/>
    <w:rsid w:val="006A63A1"/>
    <w:rsid w:val="006A742B"/>
    <w:rsid w:val="006A7A09"/>
    <w:rsid w:val="006B021B"/>
    <w:rsid w:val="006B110E"/>
    <w:rsid w:val="006B3317"/>
    <w:rsid w:val="006B5F85"/>
    <w:rsid w:val="006B68FD"/>
    <w:rsid w:val="006B794A"/>
    <w:rsid w:val="006B7E54"/>
    <w:rsid w:val="006C0B02"/>
    <w:rsid w:val="006C1DC6"/>
    <w:rsid w:val="006C1EDA"/>
    <w:rsid w:val="006C438F"/>
    <w:rsid w:val="006C5F5F"/>
    <w:rsid w:val="006C6437"/>
    <w:rsid w:val="006C6F3C"/>
    <w:rsid w:val="006C732E"/>
    <w:rsid w:val="006C7752"/>
    <w:rsid w:val="006C79BB"/>
    <w:rsid w:val="006D067B"/>
    <w:rsid w:val="006D5108"/>
    <w:rsid w:val="006D541A"/>
    <w:rsid w:val="006D607C"/>
    <w:rsid w:val="006D7630"/>
    <w:rsid w:val="006D7A1D"/>
    <w:rsid w:val="006D7CEE"/>
    <w:rsid w:val="006D7F87"/>
    <w:rsid w:val="006E09AB"/>
    <w:rsid w:val="006E2C0F"/>
    <w:rsid w:val="006E3A75"/>
    <w:rsid w:val="006E6F66"/>
    <w:rsid w:val="006E75EF"/>
    <w:rsid w:val="006F0588"/>
    <w:rsid w:val="006F07F4"/>
    <w:rsid w:val="006F2B06"/>
    <w:rsid w:val="006F3A2C"/>
    <w:rsid w:val="006F3C48"/>
    <w:rsid w:val="006F3F01"/>
    <w:rsid w:val="006F4F16"/>
    <w:rsid w:val="006F518C"/>
    <w:rsid w:val="006F5360"/>
    <w:rsid w:val="006F6603"/>
    <w:rsid w:val="007036A1"/>
    <w:rsid w:val="007036E4"/>
    <w:rsid w:val="00703F6D"/>
    <w:rsid w:val="00704042"/>
    <w:rsid w:val="00704460"/>
    <w:rsid w:val="007069CA"/>
    <w:rsid w:val="00707377"/>
    <w:rsid w:val="00707874"/>
    <w:rsid w:val="00710A93"/>
    <w:rsid w:val="00710CDF"/>
    <w:rsid w:val="00711464"/>
    <w:rsid w:val="00711B48"/>
    <w:rsid w:val="00711EFE"/>
    <w:rsid w:val="0071248E"/>
    <w:rsid w:val="00713626"/>
    <w:rsid w:val="00714F3F"/>
    <w:rsid w:val="00715014"/>
    <w:rsid w:val="00715177"/>
    <w:rsid w:val="0071632E"/>
    <w:rsid w:val="0071667D"/>
    <w:rsid w:val="00716951"/>
    <w:rsid w:val="00720763"/>
    <w:rsid w:val="00723824"/>
    <w:rsid w:val="007249DA"/>
    <w:rsid w:val="00726578"/>
    <w:rsid w:val="00726ACB"/>
    <w:rsid w:val="00727371"/>
    <w:rsid w:val="007311DE"/>
    <w:rsid w:val="00731B67"/>
    <w:rsid w:val="00732A75"/>
    <w:rsid w:val="00734634"/>
    <w:rsid w:val="00734D54"/>
    <w:rsid w:val="00741DBB"/>
    <w:rsid w:val="0074395F"/>
    <w:rsid w:val="00743D7F"/>
    <w:rsid w:val="00746F35"/>
    <w:rsid w:val="007503CE"/>
    <w:rsid w:val="00751543"/>
    <w:rsid w:val="007518BD"/>
    <w:rsid w:val="00751C62"/>
    <w:rsid w:val="0075322A"/>
    <w:rsid w:val="00754435"/>
    <w:rsid w:val="0075471D"/>
    <w:rsid w:val="0075594C"/>
    <w:rsid w:val="00760F18"/>
    <w:rsid w:val="0076162E"/>
    <w:rsid w:val="0076168C"/>
    <w:rsid w:val="00762821"/>
    <w:rsid w:val="00762E0E"/>
    <w:rsid w:val="007634D9"/>
    <w:rsid w:val="0076359B"/>
    <w:rsid w:val="0076533B"/>
    <w:rsid w:val="00765E1F"/>
    <w:rsid w:val="00770905"/>
    <w:rsid w:val="00770D19"/>
    <w:rsid w:val="007718DC"/>
    <w:rsid w:val="007752E8"/>
    <w:rsid w:val="00776D62"/>
    <w:rsid w:val="00776DBB"/>
    <w:rsid w:val="007772BD"/>
    <w:rsid w:val="00777A94"/>
    <w:rsid w:val="00777D1A"/>
    <w:rsid w:val="007802D9"/>
    <w:rsid w:val="00782321"/>
    <w:rsid w:val="00782E13"/>
    <w:rsid w:val="00782F04"/>
    <w:rsid w:val="00783147"/>
    <w:rsid w:val="007834C8"/>
    <w:rsid w:val="00786F91"/>
    <w:rsid w:val="0078731C"/>
    <w:rsid w:val="00787DF3"/>
    <w:rsid w:val="00790F4B"/>
    <w:rsid w:val="007912AE"/>
    <w:rsid w:val="007913D8"/>
    <w:rsid w:val="00792A33"/>
    <w:rsid w:val="007942C4"/>
    <w:rsid w:val="00794BD9"/>
    <w:rsid w:val="0079526C"/>
    <w:rsid w:val="007953B0"/>
    <w:rsid w:val="007A1147"/>
    <w:rsid w:val="007A17EA"/>
    <w:rsid w:val="007A2149"/>
    <w:rsid w:val="007A2C43"/>
    <w:rsid w:val="007A538E"/>
    <w:rsid w:val="007A558B"/>
    <w:rsid w:val="007A6C33"/>
    <w:rsid w:val="007A7D4E"/>
    <w:rsid w:val="007B14D7"/>
    <w:rsid w:val="007B3319"/>
    <w:rsid w:val="007B342C"/>
    <w:rsid w:val="007B36BD"/>
    <w:rsid w:val="007B3B76"/>
    <w:rsid w:val="007B3D2D"/>
    <w:rsid w:val="007B43BE"/>
    <w:rsid w:val="007B5653"/>
    <w:rsid w:val="007B6F3A"/>
    <w:rsid w:val="007C037F"/>
    <w:rsid w:val="007C0770"/>
    <w:rsid w:val="007C0BF2"/>
    <w:rsid w:val="007C0EDE"/>
    <w:rsid w:val="007C1BB7"/>
    <w:rsid w:val="007C3B78"/>
    <w:rsid w:val="007C3BF9"/>
    <w:rsid w:val="007C47BA"/>
    <w:rsid w:val="007C75E5"/>
    <w:rsid w:val="007D05CA"/>
    <w:rsid w:val="007D260A"/>
    <w:rsid w:val="007D33A8"/>
    <w:rsid w:val="007D353C"/>
    <w:rsid w:val="007D41A1"/>
    <w:rsid w:val="007D41E5"/>
    <w:rsid w:val="007D4CBA"/>
    <w:rsid w:val="007D6B03"/>
    <w:rsid w:val="007D6BCA"/>
    <w:rsid w:val="007D7441"/>
    <w:rsid w:val="007D7EF3"/>
    <w:rsid w:val="007E071C"/>
    <w:rsid w:val="007E0F81"/>
    <w:rsid w:val="007E190F"/>
    <w:rsid w:val="007E1B50"/>
    <w:rsid w:val="007E24E9"/>
    <w:rsid w:val="007E3C98"/>
    <w:rsid w:val="007E665E"/>
    <w:rsid w:val="007E690D"/>
    <w:rsid w:val="007E7845"/>
    <w:rsid w:val="007E7BC3"/>
    <w:rsid w:val="007F0245"/>
    <w:rsid w:val="007F2134"/>
    <w:rsid w:val="007F307F"/>
    <w:rsid w:val="007F4794"/>
    <w:rsid w:val="007F4B3D"/>
    <w:rsid w:val="007F4D7C"/>
    <w:rsid w:val="007F5224"/>
    <w:rsid w:val="007F58FB"/>
    <w:rsid w:val="007F5C31"/>
    <w:rsid w:val="007F5D92"/>
    <w:rsid w:val="007F60AE"/>
    <w:rsid w:val="007F6729"/>
    <w:rsid w:val="007F698C"/>
    <w:rsid w:val="00800159"/>
    <w:rsid w:val="00800BED"/>
    <w:rsid w:val="00801639"/>
    <w:rsid w:val="00803DB8"/>
    <w:rsid w:val="00804EF1"/>
    <w:rsid w:val="00805243"/>
    <w:rsid w:val="00807DA8"/>
    <w:rsid w:val="00807ED8"/>
    <w:rsid w:val="00811235"/>
    <w:rsid w:val="0081172B"/>
    <w:rsid w:val="00813070"/>
    <w:rsid w:val="008148D7"/>
    <w:rsid w:val="00814B06"/>
    <w:rsid w:val="00815C15"/>
    <w:rsid w:val="00816571"/>
    <w:rsid w:val="00816C5C"/>
    <w:rsid w:val="00817F95"/>
    <w:rsid w:val="00820458"/>
    <w:rsid w:val="008210F1"/>
    <w:rsid w:val="00821213"/>
    <w:rsid w:val="00821C71"/>
    <w:rsid w:val="008220E8"/>
    <w:rsid w:val="00822D31"/>
    <w:rsid w:val="00824D49"/>
    <w:rsid w:val="00827205"/>
    <w:rsid w:val="00832806"/>
    <w:rsid w:val="008329BB"/>
    <w:rsid w:val="0083324B"/>
    <w:rsid w:val="00833953"/>
    <w:rsid w:val="00835659"/>
    <w:rsid w:val="008358C2"/>
    <w:rsid w:val="008361C5"/>
    <w:rsid w:val="00837BBB"/>
    <w:rsid w:val="00841102"/>
    <w:rsid w:val="00842535"/>
    <w:rsid w:val="00842EB6"/>
    <w:rsid w:val="00843156"/>
    <w:rsid w:val="00843184"/>
    <w:rsid w:val="0084450C"/>
    <w:rsid w:val="00845276"/>
    <w:rsid w:val="00845654"/>
    <w:rsid w:val="00854700"/>
    <w:rsid w:val="0085562B"/>
    <w:rsid w:val="00857B17"/>
    <w:rsid w:val="00861141"/>
    <w:rsid w:val="00861D03"/>
    <w:rsid w:val="00864BC2"/>
    <w:rsid w:val="00865197"/>
    <w:rsid w:val="0086554A"/>
    <w:rsid w:val="00865E88"/>
    <w:rsid w:val="00866596"/>
    <w:rsid w:val="00866DA4"/>
    <w:rsid w:val="008701E7"/>
    <w:rsid w:val="00870E2C"/>
    <w:rsid w:val="00871072"/>
    <w:rsid w:val="008740A1"/>
    <w:rsid w:val="00874451"/>
    <w:rsid w:val="0087459F"/>
    <w:rsid w:val="008748BA"/>
    <w:rsid w:val="00875812"/>
    <w:rsid w:val="00875D44"/>
    <w:rsid w:val="00876524"/>
    <w:rsid w:val="0087735E"/>
    <w:rsid w:val="00877656"/>
    <w:rsid w:val="00880BB4"/>
    <w:rsid w:val="00881A26"/>
    <w:rsid w:val="008844B9"/>
    <w:rsid w:val="0088480E"/>
    <w:rsid w:val="008849E7"/>
    <w:rsid w:val="008865DE"/>
    <w:rsid w:val="00887208"/>
    <w:rsid w:val="0088748B"/>
    <w:rsid w:val="008900D9"/>
    <w:rsid w:val="008923A1"/>
    <w:rsid w:val="00892514"/>
    <w:rsid w:val="0089446F"/>
    <w:rsid w:val="0089495C"/>
    <w:rsid w:val="00896977"/>
    <w:rsid w:val="00897A17"/>
    <w:rsid w:val="008A0096"/>
    <w:rsid w:val="008A0A0F"/>
    <w:rsid w:val="008A1688"/>
    <w:rsid w:val="008A19A5"/>
    <w:rsid w:val="008A27FC"/>
    <w:rsid w:val="008A2B25"/>
    <w:rsid w:val="008A355A"/>
    <w:rsid w:val="008A420C"/>
    <w:rsid w:val="008A4B6F"/>
    <w:rsid w:val="008A5144"/>
    <w:rsid w:val="008A72E2"/>
    <w:rsid w:val="008A78E4"/>
    <w:rsid w:val="008B01A0"/>
    <w:rsid w:val="008B1217"/>
    <w:rsid w:val="008B1297"/>
    <w:rsid w:val="008B212E"/>
    <w:rsid w:val="008B2F76"/>
    <w:rsid w:val="008B31BF"/>
    <w:rsid w:val="008B512E"/>
    <w:rsid w:val="008B7A33"/>
    <w:rsid w:val="008C021C"/>
    <w:rsid w:val="008C0231"/>
    <w:rsid w:val="008C251B"/>
    <w:rsid w:val="008C3BED"/>
    <w:rsid w:val="008C3E1C"/>
    <w:rsid w:val="008C4BF6"/>
    <w:rsid w:val="008C5085"/>
    <w:rsid w:val="008C508A"/>
    <w:rsid w:val="008C557A"/>
    <w:rsid w:val="008C5E12"/>
    <w:rsid w:val="008D0FBE"/>
    <w:rsid w:val="008D1D46"/>
    <w:rsid w:val="008D2666"/>
    <w:rsid w:val="008D2CDB"/>
    <w:rsid w:val="008D2E69"/>
    <w:rsid w:val="008D3320"/>
    <w:rsid w:val="008D3473"/>
    <w:rsid w:val="008D690D"/>
    <w:rsid w:val="008D6A8B"/>
    <w:rsid w:val="008D6D5F"/>
    <w:rsid w:val="008D7057"/>
    <w:rsid w:val="008E0BFA"/>
    <w:rsid w:val="008E361D"/>
    <w:rsid w:val="008E4304"/>
    <w:rsid w:val="008E4B3E"/>
    <w:rsid w:val="008E628D"/>
    <w:rsid w:val="008E6E8F"/>
    <w:rsid w:val="008E6FCF"/>
    <w:rsid w:val="008F0805"/>
    <w:rsid w:val="008F0CD3"/>
    <w:rsid w:val="008F2A4F"/>
    <w:rsid w:val="008F34D5"/>
    <w:rsid w:val="008F44DA"/>
    <w:rsid w:val="008F4FEB"/>
    <w:rsid w:val="008F5F51"/>
    <w:rsid w:val="008F65AF"/>
    <w:rsid w:val="008F6C71"/>
    <w:rsid w:val="00901A73"/>
    <w:rsid w:val="009023FC"/>
    <w:rsid w:val="00904B19"/>
    <w:rsid w:val="00906300"/>
    <w:rsid w:val="00906EA2"/>
    <w:rsid w:val="009141AD"/>
    <w:rsid w:val="00917072"/>
    <w:rsid w:val="009208A2"/>
    <w:rsid w:val="00920B08"/>
    <w:rsid w:val="009247E1"/>
    <w:rsid w:val="00924ECE"/>
    <w:rsid w:val="009252A8"/>
    <w:rsid w:val="00925EF8"/>
    <w:rsid w:val="0092700F"/>
    <w:rsid w:val="00930255"/>
    <w:rsid w:val="00930E0B"/>
    <w:rsid w:val="00930E94"/>
    <w:rsid w:val="0093250F"/>
    <w:rsid w:val="009327E0"/>
    <w:rsid w:val="00932CDF"/>
    <w:rsid w:val="00936605"/>
    <w:rsid w:val="00937BD2"/>
    <w:rsid w:val="009402AC"/>
    <w:rsid w:val="009433FA"/>
    <w:rsid w:val="00943DA3"/>
    <w:rsid w:val="00943E8E"/>
    <w:rsid w:val="00944BCF"/>
    <w:rsid w:val="00944E8B"/>
    <w:rsid w:val="0094764F"/>
    <w:rsid w:val="009502F4"/>
    <w:rsid w:val="00950347"/>
    <w:rsid w:val="00951FC9"/>
    <w:rsid w:val="00952544"/>
    <w:rsid w:val="00953DA3"/>
    <w:rsid w:val="00954CF3"/>
    <w:rsid w:val="0095568E"/>
    <w:rsid w:val="00955D83"/>
    <w:rsid w:val="00957FBB"/>
    <w:rsid w:val="00960B24"/>
    <w:rsid w:val="009615B7"/>
    <w:rsid w:val="009619C6"/>
    <w:rsid w:val="0096275C"/>
    <w:rsid w:val="00964520"/>
    <w:rsid w:val="00964AA0"/>
    <w:rsid w:val="0096551C"/>
    <w:rsid w:val="0096575B"/>
    <w:rsid w:val="009658D8"/>
    <w:rsid w:val="009679DC"/>
    <w:rsid w:val="00967F10"/>
    <w:rsid w:val="00970B58"/>
    <w:rsid w:val="009727B8"/>
    <w:rsid w:val="00972EDD"/>
    <w:rsid w:val="00972F62"/>
    <w:rsid w:val="00973893"/>
    <w:rsid w:val="0097411F"/>
    <w:rsid w:val="00975617"/>
    <w:rsid w:val="0097607E"/>
    <w:rsid w:val="0097609A"/>
    <w:rsid w:val="009769F9"/>
    <w:rsid w:val="009813C3"/>
    <w:rsid w:val="00981401"/>
    <w:rsid w:val="00982D68"/>
    <w:rsid w:val="0098522C"/>
    <w:rsid w:val="00985769"/>
    <w:rsid w:val="009858E8"/>
    <w:rsid w:val="009870A7"/>
    <w:rsid w:val="00987257"/>
    <w:rsid w:val="0098759C"/>
    <w:rsid w:val="0099030C"/>
    <w:rsid w:val="00990D27"/>
    <w:rsid w:val="00992625"/>
    <w:rsid w:val="009939FD"/>
    <w:rsid w:val="00994C9C"/>
    <w:rsid w:val="0099560E"/>
    <w:rsid w:val="00995B20"/>
    <w:rsid w:val="009971A7"/>
    <w:rsid w:val="009971E2"/>
    <w:rsid w:val="00997B88"/>
    <w:rsid w:val="00997F0F"/>
    <w:rsid w:val="009A1559"/>
    <w:rsid w:val="009A190D"/>
    <w:rsid w:val="009A37B4"/>
    <w:rsid w:val="009A3D58"/>
    <w:rsid w:val="009A411A"/>
    <w:rsid w:val="009A4152"/>
    <w:rsid w:val="009A42A2"/>
    <w:rsid w:val="009A46F5"/>
    <w:rsid w:val="009A4DFC"/>
    <w:rsid w:val="009A4E40"/>
    <w:rsid w:val="009A5771"/>
    <w:rsid w:val="009A6C8C"/>
    <w:rsid w:val="009A77C9"/>
    <w:rsid w:val="009B02B8"/>
    <w:rsid w:val="009B10D7"/>
    <w:rsid w:val="009B2881"/>
    <w:rsid w:val="009B3077"/>
    <w:rsid w:val="009B36C0"/>
    <w:rsid w:val="009B3792"/>
    <w:rsid w:val="009B37CC"/>
    <w:rsid w:val="009B3FB1"/>
    <w:rsid w:val="009B432B"/>
    <w:rsid w:val="009B5AC0"/>
    <w:rsid w:val="009B5AEF"/>
    <w:rsid w:val="009B6145"/>
    <w:rsid w:val="009B7A4B"/>
    <w:rsid w:val="009C0081"/>
    <w:rsid w:val="009C150B"/>
    <w:rsid w:val="009C32E7"/>
    <w:rsid w:val="009C331E"/>
    <w:rsid w:val="009C34F3"/>
    <w:rsid w:val="009C364E"/>
    <w:rsid w:val="009C57E7"/>
    <w:rsid w:val="009C6C4B"/>
    <w:rsid w:val="009C6EFD"/>
    <w:rsid w:val="009C71FF"/>
    <w:rsid w:val="009D2CAC"/>
    <w:rsid w:val="009D31DE"/>
    <w:rsid w:val="009D3968"/>
    <w:rsid w:val="009D3DF2"/>
    <w:rsid w:val="009D4881"/>
    <w:rsid w:val="009D5FD5"/>
    <w:rsid w:val="009D64F6"/>
    <w:rsid w:val="009E05F0"/>
    <w:rsid w:val="009E07B0"/>
    <w:rsid w:val="009E0A91"/>
    <w:rsid w:val="009E3226"/>
    <w:rsid w:val="009E334C"/>
    <w:rsid w:val="009E3BE0"/>
    <w:rsid w:val="009E4DCC"/>
    <w:rsid w:val="009E59FA"/>
    <w:rsid w:val="009E5E0A"/>
    <w:rsid w:val="009E627E"/>
    <w:rsid w:val="009E66BE"/>
    <w:rsid w:val="009E774F"/>
    <w:rsid w:val="009E7CA8"/>
    <w:rsid w:val="009F16C5"/>
    <w:rsid w:val="009F23F4"/>
    <w:rsid w:val="009F27E3"/>
    <w:rsid w:val="009F34DA"/>
    <w:rsid w:val="009F35DB"/>
    <w:rsid w:val="009F4C7F"/>
    <w:rsid w:val="009F565C"/>
    <w:rsid w:val="009F6A3E"/>
    <w:rsid w:val="00A01756"/>
    <w:rsid w:val="00A02225"/>
    <w:rsid w:val="00A04403"/>
    <w:rsid w:val="00A04A2F"/>
    <w:rsid w:val="00A06938"/>
    <w:rsid w:val="00A07120"/>
    <w:rsid w:val="00A1102E"/>
    <w:rsid w:val="00A1177C"/>
    <w:rsid w:val="00A1195E"/>
    <w:rsid w:val="00A12333"/>
    <w:rsid w:val="00A14886"/>
    <w:rsid w:val="00A14A4F"/>
    <w:rsid w:val="00A1548F"/>
    <w:rsid w:val="00A15CFA"/>
    <w:rsid w:val="00A2053A"/>
    <w:rsid w:val="00A2067B"/>
    <w:rsid w:val="00A2193B"/>
    <w:rsid w:val="00A24858"/>
    <w:rsid w:val="00A260B7"/>
    <w:rsid w:val="00A27092"/>
    <w:rsid w:val="00A30C8A"/>
    <w:rsid w:val="00A30D03"/>
    <w:rsid w:val="00A317C0"/>
    <w:rsid w:val="00A32B55"/>
    <w:rsid w:val="00A344E7"/>
    <w:rsid w:val="00A34ED7"/>
    <w:rsid w:val="00A35C62"/>
    <w:rsid w:val="00A367BA"/>
    <w:rsid w:val="00A37428"/>
    <w:rsid w:val="00A37730"/>
    <w:rsid w:val="00A37B34"/>
    <w:rsid w:val="00A402F7"/>
    <w:rsid w:val="00A40457"/>
    <w:rsid w:val="00A4045F"/>
    <w:rsid w:val="00A42574"/>
    <w:rsid w:val="00A42E40"/>
    <w:rsid w:val="00A44CD4"/>
    <w:rsid w:val="00A45574"/>
    <w:rsid w:val="00A50FBA"/>
    <w:rsid w:val="00A51F9A"/>
    <w:rsid w:val="00A5202E"/>
    <w:rsid w:val="00A53ABD"/>
    <w:rsid w:val="00A55D2C"/>
    <w:rsid w:val="00A5634B"/>
    <w:rsid w:val="00A56851"/>
    <w:rsid w:val="00A616C8"/>
    <w:rsid w:val="00A617F3"/>
    <w:rsid w:val="00A63C67"/>
    <w:rsid w:val="00A63DB4"/>
    <w:rsid w:val="00A63E85"/>
    <w:rsid w:val="00A640FA"/>
    <w:rsid w:val="00A64B38"/>
    <w:rsid w:val="00A663E9"/>
    <w:rsid w:val="00A66714"/>
    <w:rsid w:val="00A70495"/>
    <w:rsid w:val="00A70943"/>
    <w:rsid w:val="00A7104D"/>
    <w:rsid w:val="00A718B7"/>
    <w:rsid w:val="00A721E2"/>
    <w:rsid w:val="00A7396F"/>
    <w:rsid w:val="00A73D97"/>
    <w:rsid w:val="00A74E19"/>
    <w:rsid w:val="00A753BF"/>
    <w:rsid w:val="00A75941"/>
    <w:rsid w:val="00A772B1"/>
    <w:rsid w:val="00A8107C"/>
    <w:rsid w:val="00A81160"/>
    <w:rsid w:val="00A8116F"/>
    <w:rsid w:val="00A83C36"/>
    <w:rsid w:val="00A83C97"/>
    <w:rsid w:val="00A84692"/>
    <w:rsid w:val="00A84C51"/>
    <w:rsid w:val="00A85986"/>
    <w:rsid w:val="00A86198"/>
    <w:rsid w:val="00A86254"/>
    <w:rsid w:val="00A86306"/>
    <w:rsid w:val="00A8681D"/>
    <w:rsid w:val="00A87D0B"/>
    <w:rsid w:val="00A87FD0"/>
    <w:rsid w:val="00A93524"/>
    <w:rsid w:val="00A93680"/>
    <w:rsid w:val="00A944E3"/>
    <w:rsid w:val="00A94805"/>
    <w:rsid w:val="00A94CB4"/>
    <w:rsid w:val="00A95278"/>
    <w:rsid w:val="00A95ACD"/>
    <w:rsid w:val="00A965B6"/>
    <w:rsid w:val="00A96711"/>
    <w:rsid w:val="00A969BD"/>
    <w:rsid w:val="00A97BD1"/>
    <w:rsid w:val="00AA1CC6"/>
    <w:rsid w:val="00AA231E"/>
    <w:rsid w:val="00AA5579"/>
    <w:rsid w:val="00AA5629"/>
    <w:rsid w:val="00AA648D"/>
    <w:rsid w:val="00AA6C1D"/>
    <w:rsid w:val="00AB019B"/>
    <w:rsid w:val="00AB3F85"/>
    <w:rsid w:val="00AB449F"/>
    <w:rsid w:val="00AB477B"/>
    <w:rsid w:val="00AB5695"/>
    <w:rsid w:val="00AB592E"/>
    <w:rsid w:val="00AB5D8D"/>
    <w:rsid w:val="00AB6F25"/>
    <w:rsid w:val="00AB7EA5"/>
    <w:rsid w:val="00AC1AA3"/>
    <w:rsid w:val="00AC1F45"/>
    <w:rsid w:val="00AC421E"/>
    <w:rsid w:val="00AC4588"/>
    <w:rsid w:val="00AC704E"/>
    <w:rsid w:val="00AC742F"/>
    <w:rsid w:val="00AC7839"/>
    <w:rsid w:val="00AD085F"/>
    <w:rsid w:val="00AD17A5"/>
    <w:rsid w:val="00AD19B9"/>
    <w:rsid w:val="00AD1FEF"/>
    <w:rsid w:val="00AD3A16"/>
    <w:rsid w:val="00AD3DBA"/>
    <w:rsid w:val="00AD53DF"/>
    <w:rsid w:val="00AD5B39"/>
    <w:rsid w:val="00AD606D"/>
    <w:rsid w:val="00AD613D"/>
    <w:rsid w:val="00AD656E"/>
    <w:rsid w:val="00AD7968"/>
    <w:rsid w:val="00AE2533"/>
    <w:rsid w:val="00AE2A9D"/>
    <w:rsid w:val="00AE3503"/>
    <w:rsid w:val="00AE3B77"/>
    <w:rsid w:val="00AE3D42"/>
    <w:rsid w:val="00AE47A7"/>
    <w:rsid w:val="00AE4CEA"/>
    <w:rsid w:val="00AE4E39"/>
    <w:rsid w:val="00AE5FA2"/>
    <w:rsid w:val="00AE7583"/>
    <w:rsid w:val="00AE7BD6"/>
    <w:rsid w:val="00AF0785"/>
    <w:rsid w:val="00AF0E04"/>
    <w:rsid w:val="00AF187A"/>
    <w:rsid w:val="00AF2156"/>
    <w:rsid w:val="00AF22DB"/>
    <w:rsid w:val="00AF2D95"/>
    <w:rsid w:val="00AF3B80"/>
    <w:rsid w:val="00AF441C"/>
    <w:rsid w:val="00AF5099"/>
    <w:rsid w:val="00AF5BAF"/>
    <w:rsid w:val="00AF62A7"/>
    <w:rsid w:val="00B00563"/>
    <w:rsid w:val="00B00E51"/>
    <w:rsid w:val="00B01562"/>
    <w:rsid w:val="00B01A91"/>
    <w:rsid w:val="00B02E7D"/>
    <w:rsid w:val="00B03FD4"/>
    <w:rsid w:val="00B04A51"/>
    <w:rsid w:val="00B06301"/>
    <w:rsid w:val="00B07045"/>
    <w:rsid w:val="00B07467"/>
    <w:rsid w:val="00B1026D"/>
    <w:rsid w:val="00B1196F"/>
    <w:rsid w:val="00B122EE"/>
    <w:rsid w:val="00B12CCF"/>
    <w:rsid w:val="00B13776"/>
    <w:rsid w:val="00B13A50"/>
    <w:rsid w:val="00B147AE"/>
    <w:rsid w:val="00B17075"/>
    <w:rsid w:val="00B17669"/>
    <w:rsid w:val="00B23332"/>
    <w:rsid w:val="00B23E3B"/>
    <w:rsid w:val="00B26360"/>
    <w:rsid w:val="00B26B6B"/>
    <w:rsid w:val="00B300B9"/>
    <w:rsid w:val="00B317F3"/>
    <w:rsid w:val="00B31D0B"/>
    <w:rsid w:val="00B31E27"/>
    <w:rsid w:val="00B33A1E"/>
    <w:rsid w:val="00B37937"/>
    <w:rsid w:val="00B40E2D"/>
    <w:rsid w:val="00B40F7F"/>
    <w:rsid w:val="00B41933"/>
    <w:rsid w:val="00B45008"/>
    <w:rsid w:val="00B5370C"/>
    <w:rsid w:val="00B56924"/>
    <w:rsid w:val="00B57AEB"/>
    <w:rsid w:val="00B57E43"/>
    <w:rsid w:val="00B60320"/>
    <w:rsid w:val="00B60A69"/>
    <w:rsid w:val="00B61709"/>
    <w:rsid w:val="00B6192D"/>
    <w:rsid w:val="00B61B35"/>
    <w:rsid w:val="00B62740"/>
    <w:rsid w:val="00B64DD0"/>
    <w:rsid w:val="00B66084"/>
    <w:rsid w:val="00B660A4"/>
    <w:rsid w:val="00B662A1"/>
    <w:rsid w:val="00B66702"/>
    <w:rsid w:val="00B670C2"/>
    <w:rsid w:val="00B67876"/>
    <w:rsid w:val="00B712E7"/>
    <w:rsid w:val="00B730D7"/>
    <w:rsid w:val="00B75545"/>
    <w:rsid w:val="00B75C48"/>
    <w:rsid w:val="00B769EC"/>
    <w:rsid w:val="00B76A8B"/>
    <w:rsid w:val="00B7709E"/>
    <w:rsid w:val="00B7778C"/>
    <w:rsid w:val="00B800B2"/>
    <w:rsid w:val="00B80DFA"/>
    <w:rsid w:val="00B81FCD"/>
    <w:rsid w:val="00B8238D"/>
    <w:rsid w:val="00B842A7"/>
    <w:rsid w:val="00B842B2"/>
    <w:rsid w:val="00B86A06"/>
    <w:rsid w:val="00B86BDE"/>
    <w:rsid w:val="00B86F69"/>
    <w:rsid w:val="00B872AE"/>
    <w:rsid w:val="00B924A0"/>
    <w:rsid w:val="00B924ED"/>
    <w:rsid w:val="00B936A8"/>
    <w:rsid w:val="00B96F00"/>
    <w:rsid w:val="00B975F2"/>
    <w:rsid w:val="00B97E0A"/>
    <w:rsid w:val="00BA00BF"/>
    <w:rsid w:val="00BA0932"/>
    <w:rsid w:val="00BA109A"/>
    <w:rsid w:val="00BA19D5"/>
    <w:rsid w:val="00BA3989"/>
    <w:rsid w:val="00BA4F18"/>
    <w:rsid w:val="00BA5017"/>
    <w:rsid w:val="00BA623B"/>
    <w:rsid w:val="00BA6703"/>
    <w:rsid w:val="00BA7DD4"/>
    <w:rsid w:val="00BB0060"/>
    <w:rsid w:val="00BB0E7E"/>
    <w:rsid w:val="00BB14E1"/>
    <w:rsid w:val="00BB24F4"/>
    <w:rsid w:val="00BB2612"/>
    <w:rsid w:val="00BB28B8"/>
    <w:rsid w:val="00BB4358"/>
    <w:rsid w:val="00BB53A9"/>
    <w:rsid w:val="00BB5D41"/>
    <w:rsid w:val="00BB6760"/>
    <w:rsid w:val="00BB73DA"/>
    <w:rsid w:val="00BB7490"/>
    <w:rsid w:val="00BC0D40"/>
    <w:rsid w:val="00BC0F24"/>
    <w:rsid w:val="00BC1FC0"/>
    <w:rsid w:val="00BC2537"/>
    <w:rsid w:val="00BC30D5"/>
    <w:rsid w:val="00BC3F51"/>
    <w:rsid w:val="00BC4662"/>
    <w:rsid w:val="00BD3904"/>
    <w:rsid w:val="00BD43E0"/>
    <w:rsid w:val="00BD4BCB"/>
    <w:rsid w:val="00BD516A"/>
    <w:rsid w:val="00BD51F5"/>
    <w:rsid w:val="00BD7B23"/>
    <w:rsid w:val="00BD7F4C"/>
    <w:rsid w:val="00BD7FF5"/>
    <w:rsid w:val="00BE00CB"/>
    <w:rsid w:val="00BE1214"/>
    <w:rsid w:val="00BE2744"/>
    <w:rsid w:val="00BE3341"/>
    <w:rsid w:val="00BE40F5"/>
    <w:rsid w:val="00BE5AB8"/>
    <w:rsid w:val="00BE6A42"/>
    <w:rsid w:val="00BF0DB8"/>
    <w:rsid w:val="00BF0F97"/>
    <w:rsid w:val="00BF1217"/>
    <w:rsid w:val="00BF14BB"/>
    <w:rsid w:val="00BF15D2"/>
    <w:rsid w:val="00BF2B5E"/>
    <w:rsid w:val="00BF4808"/>
    <w:rsid w:val="00BF6F96"/>
    <w:rsid w:val="00C011A8"/>
    <w:rsid w:val="00C01215"/>
    <w:rsid w:val="00C02906"/>
    <w:rsid w:val="00C03D0C"/>
    <w:rsid w:val="00C040E0"/>
    <w:rsid w:val="00C0439C"/>
    <w:rsid w:val="00C058EA"/>
    <w:rsid w:val="00C05926"/>
    <w:rsid w:val="00C06272"/>
    <w:rsid w:val="00C071AE"/>
    <w:rsid w:val="00C07A86"/>
    <w:rsid w:val="00C10536"/>
    <w:rsid w:val="00C10DED"/>
    <w:rsid w:val="00C11223"/>
    <w:rsid w:val="00C116A7"/>
    <w:rsid w:val="00C116BD"/>
    <w:rsid w:val="00C12097"/>
    <w:rsid w:val="00C14696"/>
    <w:rsid w:val="00C16998"/>
    <w:rsid w:val="00C23D66"/>
    <w:rsid w:val="00C24439"/>
    <w:rsid w:val="00C273F8"/>
    <w:rsid w:val="00C3095C"/>
    <w:rsid w:val="00C326D6"/>
    <w:rsid w:val="00C32B8D"/>
    <w:rsid w:val="00C353FF"/>
    <w:rsid w:val="00C36014"/>
    <w:rsid w:val="00C37B72"/>
    <w:rsid w:val="00C4000E"/>
    <w:rsid w:val="00C40F39"/>
    <w:rsid w:val="00C42271"/>
    <w:rsid w:val="00C42B91"/>
    <w:rsid w:val="00C4605C"/>
    <w:rsid w:val="00C461DB"/>
    <w:rsid w:val="00C504E5"/>
    <w:rsid w:val="00C52531"/>
    <w:rsid w:val="00C5261A"/>
    <w:rsid w:val="00C53F64"/>
    <w:rsid w:val="00C54279"/>
    <w:rsid w:val="00C54F24"/>
    <w:rsid w:val="00C5563C"/>
    <w:rsid w:val="00C56535"/>
    <w:rsid w:val="00C60A87"/>
    <w:rsid w:val="00C64C60"/>
    <w:rsid w:val="00C64D4D"/>
    <w:rsid w:val="00C668E3"/>
    <w:rsid w:val="00C67171"/>
    <w:rsid w:val="00C70484"/>
    <w:rsid w:val="00C71168"/>
    <w:rsid w:val="00C73521"/>
    <w:rsid w:val="00C760A7"/>
    <w:rsid w:val="00C7610E"/>
    <w:rsid w:val="00C77335"/>
    <w:rsid w:val="00C7749A"/>
    <w:rsid w:val="00C77EE1"/>
    <w:rsid w:val="00C82A0A"/>
    <w:rsid w:val="00C841B2"/>
    <w:rsid w:val="00C84656"/>
    <w:rsid w:val="00C86C6F"/>
    <w:rsid w:val="00C86E00"/>
    <w:rsid w:val="00C904AB"/>
    <w:rsid w:val="00C918F6"/>
    <w:rsid w:val="00C91F4A"/>
    <w:rsid w:val="00C92668"/>
    <w:rsid w:val="00C928D7"/>
    <w:rsid w:val="00C92E7F"/>
    <w:rsid w:val="00C94115"/>
    <w:rsid w:val="00C94776"/>
    <w:rsid w:val="00C95BAF"/>
    <w:rsid w:val="00C95DFB"/>
    <w:rsid w:val="00C96788"/>
    <w:rsid w:val="00CA1D94"/>
    <w:rsid w:val="00CA399E"/>
    <w:rsid w:val="00CA4C94"/>
    <w:rsid w:val="00CA7AA9"/>
    <w:rsid w:val="00CB00E6"/>
    <w:rsid w:val="00CB1271"/>
    <w:rsid w:val="00CB18A1"/>
    <w:rsid w:val="00CB391E"/>
    <w:rsid w:val="00CB5037"/>
    <w:rsid w:val="00CB6542"/>
    <w:rsid w:val="00CC04F5"/>
    <w:rsid w:val="00CC1196"/>
    <w:rsid w:val="00CC20BC"/>
    <w:rsid w:val="00CC226E"/>
    <w:rsid w:val="00CC325F"/>
    <w:rsid w:val="00CC4F8A"/>
    <w:rsid w:val="00CC520E"/>
    <w:rsid w:val="00CC5700"/>
    <w:rsid w:val="00CC71C3"/>
    <w:rsid w:val="00CC72DC"/>
    <w:rsid w:val="00CC7F4A"/>
    <w:rsid w:val="00CD052C"/>
    <w:rsid w:val="00CD1DAE"/>
    <w:rsid w:val="00CD256A"/>
    <w:rsid w:val="00CD2694"/>
    <w:rsid w:val="00CD427C"/>
    <w:rsid w:val="00CD48C4"/>
    <w:rsid w:val="00CD53AD"/>
    <w:rsid w:val="00CD5559"/>
    <w:rsid w:val="00CD5D84"/>
    <w:rsid w:val="00CD7BD3"/>
    <w:rsid w:val="00CE0CF3"/>
    <w:rsid w:val="00CE289D"/>
    <w:rsid w:val="00CE2FDF"/>
    <w:rsid w:val="00CE3700"/>
    <w:rsid w:val="00CE37EB"/>
    <w:rsid w:val="00CE4770"/>
    <w:rsid w:val="00CE562F"/>
    <w:rsid w:val="00CE69D8"/>
    <w:rsid w:val="00CE6C79"/>
    <w:rsid w:val="00CF0C16"/>
    <w:rsid w:val="00CF0F95"/>
    <w:rsid w:val="00CF1333"/>
    <w:rsid w:val="00CF2268"/>
    <w:rsid w:val="00CF2509"/>
    <w:rsid w:val="00CF2711"/>
    <w:rsid w:val="00CF3EC8"/>
    <w:rsid w:val="00CF40F5"/>
    <w:rsid w:val="00CF432C"/>
    <w:rsid w:val="00CF558F"/>
    <w:rsid w:val="00CF5600"/>
    <w:rsid w:val="00CF6AF6"/>
    <w:rsid w:val="00CF7698"/>
    <w:rsid w:val="00CF7732"/>
    <w:rsid w:val="00D00A54"/>
    <w:rsid w:val="00D00FC6"/>
    <w:rsid w:val="00D01B05"/>
    <w:rsid w:val="00D01BD3"/>
    <w:rsid w:val="00D03229"/>
    <w:rsid w:val="00D03907"/>
    <w:rsid w:val="00D03A03"/>
    <w:rsid w:val="00D0417D"/>
    <w:rsid w:val="00D0728A"/>
    <w:rsid w:val="00D07801"/>
    <w:rsid w:val="00D12341"/>
    <w:rsid w:val="00D12CC2"/>
    <w:rsid w:val="00D13533"/>
    <w:rsid w:val="00D139FB"/>
    <w:rsid w:val="00D1459C"/>
    <w:rsid w:val="00D145E6"/>
    <w:rsid w:val="00D163A9"/>
    <w:rsid w:val="00D16A01"/>
    <w:rsid w:val="00D21A36"/>
    <w:rsid w:val="00D21DE3"/>
    <w:rsid w:val="00D23C38"/>
    <w:rsid w:val="00D24407"/>
    <w:rsid w:val="00D24EEB"/>
    <w:rsid w:val="00D26302"/>
    <w:rsid w:val="00D26456"/>
    <w:rsid w:val="00D26D5B"/>
    <w:rsid w:val="00D27991"/>
    <w:rsid w:val="00D27F24"/>
    <w:rsid w:val="00D30C17"/>
    <w:rsid w:val="00D312BB"/>
    <w:rsid w:val="00D3190C"/>
    <w:rsid w:val="00D31D73"/>
    <w:rsid w:val="00D33100"/>
    <w:rsid w:val="00D3488C"/>
    <w:rsid w:val="00D34D96"/>
    <w:rsid w:val="00D34DCA"/>
    <w:rsid w:val="00D35032"/>
    <w:rsid w:val="00D3514C"/>
    <w:rsid w:val="00D36F35"/>
    <w:rsid w:val="00D37BBE"/>
    <w:rsid w:val="00D44A0F"/>
    <w:rsid w:val="00D44D5A"/>
    <w:rsid w:val="00D461B9"/>
    <w:rsid w:val="00D4670D"/>
    <w:rsid w:val="00D4672A"/>
    <w:rsid w:val="00D46936"/>
    <w:rsid w:val="00D46D62"/>
    <w:rsid w:val="00D4753A"/>
    <w:rsid w:val="00D4792A"/>
    <w:rsid w:val="00D5076D"/>
    <w:rsid w:val="00D508C2"/>
    <w:rsid w:val="00D50A49"/>
    <w:rsid w:val="00D513CF"/>
    <w:rsid w:val="00D523F3"/>
    <w:rsid w:val="00D54CE7"/>
    <w:rsid w:val="00D57448"/>
    <w:rsid w:val="00D5793E"/>
    <w:rsid w:val="00D6173B"/>
    <w:rsid w:val="00D621A4"/>
    <w:rsid w:val="00D62F6C"/>
    <w:rsid w:val="00D654D0"/>
    <w:rsid w:val="00D67083"/>
    <w:rsid w:val="00D67A25"/>
    <w:rsid w:val="00D67B59"/>
    <w:rsid w:val="00D70510"/>
    <w:rsid w:val="00D728BA"/>
    <w:rsid w:val="00D72AA5"/>
    <w:rsid w:val="00D72C40"/>
    <w:rsid w:val="00D72CE9"/>
    <w:rsid w:val="00D7317E"/>
    <w:rsid w:val="00D73920"/>
    <w:rsid w:val="00D75A2B"/>
    <w:rsid w:val="00D77C0E"/>
    <w:rsid w:val="00D80854"/>
    <w:rsid w:val="00D80922"/>
    <w:rsid w:val="00D80D93"/>
    <w:rsid w:val="00D82BC4"/>
    <w:rsid w:val="00D82EAB"/>
    <w:rsid w:val="00D82EFA"/>
    <w:rsid w:val="00D82FB3"/>
    <w:rsid w:val="00D83DD9"/>
    <w:rsid w:val="00D845C7"/>
    <w:rsid w:val="00D84A38"/>
    <w:rsid w:val="00D850CB"/>
    <w:rsid w:val="00D861AD"/>
    <w:rsid w:val="00D86B19"/>
    <w:rsid w:val="00D87A16"/>
    <w:rsid w:val="00D903E6"/>
    <w:rsid w:val="00D925DA"/>
    <w:rsid w:val="00D935F7"/>
    <w:rsid w:val="00D93F7A"/>
    <w:rsid w:val="00D93F8C"/>
    <w:rsid w:val="00D94B39"/>
    <w:rsid w:val="00D97F0D"/>
    <w:rsid w:val="00DA0787"/>
    <w:rsid w:val="00DA0793"/>
    <w:rsid w:val="00DA23E9"/>
    <w:rsid w:val="00DA4763"/>
    <w:rsid w:val="00DA5035"/>
    <w:rsid w:val="00DA50AE"/>
    <w:rsid w:val="00DA60E7"/>
    <w:rsid w:val="00DA6C93"/>
    <w:rsid w:val="00DA72D2"/>
    <w:rsid w:val="00DA76F5"/>
    <w:rsid w:val="00DB18BC"/>
    <w:rsid w:val="00DB1CD2"/>
    <w:rsid w:val="00DB46BD"/>
    <w:rsid w:val="00DB49C2"/>
    <w:rsid w:val="00DB55CC"/>
    <w:rsid w:val="00DB5E60"/>
    <w:rsid w:val="00DB68F5"/>
    <w:rsid w:val="00DC063B"/>
    <w:rsid w:val="00DC0C16"/>
    <w:rsid w:val="00DC1202"/>
    <w:rsid w:val="00DC1967"/>
    <w:rsid w:val="00DC1BDF"/>
    <w:rsid w:val="00DC26F9"/>
    <w:rsid w:val="00DC3915"/>
    <w:rsid w:val="00DC5C8A"/>
    <w:rsid w:val="00DC5D77"/>
    <w:rsid w:val="00DD0FDC"/>
    <w:rsid w:val="00DD2DB2"/>
    <w:rsid w:val="00DD4080"/>
    <w:rsid w:val="00DD47C9"/>
    <w:rsid w:val="00DD50DE"/>
    <w:rsid w:val="00DD6EB8"/>
    <w:rsid w:val="00DE1307"/>
    <w:rsid w:val="00DE193D"/>
    <w:rsid w:val="00DE3814"/>
    <w:rsid w:val="00DE58D4"/>
    <w:rsid w:val="00DE64F3"/>
    <w:rsid w:val="00DE6AAB"/>
    <w:rsid w:val="00DF41A8"/>
    <w:rsid w:val="00DF461E"/>
    <w:rsid w:val="00DF48E6"/>
    <w:rsid w:val="00DF49F6"/>
    <w:rsid w:val="00DF5363"/>
    <w:rsid w:val="00DF67A0"/>
    <w:rsid w:val="00E002BC"/>
    <w:rsid w:val="00E005AD"/>
    <w:rsid w:val="00E01D92"/>
    <w:rsid w:val="00E02948"/>
    <w:rsid w:val="00E03184"/>
    <w:rsid w:val="00E049A0"/>
    <w:rsid w:val="00E04BC6"/>
    <w:rsid w:val="00E0606F"/>
    <w:rsid w:val="00E074D6"/>
    <w:rsid w:val="00E0755D"/>
    <w:rsid w:val="00E07B16"/>
    <w:rsid w:val="00E100E8"/>
    <w:rsid w:val="00E10514"/>
    <w:rsid w:val="00E10C10"/>
    <w:rsid w:val="00E11FAD"/>
    <w:rsid w:val="00E127DE"/>
    <w:rsid w:val="00E13930"/>
    <w:rsid w:val="00E13A0A"/>
    <w:rsid w:val="00E14702"/>
    <w:rsid w:val="00E15292"/>
    <w:rsid w:val="00E15E34"/>
    <w:rsid w:val="00E17247"/>
    <w:rsid w:val="00E20FAB"/>
    <w:rsid w:val="00E2299C"/>
    <w:rsid w:val="00E22BCC"/>
    <w:rsid w:val="00E23D3F"/>
    <w:rsid w:val="00E25ABB"/>
    <w:rsid w:val="00E26B06"/>
    <w:rsid w:val="00E271C0"/>
    <w:rsid w:val="00E3234E"/>
    <w:rsid w:val="00E32500"/>
    <w:rsid w:val="00E340A5"/>
    <w:rsid w:val="00E349D4"/>
    <w:rsid w:val="00E40B01"/>
    <w:rsid w:val="00E40B42"/>
    <w:rsid w:val="00E412AF"/>
    <w:rsid w:val="00E41AAE"/>
    <w:rsid w:val="00E41B41"/>
    <w:rsid w:val="00E434ED"/>
    <w:rsid w:val="00E44359"/>
    <w:rsid w:val="00E44AE2"/>
    <w:rsid w:val="00E4507A"/>
    <w:rsid w:val="00E461F1"/>
    <w:rsid w:val="00E46E76"/>
    <w:rsid w:val="00E503A2"/>
    <w:rsid w:val="00E504FB"/>
    <w:rsid w:val="00E51406"/>
    <w:rsid w:val="00E517A9"/>
    <w:rsid w:val="00E522E7"/>
    <w:rsid w:val="00E55AB5"/>
    <w:rsid w:val="00E55BE8"/>
    <w:rsid w:val="00E55DC8"/>
    <w:rsid w:val="00E57C2D"/>
    <w:rsid w:val="00E607A7"/>
    <w:rsid w:val="00E60B74"/>
    <w:rsid w:val="00E60C91"/>
    <w:rsid w:val="00E61443"/>
    <w:rsid w:val="00E61983"/>
    <w:rsid w:val="00E61F98"/>
    <w:rsid w:val="00E63ACC"/>
    <w:rsid w:val="00E63CD3"/>
    <w:rsid w:val="00E64319"/>
    <w:rsid w:val="00E656A2"/>
    <w:rsid w:val="00E65921"/>
    <w:rsid w:val="00E661E3"/>
    <w:rsid w:val="00E66E8F"/>
    <w:rsid w:val="00E70A81"/>
    <w:rsid w:val="00E70ECF"/>
    <w:rsid w:val="00E71A85"/>
    <w:rsid w:val="00E71A98"/>
    <w:rsid w:val="00E72B9D"/>
    <w:rsid w:val="00E74FD7"/>
    <w:rsid w:val="00E75501"/>
    <w:rsid w:val="00E75DD1"/>
    <w:rsid w:val="00E76B91"/>
    <w:rsid w:val="00E81C21"/>
    <w:rsid w:val="00E82C6B"/>
    <w:rsid w:val="00E830AE"/>
    <w:rsid w:val="00E84146"/>
    <w:rsid w:val="00E85042"/>
    <w:rsid w:val="00E856C7"/>
    <w:rsid w:val="00E876D5"/>
    <w:rsid w:val="00E91832"/>
    <w:rsid w:val="00E92552"/>
    <w:rsid w:val="00E93299"/>
    <w:rsid w:val="00E93D35"/>
    <w:rsid w:val="00E93DAD"/>
    <w:rsid w:val="00E93E52"/>
    <w:rsid w:val="00E96998"/>
    <w:rsid w:val="00E9699B"/>
    <w:rsid w:val="00E97808"/>
    <w:rsid w:val="00EA0E12"/>
    <w:rsid w:val="00EA2856"/>
    <w:rsid w:val="00EA4955"/>
    <w:rsid w:val="00EA51EB"/>
    <w:rsid w:val="00EA559B"/>
    <w:rsid w:val="00EA6807"/>
    <w:rsid w:val="00EA7D94"/>
    <w:rsid w:val="00EA7E1E"/>
    <w:rsid w:val="00EB0BD0"/>
    <w:rsid w:val="00EB3534"/>
    <w:rsid w:val="00EB38B6"/>
    <w:rsid w:val="00EB4AFB"/>
    <w:rsid w:val="00EB59AE"/>
    <w:rsid w:val="00EB7917"/>
    <w:rsid w:val="00EB7AF5"/>
    <w:rsid w:val="00EC0FCE"/>
    <w:rsid w:val="00EC1A41"/>
    <w:rsid w:val="00EC28F5"/>
    <w:rsid w:val="00EC3129"/>
    <w:rsid w:val="00EC3AFB"/>
    <w:rsid w:val="00EC4A4D"/>
    <w:rsid w:val="00EC628D"/>
    <w:rsid w:val="00EC64A7"/>
    <w:rsid w:val="00ED1A96"/>
    <w:rsid w:val="00ED2365"/>
    <w:rsid w:val="00ED49DE"/>
    <w:rsid w:val="00ED780E"/>
    <w:rsid w:val="00EE0DA7"/>
    <w:rsid w:val="00EE1001"/>
    <w:rsid w:val="00EE11FC"/>
    <w:rsid w:val="00EE1398"/>
    <w:rsid w:val="00EE14C4"/>
    <w:rsid w:val="00EE1D38"/>
    <w:rsid w:val="00EE1EE4"/>
    <w:rsid w:val="00EE2179"/>
    <w:rsid w:val="00EE2A33"/>
    <w:rsid w:val="00EE39CD"/>
    <w:rsid w:val="00EE4F62"/>
    <w:rsid w:val="00EE514E"/>
    <w:rsid w:val="00EE5859"/>
    <w:rsid w:val="00EE5C07"/>
    <w:rsid w:val="00EF0263"/>
    <w:rsid w:val="00EF16B0"/>
    <w:rsid w:val="00EF394F"/>
    <w:rsid w:val="00EF3CA6"/>
    <w:rsid w:val="00EF47F0"/>
    <w:rsid w:val="00EF5AB5"/>
    <w:rsid w:val="00EF5AD8"/>
    <w:rsid w:val="00EF6B87"/>
    <w:rsid w:val="00EF7A24"/>
    <w:rsid w:val="00EF7FF6"/>
    <w:rsid w:val="00F01655"/>
    <w:rsid w:val="00F028C6"/>
    <w:rsid w:val="00F0432F"/>
    <w:rsid w:val="00F06984"/>
    <w:rsid w:val="00F12E55"/>
    <w:rsid w:val="00F1413B"/>
    <w:rsid w:val="00F15E4B"/>
    <w:rsid w:val="00F1601C"/>
    <w:rsid w:val="00F16864"/>
    <w:rsid w:val="00F16BE5"/>
    <w:rsid w:val="00F16DC7"/>
    <w:rsid w:val="00F17820"/>
    <w:rsid w:val="00F202A6"/>
    <w:rsid w:val="00F20322"/>
    <w:rsid w:val="00F22F47"/>
    <w:rsid w:val="00F23128"/>
    <w:rsid w:val="00F26B75"/>
    <w:rsid w:val="00F2777A"/>
    <w:rsid w:val="00F27D0B"/>
    <w:rsid w:val="00F31437"/>
    <w:rsid w:val="00F31C98"/>
    <w:rsid w:val="00F327F7"/>
    <w:rsid w:val="00F3421A"/>
    <w:rsid w:val="00F35C29"/>
    <w:rsid w:val="00F3649A"/>
    <w:rsid w:val="00F37427"/>
    <w:rsid w:val="00F37435"/>
    <w:rsid w:val="00F37FC8"/>
    <w:rsid w:val="00F405DF"/>
    <w:rsid w:val="00F4064B"/>
    <w:rsid w:val="00F4208A"/>
    <w:rsid w:val="00F4219B"/>
    <w:rsid w:val="00F43880"/>
    <w:rsid w:val="00F44AAE"/>
    <w:rsid w:val="00F4649D"/>
    <w:rsid w:val="00F506A3"/>
    <w:rsid w:val="00F509F7"/>
    <w:rsid w:val="00F51338"/>
    <w:rsid w:val="00F515E9"/>
    <w:rsid w:val="00F520D8"/>
    <w:rsid w:val="00F52966"/>
    <w:rsid w:val="00F53339"/>
    <w:rsid w:val="00F56388"/>
    <w:rsid w:val="00F57CE7"/>
    <w:rsid w:val="00F6029C"/>
    <w:rsid w:val="00F6116F"/>
    <w:rsid w:val="00F6149A"/>
    <w:rsid w:val="00F614DF"/>
    <w:rsid w:val="00F61E59"/>
    <w:rsid w:val="00F62AC8"/>
    <w:rsid w:val="00F63559"/>
    <w:rsid w:val="00F6432A"/>
    <w:rsid w:val="00F6708A"/>
    <w:rsid w:val="00F7111F"/>
    <w:rsid w:val="00F71400"/>
    <w:rsid w:val="00F722B7"/>
    <w:rsid w:val="00F726FD"/>
    <w:rsid w:val="00F7584F"/>
    <w:rsid w:val="00F75FEE"/>
    <w:rsid w:val="00F76A71"/>
    <w:rsid w:val="00F76F97"/>
    <w:rsid w:val="00F77593"/>
    <w:rsid w:val="00F77D15"/>
    <w:rsid w:val="00F8014D"/>
    <w:rsid w:val="00F81B17"/>
    <w:rsid w:val="00F81C24"/>
    <w:rsid w:val="00F820B6"/>
    <w:rsid w:val="00F825A1"/>
    <w:rsid w:val="00F825E6"/>
    <w:rsid w:val="00F826A1"/>
    <w:rsid w:val="00F82EF6"/>
    <w:rsid w:val="00F8312C"/>
    <w:rsid w:val="00F842A8"/>
    <w:rsid w:val="00F8597E"/>
    <w:rsid w:val="00F85C3B"/>
    <w:rsid w:val="00F87539"/>
    <w:rsid w:val="00F91023"/>
    <w:rsid w:val="00F924B2"/>
    <w:rsid w:val="00F96E89"/>
    <w:rsid w:val="00FA1355"/>
    <w:rsid w:val="00FA210D"/>
    <w:rsid w:val="00FA3C18"/>
    <w:rsid w:val="00FA417B"/>
    <w:rsid w:val="00FA44AB"/>
    <w:rsid w:val="00FA4CF3"/>
    <w:rsid w:val="00FA570E"/>
    <w:rsid w:val="00FA59AE"/>
    <w:rsid w:val="00FA5EAC"/>
    <w:rsid w:val="00FA5F93"/>
    <w:rsid w:val="00FB0183"/>
    <w:rsid w:val="00FB0B18"/>
    <w:rsid w:val="00FB1816"/>
    <w:rsid w:val="00FB1E95"/>
    <w:rsid w:val="00FB37BC"/>
    <w:rsid w:val="00FB3F35"/>
    <w:rsid w:val="00FB45AE"/>
    <w:rsid w:val="00FB78E1"/>
    <w:rsid w:val="00FC02E3"/>
    <w:rsid w:val="00FC0A91"/>
    <w:rsid w:val="00FC1498"/>
    <w:rsid w:val="00FC24A4"/>
    <w:rsid w:val="00FC44AE"/>
    <w:rsid w:val="00FC49C7"/>
    <w:rsid w:val="00FC633A"/>
    <w:rsid w:val="00FC6696"/>
    <w:rsid w:val="00FC66C9"/>
    <w:rsid w:val="00FC673A"/>
    <w:rsid w:val="00FC715C"/>
    <w:rsid w:val="00FC7F29"/>
    <w:rsid w:val="00FD083E"/>
    <w:rsid w:val="00FD0F91"/>
    <w:rsid w:val="00FD1256"/>
    <w:rsid w:val="00FD24A1"/>
    <w:rsid w:val="00FD3462"/>
    <w:rsid w:val="00FD52BD"/>
    <w:rsid w:val="00FD532E"/>
    <w:rsid w:val="00FD54A1"/>
    <w:rsid w:val="00FD5F95"/>
    <w:rsid w:val="00FD7010"/>
    <w:rsid w:val="00FD7374"/>
    <w:rsid w:val="00FD7772"/>
    <w:rsid w:val="00FD7CF5"/>
    <w:rsid w:val="00FE05A5"/>
    <w:rsid w:val="00FE0B75"/>
    <w:rsid w:val="00FE12B6"/>
    <w:rsid w:val="00FE16FF"/>
    <w:rsid w:val="00FE17A4"/>
    <w:rsid w:val="00FE2233"/>
    <w:rsid w:val="00FE3150"/>
    <w:rsid w:val="00FE32B7"/>
    <w:rsid w:val="00FE32E9"/>
    <w:rsid w:val="00FE451E"/>
    <w:rsid w:val="00FE4920"/>
    <w:rsid w:val="00FE551E"/>
    <w:rsid w:val="00FE5D3A"/>
    <w:rsid w:val="00FE7427"/>
    <w:rsid w:val="00FF0397"/>
    <w:rsid w:val="00FF34BC"/>
    <w:rsid w:val="00FF398F"/>
    <w:rsid w:val="00FF4B88"/>
    <w:rsid w:val="00FF5A48"/>
    <w:rsid w:val="00FF5BEE"/>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2A33"/>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9F34DA"/>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spacing w:before="100" w:beforeAutospacing="1" w:after="100" w:afterAutospacing="1"/>
    </w:p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spacing w:after="120"/>
      <w:jc w:val="both"/>
    </w:pPr>
    <w:rPr>
      <w:rFonts w:ascii="Arial" w:eastAsiaTheme="minorEastAsia" w:hAnsi="Arial" w:cstheme="minorBidi"/>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qFormat/>
    <w:rsid w:val="00BC1FC0"/>
  </w:style>
  <w:style w:type="paragraph" w:styleId="NormalWeb">
    <w:name w:val="Normal (Web)"/>
    <w:basedOn w:val="Normal"/>
    <w:uiPriority w:val="99"/>
    <w:unhideWhenUsed/>
    <w:qFormat/>
    <w:rsid w:val="00C058EA"/>
    <w:pPr>
      <w:spacing w:before="100" w:beforeAutospacing="1" w:after="100" w:afterAutospacing="1"/>
    </w:pPr>
    <w:rPr>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spacing w:after="120"/>
      <w:ind w:left="1701" w:hanging="1701"/>
      <w:jc w:val="both"/>
    </w:pPr>
    <w:rPr>
      <w:rFonts w:asciiTheme="minorHAnsi" w:eastAsiaTheme="minorEastAsia" w:hAnsiTheme="minorHAnsi" w:cstheme="minorBidi"/>
      <w:b/>
      <w:bCs/>
      <w:lang w:eastAsia="ja-JP"/>
    </w:rPr>
  </w:style>
  <w:style w:type="character" w:customStyle="1" w:styleId="B1Char1">
    <w:name w:val="B1 Char1"/>
    <w:qFormat/>
    <w:locked/>
    <w:rsid w:val="001333E9"/>
    <w:rPr>
      <w:lang w:val="en-GB" w:eastAsia="en-GB"/>
    </w:rPr>
  </w:style>
  <w:style w:type="paragraph" w:customStyle="1" w:styleId="Reference">
    <w:name w:val="Reference"/>
    <w:basedOn w:val="BodyText"/>
    <w:rsid w:val="008C5E12"/>
    <w:pPr>
      <w:numPr>
        <w:numId w:val="2"/>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qFormat/>
    <w:rsid w:val="00127542"/>
    <w:rPr>
      <w:color w:val="0000FF"/>
      <w:u w:val="single"/>
    </w:rPr>
  </w:style>
  <w:style w:type="character" w:styleId="Strong">
    <w:name w:val="Strong"/>
    <w:uiPriority w:val="22"/>
    <w:qFormat/>
    <w:rsid w:val="00F506A3"/>
    <w:rPr>
      <w:b/>
      <w:bCs/>
    </w:rPr>
  </w:style>
  <w:style w:type="character" w:customStyle="1" w:styleId="colour">
    <w:name w:val="colour"/>
    <w:basedOn w:val="DefaultParagraphFont"/>
    <w:rsid w:val="00AD17A5"/>
  </w:style>
  <w:style w:type="paragraph" w:customStyle="1" w:styleId="B2">
    <w:name w:val="B2"/>
    <w:basedOn w:val="Normal"/>
    <w:link w:val="B2Char"/>
    <w:qFormat/>
    <w:rsid w:val="00AD17A5"/>
    <w:pPr>
      <w:ind w:left="851" w:hanging="284"/>
    </w:pPr>
    <w:rPr>
      <w:lang w:val="x-none"/>
    </w:rPr>
  </w:style>
  <w:style w:type="paragraph" w:customStyle="1" w:styleId="B3">
    <w:name w:val="B3"/>
    <w:basedOn w:val="Normal"/>
    <w:link w:val="B3Char"/>
    <w:rsid w:val="00AD17A5"/>
    <w:pPr>
      <w:ind w:left="1135" w:hanging="284"/>
    </w:pPr>
  </w:style>
  <w:style w:type="character" w:customStyle="1" w:styleId="B2Char">
    <w:name w:val="B2 Char"/>
    <w:link w:val="B2"/>
    <w:qFormat/>
    <w:rsid w:val="00AD17A5"/>
    <w:rPr>
      <w:rFonts w:ascii="Times New Roman" w:eastAsia="SimSun" w:hAnsi="Times New Roman" w:cs="Times New Roman"/>
      <w:sz w:val="20"/>
      <w:szCs w:val="20"/>
      <w:lang w:val="x-none" w:eastAsia="en-US"/>
    </w:rPr>
  </w:style>
  <w:style w:type="character" w:customStyle="1" w:styleId="B3Char">
    <w:name w:val="B3 Char"/>
    <w:link w:val="B3"/>
    <w:rsid w:val="00AD17A5"/>
    <w:rPr>
      <w:rFonts w:ascii="Times New Roman" w:eastAsia="SimSun" w:hAnsi="Times New Roman" w:cs="Times New Roman"/>
      <w:sz w:val="20"/>
      <w:szCs w:val="20"/>
      <w:lang w:val="en-GB" w:eastAsia="en-US"/>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E82C6B"/>
    <w:pPr>
      <w:spacing w:before="120" w:after="120" w:line="259" w:lineRule="auto"/>
    </w:pPr>
    <w:rPr>
      <w:rFonts w:ascii="Arial" w:eastAsiaTheme="minorHAnsi" w:hAnsi="Arial" w:cstheme="minorBidi"/>
      <w:b/>
      <w:szCs w:val="22"/>
      <w:lang w:eastAsia="en-GB"/>
    </w:rPr>
  </w:style>
  <w:style w:type="paragraph" w:customStyle="1" w:styleId="TAL">
    <w:name w:val="TAL"/>
    <w:basedOn w:val="Normal"/>
    <w:link w:val="TALCar"/>
    <w:qFormat/>
    <w:rsid w:val="00E82C6B"/>
    <w:pPr>
      <w:keepNext/>
      <w:keepLines/>
      <w:spacing w:line="259" w:lineRule="auto"/>
    </w:pPr>
    <w:rPr>
      <w:rFonts w:ascii="Arial" w:eastAsiaTheme="minorHAnsi" w:hAnsi="Arial" w:cstheme="minorBidi"/>
      <w:sz w:val="18"/>
      <w:szCs w:val="22"/>
      <w:lang w:val="x-none" w:eastAsia="x-none"/>
    </w:rPr>
  </w:style>
  <w:style w:type="character" w:customStyle="1" w:styleId="TALCar">
    <w:name w:val="TAL Car"/>
    <w:link w:val="TAL"/>
    <w:qFormat/>
    <w:rsid w:val="00E82C6B"/>
    <w:rPr>
      <w:rFonts w:ascii="Arial" w:eastAsiaTheme="minorHAnsi"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E82C6B"/>
    <w:rPr>
      <w:rFonts w:ascii="Arial" w:eastAsiaTheme="minorHAnsi" w:hAnsi="Arial"/>
      <w:b/>
      <w:sz w:val="20"/>
      <w:lang w:eastAsia="en-GB"/>
    </w:rPr>
  </w:style>
  <w:style w:type="paragraph" w:styleId="Revision">
    <w:name w:val="Revision"/>
    <w:hidden/>
    <w:uiPriority w:val="99"/>
    <w:semiHidden/>
    <w:rsid w:val="001D3EA3"/>
    <w:pPr>
      <w:spacing w:after="0" w:line="240" w:lineRule="auto"/>
    </w:pPr>
    <w:rPr>
      <w:rFonts w:ascii="Times New Roman" w:eastAsia="SimSun" w:hAnsi="Times New Roman" w:cs="Times New Roman"/>
      <w:sz w:val="20"/>
      <w:szCs w:val="20"/>
      <w:lang w:val="en-GB" w:eastAsia="en-US"/>
    </w:rPr>
  </w:style>
  <w:style w:type="paragraph" w:customStyle="1" w:styleId="TdocHeading1">
    <w:name w:val="Tdoc_Heading_1"/>
    <w:basedOn w:val="Heading1"/>
    <w:next w:val="BodyText"/>
    <w:autoRedefine/>
    <w:rsid w:val="008A0A0F"/>
    <w:pPr>
      <w:keepNext w:val="0"/>
      <w:keepLines w:val="0"/>
      <w:widowControl w:val="0"/>
      <w:numPr>
        <w:numId w:val="3"/>
      </w:numPr>
      <w:pBdr>
        <w:top w:val="none" w:sz="0" w:space="0" w:color="auto"/>
      </w:pBdr>
      <w:overflowPunct/>
      <w:autoSpaceDE/>
      <w:autoSpaceDN/>
      <w:adjustRightInd/>
      <w:spacing w:after="120"/>
      <w:ind w:left="357" w:hanging="357"/>
      <w:jc w:val="both"/>
      <w:textAlignment w:val="auto"/>
    </w:pPr>
    <w:rPr>
      <w:b/>
      <w:noProof/>
      <w:kern w:val="28"/>
      <w:sz w:val="24"/>
      <w:lang w:val="en-US" w:eastAsia="x-none"/>
    </w:rPr>
  </w:style>
  <w:style w:type="paragraph" w:customStyle="1" w:styleId="3GPPH2">
    <w:name w:val="3GPP H2"/>
    <w:basedOn w:val="Heading2"/>
    <w:next w:val="Normal"/>
    <w:uiPriority w:val="99"/>
    <w:qFormat/>
    <w:rsid w:val="008A0A0F"/>
    <w:pPr>
      <w:numPr>
        <w:ilvl w:val="1"/>
        <w:numId w:val="3"/>
      </w:numPr>
      <w:spacing w:before="180" w:after="120"/>
    </w:pPr>
    <w:rPr>
      <w:rFonts w:ascii="Arial" w:eastAsia="SimSun" w:hAnsi="Arial" w:cs="Times New Roman"/>
      <w:color w:val="auto"/>
      <w:sz w:val="32"/>
      <w:szCs w:val="20"/>
    </w:rPr>
  </w:style>
  <w:style w:type="paragraph" w:customStyle="1" w:styleId="Agreement">
    <w:name w:val="Agreement"/>
    <w:basedOn w:val="Normal"/>
    <w:next w:val="Normal"/>
    <w:qFormat/>
    <w:rsid w:val="00165011"/>
    <w:pPr>
      <w:numPr>
        <w:numId w:val="4"/>
      </w:numPr>
      <w:spacing w:before="60"/>
    </w:pPr>
    <w:rPr>
      <w:rFonts w:ascii="Arial" w:eastAsia="MS Mincho" w:hAnsi="Arial"/>
      <w:b/>
      <w:lang w:eastAsia="en-GB"/>
    </w:rPr>
  </w:style>
  <w:style w:type="paragraph" w:styleId="TOC3">
    <w:name w:val="toc 3"/>
    <w:basedOn w:val="Normal"/>
    <w:next w:val="Normal"/>
    <w:autoRedefine/>
    <w:semiHidden/>
    <w:rsid w:val="002D14A1"/>
    <w:pPr>
      <w:numPr>
        <w:numId w:val="6"/>
      </w:numPr>
      <w:spacing w:before="40"/>
    </w:pPr>
    <w:rPr>
      <w:rFonts w:ascii="Arial" w:eastAsia="MS Mincho" w:hAnsi="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33453">
      <w:bodyDiv w:val="1"/>
      <w:marLeft w:val="0"/>
      <w:marRight w:val="0"/>
      <w:marTop w:val="0"/>
      <w:marBottom w:val="0"/>
      <w:divBdr>
        <w:top w:val="none" w:sz="0" w:space="0" w:color="auto"/>
        <w:left w:val="none" w:sz="0" w:space="0" w:color="auto"/>
        <w:bottom w:val="none" w:sz="0" w:space="0" w:color="auto"/>
        <w:right w:val="none" w:sz="0" w:space="0" w:color="auto"/>
      </w:divBdr>
    </w:div>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22302">
      <w:bodyDiv w:val="1"/>
      <w:marLeft w:val="0"/>
      <w:marRight w:val="0"/>
      <w:marTop w:val="0"/>
      <w:marBottom w:val="0"/>
      <w:divBdr>
        <w:top w:val="none" w:sz="0" w:space="0" w:color="auto"/>
        <w:left w:val="none" w:sz="0" w:space="0" w:color="auto"/>
        <w:bottom w:val="none" w:sz="0" w:space="0" w:color="auto"/>
        <w:right w:val="none" w:sz="0" w:space="0" w:color="auto"/>
      </w:divBdr>
      <w:divsChild>
        <w:div w:id="1049718698">
          <w:marLeft w:val="0"/>
          <w:marRight w:val="0"/>
          <w:marTop w:val="0"/>
          <w:marBottom w:val="0"/>
          <w:divBdr>
            <w:top w:val="none" w:sz="0" w:space="0" w:color="auto"/>
            <w:left w:val="none" w:sz="0" w:space="0" w:color="auto"/>
            <w:bottom w:val="none" w:sz="0" w:space="0" w:color="auto"/>
            <w:right w:val="none" w:sz="0" w:space="0" w:color="auto"/>
          </w:divBdr>
          <w:divsChild>
            <w:div w:id="1386564972">
              <w:marLeft w:val="0"/>
              <w:marRight w:val="0"/>
              <w:marTop w:val="0"/>
              <w:marBottom w:val="0"/>
              <w:divBdr>
                <w:top w:val="none" w:sz="0" w:space="0" w:color="auto"/>
                <w:left w:val="none" w:sz="0" w:space="0" w:color="auto"/>
                <w:bottom w:val="none" w:sz="0" w:space="0" w:color="auto"/>
                <w:right w:val="none" w:sz="0" w:space="0" w:color="auto"/>
              </w:divBdr>
              <w:divsChild>
                <w:div w:id="99661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57165">
      <w:bodyDiv w:val="1"/>
      <w:marLeft w:val="0"/>
      <w:marRight w:val="0"/>
      <w:marTop w:val="0"/>
      <w:marBottom w:val="0"/>
      <w:divBdr>
        <w:top w:val="none" w:sz="0" w:space="0" w:color="auto"/>
        <w:left w:val="none" w:sz="0" w:space="0" w:color="auto"/>
        <w:bottom w:val="none" w:sz="0" w:space="0" w:color="auto"/>
        <w:right w:val="none" w:sz="0" w:space="0" w:color="auto"/>
      </w:divBdr>
      <w:divsChild>
        <w:div w:id="1419449051">
          <w:marLeft w:val="0"/>
          <w:marRight w:val="0"/>
          <w:marTop w:val="0"/>
          <w:marBottom w:val="0"/>
          <w:divBdr>
            <w:top w:val="none" w:sz="0" w:space="0" w:color="auto"/>
            <w:left w:val="none" w:sz="0" w:space="0" w:color="auto"/>
            <w:bottom w:val="none" w:sz="0" w:space="0" w:color="auto"/>
            <w:right w:val="none" w:sz="0" w:space="0" w:color="auto"/>
          </w:divBdr>
        </w:div>
        <w:div w:id="1467509195">
          <w:marLeft w:val="0"/>
          <w:marRight w:val="0"/>
          <w:marTop w:val="0"/>
          <w:marBottom w:val="0"/>
          <w:divBdr>
            <w:top w:val="none" w:sz="0" w:space="0" w:color="auto"/>
            <w:left w:val="none" w:sz="0" w:space="0" w:color="auto"/>
            <w:bottom w:val="none" w:sz="0" w:space="0" w:color="auto"/>
            <w:right w:val="none" w:sz="0" w:space="0" w:color="auto"/>
          </w:divBdr>
        </w:div>
        <w:div w:id="877203985">
          <w:marLeft w:val="0"/>
          <w:marRight w:val="0"/>
          <w:marTop w:val="0"/>
          <w:marBottom w:val="0"/>
          <w:divBdr>
            <w:top w:val="none" w:sz="0" w:space="0" w:color="auto"/>
            <w:left w:val="none" w:sz="0" w:space="0" w:color="auto"/>
            <w:bottom w:val="none" w:sz="0" w:space="0" w:color="auto"/>
            <w:right w:val="none" w:sz="0" w:space="0" w:color="auto"/>
          </w:divBdr>
        </w:div>
        <w:div w:id="647632869">
          <w:marLeft w:val="0"/>
          <w:marRight w:val="0"/>
          <w:marTop w:val="0"/>
          <w:marBottom w:val="0"/>
          <w:divBdr>
            <w:top w:val="none" w:sz="0" w:space="0" w:color="auto"/>
            <w:left w:val="none" w:sz="0" w:space="0" w:color="auto"/>
            <w:bottom w:val="none" w:sz="0" w:space="0" w:color="auto"/>
            <w:right w:val="none" w:sz="0" w:space="0" w:color="auto"/>
          </w:divBdr>
        </w:div>
        <w:div w:id="1265959667">
          <w:marLeft w:val="0"/>
          <w:marRight w:val="0"/>
          <w:marTop w:val="0"/>
          <w:marBottom w:val="0"/>
          <w:divBdr>
            <w:top w:val="none" w:sz="0" w:space="0" w:color="auto"/>
            <w:left w:val="none" w:sz="0" w:space="0" w:color="auto"/>
            <w:bottom w:val="none" w:sz="0" w:space="0" w:color="auto"/>
            <w:right w:val="none" w:sz="0" w:space="0" w:color="auto"/>
          </w:divBdr>
        </w:div>
        <w:div w:id="777025361">
          <w:marLeft w:val="0"/>
          <w:marRight w:val="0"/>
          <w:marTop w:val="0"/>
          <w:marBottom w:val="0"/>
          <w:divBdr>
            <w:top w:val="none" w:sz="0" w:space="0" w:color="auto"/>
            <w:left w:val="none" w:sz="0" w:space="0" w:color="auto"/>
            <w:bottom w:val="none" w:sz="0" w:space="0" w:color="auto"/>
            <w:right w:val="none" w:sz="0" w:space="0" w:color="auto"/>
          </w:divBdr>
        </w:div>
        <w:div w:id="337585194">
          <w:marLeft w:val="0"/>
          <w:marRight w:val="0"/>
          <w:marTop w:val="0"/>
          <w:marBottom w:val="0"/>
          <w:divBdr>
            <w:top w:val="none" w:sz="0" w:space="0" w:color="auto"/>
            <w:left w:val="none" w:sz="0" w:space="0" w:color="auto"/>
            <w:bottom w:val="none" w:sz="0" w:space="0" w:color="auto"/>
            <w:right w:val="none" w:sz="0" w:space="0" w:color="auto"/>
          </w:divBdr>
        </w:div>
        <w:div w:id="2078167771">
          <w:marLeft w:val="0"/>
          <w:marRight w:val="0"/>
          <w:marTop w:val="0"/>
          <w:marBottom w:val="0"/>
          <w:divBdr>
            <w:top w:val="none" w:sz="0" w:space="0" w:color="auto"/>
            <w:left w:val="none" w:sz="0" w:space="0" w:color="auto"/>
            <w:bottom w:val="none" w:sz="0" w:space="0" w:color="auto"/>
            <w:right w:val="none" w:sz="0" w:space="0" w:color="auto"/>
          </w:divBdr>
        </w:div>
        <w:div w:id="1237476799">
          <w:marLeft w:val="0"/>
          <w:marRight w:val="0"/>
          <w:marTop w:val="0"/>
          <w:marBottom w:val="0"/>
          <w:divBdr>
            <w:top w:val="none" w:sz="0" w:space="0" w:color="auto"/>
            <w:left w:val="none" w:sz="0" w:space="0" w:color="auto"/>
            <w:bottom w:val="none" w:sz="0" w:space="0" w:color="auto"/>
            <w:right w:val="none" w:sz="0" w:space="0" w:color="auto"/>
          </w:divBdr>
        </w:div>
        <w:div w:id="124399128">
          <w:marLeft w:val="0"/>
          <w:marRight w:val="0"/>
          <w:marTop w:val="0"/>
          <w:marBottom w:val="0"/>
          <w:divBdr>
            <w:top w:val="none" w:sz="0" w:space="0" w:color="auto"/>
            <w:left w:val="none" w:sz="0" w:space="0" w:color="auto"/>
            <w:bottom w:val="none" w:sz="0" w:space="0" w:color="auto"/>
            <w:right w:val="none" w:sz="0" w:space="0" w:color="auto"/>
          </w:divBdr>
        </w:div>
        <w:div w:id="1996912584">
          <w:marLeft w:val="0"/>
          <w:marRight w:val="0"/>
          <w:marTop w:val="0"/>
          <w:marBottom w:val="0"/>
          <w:divBdr>
            <w:top w:val="none" w:sz="0" w:space="0" w:color="auto"/>
            <w:left w:val="none" w:sz="0" w:space="0" w:color="auto"/>
            <w:bottom w:val="none" w:sz="0" w:space="0" w:color="auto"/>
            <w:right w:val="none" w:sz="0" w:space="0" w:color="auto"/>
          </w:divBdr>
        </w:div>
        <w:div w:id="1565917702">
          <w:marLeft w:val="0"/>
          <w:marRight w:val="0"/>
          <w:marTop w:val="0"/>
          <w:marBottom w:val="0"/>
          <w:divBdr>
            <w:top w:val="none" w:sz="0" w:space="0" w:color="auto"/>
            <w:left w:val="none" w:sz="0" w:space="0" w:color="auto"/>
            <w:bottom w:val="none" w:sz="0" w:space="0" w:color="auto"/>
            <w:right w:val="none" w:sz="0" w:space="0" w:color="auto"/>
          </w:divBdr>
        </w:div>
        <w:div w:id="748116903">
          <w:marLeft w:val="0"/>
          <w:marRight w:val="0"/>
          <w:marTop w:val="0"/>
          <w:marBottom w:val="0"/>
          <w:divBdr>
            <w:top w:val="none" w:sz="0" w:space="0" w:color="auto"/>
            <w:left w:val="none" w:sz="0" w:space="0" w:color="auto"/>
            <w:bottom w:val="none" w:sz="0" w:space="0" w:color="auto"/>
            <w:right w:val="none" w:sz="0" w:space="0" w:color="auto"/>
          </w:divBdr>
        </w:div>
        <w:div w:id="1242133080">
          <w:marLeft w:val="0"/>
          <w:marRight w:val="0"/>
          <w:marTop w:val="0"/>
          <w:marBottom w:val="0"/>
          <w:divBdr>
            <w:top w:val="none" w:sz="0" w:space="0" w:color="auto"/>
            <w:left w:val="none" w:sz="0" w:space="0" w:color="auto"/>
            <w:bottom w:val="none" w:sz="0" w:space="0" w:color="auto"/>
            <w:right w:val="none" w:sz="0" w:space="0" w:color="auto"/>
          </w:divBdr>
        </w:div>
        <w:div w:id="1003045309">
          <w:marLeft w:val="0"/>
          <w:marRight w:val="0"/>
          <w:marTop w:val="0"/>
          <w:marBottom w:val="0"/>
          <w:divBdr>
            <w:top w:val="none" w:sz="0" w:space="0" w:color="auto"/>
            <w:left w:val="none" w:sz="0" w:space="0" w:color="auto"/>
            <w:bottom w:val="none" w:sz="0" w:space="0" w:color="auto"/>
            <w:right w:val="none" w:sz="0" w:space="0" w:color="auto"/>
          </w:divBdr>
        </w:div>
        <w:div w:id="69931963">
          <w:marLeft w:val="0"/>
          <w:marRight w:val="0"/>
          <w:marTop w:val="0"/>
          <w:marBottom w:val="0"/>
          <w:divBdr>
            <w:top w:val="none" w:sz="0" w:space="0" w:color="auto"/>
            <w:left w:val="none" w:sz="0" w:space="0" w:color="auto"/>
            <w:bottom w:val="none" w:sz="0" w:space="0" w:color="auto"/>
            <w:right w:val="none" w:sz="0" w:space="0" w:color="auto"/>
          </w:divBdr>
        </w:div>
        <w:div w:id="2070684017">
          <w:marLeft w:val="0"/>
          <w:marRight w:val="0"/>
          <w:marTop w:val="0"/>
          <w:marBottom w:val="0"/>
          <w:divBdr>
            <w:top w:val="none" w:sz="0" w:space="0" w:color="auto"/>
            <w:left w:val="none" w:sz="0" w:space="0" w:color="auto"/>
            <w:bottom w:val="none" w:sz="0" w:space="0" w:color="auto"/>
            <w:right w:val="none" w:sz="0" w:space="0" w:color="auto"/>
          </w:divBdr>
        </w:div>
        <w:div w:id="268512626">
          <w:marLeft w:val="0"/>
          <w:marRight w:val="0"/>
          <w:marTop w:val="0"/>
          <w:marBottom w:val="0"/>
          <w:divBdr>
            <w:top w:val="none" w:sz="0" w:space="0" w:color="auto"/>
            <w:left w:val="none" w:sz="0" w:space="0" w:color="auto"/>
            <w:bottom w:val="none" w:sz="0" w:space="0" w:color="auto"/>
            <w:right w:val="none" w:sz="0" w:space="0" w:color="auto"/>
          </w:divBdr>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1349183">
      <w:bodyDiv w:val="1"/>
      <w:marLeft w:val="0"/>
      <w:marRight w:val="0"/>
      <w:marTop w:val="0"/>
      <w:marBottom w:val="0"/>
      <w:divBdr>
        <w:top w:val="none" w:sz="0" w:space="0" w:color="auto"/>
        <w:left w:val="none" w:sz="0" w:space="0" w:color="auto"/>
        <w:bottom w:val="none" w:sz="0" w:space="0" w:color="auto"/>
        <w:right w:val="none" w:sz="0" w:space="0" w:color="auto"/>
      </w:divBdr>
      <w:divsChild>
        <w:div w:id="1029263817">
          <w:marLeft w:val="0"/>
          <w:marRight w:val="0"/>
          <w:marTop w:val="0"/>
          <w:marBottom w:val="0"/>
          <w:divBdr>
            <w:top w:val="none" w:sz="0" w:space="0" w:color="auto"/>
            <w:left w:val="none" w:sz="0" w:space="0" w:color="auto"/>
            <w:bottom w:val="none" w:sz="0" w:space="0" w:color="auto"/>
            <w:right w:val="none" w:sz="0" w:space="0" w:color="auto"/>
          </w:divBdr>
        </w:div>
        <w:div w:id="708921306">
          <w:marLeft w:val="0"/>
          <w:marRight w:val="0"/>
          <w:marTop w:val="0"/>
          <w:marBottom w:val="0"/>
          <w:divBdr>
            <w:top w:val="none" w:sz="0" w:space="0" w:color="auto"/>
            <w:left w:val="none" w:sz="0" w:space="0" w:color="auto"/>
            <w:bottom w:val="none" w:sz="0" w:space="0" w:color="auto"/>
            <w:right w:val="none" w:sz="0" w:space="0" w:color="auto"/>
          </w:divBdr>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2069597">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69251488">
      <w:bodyDiv w:val="1"/>
      <w:marLeft w:val="0"/>
      <w:marRight w:val="0"/>
      <w:marTop w:val="0"/>
      <w:marBottom w:val="0"/>
      <w:divBdr>
        <w:top w:val="none" w:sz="0" w:space="0" w:color="auto"/>
        <w:left w:val="none" w:sz="0" w:space="0" w:color="auto"/>
        <w:bottom w:val="none" w:sz="0" w:space="0" w:color="auto"/>
        <w:right w:val="none" w:sz="0" w:space="0" w:color="auto"/>
      </w:divBdr>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789665535">
      <w:bodyDiv w:val="1"/>
      <w:marLeft w:val="0"/>
      <w:marRight w:val="0"/>
      <w:marTop w:val="0"/>
      <w:marBottom w:val="0"/>
      <w:divBdr>
        <w:top w:val="none" w:sz="0" w:space="0" w:color="auto"/>
        <w:left w:val="none" w:sz="0" w:space="0" w:color="auto"/>
        <w:bottom w:val="none" w:sz="0" w:space="0" w:color="auto"/>
        <w:right w:val="none" w:sz="0" w:space="0" w:color="auto"/>
      </w:divBdr>
      <w:divsChild>
        <w:div w:id="785583950">
          <w:marLeft w:val="0"/>
          <w:marRight w:val="0"/>
          <w:marTop w:val="0"/>
          <w:marBottom w:val="0"/>
          <w:divBdr>
            <w:top w:val="none" w:sz="0" w:space="0" w:color="auto"/>
            <w:left w:val="none" w:sz="0" w:space="0" w:color="auto"/>
            <w:bottom w:val="none" w:sz="0" w:space="0" w:color="auto"/>
            <w:right w:val="none" w:sz="0" w:space="0" w:color="auto"/>
          </w:divBdr>
        </w:div>
      </w:divsChild>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07106244">
      <w:bodyDiv w:val="1"/>
      <w:marLeft w:val="0"/>
      <w:marRight w:val="0"/>
      <w:marTop w:val="0"/>
      <w:marBottom w:val="0"/>
      <w:divBdr>
        <w:top w:val="none" w:sz="0" w:space="0" w:color="auto"/>
        <w:left w:val="none" w:sz="0" w:space="0" w:color="auto"/>
        <w:bottom w:val="none" w:sz="0" w:space="0" w:color="auto"/>
        <w:right w:val="none" w:sz="0" w:space="0" w:color="auto"/>
      </w:divBdr>
      <w:divsChild>
        <w:div w:id="1649824241">
          <w:marLeft w:val="0"/>
          <w:marRight w:val="0"/>
          <w:marTop w:val="0"/>
          <w:marBottom w:val="0"/>
          <w:divBdr>
            <w:top w:val="none" w:sz="0" w:space="0" w:color="auto"/>
            <w:left w:val="none" w:sz="0" w:space="0" w:color="auto"/>
            <w:bottom w:val="none" w:sz="0" w:space="0" w:color="auto"/>
            <w:right w:val="none" w:sz="0" w:space="0" w:color="auto"/>
          </w:divBdr>
        </w:div>
        <w:div w:id="728503282">
          <w:marLeft w:val="0"/>
          <w:marRight w:val="0"/>
          <w:marTop w:val="0"/>
          <w:marBottom w:val="0"/>
          <w:divBdr>
            <w:top w:val="none" w:sz="0" w:space="0" w:color="auto"/>
            <w:left w:val="none" w:sz="0" w:space="0" w:color="auto"/>
            <w:bottom w:val="none" w:sz="0" w:space="0" w:color="auto"/>
            <w:right w:val="none" w:sz="0" w:space="0" w:color="auto"/>
          </w:divBdr>
        </w:div>
      </w:divsChild>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11030230">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195315360">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36471141">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695236">
      <w:bodyDiv w:val="1"/>
      <w:marLeft w:val="0"/>
      <w:marRight w:val="0"/>
      <w:marTop w:val="0"/>
      <w:marBottom w:val="0"/>
      <w:divBdr>
        <w:top w:val="none" w:sz="0" w:space="0" w:color="auto"/>
        <w:left w:val="none" w:sz="0" w:space="0" w:color="auto"/>
        <w:bottom w:val="none" w:sz="0" w:space="0" w:color="auto"/>
        <w:right w:val="none" w:sz="0" w:space="0" w:color="auto"/>
      </w:divBdr>
      <w:divsChild>
        <w:div w:id="1840078042">
          <w:marLeft w:val="0"/>
          <w:marRight w:val="0"/>
          <w:marTop w:val="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98494193">
      <w:bodyDiv w:val="1"/>
      <w:marLeft w:val="0"/>
      <w:marRight w:val="0"/>
      <w:marTop w:val="0"/>
      <w:marBottom w:val="0"/>
      <w:divBdr>
        <w:top w:val="none" w:sz="0" w:space="0" w:color="auto"/>
        <w:left w:val="none" w:sz="0" w:space="0" w:color="auto"/>
        <w:bottom w:val="none" w:sz="0" w:space="0" w:color="auto"/>
        <w:right w:val="none" w:sz="0" w:space="0" w:color="auto"/>
      </w:divBdr>
      <w:divsChild>
        <w:div w:id="621881702">
          <w:marLeft w:val="0"/>
          <w:marRight w:val="0"/>
          <w:marTop w:val="0"/>
          <w:marBottom w:val="0"/>
          <w:divBdr>
            <w:top w:val="none" w:sz="0" w:space="0" w:color="auto"/>
            <w:left w:val="none" w:sz="0" w:space="0" w:color="auto"/>
            <w:bottom w:val="none" w:sz="0" w:space="0" w:color="auto"/>
            <w:right w:val="none" w:sz="0" w:space="0" w:color="auto"/>
          </w:divBdr>
        </w:div>
      </w:divsChild>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33435330">
      <w:bodyDiv w:val="1"/>
      <w:marLeft w:val="0"/>
      <w:marRight w:val="0"/>
      <w:marTop w:val="0"/>
      <w:marBottom w:val="0"/>
      <w:divBdr>
        <w:top w:val="none" w:sz="0" w:space="0" w:color="auto"/>
        <w:left w:val="none" w:sz="0" w:space="0" w:color="auto"/>
        <w:bottom w:val="none" w:sz="0" w:space="0" w:color="auto"/>
        <w:right w:val="none" w:sz="0" w:space="0" w:color="auto"/>
      </w:divBdr>
      <w:divsChild>
        <w:div w:id="613440915">
          <w:marLeft w:val="0"/>
          <w:marRight w:val="0"/>
          <w:marTop w:val="0"/>
          <w:marBottom w:val="0"/>
          <w:divBdr>
            <w:top w:val="none" w:sz="0" w:space="0" w:color="auto"/>
            <w:left w:val="none" w:sz="0" w:space="0" w:color="auto"/>
            <w:bottom w:val="none" w:sz="0" w:space="0" w:color="auto"/>
            <w:right w:val="none" w:sz="0" w:space="0" w:color="auto"/>
          </w:divBdr>
        </w:div>
      </w:divsChild>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08861291">
      <w:bodyDiv w:val="1"/>
      <w:marLeft w:val="0"/>
      <w:marRight w:val="0"/>
      <w:marTop w:val="0"/>
      <w:marBottom w:val="0"/>
      <w:divBdr>
        <w:top w:val="none" w:sz="0" w:space="0" w:color="auto"/>
        <w:left w:val="none" w:sz="0" w:space="0" w:color="auto"/>
        <w:bottom w:val="none" w:sz="0" w:space="0" w:color="auto"/>
        <w:right w:val="none" w:sz="0" w:space="0" w:color="auto"/>
      </w:divBdr>
    </w:div>
    <w:div w:id="1825124601">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0221080">
      <w:bodyDiv w:val="1"/>
      <w:marLeft w:val="0"/>
      <w:marRight w:val="0"/>
      <w:marTop w:val="0"/>
      <w:marBottom w:val="0"/>
      <w:divBdr>
        <w:top w:val="none" w:sz="0" w:space="0" w:color="auto"/>
        <w:left w:val="none" w:sz="0" w:space="0" w:color="auto"/>
        <w:bottom w:val="none" w:sz="0" w:space="0" w:color="auto"/>
        <w:right w:val="none" w:sz="0" w:space="0" w:color="auto"/>
      </w:divBdr>
    </w:div>
    <w:div w:id="1902137307">
      <w:bodyDiv w:val="1"/>
      <w:marLeft w:val="0"/>
      <w:marRight w:val="0"/>
      <w:marTop w:val="0"/>
      <w:marBottom w:val="0"/>
      <w:divBdr>
        <w:top w:val="none" w:sz="0" w:space="0" w:color="auto"/>
        <w:left w:val="none" w:sz="0" w:space="0" w:color="auto"/>
        <w:bottom w:val="none" w:sz="0" w:space="0" w:color="auto"/>
        <w:right w:val="none" w:sz="0" w:space="0" w:color="auto"/>
      </w:divBdr>
    </w:div>
    <w:div w:id="1910075291">
      <w:bodyDiv w:val="1"/>
      <w:marLeft w:val="0"/>
      <w:marRight w:val="0"/>
      <w:marTop w:val="0"/>
      <w:marBottom w:val="0"/>
      <w:divBdr>
        <w:top w:val="none" w:sz="0" w:space="0" w:color="auto"/>
        <w:left w:val="none" w:sz="0" w:space="0" w:color="auto"/>
        <w:bottom w:val="none" w:sz="0" w:space="0" w:color="auto"/>
        <w:right w:val="none" w:sz="0" w:space="0" w:color="auto"/>
      </w:divBdr>
    </w:div>
    <w:div w:id="1910142823">
      <w:bodyDiv w:val="1"/>
      <w:marLeft w:val="0"/>
      <w:marRight w:val="0"/>
      <w:marTop w:val="0"/>
      <w:marBottom w:val="0"/>
      <w:divBdr>
        <w:top w:val="none" w:sz="0" w:space="0" w:color="auto"/>
        <w:left w:val="none" w:sz="0" w:space="0" w:color="auto"/>
        <w:bottom w:val="none" w:sz="0" w:space="0" w:color="auto"/>
        <w:right w:val="none" w:sz="0" w:space="0" w:color="auto"/>
      </w:divBdr>
      <w:divsChild>
        <w:div w:id="1434593296">
          <w:marLeft w:val="0"/>
          <w:marRight w:val="0"/>
          <w:marTop w:val="0"/>
          <w:marBottom w:val="0"/>
          <w:divBdr>
            <w:top w:val="none" w:sz="0" w:space="0" w:color="auto"/>
            <w:left w:val="none" w:sz="0" w:space="0" w:color="auto"/>
            <w:bottom w:val="none" w:sz="0" w:space="0" w:color="auto"/>
            <w:right w:val="none" w:sz="0" w:space="0" w:color="auto"/>
          </w:divBdr>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069745">
      <w:bodyDiv w:val="1"/>
      <w:marLeft w:val="0"/>
      <w:marRight w:val="0"/>
      <w:marTop w:val="0"/>
      <w:marBottom w:val="0"/>
      <w:divBdr>
        <w:top w:val="none" w:sz="0" w:space="0" w:color="auto"/>
        <w:left w:val="none" w:sz="0" w:space="0" w:color="auto"/>
        <w:bottom w:val="none" w:sz="0" w:space="0" w:color="auto"/>
        <w:right w:val="none" w:sz="0" w:space="0" w:color="auto"/>
      </w:divBdr>
      <w:divsChild>
        <w:div w:id="909924801">
          <w:marLeft w:val="0"/>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804634">
      <w:bodyDiv w:val="1"/>
      <w:marLeft w:val="0"/>
      <w:marRight w:val="0"/>
      <w:marTop w:val="0"/>
      <w:marBottom w:val="0"/>
      <w:divBdr>
        <w:top w:val="none" w:sz="0" w:space="0" w:color="auto"/>
        <w:left w:val="none" w:sz="0" w:space="0" w:color="auto"/>
        <w:bottom w:val="none" w:sz="0" w:space="0" w:color="auto"/>
        <w:right w:val="none" w:sz="0" w:space="0" w:color="auto"/>
      </w:divBdr>
      <w:divsChild>
        <w:div w:id="755781607">
          <w:marLeft w:val="0"/>
          <w:marRight w:val="0"/>
          <w:marTop w:val="0"/>
          <w:marBottom w:val="0"/>
          <w:divBdr>
            <w:top w:val="none" w:sz="0" w:space="0" w:color="auto"/>
            <w:left w:val="none" w:sz="0" w:space="0" w:color="auto"/>
            <w:bottom w:val="none" w:sz="0" w:space="0" w:color="auto"/>
            <w:right w:val="none" w:sz="0" w:space="0" w:color="auto"/>
          </w:divBdr>
          <w:divsChild>
            <w:div w:id="31148715">
              <w:marLeft w:val="0"/>
              <w:marRight w:val="0"/>
              <w:marTop w:val="0"/>
              <w:marBottom w:val="0"/>
              <w:divBdr>
                <w:top w:val="none" w:sz="0" w:space="0" w:color="auto"/>
                <w:left w:val="none" w:sz="0" w:space="0" w:color="auto"/>
                <w:bottom w:val="none" w:sz="0" w:space="0" w:color="auto"/>
                <w:right w:val="none" w:sz="0" w:space="0" w:color="auto"/>
              </w:divBdr>
              <w:divsChild>
                <w:div w:id="133549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274246">
      <w:bodyDiv w:val="1"/>
      <w:marLeft w:val="0"/>
      <w:marRight w:val="0"/>
      <w:marTop w:val="0"/>
      <w:marBottom w:val="0"/>
      <w:divBdr>
        <w:top w:val="none" w:sz="0" w:space="0" w:color="auto"/>
        <w:left w:val="none" w:sz="0" w:space="0" w:color="auto"/>
        <w:bottom w:val="none" w:sz="0" w:space="0" w:color="auto"/>
        <w:right w:val="none" w:sz="0" w:space="0" w:color="auto"/>
      </w:divBdr>
      <w:divsChild>
        <w:div w:id="1961453839">
          <w:marLeft w:val="0"/>
          <w:marRight w:val="0"/>
          <w:marTop w:val="0"/>
          <w:marBottom w:val="0"/>
          <w:divBdr>
            <w:top w:val="none" w:sz="0" w:space="0" w:color="auto"/>
            <w:left w:val="none" w:sz="0" w:space="0" w:color="auto"/>
            <w:bottom w:val="none" w:sz="0" w:space="0" w:color="auto"/>
            <w:right w:val="none" w:sz="0" w:space="0" w:color="auto"/>
          </w:divBdr>
          <w:divsChild>
            <w:div w:id="1124694845">
              <w:marLeft w:val="0"/>
              <w:marRight w:val="0"/>
              <w:marTop w:val="0"/>
              <w:marBottom w:val="0"/>
              <w:divBdr>
                <w:top w:val="none" w:sz="0" w:space="0" w:color="auto"/>
                <w:left w:val="none" w:sz="0" w:space="0" w:color="auto"/>
                <w:bottom w:val="none" w:sz="0" w:space="0" w:color="auto"/>
                <w:right w:val="none" w:sz="0" w:space="0" w:color="auto"/>
              </w:divBdr>
              <w:divsChild>
                <w:div w:id="15846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8796</TotalTime>
  <Pages>5</Pages>
  <Words>1806</Words>
  <Characters>10300</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656</cp:revision>
  <cp:lastPrinted>2022-11-05T23:23:00Z</cp:lastPrinted>
  <dcterms:created xsi:type="dcterms:W3CDTF">2020-08-06T15:21:00Z</dcterms:created>
  <dcterms:modified xsi:type="dcterms:W3CDTF">2023-08-11T18:55:00Z</dcterms:modified>
</cp:coreProperties>
</file>