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9266E" w14:textId="34FCAF72" w:rsidR="008F2770" w:rsidRPr="007B519D"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sidR="00327900">
        <w:rPr>
          <w:rFonts w:asciiTheme="minorBidi" w:hAnsiTheme="minorBidi"/>
          <w:b/>
          <w:bCs/>
          <w:snapToGrid w:val="0"/>
          <w:sz w:val="24"/>
          <w:szCs w:val="24"/>
          <w:lang w:val="en-US"/>
        </w:rPr>
        <w:t>11</w:t>
      </w:r>
      <w:r w:rsidR="00621AFA">
        <w:rPr>
          <w:rFonts w:asciiTheme="minorBidi" w:hAnsiTheme="minorBidi"/>
          <w:b/>
          <w:bCs/>
          <w:snapToGrid w:val="0"/>
          <w:sz w:val="24"/>
          <w:szCs w:val="24"/>
          <w:lang w:val="en-US"/>
        </w:rPr>
        <w:t>3</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74172C">
        <w:rPr>
          <w:rFonts w:asciiTheme="minorBidi" w:hAnsiTheme="minorBidi"/>
          <w:b/>
          <w:bCs/>
          <w:snapToGrid w:val="0"/>
          <w:sz w:val="24"/>
          <w:szCs w:val="24"/>
          <w:lang w:val="en-US"/>
        </w:rPr>
        <w:t xml:space="preserve"> </w:t>
      </w:r>
      <w:r w:rsidR="00621AFA">
        <w:rPr>
          <w:rFonts w:asciiTheme="minorBidi" w:hAnsiTheme="minorBidi"/>
          <w:b/>
          <w:bCs/>
          <w:snapToGrid w:val="0"/>
          <w:sz w:val="24"/>
          <w:szCs w:val="24"/>
          <w:lang w:val="en-US"/>
        </w:rPr>
        <w:t xml:space="preserve">   </w:t>
      </w:r>
      <w:r w:rsidR="0074172C">
        <w:rPr>
          <w:rFonts w:asciiTheme="minorBidi" w:hAnsiTheme="minorBidi"/>
          <w:b/>
          <w:bCs/>
          <w:snapToGrid w:val="0"/>
          <w:sz w:val="24"/>
          <w:szCs w:val="24"/>
          <w:lang w:val="en-US"/>
        </w:rPr>
        <w:t xml:space="preserve">   </w:t>
      </w:r>
      <w:r w:rsidR="005D0ECA">
        <w:rPr>
          <w:rFonts w:asciiTheme="minorBidi" w:hAnsiTheme="minorBidi"/>
          <w:b/>
          <w:bCs/>
          <w:snapToGrid w:val="0"/>
          <w:sz w:val="24"/>
          <w:szCs w:val="24"/>
          <w:lang w:val="en-US"/>
        </w:rPr>
        <w:t xml:space="preserve"> </w:t>
      </w:r>
      <w:r w:rsidR="0074172C">
        <w:rPr>
          <w:rFonts w:asciiTheme="minorBidi" w:hAnsiTheme="minorBidi"/>
          <w:b/>
          <w:bCs/>
          <w:snapToGrid w:val="0"/>
          <w:sz w:val="24"/>
          <w:szCs w:val="24"/>
          <w:lang w:val="en-US"/>
        </w:rPr>
        <w:t xml:space="preserve"> </w:t>
      </w:r>
      <w:r w:rsidR="005D0ECA" w:rsidRPr="005D0ECA">
        <w:rPr>
          <w:rFonts w:asciiTheme="minorBidi" w:hAnsiTheme="minorBidi"/>
          <w:b/>
          <w:bCs/>
          <w:snapToGrid w:val="0"/>
          <w:sz w:val="24"/>
          <w:szCs w:val="24"/>
          <w:lang w:val="en-US"/>
        </w:rPr>
        <w:t>R1-2305874</w:t>
      </w:r>
    </w:p>
    <w:p w14:paraId="14B9DD3B" w14:textId="6E5D5008" w:rsidR="00C05AC4" w:rsidRDefault="00621AFA" w:rsidP="00C05AC4">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Incheon, South Korea</w:t>
      </w:r>
      <w:r w:rsidR="00E627D2" w:rsidRPr="00E627D2">
        <w:rPr>
          <w:rFonts w:asciiTheme="minorBidi" w:hAnsiTheme="minorBidi"/>
          <w:b/>
          <w:bCs/>
          <w:snapToGrid w:val="0"/>
          <w:sz w:val="24"/>
          <w:szCs w:val="24"/>
          <w:lang w:val="en-US"/>
        </w:rPr>
        <w:t xml:space="preserve">, </w:t>
      </w:r>
      <w:r w:rsidR="00FA6268">
        <w:rPr>
          <w:rFonts w:asciiTheme="minorBidi" w:hAnsiTheme="minorBidi"/>
          <w:b/>
          <w:bCs/>
          <w:snapToGrid w:val="0"/>
          <w:sz w:val="24"/>
          <w:szCs w:val="24"/>
          <w:lang w:val="en-US"/>
        </w:rPr>
        <w:t>May</w:t>
      </w:r>
      <w:r w:rsidR="0074172C">
        <w:rPr>
          <w:rFonts w:asciiTheme="minorBidi" w:hAnsiTheme="minorBidi"/>
          <w:b/>
          <w:bCs/>
          <w:snapToGrid w:val="0"/>
          <w:sz w:val="24"/>
          <w:szCs w:val="24"/>
          <w:lang w:val="en-US"/>
        </w:rPr>
        <w:t xml:space="preserve"> </w:t>
      </w:r>
      <w:r w:rsidR="00FA6268">
        <w:rPr>
          <w:rFonts w:asciiTheme="minorBidi" w:hAnsiTheme="minorBidi"/>
          <w:b/>
          <w:bCs/>
          <w:snapToGrid w:val="0"/>
          <w:sz w:val="24"/>
          <w:szCs w:val="24"/>
          <w:lang w:val="en-US"/>
        </w:rPr>
        <w:t>22</w:t>
      </w:r>
      <w:r w:rsidR="00FA6268">
        <w:rPr>
          <w:rFonts w:asciiTheme="minorBidi" w:hAnsiTheme="minorBidi"/>
          <w:b/>
          <w:bCs/>
          <w:snapToGrid w:val="0"/>
          <w:sz w:val="24"/>
          <w:szCs w:val="24"/>
          <w:vertAlign w:val="superscript"/>
          <w:lang w:val="en-US"/>
        </w:rPr>
        <w:t>nd</w:t>
      </w:r>
      <w:r w:rsidR="0074172C">
        <w:rPr>
          <w:rFonts w:asciiTheme="minorBidi" w:hAnsiTheme="minorBidi"/>
          <w:b/>
          <w:bCs/>
          <w:snapToGrid w:val="0"/>
          <w:sz w:val="24"/>
          <w:szCs w:val="24"/>
          <w:lang w:val="en-US"/>
        </w:rPr>
        <w:t xml:space="preserve"> – </w:t>
      </w:r>
      <w:r w:rsidR="00FA6268">
        <w:rPr>
          <w:rFonts w:asciiTheme="minorBidi" w:hAnsiTheme="minorBidi"/>
          <w:b/>
          <w:bCs/>
          <w:snapToGrid w:val="0"/>
          <w:sz w:val="24"/>
          <w:szCs w:val="24"/>
          <w:lang w:val="en-US"/>
        </w:rPr>
        <w:t>May</w:t>
      </w:r>
      <w:r w:rsidR="00327900">
        <w:rPr>
          <w:rFonts w:asciiTheme="minorBidi" w:hAnsiTheme="minorBidi"/>
          <w:b/>
          <w:bCs/>
          <w:snapToGrid w:val="0"/>
          <w:sz w:val="24"/>
          <w:szCs w:val="24"/>
          <w:lang w:val="en-US"/>
        </w:rPr>
        <w:t xml:space="preserve"> </w:t>
      </w:r>
      <w:r w:rsidR="0074172C">
        <w:rPr>
          <w:rFonts w:asciiTheme="minorBidi" w:hAnsiTheme="minorBidi"/>
          <w:b/>
          <w:bCs/>
          <w:snapToGrid w:val="0"/>
          <w:sz w:val="24"/>
          <w:szCs w:val="24"/>
          <w:lang w:val="en-US"/>
        </w:rPr>
        <w:t>26</w:t>
      </w:r>
      <w:r w:rsidR="0074172C">
        <w:rPr>
          <w:rFonts w:asciiTheme="minorBidi" w:hAnsiTheme="minorBidi"/>
          <w:b/>
          <w:bCs/>
          <w:snapToGrid w:val="0"/>
          <w:sz w:val="24"/>
          <w:szCs w:val="24"/>
          <w:vertAlign w:val="superscript"/>
          <w:lang w:val="en-US"/>
        </w:rPr>
        <w:t>th</w:t>
      </w:r>
      <w:r w:rsidR="00327900">
        <w:rPr>
          <w:rFonts w:asciiTheme="minorBidi" w:hAnsiTheme="minorBidi"/>
          <w:b/>
          <w:bCs/>
          <w:snapToGrid w:val="0"/>
          <w:sz w:val="24"/>
          <w:szCs w:val="24"/>
          <w:lang w:val="en-US"/>
        </w:rPr>
        <w:t xml:space="preserve">, </w:t>
      </w:r>
      <w:r w:rsidR="00E627D2" w:rsidRPr="00E627D2">
        <w:rPr>
          <w:rFonts w:asciiTheme="minorBidi" w:hAnsiTheme="minorBidi"/>
          <w:b/>
          <w:bCs/>
          <w:snapToGrid w:val="0"/>
          <w:sz w:val="24"/>
          <w:szCs w:val="24"/>
          <w:lang w:val="en-US"/>
        </w:rPr>
        <w:t>202</w:t>
      </w:r>
      <w:r w:rsidR="00327900">
        <w:rPr>
          <w:rFonts w:asciiTheme="minorBidi" w:hAnsiTheme="minorBidi"/>
          <w:b/>
          <w:bCs/>
          <w:snapToGrid w:val="0"/>
          <w:sz w:val="24"/>
          <w:szCs w:val="24"/>
          <w:lang w:val="en-US"/>
        </w:rPr>
        <w:t>3</w:t>
      </w:r>
    </w:p>
    <w:p w14:paraId="1A46D608" w14:textId="77777777" w:rsidR="00E627D2" w:rsidRPr="009D7AA5" w:rsidRDefault="00E627D2" w:rsidP="00C05AC4">
      <w:pPr>
        <w:spacing w:after="0"/>
        <w:rPr>
          <w:rFonts w:asciiTheme="minorBidi" w:hAnsiTheme="minorBidi"/>
          <w:b/>
          <w:bCs/>
          <w:snapToGrid w:val="0"/>
          <w:sz w:val="24"/>
          <w:szCs w:val="24"/>
          <w:lang w:val="en-US"/>
        </w:rPr>
      </w:pPr>
    </w:p>
    <w:p w14:paraId="3968EB5D" w14:textId="592BCE1B"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w:t>
      </w:r>
      <w:r w:rsidR="00B6066F">
        <w:rPr>
          <w:rFonts w:asciiTheme="minorBidi" w:hAnsiTheme="minorBidi"/>
          <w:b/>
          <w:bCs/>
          <w:snapToGrid w:val="0"/>
          <w:sz w:val="24"/>
          <w:szCs w:val="24"/>
          <w:lang w:val="en-US"/>
        </w:rPr>
        <w:t>7</w:t>
      </w:r>
      <w:r w:rsidRPr="009D7AA5">
        <w:rPr>
          <w:rFonts w:asciiTheme="minorBidi" w:hAnsiTheme="minorBidi"/>
          <w:b/>
          <w:bCs/>
          <w:snapToGrid w:val="0"/>
          <w:sz w:val="24"/>
          <w:szCs w:val="24"/>
          <w:lang w:val="en-US"/>
        </w:rPr>
        <w:t>.</w:t>
      </w:r>
      <w:r w:rsidR="00A503BD">
        <w:rPr>
          <w:rFonts w:asciiTheme="minorBidi" w:hAnsiTheme="minorBidi"/>
          <w:b/>
          <w:bCs/>
          <w:snapToGrid w:val="0"/>
          <w:sz w:val="24"/>
          <w:szCs w:val="24"/>
          <w:lang w:val="en-US"/>
        </w:rPr>
        <w:t>2</w:t>
      </w:r>
    </w:p>
    <w:p w14:paraId="091A1AD7" w14:textId="3DBFDDA0"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621AFA">
        <w:rPr>
          <w:rFonts w:asciiTheme="minorBidi" w:hAnsiTheme="minorBidi"/>
          <w:b/>
          <w:bCs/>
          <w:snapToGrid w:val="0"/>
          <w:sz w:val="24"/>
          <w:szCs w:val="24"/>
          <w:lang w:val="en-US"/>
        </w:rPr>
        <w:t>Signaling and Reliability</w:t>
      </w:r>
      <w:r w:rsidR="00A503BD">
        <w:rPr>
          <w:rFonts w:asciiTheme="minorBidi" w:hAnsiTheme="minorBidi"/>
          <w:b/>
          <w:bCs/>
          <w:snapToGrid w:val="0"/>
          <w:sz w:val="24"/>
          <w:szCs w:val="24"/>
          <w:lang w:val="en-US"/>
        </w:rPr>
        <w:t xml:space="preserve"> for Cell DTX and DRX</w:t>
      </w:r>
    </w:p>
    <w:p w14:paraId="49846B98" w14:textId="0090C373"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510A4D">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510A4D">
      <w:pPr>
        <w:pStyle w:val="berschrift1"/>
        <w:tabs>
          <w:tab w:val="clear" w:pos="432"/>
        </w:tabs>
        <w:spacing w:before="480"/>
        <w:ind w:left="431" w:hanging="431"/>
        <w:rPr>
          <w:snapToGrid w:val="0"/>
          <w:lang w:val="en-US"/>
        </w:rPr>
      </w:pPr>
      <w:r w:rsidRPr="007B14CC">
        <w:rPr>
          <w:lang w:val="en-US"/>
        </w:rPr>
        <w:t>Introduction</w:t>
      </w:r>
    </w:p>
    <w:p w14:paraId="5A33D493" w14:textId="5AAA5B72" w:rsidR="00E136D8" w:rsidRPr="003D4522" w:rsidRDefault="00B82810" w:rsidP="00C05AC4">
      <w:pPr>
        <w:pStyle w:val="3GPPNormalText"/>
        <w:rPr>
          <w:sz w:val="24"/>
        </w:rPr>
      </w:pPr>
      <w:r w:rsidRPr="003D4522">
        <w:rPr>
          <w:sz w:val="24"/>
        </w:rPr>
        <w:t xml:space="preserve">The </w:t>
      </w:r>
      <w:r w:rsidR="0091553A">
        <w:rPr>
          <w:sz w:val="24"/>
        </w:rPr>
        <w:t xml:space="preserve">WI </w:t>
      </w:r>
      <w:r w:rsidRPr="003D4522">
        <w:rPr>
          <w:sz w:val="24"/>
        </w:rPr>
        <w:t xml:space="preserve">for </w:t>
      </w:r>
      <w:r w:rsidR="00B6066F">
        <w:rPr>
          <w:sz w:val="24"/>
        </w:rPr>
        <w:t xml:space="preserve">Network Energy Saving was approved </w:t>
      </w:r>
      <w:r w:rsidRPr="003D4522">
        <w:rPr>
          <w:sz w:val="24"/>
        </w:rPr>
        <w:t>in RAN#</w:t>
      </w:r>
      <w:r w:rsidR="00327900" w:rsidRPr="003D4522">
        <w:rPr>
          <w:sz w:val="24"/>
        </w:rPr>
        <w:t>98</w:t>
      </w:r>
      <w:r w:rsidR="002E7BF5">
        <w:rPr>
          <w:sz w:val="24"/>
        </w:rPr>
        <w:t>-</w:t>
      </w:r>
      <w:r w:rsidR="00327900" w:rsidRPr="003D4522">
        <w:rPr>
          <w:sz w:val="24"/>
        </w:rPr>
        <w:t xml:space="preserve">e </w:t>
      </w:r>
      <w:r w:rsidRPr="003D4522">
        <w:rPr>
          <w:sz w:val="24"/>
        </w:rPr>
        <w:t>[1]</w:t>
      </w:r>
      <w:r w:rsidR="00327900" w:rsidRPr="003D4522">
        <w:rPr>
          <w:sz w:val="24"/>
        </w:rPr>
        <w:t xml:space="preserve">. </w:t>
      </w:r>
      <w:r w:rsidR="002D58AE" w:rsidRPr="003D4522">
        <w:rPr>
          <w:sz w:val="24"/>
        </w:rPr>
        <w:t xml:space="preserve">One of </w:t>
      </w:r>
      <w:r w:rsidR="00A32904" w:rsidRPr="003D4522">
        <w:rPr>
          <w:sz w:val="24"/>
        </w:rPr>
        <w:t>its</w:t>
      </w:r>
      <w:r w:rsidR="002D58AE" w:rsidRPr="003D4522">
        <w:rPr>
          <w:sz w:val="24"/>
        </w:rPr>
        <w:t xml:space="preserve"> objectives is to specify solutions for </w:t>
      </w:r>
      <w:r w:rsidR="00E1444D">
        <w:rPr>
          <w:sz w:val="24"/>
        </w:rPr>
        <w:t>c</w:t>
      </w:r>
      <w:r w:rsidR="00BA16C3">
        <w:rPr>
          <w:sz w:val="24"/>
        </w:rPr>
        <w:t xml:space="preserve">ell DTX and </w:t>
      </w:r>
      <w:r w:rsidR="00E1444D">
        <w:rPr>
          <w:sz w:val="24"/>
        </w:rPr>
        <w:t>c</w:t>
      </w:r>
      <w:r w:rsidR="00BA16C3">
        <w:rPr>
          <w:sz w:val="24"/>
        </w:rPr>
        <w:t>ell DRX</w:t>
      </w:r>
      <w:r w:rsidR="00A32904" w:rsidRPr="003D4522">
        <w:rPr>
          <w:sz w:val="24"/>
        </w:rPr>
        <w:t>,</w:t>
      </w:r>
      <w:r w:rsidR="002D58AE" w:rsidRPr="003D4522">
        <w:rPr>
          <w:sz w:val="24"/>
        </w:rPr>
        <w:t xml:space="preserve"> </w:t>
      </w:r>
      <w:r w:rsidR="00A32904" w:rsidRPr="003D4522">
        <w:rPr>
          <w:sz w:val="24"/>
        </w:rPr>
        <w:t>which</w:t>
      </w:r>
      <w:r w:rsidR="00327900" w:rsidRPr="003D4522">
        <w:rPr>
          <w:sz w:val="24"/>
        </w:rPr>
        <w:t xml:space="preserve"> has been approved for </w:t>
      </w:r>
      <w:r w:rsidR="0091553A">
        <w:rPr>
          <w:sz w:val="24"/>
        </w:rPr>
        <w:t xml:space="preserve">3GPP </w:t>
      </w:r>
      <w:r w:rsidR="00327900" w:rsidRPr="003D4522">
        <w:rPr>
          <w:sz w:val="24"/>
        </w:rPr>
        <w:t>R</w:t>
      </w:r>
      <w:r w:rsidR="0091553A">
        <w:rPr>
          <w:sz w:val="24"/>
        </w:rPr>
        <w:t>el-</w:t>
      </w:r>
      <w:r w:rsidR="009E4957" w:rsidRPr="003D4522">
        <w:rPr>
          <w:sz w:val="24"/>
        </w:rPr>
        <w:t>18</w:t>
      </w:r>
      <w:r w:rsidR="00327900" w:rsidRPr="003D4522">
        <w:rPr>
          <w:sz w:val="24"/>
        </w:rPr>
        <w:t>:</w:t>
      </w:r>
    </w:p>
    <w:tbl>
      <w:tblPr>
        <w:tblStyle w:val="Tabellenraster"/>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6FDAAA0C" w14:textId="7B76B5B9" w:rsidR="00BA16C3" w:rsidRPr="00F71D45" w:rsidRDefault="00BA16C3" w:rsidP="00B747C9">
            <w:pPr>
              <w:pStyle w:val="Listenabsatz"/>
              <w:numPr>
                <w:ilvl w:val="0"/>
                <w:numId w:val="75"/>
              </w:numPr>
              <w:ind w:left="360"/>
              <w:rPr>
                <w:rFonts w:ascii="Times New Roman" w:hAnsi="Times New Roman"/>
                <w:bCs/>
              </w:rPr>
            </w:pPr>
            <w:bookmarkStart w:id="0" w:name="_Hlk89917254"/>
            <w:r w:rsidRPr="00F71D45">
              <w:rPr>
                <w:rFonts w:ascii="Times New Roman" w:hAnsi="Times New Roman"/>
                <w:bCs/>
              </w:rPr>
              <w:t>Specify enhancement on cell DTX/DRX mechanism including the alignment of cell DTX/DRX and UE DRX in RRC_CONNECTED mode, and inter-node information exchange on cell DTX/DRX [RAN2, RAN1, RAN3]</w:t>
            </w:r>
          </w:p>
          <w:p w14:paraId="32BA8678" w14:textId="77777777" w:rsidR="00BA16C3" w:rsidRPr="00F71D45" w:rsidRDefault="00BA16C3" w:rsidP="00B747C9">
            <w:pPr>
              <w:numPr>
                <w:ilvl w:val="0"/>
                <w:numId w:val="73"/>
              </w:numPr>
              <w:spacing w:beforeLines="50" w:afterLines="50" w:after="120"/>
              <w:ind w:left="689" w:hanging="329"/>
              <w:rPr>
                <w:bCs/>
                <w:sz w:val="22"/>
                <w:szCs w:val="22"/>
                <w:lang w:val="en-US" w:eastAsia="zh-CN"/>
              </w:rPr>
            </w:pPr>
            <w:r w:rsidRPr="00F71D45">
              <w:rPr>
                <w:bCs/>
                <w:sz w:val="22"/>
                <w:szCs w:val="22"/>
                <w:lang w:val="en-US" w:eastAsia="zh-CN"/>
              </w:rPr>
              <w:t>Note: No change for SSB transmission due to cell DTX/DRX.</w:t>
            </w:r>
          </w:p>
          <w:p w14:paraId="38C58A07" w14:textId="77777777" w:rsidR="00BA16C3" w:rsidRPr="00F71D45" w:rsidRDefault="00BA16C3" w:rsidP="00B747C9">
            <w:pPr>
              <w:numPr>
                <w:ilvl w:val="0"/>
                <w:numId w:val="73"/>
              </w:numPr>
              <w:spacing w:beforeLines="50" w:afterLines="50" w:after="120"/>
              <w:ind w:left="689" w:hanging="329"/>
              <w:rPr>
                <w:bCs/>
                <w:sz w:val="22"/>
                <w:szCs w:val="22"/>
                <w:lang w:val="en-US" w:eastAsia="zh-CN"/>
              </w:rPr>
            </w:pPr>
            <w:r w:rsidRPr="00F71D45">
              <w:rPr>
                <w:bCs/>
                <w:sz w:val="22"/>
                <w:szCs w:val="22"/>
                <w:lang w:val="en-US" w:eastAsia="zh-CN"/>
              </w:rPr>
              <w:t>Note: The impact to IDLE/INACTIVE UEs due to the above enhancement should be avoided.</w:t>
            </w:r>
          </w:p>
          <w:bookmarkEnd w:id="0"/>
          <w:p w14:paraId="7C51282D" w14:textId="150B4706" w:rsidR="007061BC" w:rsidRPr="00FE1D3B" w:rsidRDefault="007061BC" w:rsidP="00E220CA">
            <w:pPr>
              <w:overflowPunct/>
              <w:autoSpaceDE/>
              <w:autoSpaceDN/>
              <w:adjustRightInd/>
              <w:spacing w:before="60" w:after="60"/>
              <w:ind w:left="1440"/>
              <w:textAlignment w:val="auto"/>
              <w:rPr>
                <w:rFonts w:eastAsia="Times New Roman"/>
                <w:color w:val="000000"/>
                <w:sz w:val="24"/>
                <w:szCs w:val="24"/>
              </w:rPr>
            </w:pPr>
          </w:p>
        </w:tc>
      </w:tr>
    </w:tbl>
    <w:p w14:paraId="01D66324" w14:textId="77777777" w:rsidR="00A50B84" w:rsidRDefault="00A50B84" w:rsidP="00A50B84">
      <w:pPr>
        <w:spacing w:after="0" w:line="276" w:lineRule="auto"/>
        <w:jc w:val="both"/>
        <w:rPr>
          <w:sz w:val="24"/>
          <w:szCs w:val="24"/>
          <w:lang w:val="en-US"/>
        </w:rPr>
      </w:pPr>
    </w:p>
    <w:p w14:paraId="2373BFAA" w14:textId="08B33D09" w:rsidR="009378C8" w:rsidRDefault="009378C8" w:rsidP="00510A4D">
      <w:pPr>
        <w:spacing w:before="120"/>
        <w:jc w:val="both"/>
        <w:rPr>
          <w:sz w:val="24"/>
          <w:szCs w:val="24"/>
        </w:rPr>
      </w:pPr>
      <w:r>
        <w:rPr>
          <w:sz w:val="24"/>
          <w:szCs w:val="24"/>
        </w:rPr>
        <w:t xml:space="preserve">There are </w:t>
      </w:r>
      <w:r w:rsidR="0078364C">
        <w:rPr>
          <w:sz w:val="24"/>
          <w:szCs w:val="24"/>
        </w:rPr>
        <w:t xml:space="preserve">two </w:t>
      </w:r>
      <w:r>
        <w:rPr>
          <w:sz w:val="24"/>
          <w:szCs w:val="24"/>
        </w:rPr>
        <w:t>core aspects which needs to be discussed in RAN1</w:t>
      </w:r>
      <w:r w:rsidR="00F447DE">
        <w:rPr>
          <w:sz w:val="24"/>
          <w:szCs w:val="24"/>
        </w:rPr>
        <w:t xml:space="preserve"> for progress of the topic and are </w:t>
      </w:r>
      <w:r w:rsidR="004031A1">
        <w:rPr>
          <w:sz w:val="24"/>
          <w:szCs w:val="24"/>
        </w:rPr>
        <w:t>treated in</w:t>
      </w:r>
      <w:r w:rsidR="00F447DE">
        <w:rPr>
          <w:sz w:val="24"/>
          <w:szCs w:val="24"/>
        </w:rPr>
        <w:t xml:space="preserve"> this contribution: L1 signaling for Cell DTX/DRX and reliability (of both signalling and data). </w:t>
      </w:r>
    </w:p>
    <w:p w14:paraId="0B00FC39" w14:textId="18366438" w:rsidR="00F447DE" w:rsidRPr="00F447DE" w:rsidRDefault="00F447DE" w:rsidP="00510A4D">
      <w:pPr>
        <w:spacing w:before="120"/>
        <w:jc w:val="both"/>
        <w:rPr>
          <w:sz w:val="24"/>
          <w:szCs w:val="24"/>
          <w:lang w:val="en-US"/>
        </w:rPr>
      </w:pPr>
      <w:r>
        <w:rPr>
          <w:sz w:val="24"/>
          <w:szCs w:val="24"/>
          <w:lang w:val="en-US"/>
        </w:rPr>
        <w:t>In RAN1#112-bis-e</w:t>
      </w:r>
      <w:r w:rsidR="00302C56">
        <w:rPr>
          <w:sz w:val="24"/>
          <w:szCs w:val="24"/>
          <w:lang w:val="en-US"/>
        </w:rPr>
        <w:t xml:space="preserve"> </w:t>
      </w:r>
      <w:r w:rsidR="00302C56">
        <w:rPr>
          <w:sz w:val="24"/>
          <w:szCs w:val="24"/>
          <w:lang w:val="en-US"/>
        </w:rPr>
        <w:fldChar w:fldCharType="begin"/>
      </w:r>
      <w:r w:rsidR="00302C56">
        <w:rPr>
          <w:sz w:val="24"/>
          <w:szCs w:val="24"/>
          <w:lang w:val="en-US"/>
        </w:rPr>
        <w:instrText xml:space="preserve"> REF _Ref131670976 \n \h </w:instrText>
      </w:r>
      <w:r w:rsidR="00302C56">
        <w:rPr>
          <w:sz w:val="24"/>
          <w:szCs w:val="24"/>
          <w:lang w:val="en-US"/>
        </w:rPr>
      </w:r>
      <w:r w:rsidR="00302C56">
        <w:rPr>
          <w:sz w:val="24"/>
          <w:szCs w:val="24"/>
          <w:lang w:val="en-US"/>
        </w:rPr>
        <w:fldChar w:fldCharType="separate"/>
      </w:r>
      <w:r w:rsidR="00212090">
        <w:rPr>
          <w:sz w:val="24"/>
          <w:szCs w:val="24"/>
          <w:lang w:val="en-US"/>
        </w:rPr>
        <w:t>[2]</w:t>
      </w:r>
      <w:r w:rsidR="00302C56">
        <w:rPr>
          <w:sz w:val="24"/>
          <w:szCs w:val="24"/>
          <w:lang w:val="en-US"/>
        </w:rPr>
        <w:fldChar w:fldCharType="end"/>
      </w:r>
      <w:r>
        <w:rPr>
          <w:sz w:val="24"/>
          <w:szCs w:val="24"/>
          <w:lang w:val="en-US"/>
        </w:rPr>
        <w:t xml:space="preserve"> an agreement </w:t>
      </w:r>
      <w:r w:rsidR="00302C56">
        <w:rPr>
          <w:sz w:val="24"/>
          <w:szCs w:val="24"/>
          <w:lang w:val="en-US"/>
        </w:rPr>
        <w:t xml:space="preserve">was reached </w:t>
      </w:r>
      <w:r>
        <w:rPr>
          <w:sz w:val="24"/>
          <w:szCs w:val="24"/>
          <w:lang w:val="en-US"/>
        </w:rPr>
        <w:t>on L1 signaling aspects to be studied by RAN1</w:t>
      </w:r>
      <w:r w:rsidR="00302C56">
        <w:rPr>
          <w:sz w:val="24"/>
          <w:szCs w:val="24"/>
          <w:lang w:val="en-US"/>
        </w:rPr>
        <w:t>:</w:t>
      </w:r>
    </w:p>
    <w:p w14:paraId="55A4AC7F" w14:textId="77777777" w:rsidR="00253818" w:rsidRDefault="00253818" w:rsidP="00F35D90">
      <w:pPr>
        <w:spacing w:after="0" w:line="276" w:lineRule="auto"/>
        <w:jc w:val="both"/>
        <w:rPr>
          <w:sz w:val="24"/>
          <w:szCs w:val="24"/>
          <w:lang w:val="en-US"/>
        </w:rPr>
      </w:pPr>
    </w:p>
    <w:tbl>
      <w:tblPr>
        <w:tblStyle w:val="Tabellenraster"/>
        <w:tblW w:w="0" w:type="auto"/>
        <w:tblLook w:val="04A0" w:firstRow="1" w:lastRow="0" w:firstColumn="1" w:lastColumn="0" w:noHBand="0" w:noVBand="1"/>
      </w:tblPr>
      <w:tblGrid>
        <w:gridCol w:w="9962"/>
      </w:tblGrid>
      <w:tr w:rsidR="00F35D90" w:rsidRPr="00DA1B33" w14:paraId="7B26E1D4" w14:textId="77777777" w:rsidTr="00904E9A">
        <w:tc>
          <w:tcPr>
            <w:tcW w:w="9962" w:type="dxa"/>
          </w:tcPr>
          <w:p w14:paraId="75D2C5CC" w14:textId="77777777" w:rsidR="00F447DE" w:rsidRPr="00DD5E1D" w:rsidRDefault="00F447DE" w:rsidP="00F447DE">
            <w:pPr>
              <w:rPr>
                <w:rFonts w:cs="Times"/>
                <w:b/>
                <w:highlight w:val="green"/>
                <w:lang w:eastAsia="x-none"/>
              </w:rPr>
            </w:pPr>
            <w:r w:rsidRPr="00DD5E1D">
              <w:rPr>
                <w:rFonts w:cs="Times"/>
                <w:b/>
                <w:highlight w:val="green"/>
                <w:lang w:eastAsia="x-none"/>
              </w:rPr>
              <w:t>Agreement</w:t>
            </w:r>
          </w:p>
          <w:p w14:paraId="31FB1DB1" w14:textId="77777777" w:rsidR="00F447DE" w:rsidRPr="003D7A81" w:rsidRDefault="00F447DE" w:rsidP="00F447DE">
            <w:pPr>
              <w:pStyle w:val="Textkrper"/>
              <w:suppressAutoHyphens/>
              <w:spacing w:after="0" w:line="254" w:lineRule="auto"/>
              <w:rPr>
                <w:rFonts w:ascii="Times New Roman" w:eastAsia="Malgun Gothic" w:hAnsi="Times New Roman"/>
                <w:szCs w:val="20"/>
                <w:lang w:eastAsia="ko-KR"/>
              </w:rPr>
            </w:pPr>
            <w:r w:rsidRPr="003D7A81">
              <w:rPr>
                <w:rFonts w:ascii="Times New Roman" w:eastAsia="Malgun Gothic" w:hAnsi="Times New Roman"/>
                <w:szCs w:val="20"/>
                <w:lang w:eastAsia="ko-KR"/>
              </w:rPr>
              <w:t xml:space="preserve">Study L1 signalling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09AEEF70" w14:textId="77777777" w:rsidR="00F447DE" w:rsidRPr="00726577" w:rsidRDefault="00F447DE" w:rsidP="00F447DE">
            <w:pPr>
              <w:pStyle w:val="Textkrper"/>
              <w:numPr>
                <w:ilvl w:val="0"/>
                <w:numId w:val="78"/>
              </w:numPr>
              <w:suppressAutoHyphens/>
              <w:overflowPunct/>
              <w:autoSpaceDE/>
              <w:autoSpaceDN/>
              <w:adjustRightInd/>
              <w:spacing w:after="0" w:line="254"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PDCCH based signaling</w:t>
            </w:r>
          </w:p>
          <w:p w14:paraId="172450E4" w14:textId="77777777" w:rsidR="00F447DE" w:rsidRPr="00726577" w:rsidRDefault="00F447DE" w:rsidP="00F447DE">
            <w:pPr>
              <w:pStyle w:val="Textkrper"/>
              <w:numPr>
                <w:ilvl w:val="1"/>
                <w:numId w:val="78"/>
              </w:numPr>
              <w:suppressAutoHyphens/>
              <w:overflowPunct/>
              <w:autoSpaceDE/>
              <w:autoSpaceDN/>
              <w:adjustRightInd/>
              <w:spacing w:after="0" w:line="254"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enhancing legacy DCI or introducing new DCI</w:t>
            </w:r>
          </w:p>
          <w:p w14:paraId="673FECF4" w14:textId="77777777" w:rsidR="00F447DE" w:rsidRPr="00726577" w:rsidRDefault="00F447DE" w:rsidP="00F447DE">
            <w:pPr>
              <w:pStyle w:val="Textkrper"/>
              <w:numPr>
                <w:ilvl w:val="1"/>
                <w:numId w:val="78"/>
              </w:numPr>
              <w:suppressAutoHyphens/>
              <w:overflowPunct/>
              <w:autoSpaceDE/>
              <w:autoSpaceDN/>
              <w:adjustRightInd/>
              <w:spacing w:after="0" w:line="254"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DCI content</w:t>
            </w:r>
          </w:p>
          <w:p w14:paraId="1A723A57" w14:textId="77777777" w:rsidR="00F447DE" w:rsidRPr="00726577" w:rsidRDefault="00F447DE" w:rsidP="00F447DE">
            <w:pPr>
              <w:pStyle w:val="Textkrper"/>
              <w:numPr>
                <w:ilvl w:val="1"/>
                <w:numId w:val="78"/>
              </w:numPr>
              <w:suppressAutoHyphens/>
              <w:overflowPunct/>
              <w:autoSpaceDE/>
              <w:autoSpaceDN/>
              <w:adjustRightInd/>
              <w:spacing w:after="0" w:line="254"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L1 signaling is UE specific DCI or group common DCI</w:t>
            </w:r>
          </w:p>
          <w:p w14:paraId="2B34CC16" w14:textId="77777777" w:rsidR="00F447DE" w:rsidRPr="00726577" w:rsidRDefault="00F447DE" w:rsidP="00F447DE">
            <w:pPr>
              <w:pStyle w:val="Textkrper"/>
              <w:numPr>
                <w:ilvl w:val="1"/>
                <w:numId w:val="78"/>
              </w:numPr>
              <w:suppressAutoHyphens/>
              <w:overflowPunct/>
              <w:autoSpaceDE/>
              <w:autoSpaceDN/>
              <w:adjustRightInd/>
              <w:spacing w:after="0" w:line="254"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 Timer or validity duration based activation/deactivation of cell DTX/DRX</w:t>
            </w:r>
          </w:p>
          <w:p w14:paraId="23862F7A" w14:textId="77777777" w:rsidR="00F447DE" w:rsidRPr="00726577" w:rsidRDefault="00F447DE" w:rsidP="00F447DE">
            <w:pPr>
              <w:pStyle w:val="Textkrper"/>
              <w:numPr>
                <w:ilvl w:val="1"/>
                <w:numId w:val="78"/>
              </w:numPr>
              <w:suppressAutoHyphens/>
              <w:overflowPunct/>
              <w:autoSpaceDE/>
              <w:autoSpaceDN/>
              <w:adjustRightInd/>
              <w:spacing w:after="0" w:line="254"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whether to specify a reference time for activation/deactivation of cell DTX/DRX </w:t>
            </w:r>
          </w:p>
          <w:p w14:paraId="6DD819BC" w14:textId="77777777" w:rsidR="00F447DE" w:rsidRPr="00726577" w:rsidRDefault="00F447DE" w:rsidP="00F447DE">
            <w:pPr>
              <w:pStyle w:val="Textkrper"/>
              <w:numPr>
                <w:ilvl w:val="1"/>
                <w:numId w:val="78"/>
              </w:numPr>
              <w:suppressAutoHyphens/>
              <w:overflowPunct/>
              <w:autoSpaceDE/>
              <w:autoSpaceDN/>
              <w:adjustRightInd/>
              <w:spacing w:after="0" w:line="254"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Pr>
                <w:rFonts w:ascii="Times New Roman" w:eastAsia="Malgun Gothic" w:hAnsi="Times New Roman"/>
                <w:szCs w:val="20"/>
                <w:lang w:eastAsia="ko-KR"/>
              </w:rPr>
              <w:t>I</w:t>
            </w:r>
            <w:r w:rsidRPr="00726577">
              <w:rPr>
                <w:rFonts w:ascii="Times New Roman" w:eastAsia="Malgun Gothic" w:hAnsi="Times New Roman"/>
                <w:szCs w:val="20"/>
                <w:lang w:eastAsia="ko-KR"/>
              </w:rPr>
              <w:t>f multiple Cell DTX/DRX patterns are to be supported</w:t>
            </w:r>
          </w:p>
          <w:p w14:paraId="166026E7" w14:textId="77777777" w:rsidR="00F447DE" w:rsidRPr="00726577" w:rsidRDefault="00F447DE" w:rsidP="00F447DE">
            <w:pPr>
              <w:pStyle w:val="Textkrper"/>
              <w:numPr>
                <w:ilvl w:val="0"/>
                <w:numId w:val="78"/>
              </w:numPr>
              <w:suppressAutoHyphens/>
              <w:overflowPunct/>
              <w:autoSpaceDE/>
              <w:autoSpaceDN/>
              <w:adjustRightInd/>
              <w:spacing w:after="0" w:line="254"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on detailed UE behavior upon reception of L1 signaling at least including application </w:t>
            </w:r>
            <w:r>
              <w:rPr>
                <w:rFonts w:ascii="Times New Roman" w:eastAsia="Malgun Gothic" w:hAnsi="Times New Roman"/>
                <w:szCs w:val="20"/>
                <w:lang w:eastAsia="ko-KR"/>
              </w:rPr>
              <w:t>delay</w:t>
            </w:r>
          </w:p>
          <w:p w14:paraId="01C12B16" w14:textId="77777777" w:rsidR="00F447DE" w:rsidRPr="00726577" w:rsidRDefault="00F447DE" w:rsidP="00F447DE">
            <w:pPr>
              <w:pStyle w:val="Textkrper"/>
              <w:numPr>
                <w:ilvl w:val="0"/>
                <w:numId w:val="78"/>
              </w:numPr>
              <w:suppressAutoHyphens/>
              <w:overflowPunct/>
              <w:autoSpaceDE/>
              <w:autoSpaceDN/>
              <w:adjustRightInd/>
              <w:spacing w:after="0" w:line="254"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sidRPr="00BD0109">
              <w:rPr>
                <w:rFonts w:ascii="Times New Roman" w:hAnsi="Times New Roman" w:hint="eastAsia"/>
                <w:szCs w:val="20"/>
                <w:lang w:eastAsia="zh-CN"/>
              </w:rPr>
              <w:t>how to</w:t>
            </w:r>
            <w:r w:rsidRPr="00726577">
              <w:rPr>
                <w:rFonts w:ascii="Times New Roman" w:eastAsia="Malgun Gothic" w:hAnsi="Times New Roman"/>
                <w:szCs w:val="20"/>
                <w:lang w:eastAsia="ko-KR"/>
              </w:rPr>
              <w:t xml:space="preserve"> </w:t>
            </w:r>
            <w:r w:rsidRPr="00BD0109">
              <w:rPr>
                <w:rFonts w:ascii="Times New Roman" w:hAnsi="Times New Roman" w:hint="eastAsia"/>
                <w:szCs w:val="20"/>
                <w:lang w:eastAsia="zh-CN"/>
              </w:rPr>
              <w:t xml:space="preserve">guarantee reliability of the </w:t>
            </w:r>
            <w:r w:rsidRPr="00726577">
              <w:rPr>
                <w:rFonts w:ascii="Times New Roman" w:eastAsia="Malgun Gothic" w:hAnsi="Times New Roman"/>
                <w:szCs w:val="20"/>
                <w:lang w:eastAsia="ko-KR"/>
              </w:rPr>
              <w:t>L1 signaling</w:t>
            </w:r>
          </w:p>
          <w:p w14:paraId="033AA05E" w14:textId="4B57FFAF" w:rsidR="00CD1FD3" w:rsidRPr="00F447DE" w:rsidRDefault="00F447DE" w:rsidP="00F447DE">
            <w:pPr>
              <w:pStyle w:val="Textkrper"/>
              <w:numPr>
                <w:ilvl w:val="0"/>
                <w:numId w:val="78"/>
              </w:numPr>
              <w:suppressAutoHyphens/>
              <w:overflowPunct/>
              <w:autoSpaceDE/>
              <w:autoSpaceDN/>
              <w:adjustRightInd/>
              <w:spacing w:after="0" w:line="254" w:lineRule="auto"/>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 whether the L1 signal can be monitored in non-active periods.</w:t>
            </w:r>
          </w:p>
        </w:tc>
      </w:tr>
    </w:tbl>
    <w:p w14:paraId="1570B324" w14:textId="77777777" w:rsidR="00CD1FD3" w:rsidRDefault="00CD1FD3" w:rsidP="00CD1FD3">
      <w:pPr>
        <w:spacing w:after="0" w:line="276" w:lineRule="auto"/>
        <w:jc w:val="both"/>
        <w:rPr>
          <w:sz w:val="24"/>
          <w:szCs w:val="24"/>
        </w:rPr>
      </w:pPr>
    </w:p>
    <w:p w14:paraId="2F95FF25" w14:textId="5D548018" w:rsidR="00302C56" w:rsidRDefault="00302C56" w:rsidP="00CD1FD3">
      <w:pPr>
        <w:spacing w:after="0" w:line="276" w:lineRule="auto"/>
        <w:jc w:val="both"/>
        <w:rPr>
          <w:sz w:val="24"/>
          <w:szCs w:val="24"/>
        </w:rPr>
      </w:pPr>
      <w:r>
        <w:rPr>
          <w:sz w:val="24"/>
          <w:szCs w:val="24"/>
        </w:rPr>
        <w:lastRenderedPageBreak/>
        <w:t xml:space="preserve">Furthermore, RAN2 sent an LS to RAN1 exactly regarding L1 signaling and its reliability, with the following request </w:t>
      </w:r>
      <w:r>
        <w:rPr>
          <w:sz w:val="24"/>
          <w:szCs w:val="24"/>
        </w:rPr>
        <w:fldChar w:fldCharType="begin"/>
      </w:r>
      <w:r>
        <w:rPr>
          <w:sz w:val="24"/>
          <w:szCs w:val="24"/>
        </w:rPr>
        <w:instrText xml:space="preserve"> REF _Ref134781377 \n \h </w:instrText>
      </w:r>
      <w:r>
        <w:rPr>
          <w:sz w:val="24"/>
          <w:szCs w:val="24"/>
        </w:rPr>
      </w:r>
      <w:r>
        <w:rPr>
          <w:sz w:val="24"/>
          <w:szCs w:val="24"/>
        </w:rPr>
        <w:fldChar w:fldCharType="separate"/>
      </w:r>
      <w:r w:rsidR="00212090">
        <w:rPr>
          <w:sz w:val="24"/>
          <w:szCs w:val="24"/>
        </w:rPr>
        <w:t>[3]</w:t>
      </w:r>
      <w:r>
        <w:rPr>
          <w:sz w:val="24"/>
          <w:szCs w:val="24"/>
        </w:rPr>
        <w:fldChar w:fldCharType="end"/>
      </w:r>
      <w:r>
        <w:rPr>
          <w:sz w:val="24"/>
          <w:szCs w:val="24"/>
        </w:rPr>
        <w:t>:</w:t>
      </w:r>
    </w:p>
    <w:p w14:paraId="31A77A6F" w14:textId="0110B212" w:rsidR="00302C56" w:rsidRDefault="00302C56" w:rsidP="00CD1FD3">
      <w:pPr>
        <w:spacing w:after="0" w:line="276" w:lineRule="auto"/>
        <w:jc w:val="both"/>
        <w:rPr>
          <w:sz w:val="24"/>
          <w:szCs w:val="24"/>
        </w:rPr>
      </w:pPr>
    </w:p>
    <w:tbl>
      <w:tblPr>
        <w:tblStyle w:val="Tabellenraster"/>
        <w:tblW w:w="0" w:type="auto"/>
        <w:tblLook w:val="04A0" w:firstRow="1" w:lastRow="0" w:firstColumn="1" w:lastColumn="0" w:noHBand="0" w:noVBand="1"/>
      </w:tblPr>
      <w:tblGrid>
        <w:gridCol w:w="9962"/>
      </w:tblGrid>
      <w:tr w:rsidR="00302C56" w:rsidRPr="00DA1B33" w14:paraId="5965412A" w14:textId="77777777" w:rsidTr="00163CF4">
        <w:tc>
          <w:tcPr>
            <w:tcW w:w="9962" w:type="dxa"/>
          </w:tcPr>
          <w:p w14:paraId="7DAF928C" w14:textId="77777777" w:rsidR="00302C56" w:rsidRPr="00E01F54" w:rsidRDefault="00302C56" w:rsidP="00302C56">
            <w:pPr>
              <w:rPr>
                <w:lang w:eastAsia="ja-JP"/>
              </w:rPr>
            </w:pPr>
            <w:r w:rsidRPr="00E01F54">
              <w:rPr>
                <w:lang w:eastAsia="ja-JP"/>
              </w:rPr>
              <w:t xml:space="preserve">RAN2 kindly requests RAN1 to provide information regarding </w:t>
            </w:r>
            <w:r w:rsidRPr="00E01F54">
              <w:rPr>
                <w:b/>
                <w:lang w:eastAsia="ja-JP"/>
              </w:rPr>
              <w:t>feasibility and reliability</w:t>
            </w:r>
            <w:r w:rsidRPr="00E01F54">
              <w:rPr>
                <w:lang w:eastAsia="ja-JP"/>
              </w:rPr>
              <w:t xml:space="preserve"> of using dedicated and group common L1 signalling for Cell DTX/DRX activation and deactivation. Our question is related only to Cell DTX/DRX activation and deactivation and we would like to focus on a single Cell DTX/DRX configuration, as agreed in our previous meeting. </w:t>
            </w:r>
          </w:p>
          <w:p w14:paraId="3FC73C68" w14:textId="75087DC7" w:rsidR="00302C56" w:rsidRPr="00302C56" w:rsidRDefault="00302C56" w:rsidP="00302C56">
            <w:pPr>
              <w:rPr>
                <w:rFonts w:ascii="Arial" w:hAnsi="Arial" w:cs="Arial"/>
                <w:lang w:eastAsia="ja-JP"/>
              </w:rPr>
            </w:pPr>
            <w:r w:rsidRPr="00E01F54">
              <w:rPr>
                <w:lang w:eastAsia="ja-JP"/>
              </w:rPr>
              <w:t xml:space="preserve">Once L1 signalling for activation and deactivation of Cell DTX/DRX for a single configuration is decided in RAN1 please inform us about the </w:t>
            </w:r>
            <w:r w:rsidRPr="00E01F54">
              <w:rPr>
                <w:b/>
                <w:lang w:eastAsia="ja-JP"/>
              </w:rPr>
              <w:t>decision and</w:t>
            </w:r>
            <w:r w:rsidRPr="00E01F54">
              <w:rPr>
                <w:lang w:eastAsia="ja-JP"/>
              </w:rPr>
              <w:t xml:space="preserve"> </w:t>
            </w:r>
            <w:r w:rsidRPr="00E01F54">
              <w:rPr>
                <w:b/>
                <w:lang w:eastAsia="ja-JP"/>
              </w:rPr>
              <w:t>design details</w:t>
            </w:r>
            <w:r w:rsidRPr="00E01F54">
              <w:rPr>
                <w:lang w:eastAsia="ja-JP"/>
              </w:rPr>
              <w:t>.</w:t>
            </w:r>
            <w:r>
              <w:rPr>
                <w:rFonts w:ascii="Arial" w:hAnsi="Arial" w:cs="Arial"/>
                <w:lang w:eastAsia="ja-JP"/>
              </w:rPr>
              <w:t xml:space="preserve"> </w:t>
            </w:r>
          </w:p>
        </w:tc>
      </w:tr>
    </w:tbl>
    <w:p w14:paraId="788C1A6D" w14:textId="77777777" w:rsidR="00302C56" w:rsidRPr="00302C56" w:rsidRDefault="00302C56" w:rsidP="00CD1FD3">
      <w:pPr>
        <w:spacing w:after="0" w:line="276" w:lineRule="auto"/>
        <w:jc w:val="both"/>
        <w:rPr>
          <w:sz w:val="24"/>
          <w:szCs w:val="24"/>
        </w:rPr>
      </w:pPr>
    </w:p>
    <w:p w14:paraId="59E0E34F" w14:textId="5A5CE576" w:rsidR="00CD1FD3" w:rsidRDefault="00302C56" w:rsidP="00CD1FD3">
      <w:pPr>
        <w:spacing w:after="0" w:line="276" w:lineRule="auto"/>
        <w:jc w:val="both"/>
        <w:rPr>
          <w:sz w:val="24"/>
          <w:szCs w:val="24"/>
        </w:rPr>
      </w:pPr>
      <w:r>
        <w:rPr>
          <w:sz w:val="24"/>
          <w:szCs w:val="24"/>
        </w:rPr>
        <w:t>T</w:t>
      </w:r>
      <w:r w:rsidR="00CD1FD3">
        <w:rPr>
          <w:sz w:val="24"/>
          <w:szCs w:val="24"/>
        </w:rPr>
        <w:t xml:space="preserve">his contribution </w:t>
      </w:r>
      <w:r w:rsidR="00BE4C59">
        <w:rPr>
          <w:sz w:val="24"/>
          <w:szCs w:val="24"/>
        </w:rPr>
        <w:t>discusses aspects</w:t>
      </w:r>
      <w:r>
        <w:rPr>
          <w:sz w:val="24"/>
          <w:szCs w:val="24"/>
        </w:rPr>
        <w:t xml:space="preserve"> of L1 signaling, signalling reliability and data reliability for Cell DTX/DRX.</w:t>
      </w:r>
    </w:p>
    <w:p w14:paraId="1A87E56A" w14:textId="0D1F0C52" w:rsidR="005157FC" w:rsidRPr="005157FC" w:rsidRDefault="006231D7" w:rsidP="005157FC">
      <w:pPr>
        <w:pStyle w:val="berschrift1"/>
      </w:pPr>
      <w:r>
        <w:t>Activation and de-activation of Cell DTX/DRX</w:t>
      </w:r>
    </w:p>
    <w:p w14:paraId="7C146562" w14:textId="0C0B5101" w:rsidR="00BF3681" w:rsidRDefault="006231D7" w:rsidP="00BF3681">
      <w:pPr>
        <w:rPr>
          <w:sz w:val="24"/>
          <w:szCs w:val="24"/>
          <w:lang w:val="en-US" w:eastAsia="zh-CN"/>
        </w:rPr>
      </w:pPr>
      <w:r>
        <w:rPr>
          <w:sz w:val="24"/>
          <w:szCs w:val="24"/>
          <w:lang w:val="en-US" w:eastAsia="zh-CN"/>
        </w:rPr>
        <w:t>Based on the agreements achieved so far, the general behavior of Cell DTX/DRX is shown below.</w:t>
      </w:r>
    </w:p>
    <w:p w14:paraId="292F39A7" w14:textId="13C38E8B" w:rsidR="006231D7" w:rsidRDefault="006231D7" w:rsidP="00BF3681">
      <w:pPr>
        <w:rPr>
          <w:sz w:val="24"/>
          <w:szCs w:val="24"/>
          <w:lang w:val="en-US" w:eastAsia="zh-CN"/>
        </w:rPr>
      </w:pPr>
    </w:p>
    <w:p w14:paraId="3036D5B4" w14:textId="77777777" w:rsidR="006231D7" w:rsidRDefault="006231D7" w:rsidP="006231D7">
      <w:pPr>
        <w:keepNext/>
      </w:pPr>
      <w:r>
        <w:rPr>
          <w:rFonts w:eastAsia="MS Mincho"/>
          <w:noProof/>
          <w:sz w:val="24"/>
          <w:szCs w:val="24"/>
          <w:lang w:val="de-DE" w:eastAsia="de-DE"/>
        </w:rPr>
        <w:drawing>
          <wp:inline distT="0" distB="0" distL="0" distR="0" wp14:anchorId="437AF662" wp14:editId="011FE520">
            <wp:extent cx="6332220" cy="1862455"/>
            <wp:effectExtent l="0" t="0" r="0" b="444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ell_dtx_basic_operatio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2220" cy="1862455"/>
                    </a:xfrm>
                    <a:prstGeom prst="rect">
                      <a:avLst/>
                    </a:prstGeom>
                  </pic:spPr>
                </pic:pic>
              </a:graphicData>
            </a:graphic>
          </wp:inline>
        </w:drawing>
      </w:r>
    </w:p>
    <w:p w14:paraId="504019ED" w14:textId="57803542" w:rsidR="006231D7" w:rsidRDefault="006231D7" w:rsidP="006231D7">
      <w:pPr>
        <w:pStyle w:val="Beschriftung"/>
        <w:rPr>
          <w:sz w:val="24"/>
          <w:szCs w:val="24"/>
          <w:lang w:val="en-US" w:eastAsia="zh-CN"/>
        </w:rPr>
      </w:pPr>
      <w:r>
        <w:t xml:space="preserve">Figure </w:t>
      </w:r>
      <w:r>
        <w:fldChar w:fldCharType="begin"/>
      </w:r>
      <w:r>
        <w:instrText xml:space="preserve"> SEQ Figure \* ARABIC </w:instrText>
      </w:r>
      <w:r>
        <w:fldChar w:fldCharType="separate"/>
      </w:r>
      <w:r w:rsidR="00212090">
        <w:rPr>
          <w:noProof/>
        </w:rPr>
        <w:t>1</w:t>
      </w:r>
      <w:r>
        <w:fldChar w:fldCharType="end"/>
      </w:r>
      <w:r>
        <w:t xml:space="preserve"> - Basic operation of Cell DTX (based on the agreements so far)</w:t>
      </w:r>
      <w:r w:rsidR="00CC483F">
        <w:t xml:space="preserve">. </w:t>
      </w:r>
    </w:p>
    <w:p w14:paraId="25399449" w14:textId="5407E5E5" w:rsidR="006231D7" w:rsidRDefault="006231D7" w:rsidP="00BF3681">
      <w:pPr>
        <w:rPr>
          <w:sz w:val="24"/>
          <w:szCs w:val="24"/>
          <w:lang w:val="en-US"/>
        </w:rPr>
      </w:pPr>
    </w:p>
    <w:p w14:paraId="2DA068ED" w14:textId="688E5E92" w:rsidR="00CC483F" w:rsidRDefault="006231D7" w:rsidP="00BF3681">
      <w:pPr>
        <w:rPr>
          <w:sz w:val="24"/>
          <w:szCs w:val="24"/>
          <w:lang w:val="en-US"/>
        </w:rPr>
      </w:pPr>
      <w:r>
        <w:rPr>
          <w:sz w:val="24"/>
          <w:szCs w:val="24"/>
          <w:lang w:val="en-US"/>
        </w:rPr>
        <w:t xml:space="preserve">Note that during the time labeled as “Activation delay”, the network is consuming energy unnecessarily and during the time labeled as “De-activation delay”, the </w:t>
      </w:r>
      <w:r w:rsidR="00CC483F">
        <w:rPr>
          <w:sz w:val="24"/>
          <w:szCs w:val="24"/>
          <w:lang w:val="en-US"/>
        </w:rPr>
        <w:t xml:space="preserve">UE traffic is unnecessarily waiting on a buffer. Therefore the goal of L1 signaling for Cell DTX/DRX should be </w:t>
      </w:r>
      <w:r w:rsidR="00BE4C59">
        <w:rPr>
          <w:sz w:val="24"/>
          <w:szCs w:val="24"/>
          <w:lang w:val="en-US"/>
        </w:rPr>
        <w:t xml:space="preserve">to </w:t>
      </w:r>
      <w:r w:rsidR="00CC483F">
        <w:rPr>
          <w:sz w:val="24"/>
          <w:szCs w:val="24"/>
          <w:lang w:val="en-US"/>
        </w:rPr>
        <w:t xml:space="preserve">minimize activation delay, de-activation delay and overhead. </w:t>
      </w:r>
    </w:p>
    <w:p w14:paraId="2011E016" w14:textId="623041EA" w:rsidR="00FB6789" w:rsidRDefault="00FB6789" w:rsidP="00BF3681">
      <w:pPr>
        <w:rPr>
          <w:b/>
          <w:sz w:val="24"/>
          <w:szCs w:val="24"/>
          <w:lang w:val="en-US"/>
        </w:rPr>
      </w:pPr>
      <w:r w:rsidRPr="00FB6789">
        <w:rPr>
          <w:b/>
          <w:sz w:val="24"/>
          <w:szCs w:val="24"/>
          <w:lang w:val="en-US"/>
        </w:rPr>
        <w:t xml:space="preserve">Observation 1: </w:t>
      </w:r>
      <w:r w:rsidR="00CC483F">
        <w:rPr>
          <w:b/>
          <w:sz w:val="24"/>
          <w:szCs w:val="24"/>
          <w:lang w:val="en-US"/>
        </w:rPr>
        <w:t>T</w:t>
      </w:r>
      <w:r w:rsidR="00CC483F" w:rsidRPr="00CC483F">
        <w:rPr>
          <w:b/>
          <w:sz w:val="24"/>
          <w:szCs w:val="24"/>
          <w:lang w:val="en-US"/>
        </w:rPr>
        <w:t xml:space="preserve">he goal of L1 signaling for Cell DTX/DRX should be </w:t>
      </w:r>
      <w:r w:rsidR="00BE4C59">
        <w:rPr>
          <w:b/>
          <w:sz w:val="24"/>
          <w:szCs w:val="24"/>
          <w:lang w:val="en-US"/>
        </w:rPr>
        <w:t xml:space="preserve">to </w:t>
      </w:r>
      <w:r w:rsidR="00CC483F" w:rsidRPr="00CC483F">
        <w:rPr>
          <w:b/>
          <w:sz w:val="24"/>
          <w:szCs w:val="24"/>
          <w:lang w:val="en-US"/>
        </w:rPr>
        <w:t>minimize activation delay, de-activation delay and overhead.</w:t>
      </w:r>
    </w:p>
    <w:p w14:paraId="34AA78A7" w14:textId="64A41FCC" w:rsidR="002E263B" w:rsidRDefault="00CC483F" w:rsidP="00CC483F">
      <w:pPr>
        <w:rPr>
          <w:sz w:val="24"/>
          <w:szCs w:val="24"/>
          <w:lang w:val="en-US"/>
        </w:rPr>
      </w:pPr>
      <w:r>
        <w:rPr>
          <w:sz w:val="24"/>
          <w:szCs w:val="24"/>
          <w:lang w:val="en-US"/>
        </w:rPr>
        <w:t>One of the main questions stated in both RAN1 agreements and RAN2 LS is “</w:t>
      </w:r>
      <w:r w:rsidRPr="00CC483F">
        <w:rPr>
          <w:sz w:val="24"/>
          <w:szCs w:val="24"/>
          <w:lang w:val="en-US"/>
        </w:rPr>
        <w:t xml:space="preserve">Whether L1 signaling is UE specific DCI or group common DCI </w:t>
      </w:r>
      <w:r>
        <w:rPr>
          <w:sz w:val="24"/>
          <w:szCs w:val="24"/>
          <w:lang w:val="en-US"/>
        </w:rPr>
        <w:t>“.</w:t>
      </w:r>
      <w:r w:rsidR="002E263B">
        <w:rPr>
          <w:sz w:val="24"/>
          <w:szCs w:val="24"/>
          <w:lang w:val="en-US"/>
        </w:rPr>
        <w:t xml:space="preserve"> In our understanding, a core reason to prefer L1 signaling is exactly to be able to have dynamic group common signaling. UE specific dynamic signaling could be L1 or L2, but common signaling must be L1. </w:t>
      </w:r>
    </w:p>
    <w:p w14:paraId="5F43FFAD" w14:textId="74A875C4" w:rsidR="002E263B" w:rsidRDefault="002E263B" w:rsidP="00CC483F">
      <w:pPr>
        <w:rPr>
          <w:sz w:val="24"/>
          <w:szCs w:val="24"/>
          <w:lang w:val="en-US"/>
        </w:rPr>
      </w:pPr>
      <w:r>
        <w:rPr>
          <w:sz w:val="24"/>
          <w:szCs w:val="24"/>
          <w:lang w:val="en-US"/>
        </w:rPr>
        <w:lastRenderedPageBreak/>
        <w:t xml:space="preserve">Cell DTX/DRX will typically be applied to the whole cell at once and because of that significant overhead can be saved by signaling to all UEs at once. Also, </w:t>
      </w:r>
      <w:r w:rsidR="00733235">
        <w:rPr>
          <w:sz w:val="24"/>
          <w:szCs w:val="24"/>
          <w:lang w:val="en-US"/>
        </w:rPr>
        <w:t xml:space="preserve">applying </w:t>
      </w:r>
      <w:r>
        <w:rPr>
          <w:sz w:val="24"/>
          <w:szCs w:val="24"/>
          <w:lang w:val="en-US"/>
        </w:rPr>
        <w:t xml:space="preserve">Cell DTX/DRX </w:t>
      </w:r>
      <w:r w:rsidR="00733235">
        <w:rPr>
          <w:sz w:val="24"/>
          <w:szCs w:val="24"/>
          <w:lang w:val="en-US"/>
        </w:rPr>
        <w:t xml:space="preserve"> to</w:t>
      </w:r>
      <w:r>
        <w:rPr>
          <w:sz w:val="24"/>
          <w:szCs w:val="24"/>
          <w:lang w:val="en-US"/>
        </w:rPr>
        <w:t xml:space="preserve"> low</w:t>
      </w:r>
      <w:r w:rsidR="00733235">
        <w:rPr>
          <w:sz w:val="24"/>
          <w:szCs w:val="24"/>
          <w:lang w:val="en-US"/>
        </w:rPr>
        <w:t>/</w:t>
      </w:r>
      <w:r>
        <w:rPr>
          <w:sz w:val="24"/>
          <w:szCs w:val="24"/>
          <w:lang w:val="en-US"/>
        </w:rPr>
        <w:t>medium load, does not mean necessarily that only few UEs needs to be informed of Cell DTX/DRX activation or de-</w:t>
      </w:r>
      <w:r w:rsidR="00BE4C59">
        <w:rPr>
          <w:sz w:val="24"/>
          <w:szCs w:val="24"/>
          <w:lang w:val="en-US"/>
        </w:rPr>
        <w:t>activation</w:t>
      </w:r>
      <w:r>
        <w:rPr>
          <w:sz w:val="24"/>
          <w:szCs w:val="24"/>
          <w:lang w:val="en-US"/>
        </w:rPr>
        <w:t xml:space="preserve">. In cells of high capacity (e.g. large bandwidth), there can be many UEs in RRC_CONNECTED mode and yet </w:t>
      </w:r>
      <w:r w:rsidR="00BE4C59">
        <w:rPr>
          <w:sz w:val="24"/>
          <w:szCs w:val="24"/>
          <w:lang w:val="en-US"/>
        </w:rPr>
        <w:t xml:space="preserve">the load they are generating can be served on a Cell DTX/DRX cycle to save energy. For all these reasons group common DCI is a preferred approach for Cell DTX/DRX activation and de-activation in order to keep the signaling overhead low. </w:t>
      </w:r>
    </w:p>
    <w:p w14:paraId="536384FC" w14:textId="400024BD" w:rsidR="00BE4C59" w:rsidRDefault="00BE4C59" w:rsidP="00BE4C59">
      <w:pPr>
        <w:rPr>
          <w:b/>
          <w:sz w:val="24"/>
          <w:szCs w:val="24"/>
          <w:lang w:val="en-US"/>
        </w:rPr>
      </w:pPr>
      <w:r w:rsidRPr="00FB6789">
        <w:rPr>
          <w:b/>
          <w:sz w:val="24"/>
          <w:szCs w:val="24"/>
          <w:lang w:val="en-US"/>
        </w:rPr>
        <w:t xml:space="preserve">Observation </w:t>
      </w:r>
      <w:r>
        <w:rPr>
          <w:b/>
          <w:sz w:val="24"/>
          <w:szCs w:val="24"/>
          <w:lang w:val="en-US"/>
        </w:rPr>
        <w:t>2</w:t>
      </w:r>
      <w:r w:rsidRPr="00FB6789">
        <w:rPr>
          <w:b/>
          <w:sz w:val="24"/>
          <w:szCs w:val="24"/>
          <w:lang w:val="en-US"/>
        </w:rPr>
        <w:t xml:space="preserve">: </w:t>
      </w:r>
      <w:r w:rsidRPr="00BE4C59">
        <w:rPr>
          <w:b/>
          <w:sz w:val="24"/>
          <w:szCs w:val="24"/>
          <w:lang w:val="en-US"/>
        </w:rPr>
        <w:t>Cell DTX/DRX will typically be applied to the whole cell at once and because of that significant overhead can be saved by signaling to all UEs at once.</w:t>
      </w:r>
    </w:p>
    <w:p w14:paraId="6C1C1FB2" w14:textId="749AB5BE" w:rsidR="00BE4C59" w:rsidRDefault="00BE4C59" w:rsidP="00BE4C59">
      <w:pPr>
        <w:pStyle w:val="TDocProposal"/>
        <w:numPr>
          <w:ilvl w:val="0"/>
          <w:numId w:val="0"/>
        </w:numPr>
        <w:spacing w:after="240"/>
        <w:jc w:val="both"/>
        <w:rPr>
          <w:bCs/>
          <w:szCs w:val="24"/>
          <w:lang w:val="en-US"/>
        </w:rPr>
      </w:pPr>
      <w:r>
        <w:rPr>
          <w:bCs/>
          <w:szCs w:val="24"/>
          <w:lang w:val="en-US"/>
        </w:rPr>
        <w:t>Proposal 1: At least group common DCI</w:t>
      </w:r>
      <w:r w:rsidR="00733235">
        <w:rPr>
          <w:bCs/>
          <w:szCs w:val="24"/>
          <w:lang w:val="en-US"/>
        </w:rPr>
        <w:t xml:space="preserve"> is </w:t>
      </w:r>
      <w:r>
        <w:rPr>
          <w:bCs/>
          <w:szCs w:val="24"/>
          <w:lang w:val="en-US"/>
        </w:rPr>
        <w:t>supported for Cell DTX/DRX activation and de-activation</w:t>
      </w:r>
      <w:r w:rsidR="00313443">
        <w:rPr>
          <w:bCs/>
          <w:szCs w:val="24"/>
          <w:lang w:val="en-US"/>
        </w:rPr>
        <w:t>.</w:t>
      </w:r>
    </w:p>
    <w:p w14:paraId="4C313D8B" w14:textId="3B64850B" w:rsidR="00FC0651" w:rsidRDefault="00BE4C59" w:rsidP="00CC483F">
      <w:pPr>
        <w:rPr>
          <w:sz w:val="24"/>
          <w:szCs w:val="24"/>
          <w:lang w:val="en-US"/>
        </w:rPr>
      </w:pPr>
      <w:r>
        <w:rPr>
          <w:sz w:val="24"/>
          <w:szCs w:val="24"/>
          <w:lang w:val="en-US"/>
        </w:rPr>
        <w:t>While group common DCI is preferred to reduce overhead, there is at least one aspect which needs special attention when group common DCI is applied: the reliability. There should be a low probability that a UE misses Cell DTX/DRX activation and de-activation</w:t>
      </w:r>
      <w:r w:rsidR="00733235">
        <w:rPr>
          <w:sz w:val="24"/>
          <w:szCs w:val="24"/>
          <w:lang w:val="en-US"/>
        </w:rPr>
        <w:t xml:space="preserve"> signals</w:t>
      </w:r>
      <w:r>
        <w:rPr>
          <w:sz w:val="24"/>
          <w:szCs w:val="24"/>
          <w:lang w:val="en-US"/>
        </w:rPr>
        <w:t xml:space="preserve">. </w:t>
      </w:r>
      <w:r w:rsidR="00FC0651">
        <w:rPr>
          <w:sz w:val="24"/>
          <w:szCs w:val="24"/>
          <w:lang w:val="en-US"/>
        </w:rPr>
        <w:t xml:space="preserve">A few repetitions (2 - 3) over different symbols and spread on frequency should be enough to achieve the desired reliability. </w:t>
      </w:r>
    </w:p>
    <w:p w14:paraId="26AAC69B" w14:textId="7DBAD34A" w:rsidR="00FC0651" w:rsidRDefault="00FC0651" w:rsidP="00FC0651">
      <w:pPr>
        <w:pStyle w:val="TDocProposal"/>
        <w:numPr>
          <w:ilvl w:val="0"/>
          <w:numId w:val="0"/>
        </w:numPr>
        <w:spacing w:after="240"/>
        <w:jc w:val="both"/>
        <w:rPr>
          <w:bCs/>
          <w:szCs w:val="24"/>
          <w:lang w:val="en-US"/>
        </w:rPr>
      </w:pPr>
      <w:r>
        <w:rPr>
          <w:bCs/>
          <w:szCs w:val="24"/>
          <w:lang w:val="en-US"/>
        </w:rPr>
        <w:t xml:space="preserve">Proposal 2: </w:t>
      </w:r>
      <w:r w:rsidR="004031A1">
        <w:rPr>
          <w:bCs/>
          <w:szCs w:val="24"/>
          <w:lang w:val="en-US"/>
        </w:rPr>
        <w:t>G</w:t>
      </w:r>
      <w:r>
        <w:rPr>
          <w:bCs/>
          <w:szCs w:val="24"/>
          <w:lang w:val="en-US"/>
        </w:rPr>
        <w:t>roup common DCI for Cell DTX/DRX activation and de-activation can be repeated to improve reliability</w:t>
      </w:r>
      <w:r w:rsidR="00313443">
        <w:rPr>
          <w:bCs/>
          <w:szCs w:val="24"/>
          <w:lang w:val="en-US"/>
        </w:rPr>
        <w:t>.</w:t>
      </w:r>
    </w:p>
    <w:p w14:paraId="36C02504" w14:textId="13F96BCF" w:rsidR="001B041C" w:rsidRDefault="001B041C" w:rsidP="00CC483F">
      <w:pPr>
        <w:rPr>
          <w:sz w:val="24"/>
          <w:szCs w:val="24"/>
          <w:lang w:val="en-US"/>
        </w:rPr>
      </w:pPr>
      <w:r>
        <w:rPr>
          <w:sz w:val="24"/>
          <w:szCs w:val="24"/>
          <w:lang w:val="en-US"/>
        </w:rPr>
        <w:t>If the activation can be repeated in different points in time it also becomes important from a signaling perspective that an activation time is signaled. In this way, UEs which only receive the first DCI and UEs which only receive the second DCI can all have the same activation time.</w:t>
      </w:r>
      <w:r w:rsidR="00FE5633">
        <w:rPr>
          <w:sz w:val="24"/>
          <w:szCs w:val="24"/>
          <w:lang w:val="en-US"/>
        </w:rPr>
        <w:t xml:space="preserve"> The timing for activation is critical because several restrictions apply when Cell DTX/DRX is activated. </w:t>
      </w:r>
    </w:p>
    <w:p w14:paraId="06BE6314" w14:textId="18B123BE" w:rsidR="001B041C" w:rsidRDefault="001B041C" w:rsidP="001B041C">
      <w:pPr>
        <w:pStyle w:val="TDocProposal"/>
        <w:numPr>
          <w:ilvl w:val="0"/>
          <w:numId w:val="0"/>
        </w:numPr>
        <w:spacing w:after="240"/>
        <w:jc w:val="both"/>
        <w:rPr>
          <w:bCs/>
          <w:szCs w:val="24"/>
          <w:lang w:val="en-US"/>
        </w:rPr>
      </w:pPr>
      <w:r>
        <w:rPr>
          <w:bCs/>
          <w:szCs w:val="24"/>
          <w:lang w:val="en-US"/>
        </w:rPr>
        <w:t xml:space="preserve">Proposal 3: </w:t>
      </w:r>
      <w:r w:rsidR="004031A1">
        <w:rPr>
          <w:bCs/>
          <w:szCs w:val="24"/>
          <w:lang w:val="en-US"/>
        </w:rPr>
        <w:t>G</w:t>
      </w:r>
      <w:r>
        <w:rPr>
          <w:bCs/>
          <w:szCs w:val="24"/>
          <w:lang w:val="en-US"/>
        </w:rPr>
        <w:t xml:space="preserve">roup common DCI for Cell DTX/DRX activation </w:t>
      </w:r>
      <w:r w:rsidR="004031A1">
        <w:rPr>
          <w:bCs/>
          <w:szCs w:val="24"/>
          <w:lang w:val="en-US"/>
        </w:rPr>
        <w:t xml:space="preserve">to include </w:t>
      </w:r>
      <w:r>
        <w:rPr>
          <w:bCs/>
          <w:szCs w:val="24"/>
          <w:lang w:val="en-US"/>
        </w:rPr>
        <w:t>an activation time</w:t>
      </w:r>
      <w:r w:rsidR="00313443">
        <w:rPr>
          <w:bCs/>
          <w:szCs w:val="24"/>
          <w:lang w:val="en-US"/>
        </w:rPr>
        <w:t>.</w:t>
      </w:r>
    </w:p>
    <w:p w14:paraId="06E2331D" w14:textId="1EB7E9B4" w:rsidR="00BE4C59" w:rsidRDefault="00194A6A" w:rsidP="00CC483F">
      <w:pPr>
        <w:rPr>
          <w:sz w:val="24"/>
          <w:szCs w:val="24"/>
          <w:lang w:val="en-US"/>
        </w:rPr>
      </w:pPr>
      <w:r>
        <w:rPr>
          <w:sz w:val="24"/>
          <w:szCs w:val="24"/>
          <w:lang w:val="en-US"/>
        </w:rPr>
        <w:t xml:space="preserve">A strong source of overhead, if not addressed, </w:t>
      </w:r>
      <w:r w:rsidR="00584C1F">
        <w:rPr>
          <w:sz w:val="24"/>
          <w:szCs w:val="24"/>
          <w:lang w:val="en-US"/>
        </w:rPr>
        <w:t xml:space="preserve">could </w:t>
      </w:r>
      <w:r>
        <w:rPr>
          <w:sz w:val="24"/>
          <w:szCs w:val="24"/>
          <w:lang w:val="en-US"/>
        </w:rPr>
        <w:t>be frequent Cell DTX/DRX de-activation and re-activation</w:t>
      </w:r>
      <w:r w:rsidR="00584C1F">
        <w:rPr>
          <w:sz w:val="24"/>
          <w:szCs w:val="24"/>
          <w:lang w:val="en-US"/>
        </w:rPr>
        <w:t xml:space="preserve"> signaling</w:t>
      </w:r>
      <w:r w:rsidR="00CD4E0B">
        <w:rPr>
          <w:sz w:val="24"/>
          <w:szCs w:val="24"/>
          <w:lang w:val="en-US"/>
        </w:rPr>
        <w:t xml:space="preserve"> due to traffic variations and in particular bursty traffic</w:t>
      </w:r>
      <w:r>
        <w:rPr>
          <w:sz w:val="24"/>
          <w:szCs w:val="24"/>
          <w:lang w:val="en-US"/>
        </w:rPr>
        <w:t xml:space="preserve">. From a latency perspective, </w:t>
      </w:r>
      <w:r w:rsidR="00313443">
        <w:rPr>
          <w:sz w:val="24"/>
          <w:szCs w:val="24"/>
          <w:lang w:val="en-US"/>
        </w:rPr>
        <w:t>and to reduce</w:t>
      </w:r>
      <w:r>
        <w:rPr>
          <w:sz w:val="24"/>
          <w:szCs w:val="24"/>
          <w:lang w:val="en-US"/>
        </w:rPr>
        <w:t xml:space="preserve"> UE power consumption, a traffic burst should be handled as quickly as possible. However, if a traffic burst arrives when Cell DTX/DRX </w:t>
      </w:r>
      <w:r w:rsidR="00E4233B">
        <w:rPr>
          <w:sz w:val="24"/>
          <w:szCs w:val="24"/>
          <w:lang w:val="en-US"/>
        </w:rPr>
        <w:t xml:space="preserve">is activated it cannot be served immediately </w:t>
      </w:r>
      <w:r w:rsidR="003F49D2">
        <w:rPr>
          <w:sz w:val="24"/>
          <w:szCs w:val="24"/>
          <w:lang w:val="en-US"/>
        </w:rPr>
        <w:t>because PDCCH will not be monitored by the UE, as recently agreed on RAN2 in RAN2#121-bis-e:</w:t>
      </w:r>
    </w:p>
    <w:tbl>
      <w:tblPr>
        <w:tblStyle w:val="Tabellenraster"/>
        <w:tblW w:w="0" w:type="auto"/>
        <w:tblLook w:val="04A0" w:firstRow="1" w:lastRow="0" w:firstColumn="1" w:lastColumn="0" w:noHBand="0" w:noVBand="1"/>
      </w:tblPr>
      <w:tblGrid>
        <w:gridCol w:w="9962"/>
      </w:tblGrid>
      <w:tr w:rsidR="003F49D2" w:rsidRPr="00DA1B33" w14:paraId="4320C374" w14:textId="77777777" w:rsidTr="002B1CDC">
        <w:tc>
          <w:tcPr>
            <w:tcW w:w="9962" w:type="dxa"/>
          </w:tcPr>
          <w:p w14:paraId="6091596E" w14:textId="77777777" w:rsidR="003F49D2" w:rsidRPr="00E01F54" w:rsidRDefault="003F49D2" w:rsidP="002B1CDC">
            <w:pPr>
              <w:pStyle w:val="Listenabsatz"/>
              <w:rPr>
                <w:rFonts w:ascii="Times New Roman" w:hAnsi="Times New Roman"/>
                <w:bCs/>
              </w:rPr>
            </w:pPr>
            <w:r w:rsidRPr="00E01F54">
              <w:rPr>
                <w:rFonts w:ascii="Times New Roman" w:hAnsi="Times New Roman"/>
                <w:bCs/>
              </w:rPr>
              <w:t xml:space="preserve">The understanding for the gNB scheduling behaviour for new transmissions during Cell DTX non-active period is that the gNB does not schedule UE-specific dynamic grants/assignments, even if the UE is in C-DRX Active Time.   </w:t>
            </w:r>
            <w:r w:rsidRPr="00E01F54">
              <w:rPr>
                <w:rFonts w:ascii="Times New Roman" w:hAnsi="Times New Roman"/>
                <w:bCs/>
                <w:highlight w:val="yellow"/>
              </w:rPr>
              <w:t>UE doesn’t monitor PDCCH for dynamic grants/assignments for new transmissions during Cell DTX non-active period, even if the UE is in C-DRX Active time</w:t>
            </w:r>
            <w:r w:rsidRPr="00E01F54">
              <w:rPr>
                <w:rFonts w:ascii="Times New Roman" w:hAnsi="Times New Roman"/>
                <w:bCs/>
              </w:rPr>
              <w:t>.   FFS how to deal with any exceptions (e.g. SR if agreed and RACH).  FFS how to deal with retransmissions</w:t>
            </w:r>
          </w:p>
        </w:tc>
      </w:tr>
    </w:tbl>
    <w:p w14:paraId="0B0FAE4F" w14:textId="77777777" w:rsidR="003F49D2" w:rsidRDefault="003F49D2" w:rsidP="00CC483F">
      <w:pPr>
        <w:rPr>
          <w:sz w:val="24"/>
          <w:szCs w:val="24"/>
          <w:lang w:val="en-US"/>
        </w:rPr>
      </w:pPr>
    </w:p>
    <w:p w14:paraId="6B994CD4" w14:textId="29E0E2F3" w:rsidR="003F49D2" w:rsidRDefault="003F49D2" w:rsidP="00CC483F">
      <w:pPr>
        <w:rPr>
          <w:sz w:val="24"/>
          <w:szCs w:val="24"/>
          <w:lang w:val="en-US"/>
        </w:rPr>
      </w:pPr>
      <w:r>
        <w:rPr>
          <w:sz w:val="24"/>
          <w:szCs w:val="24"/>
          <w:lang w:val="en-US"/>
        </w:rPr>
        <w:t>This means that currently there is no specific way of addressing burst</w:t>
      </w:r>
      <w:r w:rsidR="008734D6">
        <w:rPr>
          <w:sz w:val="24"/>
          <w:szCs w:val="24"/>
          <w:lang w:val="en-US"/>
        </w:rPr>
        <w:t>y traffic</w:t>
      </w:r>
      <w:r>
        <w:rPr>
          <w:sz w:val="24"/>
          <w:szCs w:val="24"/>
          <w:lang w:val="en-US"/>
        </w:rPr>
        <w:t>. The only way to serve the traffic as quickly as possible is to de-activate Cell DTX/DRX</w:t>
      </w:r>
      <w:r w:rsidR="00B04DF6">
        <w:rPr>
          <w:sz w:val="24"/>
          <w:szCs w:val="24"/>
          <w:lang w:val="en-US"/>
        </w:rPr>
        <w:t>, which still entails de-</w:t>
      </w:r>
      <w:r w:rsidR="00212090">
        <w:rPr>
          <w:sz w:val="24"/>
          <w:szCs w:val="24"/>
          <w:lang w:val="en-US"/>
        </w:rPr>
        <w:t>activation</w:t>
      </w:r>
      <w:r w:rsidR="00B04DF6">
        <w:rPr>
          <w:sz w:val="24"/>
          <w:szCs w:val="24"/>
          <w:lang w:val="en-US"/>
        </w:rPr>
        <w:t xml:space="preserve"> delay</w:t>
      </w:r>
      <w:r>
        <w:rPr>
          <w:sz w:val="24"/>
          <w:szCs w:val="24"/>
          <w:lang w:val="en-US"/>
        </w:rPr>
        <w:t xml:space="preserve">. </w:t>
      </w:r>
      <w:r w:rsidR="008734D6">
        <w:rPr>
          <w:sz w:val="24"/>
          <w:szCs w:val="24"/>
          <w:lang w:val="en-US"/>
        </w:rPr>
        <w:t xml:space="preserve">In addition to that, after Cell DTX/DRX is de-activated, the gNB will only be able to save energy again </w:t>
      </w:r>
      <w:r w:rsidR="00053E39">
        <w:rPr>
          <w:sz w:val="24"/>
          <w:szCs w:val="24"/>
          <w:lang w:val="en-US"/>
        </w:rPr>
        <w:t xml:space="preserve">once </w:t>
      </w:r>
      <w:r w:rsidR="00A02036">
        <w:rPr>
          <w:sz w:val="24"/>
          <w:szCs w:val="24"/>
          <w:lang w:val="en-US"/>
        </w:rPr>
        <w:t xml:space="preserve">it is </w:t>
      </w:r>
      <w:r w:rsidR="008734D6">
        <w:rPr>
          <w:sz w:val="24"/>
          <w:szCs w:val="24"/>
          <w:lang w:val="en-US"/>
        </w:rPr>
        <w:t>re-activat</w:t>
      </w:r>
      <w:r w:rsidR="00053E39">
        <w:rPr>
          <w:sz w:val="24"/>
          <w:szCs w:val="24"/>
          <w:lang w:val="en-US"/>
        </w:rPr>
        <w:t>ed</w:t>
      </w:r>
      <w:r w:rsidR="008734D6">
        <w:rPr>
          <w:sz w:val="24"/>
          <w:szCs w:val="24"/>
          <w:lang w:val="en-US"/>
        </w:rPr>
        <w:t>. Th</w:t>
      </w:r>
      <w:r w:rsidR="00C73A93">
        <w:rPr>
          <w:sz w:val="24"/>
          <w:szCs w:val="24"/>
          <w:lang w:val="en-US"/>
        </w:rPr>
        <w:t>is</w:t>
      </w:r>
      <w:r w:rsidR="008734D6">
        <w:rPr>
          <w:sz w:val="24"/>
          <w:szCs w:val="24"/>
          <w:lang w:val="en-US"/>
        </w:rPr>
        <w:t xml:space="preserve"> means that the overhead would be </w:t>
      </w:r>
      <w:r w:rsidR="00053E39">
        <w:rPr>
          <w:sz w:val="24"/>
          <w:szCs w:val="24"/>
          <w:lang w:val="en-US"/>
        </w:rPr>
        <w:t xml:space="preserve">paid </w:t>
      </w:r>
      <w:r w:rsidR="008734D6">
        <w:rPr>
          <w:sz w:val="24"/>
          <w:szCs w:val="24"/>
          <w:lang w:val="en-US"/>
        </w:rPr>
        <w:t>twice for every traffic burst: on de-activation and on re-activation</w:t>
      </w:r>
      <w:r w:rsidR="00053E39">
        <w:rPr>
          <w:sz w:val="24"/>
          <w:szCs w:val="24"/>
          <w:lang w:val="en-US"/>
        </w:rPr>
        <w:t xml:space="preserve"> as</w:t>
      </w:r>
      <w:r w:rsidR="008734D6">
        <w:rPr>
          <w:sz w:val="24"/>
          <w:szCs w:val="24"/>
          <w:lang w:val="en-US"/>
        </w:rPr>
        <w:t xml:space="preserve"> illustrated </w:t>
      </w:r>
      <w:r w:rsidR="00E81BC0">
        <w:rPr>
          <w:sz w:val="24"/>
          <w:szCs w:val="24"/>
          <w:lang w:val="en-US"/>
        </w:rPr>
        <w:t xml:space="preserve">in </w:t>
      </w:r>
      <w:r w:rsidR="00E81BC0" w:rsidRPr="00E81BC0">
        <w:rPr>
          <w:sz w:val="24"/>
          <w:szCs w:val="24"/>
          <w:lang w:val="en-US"/>
        </w:rPr>
        <w:fldChar w:fldCharType="begin"/>
      </w:r>
      <w:r w:rsidR="00E81BC0" w:rsidRPr="00E81BC0">
        <w:rPr>
          <w:sz w:val="24"/>
          <w:szCs w:val="24"/>
          <w:lang w:val="en-US"/>
        </w:rPr>
        <w:instrText xml:space="preserve"> REF _Ref135041208 \h </w:instrText>
      </w:r>
      <w:r w:rsidR="00E81BC0">
        <w:rPr>
          <w:sz w:val="24"/>
          <w:szCs w:val="24"/>
          <w:lang w:val="en-US"/>
        </w:rPr>
        <w:instrText xml:space="preserve"> \* MERGEFORMAT </w:instrText>
      </w:r>
      <w:r w:rsidR="00E81BC0" w:rsidRPr="00E81BC0">
        <w:rPr>
          <w:sz w:val="24"/>
          <w:szCs w:val="24"/>
          <w:lang w:val="en-US"/>
        </w:rPr>
      </w:r>
      <w:r w:rsidR="00E81BC0" w:rsidRPr="00E01F54">
        <w:rPr>
          <w:sz w:val="24"/>
          <w:szCs w:val="24"/>
          <w:lang w:val="en-US"/>
        </w:rPr>
        <w:fldChar w:fldCharType="separate"/>
      </w:r>
      <w:r w:rsidR="00212090" w:rsidRPr="00212090">
        <w:rPr>
          <w:sz w:val="24"/>
          <w:szCs w:val="24"/>
        </w:rPr>
        <w:t xml:space="preserve">Figure </w:t>
      </w:r>
      <w:r w:rsidR="00212090" w:rsidRPr="00212090">
        <w:rPr>
          <w:noProof/>
          <w:sz w:val="24"/>
          <w:szCs w:val="24"/>
        </w:rPr>
        <w:t>2</w:t>
      </w:r>
      <w:r w:rsidR="00E81BC0" w:rsidRPr="00E81BC0">
        <w:rPr>
          <w:sz w:val="24"/>
          <w:szCs w:val="24"/>
          <w:lang w:val="en-US"/>
        </w:rPr>
        <w:fldChar w:fldCharType="end"/>
      </w:r>
      <w:r w:rsidR="00CD4E0B">
        <w:rPr>
          <w:sz w:val="24"/>
          <w:szCs w:val="24"/>
          <w:lang w:val="en-US"/>
        </w:rPr>
        <w:t xml:space="preserve"> </w:t>
      </w:r>
      <w:r w:rsidR="008734D6">
        <w:rPr>
          <w:sz w:val="24"/>
          <w:szCs w:val="24"/>
          <w:lang w:val="en-US"/>
        </w:rPr>
        <w:t xml:space="preserve">below. </w:t>
      </w:r>
      <w:r w:rsidR="00053E39">
        <w:rPr>
          <w:sz w:val="24"/>
          <w:szCs w:val="24"/>
          <w:lang w:val="en-US"/>
        </w:rPr>
        <w:t>Additionally</w:t>
      </w:r>
      <w:r w:rsidR="008734D6">
        <w:rPr>
          <w:sz w:val="24"/>
          <w:szCs w:val="24"/>
          <w:lang w:val="en-US"/>
        </w:rPr>
        <w:t xml:space="preserve">, there may be some extra decision delay on re-activation, which would cause even prolonged high energy consumption. Clearly, some improvements are needed on handling a traffic burst. </w:t>
      </w:r>
    </w:p>
    <w:p w14:paraId="1B3099D8" w14:textId="3CF35014" w:rsidR="003F49D2" w:rsidRDefault="003F49D2" w:rsidP="00CC483F">
      <w:pPr>
        <w:rPr>
          <w:sz w:val="24"/>
          <w:szCs w:val="24"/>
          <w:lang w:val="en-US"/>
        </w:rPr>
      </w:pPr>
    </w:p>
    <w:p w14:paraId="428DFA38" w14:textId="77777777" w:rsidR="008734D6" w:rsidRDefault="008734D6" w:rsidP="008734D6">
      <w:pPr>
        <w:keepNext/>
      </w:pPr>
      <w:r>
        <w:rPr>
          <w:rFonts w:eastAsia="MS Mincho"/>
          <w:noProof/>
          <w:sz w:val="24"/>
          <w:szCs w:val="24"/>
          <w:lang w:val="de-DE" w:eastAsia="de-DE"/>
        </w:rPr>
        <w:drawing>
          <wp:inline distT="0" distB="0" distL="0" distR="0" wp14:anchorId="3D526505" wp14:editId="167A045A">
            <wp:extent cx="6332220" cy="1896110"/>
            <wp:effectExtent l="0" t="0" r="0" b="889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ell_dtx_dynamic_signaling.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1896110"/>
                    </a:xfrm>
                    <a:prstGeom prst="rect">
                      <a:avLst/>
                    </a:prstGeom>
                  </pic:spPr>
                </pic:pic>
              </a:graphicData>
            </a:graphic>
          </wp:inline>
        </w:drawing>
      </w:r>
    </w:p>
    <w:p w14:paraId="5D53DD7D" w14:textId="5BC62A08" w:rsidR="008734D6" w:rsidRDefault="008734D6" w:rsidP="008734D6">
      <w:pPr>
        <w:pStyle w:val="Beschriftung"/>
        <w:rPr>
          <w:sz w:val="24"/>
          <w:szCs w:val="24"/>
          <w:lang w:val="en-US"/>
        </w:rPr>
      </w:pPr>
      <w:bookmarkStart w:id="1" w:name="_Ref135041208"/>
      <w:r>
        <w:t xml:space="preserve">Figure </w:t>
      </w:r>
      <w:r>
        <w:fldChar w:fldCharType="begin"/>
      </w:r>
      <w:r>
        <w:instrText xml:space="preserve"> SEQ Figure \* ARABIC </w:instrText>
      </w:r>
      <w:r>
        <w:fldChar w:fldCharType="separate"/>
      </w:r>
      <w:r w:rsidR="00212090">
        <w:rPr>
          <w:noProof/>
        </w:rPr>
        <w:t>2</w:t>
      </w:r>
      <w:r>
        <w:fldChar w:fldCharType="end"/>
      </w:r>
      <w:bookmarkEnd w:id="1"/>
      <w:r w:rsidR="00F211D5">
        <w:t xml:space="preserve"> - When a traffic burst arrives, the traffic can only be quickly served</w:t>
      </w:r>
      <w:r w:rsidR="00053E39">
        <w:t>,</w:t>
      </w:r>
      <w:r w:rsidR="00F211D5">
        <w:t xml:space="preserve"> if Cell DTX is de-activated. </w:t>
      </w:r>
      <w:r w:rsidR="00053E39">
        <w:t xml:space="preserve">However, </w:t>
      </w:r>
      <w:r w:rsidR="00F211D5">
        <w:t xml:space="preserve">this entails  </w:t>
      </w:r>
      <w:r w:rsidR="00053E39">
        <w:t>significant</w:t>
      </w:r>
      <w:r w:rsidR="00F211D5">
        <w:t xml:space="preserve"> overhead on the re-activation of Cell DTX.</w:t>
      </w:r>
    </w:p>
    <w:p w14:paraId="0DBD31DF" w14:textId="702D1806" w:rsidR="003F49D2" w:rsidRDefault="008734D6" w:rsidP="00CC483F">
      <w:pPr>
        <w:rPr>
          <w:sz w:val="24"/>
          <w:szCs w:val="24"/>
          <w:lang w:val="en-US"/>
        </w:rPr>
      </w:pPr>
      <w:r>
        <w:rPr>
          <w:sz w:val="24"/>
          <w:szCs w:val="24"/>
          <w:lang w:val="en-US"/>
        </w:rPr>
        <w:t xml:space="preserve">Note, however, that </w:t>
      </w:r>
      <w:r w:rsidR="00182508">
        <w:rPr>
          <w:sz w:val="24"/>
          <w:szCs w:val="24"/>
          <w:lang w:val="en-US"/>
        </w:rPr>
        <w:t>bursty traffic of different UEs is independent from each other</w:t>
      </w:r>
      <w:r>
        <w:rPr>
          <w:sz w:val="24"/>
          <w:szCs w:val="24"/>
          <w:lang w:val="en-US"/>
        </w:rPr>
        <w:t xml:space="preserve">. So </w:t>
      </w:r>
      <w:r w:rsidR="0085685E">
        <w:rPr>
          <w:sz w:val="24"/>
          <w:szCs w:val="24"/>
          <w:lang w:val="en-US"/>
        </w:rPr>
        <w:t>quite often</w:t>
      </w:r>
      <w:r>
        <w:rPr>
          <w:sz w:val="24"/>
          <w:szCs w:val="24"/>
          <w:lang w:val="en-US"/>
        </w:rPr>
        <w:t xml:space="preserve">, only one UE needs to be </w:t>
      </w:r>
      <w:r w:rsidR="0085685E">
        <w:rPr>
          <w:sz w:val="24"/>
          <w:szCs w:val="24"/>
          <w:lang w:val="en-US"/>
        </w:rPr>
        <w:t xml:space="preserve">served and </w:t>
      </w:r>
      <w:r w:rsidR="00053E39">
        <w:rPr>
          <w:sz w:val="24"/>
          <w:szCs w:val="24"/>
          <w:lang w:val="en-US"/>
        </w:rPr>
        <w:t xml:space="preserve">once served </w:t>
      </w:r>
      <w:r w:rsidR="0085685E">
        <w:rPr>
          <w:sz w:val="24"/>
          <w:szCs w:val="24"/>
          <w:lang w:val="en-US"/>
        </w:rPr>
        <w:t>the gNB can resume Cell DTX/DRX. Therefore, it is useful to be able to de-activate Cell DTX/DRX individual</w:t>
      </w:r>
      <w:r w:rsidR="00053E39">
        <w:rPr>
          <w:sz w:val="24"/>
          <w:szCs w:val="24"/>
          <w:lang w:val="en-US"/>
        </w:rPr>
        <w:t>ly for each</w:t>
      </w:r>
      <w:r w:rsidR="0085685E">
        <w:rPr>
          <w:sz w:val="24"/>
          <w:szCs w:val="24"/>
          <w:lang w:val="en-US"/>
        </w:rPr>
        <w:t xml:space="preserve"> UE</w:t>
      </w:r>
      <w:r w:rsidR="00182508">
        <w:rPr>
          <w:sz w:val="24"/>
          <w:szCs w:val="24"/>
          <w:lang w:val="en-US"/>
        </w:rPr>
        <w:t>, meaning that other UEs do not need to be aware of such temporary de-activation of of Cell DTX/DRX</w:t>
      </w:r>
      <w:r w:rsidR="0085685E">
        <w:rPr>
          <w:sz w:val="24"/>
          <w:szCs w:val="24"/>
          <w:lang w:val="en-US"/>
        </w:rPr>
        <w:t xml:space="preserve">. Also, in high capacity cells such bursts of traffic can be served quite quickly. The gNB can estimate in advance how long </w:t>
      </w:r>
      <w:r w:rsidR="00CD4E0B">
        <w:rPr>
          <w:sz w:val="24"/>
          <w:szCs w:val="24"/>
          <w:lang w:val="en-US"/>
        </w:rPr>
        <w:t>it would</w:t>
      </w:r>
      <w:r w:rsidR="00F23663">
        <w:rPr>
          <w:sz w:val="24"/>
          <w:szCs w:val="24"/>
          <w:lang w:val="en-US"/>
        </w:rPr>
        <w:t xml:space="preserve"> </w:t>
      </w:r>
      <w:r w:rsidR="0085685E">
        <w:rPr>
          <w:sz w:val="24"/>
          <w:szCs w:val="24"/>
          <w:lang w:val="en-US"/>
        </w:rPr>
        <w:t xml:space="preserve">take to serve that UE and de-activate the Cell DTX/DRX only temporarily. In this way, the overhead of re-activation can be completely avoided. </w:t>
      </w:r>
    </w:p>
    <w:p w14:paraId="4686E29D" w14:textId="2B87ADAC" w:rsidR="00F211D5" w:rsidRDefault="00F211D5" w:rsidP="00F211D5">
      <w:pPr>
        <w:rPr>
          <w:b/>
          <w:sz w:val="24"/>
          <w:szCs w:val="24"/>
          <w:lang w:val="en-US"/>
        </w:rPr>
      </w:pPr>
      <w:r w:rsidRPr="00FB6789">
        <w:rPr>
          <w:b/>
          <w:sz w:val="24"/>
          <w:szCs w:val="24"/>
          <w:lang w:val="en-US"/>
        </w:rPr>
        <w:t xml:space="preserve">Observation </w:t>
      </w:r>
      <w:r>
        <w:rPr>
          <w:b/>
          <w:sz w:val="24"/>
          <w:szCs w:val="24"/>
          <w:lang w:val="en-US"/>
        </w:rPr>
        <w:t>3</w:t>
      </w:r>
      <w:r w:rsidRPr="00FB6789">
        <w:rPr>
          <w:b/>
          <w:sz w:val="24"/>
          <w:szCs w:val="24"/>
          <w:lang w:val="en-US"/>
        </w:rPr>
        <w:t xml:space="preserve">: </w:t>
      </w:r>
      <w:r w:rsidR="00182508">
        <w:rPr>
          <w:b/>
          <w:sz w:val="24"/>
          <w:szCs w:val="24"/>
          <w:lang w:val="en-US"/>
        </w:rPr>
        <w:t>Quite often only a single or few UEs need to be served during a traffic burst</w:t>
      </w:r>
      <w:r w:rsidR="00F23663">
        <w:rPr>
          <w:b/>
          <w:sz w:val="24"/>
          <w:szCs w:val="24"/>
          <w:lang w:val="en-US"/>
        </w:rPr>
        <w:t>.</w:t>
      </w:r>
    </w:p>
    <w:p w14:paraId="6F244F3E" w14:textId="50BCF61E" w:rsidR="00F211D5" w:rsidRDefault="00F211D5" w:rsidP="00F211D5">
      <w:pPr>
        <w:rPr>
          <w:b/>
          <w:sz w:val="24"/>
          <w:szCs w:val="24"/>
          <w:lang w:val="en-US"/>
        </w:rPr>
      </w:pPr>
      <w:r w:rsidRPr="00FB6789">
        <w:rPr>
          <w:b/>
          <w:sz w:val="24"/>
          <w:szCs w:val="24"/>
          <w:lang w:val="en-US"/>
        </w:rPr>
        <w:t xml:space="preserve">Observation </w:t>
      </w:r>
      <w:r>
        <w:rPr>
          <w:b/>
          <w:sz w:val="24"/>
          <w:szCs w:val="24"/>
          <w:lang w:val="en-US"/>
        </w:rPr>
        <w:t>4</w:t>
      </w:r>
      <w:r w:rsidRPr="00FB6789">
        <w:rPr>
          <w:b/>
          <w:sz w:val="24"/>
          <w:szCs w:val="24"/>
          <w:lang w:val="en-US"/>
        </w:rPr>
        <w:t xml:space="preserve">: </w:t>
      </w:r>
      <w:r>
        <w:rPr>
          <w:b/>
          <w:sz w:val="24"/>
          <w:szCs w:val="24"/>
          <w:lang w:val="en-US"/>
        </w:rPr>
        <w:t xml:space="preserve">Temporary </w:t>
      </w:r>
      <w:r w:rsidRPr="00F211D5">
        <w:rPr>
          <w:b/>
          <w:sz w:val="24"/>
          <w:szCs w:val="24"/>
          <w:lang w:val="en-US"/>
        </w:rPr>
        <w:t>Cell DTX/DRX</w:t>
      </w:r>
      <w:r>
        <w:rPr>
          <w:b/>
          <w:sz w:val="24"/>
          <w:szCs w:val="24"/>
          <w:lang w:val="en-US"/>
        </w:rPr>
        <w:t xml:space="preserve"> de-activation can save the re-activation overhead</w:t>
      </w:r>
      <w:r w:rsidR="00212090">
        <w:rPr>
          <w:b/>
          <w:sz w:val="24"/>
          <w:szCs w:val="24"/>
          <w:lang w:val="en-US"/>
        </w:rPr>
        <w:t>.</w:t>
      </w:r>
    </w:p>
    <w:p w14:paraId="1D2B6BA7" w14:textId="7C3AB785" w:rsidR="00F211D5" w:rsidRDefault="00F211D5" w:rsidP="00F211D5">
      <w:pPr>
        <w:pStyle w:val="TDocProposal"/>
        <w:numPr>
          <w:ilvl w:val="0"/>
          <w:numId w:val="0"/>
        </w:numPr>
        <w:spacing w:after="240"/>
        <w:jc w:val="both"/>
        <w:rPr>
          <w:bCs/>
          <w:szCs w:val="24"/>
          <w:lang w:val="en-US"/>
        </w:rPr>
      </w:pPr>
      <w:r>
        <w:rPr>
          <w:bCs/>
          <w:szCs w:val="24"/>
          <w:lang w:val="en-US"/>
        </w:rPr>
        <w:t>Proposal 4: Cell DTX/DRX can be temporarily de-activated for a single UE using UE-specific DCI</w:t>
      </w:r>
      <w:r w:rsidR="00212090">
        <w:rPr>
          <w:bCs/>
          <w:szCs w:val="24"/>
          <w:lang w:val="en-US"/>
        </w:rPr>
        <w:t>.</w:t>
      </w:r>
    </w:p>
    <w:p w14:paraId="42C3F0BC" w14:textId="594CDFAC" w:rsidR="00E961B6" w:rsidRDefault="00EA048D" w:rsidP="00510A4D">
      <w:pPr>
        <w:pStyle w:val="berschrift1"/>
        <w:spacing w:before="480"/>
        <w:ind w:left="431" w:hanging="431"/>
      </w:pPr>
      <w:r>
        <w:t>Data reliability</w:t>
      </w:r>
      <w:r w:rsidR="00382D7B">
        <w:t xml:space="preserve"> and retransmissions</w:t>
      </w:r>
      <w:r>
        <w:t xml:space="preserve"> with</w:t>
      </w:r>
      <w:r w:rsidR="005A75D3">
        <w:t xml:space="preserve"> </w:t>
      </w:r>
      <w:r w:rsidR="00BA16C3">
        <w:t>Cell DTX</w:t>
      </w:r>
      <w:r>
        <w:t>/DRX activated</w:t>
      </w:r>
      <w:r w:rsidR="00BA16C3">
        <w:t xml:space="preserve"> </w:t>
      </w:r>
    </w:p>
    <w:p w14:paraId="3ECBBF5F" w14:textId="21165C81" w:rsidR="00382D7B" w:rsidRDefault="00EA048D" w:rsidP="00040A54">
      <w:pPr>
        <w:spacing w:after="240"/>
        <w:jc w:val="both"/>
        <w:rPr>
          <w:sz w:val="24"/>
          <w:szCs w:val="24"/>
        </w:rPr>
      </w:pPr>
      <w:r>
        <w:rPr>
          <w:sz w:val="24"/>
          <w:szCs w:val="24"/>
        </w:rPr>
        <w:t xml:space="preserve">The </w:t>
      </w:r>
      <w:r w:rsidR="00382D7B">
        <w:rPr>
          <w:sz w:val="24"/>
          <w:szCs w:val="24"/>
        </w:rPr>
        <w:t>RAN2 agreement</w:t>
      </w:r>
      <w:r>
        <w:rPr>
          <w:sz w:val="24"/>
          <w:szCs w:val="24"/>
        </w:rPr>
        <w:t xml:space="preserve"> to not monitor PDCCH during Cell DTX non-active state</w:t>
      </w:r>
      <w:r w:rsidR="00382D7B">
        <w:rPr>
          <w:sz w:val="24"/>
          <w:szCs w:val="24"/>
        </w:rPr>
        <w:t xml:space="preserve"> only </w:t>
      </w:r>
      <w:r w:rsidR="00C07E8C">
        <w:rPr>
          <w:sz w:val="24"/>
          <w:szCs w:val="24"/>
        </w:rPr>
        <w:t xml:space="preserve">(see section 2) </w:t>
      </w:r>
      <w:r w:rsidR="00382D7B">
        <w:rPr>
          <w:sz w:val="24"/>
          <w:szCs w:val="24"/>
        </w:rPr>
        <w:t>applies to first transmissions. How to handle retransmissions is still open. The main options to handle retransmissions are:</w:t>
      </w:r>
    </w:p>
    <w:p w14:paraId="33932A7B" w14:textId="7E9B7416" w:rsidR="00382D7B" w:rsidRPr="00E01F54" w:rsidRDefault="00382D7B" w:rsidP="00382D7B">
      <w:pPr>
        <w:pStyle w:val="Listenabsatz"/>
        <w:numPr>
          <w:ilvl w:val="0"/>
          <w:numId w:val="79"/>
        </w:numPr>
        <w:spacing w:after="240"/>
        <w:jc w:val="both"/>
        <w:rPr>
          <w:rFonts w:ascii="Times New Roman" w:hAnsi="Times New Roman"/>
          <w:sz w:val="24"/>
          <w:szCs w:val="24"/>
        </w:rPr>
      </w:pPr>
      <w:r w:rsidRPr="00E01F54">
        <w:rPr>
          <w:rFonts w:ascii="Times New Roman" w:hAnsi="Times New Roman"/>
          <w:sz w:val="24"/>
          <w:szCs w:val="24"/>
        </w:rPr>
        <w:t>Retransmissions need to wait the next Cell DTX active period</w:t>
      </w:r>
    </w:p>
    <w:p w14:paraId="2CC17AE9" w14:textId="3010E48B" w:rsidR="00382D7B" w:rsidRPr="00E01F54" w:rsidRDefault="00CD4E0B" w:rsidP="00382D7B">
      <w:pPr>
        <w:pStyle w:val="Listenabsatz"/>
        <w:numPr>
          <w:ilvl w:val="0"/>
          <w:numId w:val="79"/>
        </w:numPr>
        <w:spacing w:after="240"/>
        <w:jc w:val="both"/>
        <w:rPr>
          <w:rFonts w:ascii="Times New Roman" w:hAnsi="Times New Roman"/>
          <w:sz w:val="24"/>
          <w:szCs w:val="24"/>
        </w:rPr>
      </w:pPr>
      <w:r>
        <w:rPr>
          <w:rFonts w:ascii="Times New Roman" w:hAnsi="Times New Roman"/>
          <w:sz w:val="24"/>
          <w:szCs w:val="24"/>
        </w:rPr>
        <w:t xml:space="preserve">During non-active time </w:t>
      </w:r>
      <w:r w:rsidR="00FA09EF" w:rsidRPr="00E01F54">
        <w:rPr>
          <w:rFonts w:ascii="Times New Roman" w:hAnsi="Times New Roman"/>
          <w:sz w:val="24"/>
          <w:szCs w:val="24"/>
        </w:rPr>
        <w:t xml:space="preserve">the UE listens to PDCCH </w:t>
      </w:r>
      <w:r w:rsidR="00B900B7">
        <w:rPr>
          <w:rFonts w:ascii="Times New Roman" w:hAnsi="Times New Roman"/>
          <w:sz w:val="24"/>
          <w:szCs w:val="24"/>
        </w:rPr>
        <w:t xml:space="preserve">only </w:t>
      </w:r>
      <w:r w:rsidR="00FA09EF" w:rsidRPr="00E01F54">
        <w:rPr>
          <w:rFonts w:ascii="Times New Roman" w:hAnsi="Times New Roman"/>
          <w:sz w:val="24"/>
          <w:szCs w:val="24"/>
        </w:rPr>
        <w:t>for retransmissions</w:t>
      </w:r>
      <w:r>
        <w:rPr>
          <w:rFonts w:ascii="Times New Roman" w:hAnsi="Times New Roman"/>
          <w:sz w:val="24"/>
          <w:szCs w:val="24"/>
        </w:rPr>
        <w:t xml:space="preserve"> (not for new transmissions)</w:t>
      </w:r>
    </w:p>
    <w:p w14:paraId="1D2E3C12" w14:textId="359B294F" w:rsidR="00382D7B" w:rsidRPr="00E01F54" w:rsidRDefault="00382D7B" w:rsidP="00382D7B">
      <w:pPr>
        <w:pStyle w:val="Listenabsatz"/>
        <w:numPr>
          <w:ilvl w:val="0"/>
          <w:numId w:val="79"/>
        </w:numPr>
        <w:spacing w:after="240"/>
        <w:jc w:val="both"/>
        <w:rPr>
          <w:rFonts w:ascii="Times New Roman" w:hAnsi="Times New Roman"/>
          <w:sz w:val="24"/>
          <w:szCs w:val="24"/>
        </w:rPr>
      </w:pPr>
      <w:r w:rsidRPr="00E01F54">
        <w:rPr>
          <w:rFonts w:ascii="Times New Roman" w:hAnsi="Times New Roman"/>
          <w:sz w:val="24"/>
          <w:szCs w:val="24"/>
        </w:rPr>
        <w:t xml:space="preserve">Retransmissions </w:t>
      </w:r>
      <w:r w:rsidR="00FA09EF" w:rsidRPr="00E01F54">
        <w:rPr>
          <w:rFonts w:ascii="Times New Roman" w:hAnsi="Times New Roman"/>
          <w:sz w:val="24"/>
          <w:szCs w:val="24"/>
        </w:rPr>
        <w:t>are avoided in the first place</w:t>
      </w:r>
    </w:p>
    <w:p w14:paraId="468F4476" w14:textId="78F2420B" w:rsidR="00CC3626" w:rsidRDefault="00382D7B" w:rsidP="00040A54">
      <w:pPr>
        <w:spacing w:after="240"/>
        <w:jc w:val="both"/>
        <w:rPr>
          <w:sz w:val="24"/>
          <w:szCs w:val="24"/>
          <w:lang w:val="en-US"/>
        </w:rPr>
      </w:pPr>
      <w:r>
        <w:rPr>
          <w:sz w:val="24"/>
          <w:szCs w:val="24"/>
        </w:rPr>
        <w:lastRenderedPageBreak/>
        <w:t>Option 1 may be acceptable for very short Cell DTX/DRX cycles (e.g. 5 – 10 ms) in case of non-critical traffic</w:t>
      </w:r>
      <w:r w:rsidR="00C07E8C">
        <w:rPr>
          <w:sz w:val="24"/>
          <w:szCs w:val="24"/>
        </w:rPr>
        <w:t>. O</w:t>
      </w:r>
      <w:r>
        <w:rPr>
          <w:sz w:val="24"/>
          <w:szCs w:val="24"/>
        </w:rPr>
        <w:t xml:space="preserve">therwise it leads to </w:t>
      </w:r>
      <w:r w:rsidR="00C07E8C">
        <w:rPr>
          <w:sz w:val="24"/>
          <w:szCs w:val="24"/>
        </w:rPr>
        <w:t xml:space="preserve">significant </w:t>
      </w:r>
      <w:r>
        <w:rPr>
          <w:sz w:val="24"/>
          <w:szCs w:val="24"/>
        </w:rPr>
        <w:t xml:space="preserve">delays. Therefore, it cannot be a general solution valid for all possible Cell DTX/DRX cycles. </w:t>
      </w:r>
      <w:r w:rsidR="00C07E8C">
        <w:rPr>
          <w:sz w:val="24"/>
          <w:szCs w:val="24"/>
        </w:rPr>
        <w:t>O</w:t>
      </w:r>
      <w:r w:rsidR="00FA09EF">
        <w:rPr>
          <w:sz w:val="24"/>
          <w:szCs w:val="24"/>
        </w:rPr>
        <w:t>ption 2 would lead to an awkward situation: no new transmissions are possible (leading to increased delay)</w:t>
      </w:r>
      <w:r w:rsidR="00C07E8C">
        <w:rPr>
          <w:sz w:val="24"/>
          <w:szCs w:val="24"/>
        </w:rPr>
        <w:t>,</w:t>
      </w:r>
      <w:r w:rsidR="00FA09EF">
        <w:rPr>
          <w:sz w:val="24"/>
          <w:szCs w:val="24"/>
        </w:rPr>
        <w:t xml:space="preserve"> but the gNB is actually not saving any energy</w:t>
      </w:r>
      <w:r w:rsidR="00C07E8C">
        <w:rPr>
          <w:sz w:val="24"/>
          <w:szCs w:val="24"/>
        </w:rPr>
        <w:t>,</w:t>
      </w:r>
      <w:r w:rsidR="00FA09EF">
        <w:rPr>
          <w:sz w:val="24"/>
          <w:szCs w:val="24"/>
        </w:rPr>
        <w:t xml:space="preserve"> because it is almost always awake to re-transmit or listen to retransmissions. In order to understand why that is the case, consider </w:t>
      </w:r>
      <w:r w:rsidR="00A605B0" w:rsidRPr="00A605B0">
        <w:rPr>
          <w:sz w:val="24"/>
          <w:szCs w:val="24"/>
          <w:lang w:val="en-US"/>
        </w:rPr>
        <w:t>a</w:t>
      </w:r>
      <w:r w:rsidR="00FA09EF">
        <w:rPr>
          <w:sz w:val="24"/>
          <w:szCs w:val="24"/>
          <w:lang w:val="en-US"/>
        </w:rPr>
        <w:t>n initial BLER of 10% and that the BLER of different UEs is independent. Then,</w:t>
      </w:r>
      <w:r w:rsidR="00A605B0">
        <w:rPr>
          <w:sz w:val="24"/>
          <w:szCs w:val="24"/>
          <w:lang w:val="en-US"/>
        </w:rPr>
        <w:t xml:space="preserve"> </w:t>
      </w:r>
      <w:r w:rsidR="00A605B0" w:rsidRPr="00A605B0">
        <w:rPr>
          <w:sz w:val="24"/>
          <w:szCs w:val="24"/>
          <w:lang w:val="en-US"/>
        </w:rPr>
        <w:t>the probab</w:t>
      </w:r>
      <w:r w:rsidR="00E55E5D">
        <w:rPr>
          <w:sz w:val="24"/>
          <w:szCs w:val="24"/>
          <w:lang w:val="en-US"/>
        </w:rPr>
        <w:t>i</w:t>
      </w:r>
      <w:r w:rsidR="00A605B0" w:rsidRPr="00A605B0">
        <w:rPr>
          <w:sz w:val="24"/>
          <w:szCs w:val="24"/>
          <w:lang w:val="en-US"/>
        </w:rPr>
        <w:t>l</w:t>
      </w:r>
      <w:r w:rsidR="00E55E5D">
        <w:rPr>
          <w:sz w:val="24"/>
          <w:szCs w:val="24"/>
          <w:lang w:val="en-US"/>
        </w:rPr>
        <w:t>it</w:t>
      </w:r>
      <w:r w:rsidR="00A605B0" w:rsidRPr="00A605B0">
        <w:rPr>
          <w:sz w:val="24"/>
          <w:szCs w:val="24"/>
          <w:lang w:val="en-US"/>
        </w:rPr>
        <w:t>y</w:t>
      </w:r>
      <w:r w:rsidR="00A605B0">
        <w:rPr>
          <w:sz w:val="24"/>
          <w:szCs w:val="24"/>
          <w:lang w:val="en-US"/>
        </w:rPr>
        <w:t xml:space="preserve"> for</w:t>
      </w:r>
      <w:r w:rsidR="00A605B0" w:rsidRPr="00A605B0">
        <w:rPr>
          <w:sz w:val="24"/>
          <w:szCs w:val="24"/>
          <w:lang w:val="en-US"/>
        </w:rPr>
        <w:t xml:space="preserve"> no UE needing a </w:t>
      </w:r>
      <w:r w:rsidR="00500A11">
        <w:rPr>
          <w:sz w:val="24"/>
          <w:szCs w:val="24"/>
          <w:lang w:val="en-US"/>
        </w:rPr>
        <w:t>HARQ retransmission</w:t>
      </w:r>
      <w:r w:rsidR="00C6412A">
        <w:rPr>
          <w:rFonts w:ascii="Arial" w:hAnsi="Arial" w:cs="Arial"/>
          <w:color w:val="202124"/>
          <w:sz w:val="21"/>
          <w:szCs w:val="21"/>
          <w:shd w:val="clear" w:color="auto" w:fill="FFFFFF"/>
        </w:rPr>
        <w:t xml:space="preserve"> - </w:t>
      </w:r>
      <w:r w:rsidR="00A605B0" w:rsidRPr="00A605B0">
        <w:rPr>
          <w:sz w:val="24"/>
          <w:szCs w:val="24"/>
          <w:lang w:val="en-US"/>
        </w:rPr>
        <w:t xml:space="preserve">so </w:t>
      </w:r>
      <w:r w:rsidR="00500A11">
        <w:rPr>
          <w:sz w:val="24"/>
          <w:szCs w:val="24"/>
          <w:lang w:val="en-US"/>
        </w:rPr>
        <w:t xml:space="preserve">that </w:t>
      </w:r>
      <w:r w:rsidR="00A605B0" w:rsidRPr="00A605B0">
        <w:rPr>
          <w:sz w:val="24"/>
          <w:szCs w:val="24"/>
          <w:lang w:val="en-US"/>
        </w:rPr>
        <w:t xml:space="preserve">the cell can </w:t>
      </w:r>
      <w:r w:rsidR="00500A11">
        <w:rPr>
          <w:sz w:val="24"/>
          <w:szCs w:val="24"/>
          <w:lang w:val="en-US"/>
        </w:rPr>
        <w:t>be inactive as per desired cell</w:t>
      </w:r>
      <w:r w:rsidR="00E1444D">
        <w:rPr>
          <w:sz w:val="24"/>
          <w:szCs w:val="24"/>
          <w:lang w:val="en-US"/>
        </w:rPr>
        <w:t xml:space="preserve"> </w:t>
      </w:r>
      <w:r w:rsidR="00500A11">
        <w:rPr>
          <w:sz w:val="24"/>
          <w:szCs w:val="24"/>
          <w:lang w:val="en-US"/>
        </w:rPr>
        <w:t>DTX</w:t>
      </w:r>
      <w:r w:rsidR="00FA09EF">
        <w:rPr>
          <w:sz w:val="24"/>
          <w:szCs w:val="24"/>
          <w:lang w:val="en-US"/>
        </w:rPr>
        <w:t>/DRX</w:t>
      </w:r>
      <w:r w:rsidR="00500A11">
        <w:rPr>
          <w:sz w:val="24"/>
          <w:szCs w:val="24"/>
          <w:lang w:val="en-US"/>
        </w:rPr>
        <w:t xml:space="preserve"> pattern</w:t>
      </w:r>
      <w:r w:rsidR="00C6412A">
        <w:rPr>
          <w:sz w:val="24"/>
          <w:szCs w:val="24"/>
          <w:lang w:val="en-US"/>
        </w:rPr>
        <w:t xml:space="preserve"> </w:t>
      </w:r>
      <w:r w:rsidR="00C6412A">
        <w:rPr>
          <w:rFonts w:ascii="Arial" w:hAnsi="Arial" w:cs="Arial"/>
          <w:color w:val="202124"/>
          <w:sz w:val="21"/>
          <w:szCs w:val="21"/>
          <w:shd w:val="clear" w:color="auto" w:fill="FFFFFF"/>
        </w:rPr>
        <w:t xml:space="preserve">- </w:t>
      </w:r>
      <w:r w:rsidR="00A605B0" w:rsidRPr="00A605B0">
        <w:rPr>
          <w:sz w:val="24"/>
          <w:szCs w:val="24"/>
          <w:lang w:val="en-US"/>
        </w:rPr>
        <w:t>decreases significantly</w:t>
      </w:r>
      <w:r w:rsidR="00A605B0">
        <w:rPr>
          <w:sz w:val="24"/>
          <w:szCs w:val="24"/>
          <w:lang w:val="en-US"/>
        </w:rPr>
        <w:t xml:space="preserve"> as noted in </w:t>
      </w:r>
      <w:r w:rsidR="006C6A72" w:rsidRPr="006C6A72">
        <w:rPr>
          <w:sz w:val="24"/>
          <w:szCs w:val="24"/>
          <w:lang w:val="en-US"/>
        </w:rPr>
        <w:fldChar w:fldCharType="begin"/>
      </w:r>
      <w:r w:rsidR="006C6A72" w:rsidRPr="006C6A72">
        <w:rPr>
          <w:sz w:val="24"/>
          <w:szCs w:val="24"/>
          <w:lang w:val="en-US"/>
        </w:rPr>
        <w:instrText xml:space="preserve"> REF _Ref127456593 \h </w:instrText>
      </w:r>
      <w:r w:rsidR="006C6A72">
        <w:rPr>
          <w:sz w:val="24"/>
          <w:szCs w:val="24"/>
          <w:lang w:val="en-US"/>
        </w:rPr>
        <w:instrText xml:space="preserve"> \* MERGEFORMAT </w:instrText>
      </w:r>
      <w:r w:rsidR="006C6A72" w:rsidRPr="006C6A72">
        <w:rPr>
          <w:sz w:val="24"/>
          <w:szCs w:val="24"/>
          <w:lang w:val="en-US"/>
        </w:rPr>
      </w:r>
      <w:r w:rsidR="006C6A72" w:rsidRPr="006C6A72">
        <w:rPr>
          <w:sz w:val="24"/>
          <w:szCs w:val="24"/>
          <w:lang w:val="en-US"/>
        </w:rPr>
        <w:fldChar w:fldCharType="separate"/>
      </w:r>
      <w:r w:rsidR="00212090" w:rsidRPr="001F5DA3">
        <w:rPr>
          <w:sz w:val="24"/>
          <w:szCs w:val="24"/>
        </w:rPr>
        <w:t xml:space="preserve">Table </w:t>
      </w:r>
      <w:r w:rsidR="00212090">
        <w:rPr>
          <w:noProof/>
          <w:sz w:val="24"/>
          <w:szCs w:val="24"/>
        </w:rPr>
        <w:t>1</w:t>
      </w:r>
      <w:r w:rsidR="006C6A72" w:rsidRPr="006C6A72">
        <w:rPr>
          <w:sz w:val="24"/>
          <w:szCs w:val="24"/>
          <w:lang w:val="en-US"/>
        </w:rPr>
        <w:fldChar w:fldCharType="end"/>
      </w:r>
      <w:r w:rsidR="00A605B0" w:rsidRPr="006C6A72">
        <w:rPr>
          <w:sz w:val="24"/>
          <w:szCs w:val="24"/>
          <w:lang w:val="en-US"/>
        </w:rPr>
        <w:t>.</w:t>
      </w:r>
    </w:p>
    <w:p w14:paraId="1EDB20E5" w14:textId="388BE99F" w:rsidR="00A605B0" w:rsidRPr="001F5DA3" w:rsidRDefault="00A605B0" w:rsidP="00A605B0">
      <w:pPr>
        <w:pStyle w:val="Beschriftung"/>
        <w:keepNext/>
        <w:jc w:val="center"/>
        <w:rPr>
          <w:sz w:val="24"/>
          <w:szCs w:val="24"/>
        </w:rPr>
      </w:pPr>
      <w:bookmarkStart w:id="2" w:name="_Ref127456593"/>
      <w:r w:rsidRPr="001F5DA3">
        <w:rPr>
          <w:sz w:val="24"/>
          <w:szCs w:val="24"/>
        </w:rPr>
        <w:t xml:space="preserve">Table </w:t>
      </w:r>
      <w:r w:rsidRPr="001F5DA3">
        <w:rPr>
          <w:sz w:val="24"/>
          <w:szCs w:val="24"/>
        </w:rPr>
        <w:fldChar w:fldCharType="begin"/>
      </w:r>
      <w:r w:rsidRPr="001F5DA3">
        <w:rPr>
          <w:sz w:val="24"/>
          <w:szCs w:val="24"/>
        </w:rPr>
        <w:instrText xml:space="preserve"> SEQ Table \* ARABIC </w:instrText>
      </w:r>
      <w:r w:rsidRPr="001F5DA3">
        <w:rPr>
          <w:sz w:val="24"/>
          <w:szCs w:val="24"/>
        </w:rPr>
        <w:fldChar w:fldCharType="separate"/>
      </w:r>
      <w:r w:rsidR="00212090">
        <w:rPr>
          <w:noProof/>
          <w:sz w:val="24"/>
          <w:szCs w:val="24"/>
        </w:rPr>
        <w:t>1</w:t>
      </w:r>
      <w:r w:rsidRPr="001F5DA3">
        <w:rPr>
          <w:sz w:val="24"/>
          <w:szCs w:val="24"/>
        </w:rPr>
        <w:fldChar w:fldCharType="end"/>
      </w:r>
      <w:bookmarkEnd w:id="2"/>
      <w:r w:rsidRPr="001F5DA3">
        <w:rPr>
          <w:sz w:val="24"/>
          <w:szCs w:val="24"/>
        </w:rPr>
        <w:t>: Probab</w:t>
      </w:r>
      <w:r w:rsidR="00EA048D">
        <w:rPr>
          <w:sz w:val="24"/>
          <w:szCs w:val="24"/>
        </w:rPr>
        <w:t>i</w:t>
      </w:r>
      <w:r w:rsidRPr="001F5DA3">
        <w:rPr>
          <w:sz w:val="24"/>
          <w:szCs w:val="24"/>
        </w:rPr>
        <w:t>l</w:t>
      </w:r>
      <w:r w:rsidR="00EA048D">
        <w:rPr>
          <w:sz w:val="24"/>
          <w:szCs w:val="24"/>
        </w:rPr>
        <w:t>it</w:t>
      </w:r>
      <w:r w:rsidRPr="001F5DA3">
        <w:rPr>
          <w:sz w:val="24"/>
          <w:szCs w:val="24"/>
        </w:rPr>
        <w:t xml:space="preserve">y for no UE needing a </w:t>
      </w:r>
      <w:r w:rsidR="00500A11">
        <w:rPr>
          <w:sz w:val="24"/>
          <w:szCs w:val="24"/>
        </w:rPr>
        <w:t xml:space="preserve">HARQ </w:t>
      </w:r>
      <w:r w:rsidRPr="001F5DA3">
        <w:rPr>
          <w:sz w:val="24"/>
          <w:szCs w:val="24"/>
        </w:rPr>
        <w:t xml:space="preserve">retransmission so </w:t>
      </w:r>
      <w:r w:rsidR="00B877DE" w:rsidRPr="001F5DA3">
        <w:rPr>
          <w:sz w:val="24"/>
          <w:szCs w:val="24"/>
        </w:rPr>
        <w:t xml:space="preserve">that </w:t>
      </w:r>
      <w:r w:rsidRPr="001F5DA3">
        <w:rPr>
          <w:sz w:val="24"/>
          <w:szCs w:val="24"/>
        </w:rPr>
        <w:t xml:space="preserve">the cell </w:t>
      </w:r>
      <w:r w:rsidR="00B877DE" w:rsidRPr="001F5DA3">
        <w:rPr>
          <w:sz w:val="24"/>
          <w:szCs w:val="24"/>
        </w:rPr>
        <w:t>can</w:t>
      </w:r>
      <w:r w:rsidR="004802A4">
        <w:rPr>
          <w:sz w:val="24"/>
          <w:szCs w:val="24"/>
        </w:rPr>
        <w:t xml:space="preserve"> be inactive</w:t>
      </w:r>
      <w:r w:rsidRPr="001F5DA3">
        <w:rPr>
          <w:sz w:val="24"/>
          <w:szCs w:val="24"/>
        </w:rPr>
        <w:t xml:space="preserve"> as per </w:t>
      </w:r>
      <w:r w:rsidR="00E1444D">
        <w:rPr>
          <w:sz w:val="24"/>
          <w:szCs w:val="24"/>
        </w:rPr>
        <w:t>c</w:t>
      </w:r>
      <w:r w:rsidRPr="001F5DA3">
        <w:rPr>
          <w:sz w:val="24"/>
          <w:szCs w:val="24"/>
        </w:rPr>
        <w:t>ell</w:t>
      </w:r>
      <w:r w:rsidR="00E1444D">
        <w:rPr>
          <w:sz w:val="24"/>
          <w:szCs w:val="24"/>
        </w:rPr>
        <w:t xml:space="preserve"> </w:t>
      </w:r>
      <w:r w:rsidRPr="001F5DA3">
        <w:rPr>
          <w:sz w:val="24"/>
          <w:szCs w:val="24"/>
        </w:rPr>
        <w:t>DTX</w:t>
      </w:r>
      <w:r w:rsidR="00FA09EF">
        <w:rPr>
          <w:sz w:val="24"/>
          <w:szCs w:val="24"/>
        </w:rPr>
        <w:t>/DRX</w:t>
      </w:r>
      <w:r w:rsidR="00500A11">
        <w:rPr>
          <w:sz w:val="24"/>
          <w:szCs w:val="24"/>
        </w:rPr>
        <w:t xml:space="preserve"> assuming an initial BLER of 10%</w:t>
      </w:r>
    </w:p>
    <w:tbl>
      <w:tblPr>
        <w:tblStyle w:val="Tabellenraster"/>
        <w:tblW w:w="0" w:type="auto"/>
        <w:jc w:val="center"/>
        <w:tblLook w:val="04A0" w:firstRow="1" w:lastRow="0" w:firstColumn="1" w:lastColumn="0" w:noHBand="0" w:noVBand="1"/>
      </w:tblPr>
      <w:tblGrid>
        <w:gridCol w:w="3325"/>
        <w:gridCol w:w="3384"/>
      </w:tblGrid>
      <w:tr w:rsidR="00A605B0" w:rsidRPr="00A605B0" w14:paraId="31735FB7" w14:textId="77777777" w:rsidTr="00B877DE">
        <w:trPr>
          <w:jc w:val="center"/>
        </w:trPr>
        <w:tc>
          <w:tcPr>
            <w:tcW w:w="3325" w:type="dxa"/>
          </w:tcPr>
          <w:p w14:paraId="2F467FDC" w14:textId="77F3421B" w:rsidR="00A605B0" w:rsidRPr="00A605B0" w:rsidRDefault="00A605B0" w:rsidP="00A605B0">
            <w:pPr>
              <w:jc w:val="center"/>
              <w:rPr>
                <w:sz w:val="24"/>
                <w:szCs w:val="24"/>
              </w:rPr>
            </w:pPr>
            <w:r w:rsidRPr="00A605B0">
              <w:rPr>
                <w:sz w:val="24"/>
                <w:szCs w:val="24"/>
              </w:rPr>
              <w:t>Number of UEs served by a cell</w:t>
            </w:r>
          </w:p>
        </w:tc>
        <w:tc>
          <w:tcPr>
            <w:tcW w:w="3384" w:type="dxa"/>
          </w:tcPr>
          <w:p w14:paraId="3EA3EACC" w14:textId="45DADFB7" w:rsidR="00A605B0" w:rsidRPr="00A605B0" w:rsidRDefault="00A605B0" w:rsidP="00925DC3">
            <w:pPr>
              <w:jc w:val="center"/>
              <w:rPr>
                <w:sz w:val="24"/>
                <w:szCs w:val="24"/>
              </w:rPr>
            </w:pPr>
            <w:r w:rsidRPr="00A605B0">
              <w:rPr>
                <w:sz w:val="24"/>
                <w:szCs w:val="24"/>
              </w:rPr>
              <w:t>Probability</w:t>
            </w:r>
            <w:r w:rsidR="00C6412A">
              <w:rPr>
                <w:sz w:val="24"/>
                <w:szCs w:val="24"/>
              </w:rPr>
              <w:t xml:space="preserve"> </w:t>
            </w:r>
            <w:r w:rsidR="00925DC3">
              <w:rPr>
                <w:sz w:val="24"/>
                <w:szCs w:val="24"/>
              </w:rPr>
              <w:t xml:space="preserve">for no UE needing a </w:t>
            </w:r>
            <w:r w:rsidR="00C6412A">
              <w:rPr>
                <w:sz w:val="24"/>
                <w:szCs w:val="24"/>
              </w:rPr>
              <w:t>HARQ retransmission</w:t>
            </w:r>
          </w:p>
        </w:tc>
      </w:tr>
      <w:tr w:rsidR="00A605B0" w:rsidRPr="00A605B0" w14:paraId="0BF9B2D3" w14:textId="77777777" w:rsidTr="00B877DE">
        <w:trPr>
          <w:jc w:val="center"/>
        </w:trPr>
        <w:tc>
          <w:tcPr>
            <w:tcW w:w="3325" w:type="dxa"/>
          </w:tcPr>
          <w:p w14:paraId="322BAD86" w14:textId="77777777" w:rsidR="00A605B0" w:rsidRPr="00A605B0" w:rsidRDefault="00A605B0" w:rsidP="00A605B0">
            <w:pPr>
              <w:jc w:val="center"/>
              <w:rPr>
                <w:sz w:val="24"/>
                <w:szCs w:val="24"/>
              </w:rPr>
            </w:pPr>
            <w:r w:rsidRPr="00A605B0">
              <w:rPr>
                <w:sz w:val="24"/>
                <w:szCs w:val="24"/>
              </w:rPr>
              <w:t>1</w:t>
            </w:r>
          </w:p>
        </w:tc>
        <w:tc>
          <w:tcPr>
            <w:tcW w:w="3384" w:type="dxa"/>
          </w:tcPr>
          <w:p w14:paraId="50ACB071" w14:textId="77777777" w:rsidR="00A605B0" w:rsidRPr="00A605B0" w:rsidRDefault="00A605B0" w:rsidP="00A605B0">
            <w:pPr>
              <w:jc w:val="center"/>
              <w:rPr>
                <w:sz w:val="24"/>
                <w:szCs w:val="24"/>
              </w:rPr>
            </w:pPr>
            <w:r w:rsidRPr="00A605B0">
              <w:rPr>
                <w:sz w:val="24"/>
                <w:szCs w:val="24"/>
              </w:rPr>
              <w:t>90%</w:t>
            </w:r>
          </w:p>
        </w:tc>
      </w:tr>
      <w:tr w:rsidR="00A605B0" w:rsidRPr="00A605B0" w14:paraId="334697A1" w14:textId="77777777" w:rsidTr="00B877DE">
        <w:trPr>
          <w:jc w:val="center"/>
        </w:trPr>
        <w:tc>
          <w:tcPr>
            <w:tcW w:w="3325" w:type="dxa"/>
          </w:tcPr>
          <w:p w14:paraId="054DFEFB" w14:textId="77777777" w:rsidR="00A605B0" w:rsidRPr="00A605B0" w:rsidRDefault="00A605B0" w:rsidP="00A605B0">
            <w:pPr>
              <w:jc w:val="center"/>
              <w:rPr>
                <w:sz w:val="24"/>
                <w:szCs w:val="24"/>
              </w:rPr>
            </w:pPr>
            <w:r w:rsidRPr="00A605B0">
              <w:rPr>
                <w:sz w:val="24"/>
                <w:szCs w:val="24"/>
              </w:rPr>
              <w:t>2</w:t>
            </w:r>
          </w:p>
        </w:tc>
        <w:tc>
          <w:tcPr>
            <w:tcW w:w="3384" w:type="dxa"/>
          </w:tcPr>
          <w:p w14:paraId="1C3B8AC0" w14:textId="77777777" w:rsidR="00A605B0" w:rsidRPr="00A605B0" w:rsidRDefault="00A605B0" w:rsidP="00A605B0">
            <w:pPr>
              <w:jc w:val="center"/>
              <w:rPr>
                <w:sz w:val="24"/>
                <w:szCs w:val="24"/>
              </w:rPr>
            </w:pPr>
            <w:r w:rsidRPr="00A605B0">
              <w:rPr>
                <w:sz w:val="24"/>
                <w:szCs w:val="24"/>
              </w:rPr>
              <w:t>81%</w:t>
            </w:r>
          </w:p>
        </w:tc>
      </w:tr>
      <w:tr w:rsidR="00A605B0" w:rsidRPr="00A605B0" w14:paraId="0A528A01" w14:textId="77777777" w:rsidTr="00B877DE">
        <w:trPr>
          <w:jc w:val="center"/>
        </w:trPr>
        <w:tc>
          <w:tcPr>
            <w:tcW w:w="3325" w:type="dxa"/>
          </w:tcPr>
          <w:p w14:paraId="3633D7F3" w14:textId="77777777" w:rsidR="00A605B0" w:rsidRPr="00A605B0" w:rsidRDefault="00A605B0" w:rsidP="00A605B0">
            <w:pPr>
              <w:jc w:val="center"/>
              <w:rPr>
                <w:sz w:val="24"/>
                <w:szCs w:val="24"/>
              </w:rPr>
            </w:pPr>
            <w:r w:rsidRPr="00A605B0">
              <w:rPr>
                <w:sz w:val="24"/>
                <w:szCs w:val="24"/>
              </w:rPr>
              <w:t>3</w:t>
            </w:r>
          </w:p>
        </w:tc>
        <w:tc>
          <w:tcPr>
            <w:tcW w:w="3384" w:type="dxa"/>
          </w:tcPr>
          <w:p w14:paraId="7DF064A8" w14:textId="77777777" w:rsidR="00A605B0" w:rsidRPr="00A605B0" w:rsidRDefault="00A605B0" w:rsidP="00A605B0">
            <w:pPr>
              <w:jc w:val="center"/>
              <w:rPr>
                <w:sz w:val="24"/>
                <w:szCs w:val="24"/>
              </w:rPr>
            </w:pPr>
            <w:r w:rsidRPr="00A605B0">
              <w:rPr>
                <w:sz w:val="24"/>
                <w:szCs w:val="24"/>
              </w:rPr>
              <w:t>72.9%</w:t>
            </w:r>
          </w:p>
        </w:tc>
      </w:tr>
      <w:tr w:rsidR="00A605B0" w:rsidRPr="00A605B0" w14:paraId="5515497F" w14:textId="77777777" w:rsidTr="00B877DE">
        <w:trPr>
          <w:jc w:val="center"/>
        </w:trPr>
        <w:tc>
          <w:tcPr>
            <w:tcW w:w="3325" w:type="dxa"/>
          </w:tcPr>
          <w:p w14:paraId="1B84FD57" w14:textId="77777777" w:rsidR="00A605B0" w:rsidRPr="00A605B0" w:rsidRDefault="00A605B0" w:rsidP="00A605B0">
            <w:pPr>
              <w:jc w:val="center"/>
              <w:rPr>
                <w:sz w:val="24"/>
                <w:szCs w:val="24"/>
              </w:rPr>
            </w:pPr>
            <w:r w:rsidRPr="00A605B0">
              <w:rPr>
                <w:sz w:val="24"/>
                <w:szCs w:val="24"/>
              </w:rPr>
              <w:t>4</w:t>
            </w:r>
          </w:p>
        </w:tc>
        <w:tc>
          <w:tcPr>
            <w:tcW w:w="3384" w:type="dxa"/>
          </w:tcPr>
          <w:p w14:paraId="57F7B631" w14:textId="77777777" w:rsidR="00A605B0" w:rsidRPr="00A605B0" w:rsidRDefault="00A605B0" w:rsidP="00A605B0">
            <w:pPr>
              <w:jc w:val="center"/>
              <w:rPr>
                <w:sz w:val="24"/>
                <w:szCs w:val="24"/>
              </w:rPr>
            </w:pPr>
            <w:r w:rsidRPr="00A605B0">
              <w:rPr>
                <w:sz w:val="24"/>
                <w:szCs w:val="24"/>
              </w:rPr>
              <w:t>65.6%</w:t>
            </w:r>
          </w:p>
        </w:tc>
      </w:tr>
      <w:tr w:rsidR="00A605B0" w:rsidRPr="00A605B0" w14:paraId="6B8A392D" w14:textId="77777777" w:rsidTr="00B877DE">
        <w:trPr>
          <w:jc w:val="center"/>
        </w:trPr>
        <w:tc>
          <w:tcPr>
            <w:tcW w:w="3325" w:type="dxa"/>
          </w:tcPr>
          <w:p w14:paraId="2CB162DB" w14:textId="77777777" w:rsidR="00A605B0" w:rsidRPr="00A605B0" w:rsidRDefault="00A605B0" w:rsidP="00A605B0">
            <w:pPr>
              <w:jc w:val="center"/>
              <w:rPr>
                <w:sz w:val="24"/>
                <w:szCs w:val="24"/>
              </w:rPr>
            </w:pPr>
            <w:r w:rsidRPr="00A605B0">
              <w:rPr>
                <w:sz w:val="24"/>
                <w:szCs w:val="24"/>
              </w:rPr>
              <w:t>5</w:t>
            </w:r>
          </w:p>
        </w:tc>
        <w:tc>
          <w:tcPr>
            <w:tcW w:w="3384" w:type="dxa"/>
          </w:tcPr>
          <w:p w14:paraId="2C2A3D9B" w14:textId="77777777" w:rsidR="00A605B0" w:rsidRPr="00A605B0" w:rsidRDefault="00A605B0" w:rsidP="00A605B0">
            <w:pPr>
              <w:jc w:val="center"/>
              <w:rPr>
                <w:sz w:val="24"/>
                <w:szCs w:val="24"/>
              </w:rPr>
            </w:pPr>
            <w:r w:rsidRPr="00A605B0">
              <w:rPr>
                <w:sz w:val="24"/>
                <w:szCs w:val="24"/>
              </w:rPr>
              <w:t>59.5%</w:t>
            </w:r>
          </w:p>
        </w:tc>
      </w:tr>
      <w:tr w:rsidR="00A605B0" w:rsidRPr="00A605B0" w14:paraId="6F2E6277" w14:textId="77777777" w:rsidTr="00B877DE">
        <w:trPr>
          <w:jc w:val="center"/>
        </w:trPr>
        <w:tc>
          <w:tcPr>
            <w:tcW w:w="3325" w:type="dxa"/>
          </w:tcPr>
          <w:p w14:paraId="30C05355" w14:textId="77777777" w:rsidR="00A605B0" w:rsidRPr="00A605B0" w:rsidRDefault="00A605B0" w:rsidP="00A605B0">
            <w:pPr>
              <w:jc w:val="center"/>
              <w:rPr>
                <w:sz w:val="24"/>
                <w:szCs w:val="24"/>
              </w:rPr>
            </w:pPr>
            <w:r w:rsidRPr="00A605B0">
              <w:rPr>
                <w:sz w:val="24"/>
                <w:szCs w:val="24"/>
              </w:rPr>
              <w:t>10</w:t>
            </w:r>
          </w:p>
        </w:tc>
        <w:tc>
          <w:tcPr>
            <w:tcW w:w="3384" w:type="dxa"/>
          </w:tcPr>
          <w:p w14:paraId="5D49B194" w14:textId="77777777" w:rsidR="00A605B0" w:rsidRPr="00A605B0" w:rsidRDefault="00A605B0" w:rsidP="00A605B0">
            <w:pPr>
              <w:jc w:val="center"/>
              <w:rPr>
                <w:sz w:val="24"/>
                <w:szCs w:val="24"/>
              </w:rPr>
            </w:pPr>
            <w:r w:rsidRPr="00A605B0">
              <w:rPr>
                <w:sz w:val="24"/>
                <w:szCs w:val="24"/>
              </w:rPr>
              <w:t>34.9%</w:t>
            </w:r>
          </w:p>
        </w:tc>
      </w:tr>
    </w:tbl>
    <w:p w14:paraId="250E4E05" w14:textId="77777777" w:rsidR="004802A4" w:rsidRDefault="004802A4" w:rsidP="00040A54">
      <w:pPr>
        <w:spacing w:after="240"/>
        <w:jc w:val="both"/>
        <w:rPr>
          <w:sz w:val="24"/>
          <w:szCs w:val="24"/>
          <w:lang w:val="en-US"/>
        </w:rPr>
      </w:pPr>
    </w:p>
    <w:p w14:paraId="75FCF767" w14:textId="58A71A38" w:rsidR="00FA09EF" w:rsidRDefault="004802A4" w:rsidP="00FA09EF">
      <w:pPr>
        <w:spacing w:after="240"/>
        <w:rPr>
          <w:sz w:val="24"/>
          <w:szCs w:val="24"/>
          <w:lang w:val="en-US"/>
        </w:rPr>
      </w:pPr>
      <w:r>
        <w:rPr>
          <w:sz w:val="24"/>
          <w:szCs w:val="24"/>
          <w:lang w:val="en-US"/>
        </w:rPr>
        <w:t xml:space="preserve">It can be observed that even </w:t>
      </w:r>
      <w:r w:rsidR="00361A77">
        <w:rPr>
          <w:sz w:val="24"/>
          <w:szCs w:val="24"/>
          <w:lang w:val="en-US"/>
        </w:rPr>
        <w:t>if the gNB is</w:t>
      </w:r>
      <w:r>
        <w:rPr>
          <w:sz w:val="24"/>
          <w:szCs w:val="24"/>
          <w:lang w:val="en-US"/>
        </w:rPr>
        <w:t xml:space="preserve"> </w:t>
      </w:r>
      <w:r w:rsidR="00C70AD6">
        <w:rPr>
          <w:sz w:val="24"/>
          <w:szCs w:val="24"/>
          <w:lang w:val="en-US"/>
        </w:rPr>
        <w:t xml:space="preserve">serving </w:t>
      </w:r>
      <w:r w:rsidR="00361A77">
        <w:rPr>
          <w:sz w:val="24"/>
          <w:szCs w:val="24"/>
          <w:lang w:val="en-US"/>
        </w:rPr>
        <w:t xml:space="preserve">just a </w:t>
      </w:r>
      <w:r w:rsidR="009B007C">
        <w:rPr>
          <w:sz w:val="24"/>
          <w:szCs w:val="24"/>
          <w:lang w:val="en-US"/>
        </w:rPr>
        <w:t>few</w:t>
      </w:r>
      <w:r>
        <w:rPr>
          <w:sz w:val="24"/>
          <w:szCs w:val="24"/>
          <w:lang w:val="en-US"/>
        </w:rPr>
        <w:t xml:space="preserve"> UEs, the ability of a cell to </w:t>
      </w:r>
      <w:r w:rsidR="00C70AD6">
        <w:rPr>
          <w:sz w:val="24"/>
          <w:szCs w:val="24"/>
          <w:lang w:val="en-US"/>
        </w:rPr>
        <w:t>be inactive as per cell</w:t>
      </w:r>
      <w:r w:rsidR="00E1444D">
        <w:rPr>
          <w:sz w:val="24"/>
          <w:szCs w:val="24"/>
          <w:lang w:val="en-US"/>
        </w:rPr>
        <w:t xml:space="preserve"> </w:t>
      </w:r>
      <w:r w:rsidR="00C70AD6">
        <w:rPr>
          <w:sz w:val="24"/>
          <w:szCs w:val="24"/>
          <w:lang w:val="en-US"/>
        </w:rPr>
        <w:t>DTX</w:t>
      </w:r>
      <w:r w:rsidR="00FA09EF">
        <w:rPr>
          <w:sz w:val="24"/>
          <w:szCs w:val="24"/>
          <w:lang w:val="en-US"/>
        </w:rPr>
        <w:t>/DRX</w:t>
      </w:r>
      <w:r w:rsidR="00C70AD6">
        <w:rPr>
          <w:sz w:val="24"/>
          <w:szCs w:val="24"/>
          <w:lang w:val="en-US"/>
        </w:rPr>
        <w:t xml:space="preserve"> is severely impacted </w:t>
      </w:r>
      <w:r w:rsidR="00FE39D2">
        <w:rPr>
          <w:sz w:val="24"/>
          <w:szCs w:val="24"/>
          <w:lang w:val="en-US"/>
        </w:rPr>
        <w:t xml:space="preserve">due the need for HARQ </w:t>
      </w:r>
      <w:r w:rsidR="00825C8A">
        <w:rPr>
          <w:sz w:val="24"/>
          <w:szCs w:val="24"/>
          <w:lang w:val="en-US"/>
        </w:rPr>
        <w:t>retransmissions</w:t>
      </w:r>
      <w:r w:rsidR="00514AA4">
        <w:rPr>
          <w:sz w:val="24"/>
          <w:szCs w:val="24"/>
          <w:lang w:val="en-US"/>
        </w:rPr>
        <w:t xml:space="preserve">. Allowing </w:t>
      </w:r>
      <w:r w:rsidR="00FA09EF">
        <w:rPr>
          <w:sz w:val="24"/>
          <w:szCs w:val="24"/>
          <w:lang w:val="en-US"/>
        </w:rPr>
        <w:t xml:space="preserve">exceptions for retransmission would mean </w:t>
      </w:r>
      <w:r w:rsidR="00514AA4">
        <w:rPr>
          <w:sz w:val="24"/>
          <w:szCs w:val="24"/>
          <w:lang w:val="en-US"/>
        </w:rPr>
        <w:t xml:space="preserve">allowing very frequent </w:t>
      </w:r>
      <w:r w:rsidR="00FA09EF">
        <w:rPr>
          <w:sz w:val="24"/>
          <w:szCs w:val="24"/>
          <w:lang w:val="en-US"/>
        </w:rPr>
        <w:t>exceptions. Therefore, the desired energy saving would not be achieved.</w:t>
      </w:r>
    </w:p>
    <w:p w14:paraId="422DE672" w14:textId="6AAFC6C7" w:rsidR="00A605B0" w:rsidRDefault="00FA09EF" w:rsidP="00FA09EF">
      <w:pPr>
        <w:spacing w:after="240"/>
        <w:rPr>
          <w:sz w:val="24"/>
          <w:szCs w:val="24"/>
          <w:lang w:val="en-US"/>
        </w:rPr>
      </w:pPr>
      <w:r>
        <w:rPr>
          <w:sz w:val="24"/>
          <w:szCs w:val="24"/>
          <w:lang w:val="en-US"/>
        </w:rPr>
        <w:t>This leads to the third possibility: “</w:t>
      </w:r>
      <w:r w:rsidRPr="00FA09EF">
        <w:rPr>
          <w:sz w:val="24"/>
          <w:szCs w:val="24"/>
          <w:lang w:val="en-US"/>
        </w:rPr>
        <w:t>Retransmissions are avoided in the first place</w:t>
      </w:r>
      <w:r>
        <w:rPr>
          <w:sz w:val="24"/>
          <w:szCs w:val="24"/>
          <w:lang w:val="en-US"/>
        </w:rPr>
        <w:t xml:space="preserve">”. In order to really save energy, the activity of the cell should be limited to Cell DTX/DRX active period. This means also that within that period </w:t>
      </w:r>
      <w:r w:rsidR="00621079">
        <w:rPr>
          <w:sz w:val="24"/>
          <w:szCs w:val="24"/>
          <w:lang w:val="en-US"/>
        </w:rPr>
        <w:t>the transmission should reach the desired reliability. This is in contrast to the usual operation where for example a 10% BLER is aimed for initial transmissions and the final reliability relays in frequent HARQ retransmissions. The delay budget for achieving the desired reliability is the Cell DTX/DRX on-duration</w:t>
      </w:r>
      <w:r w:rsidR="0027381A">
        <w:rPr>
          <w:sz w:val="24"/>
          <w:szCs w:val="24"/>
          <w:lang w:val="en-US"/>
        </w:rPr>
        <w:t>, because leaving it to the non-active period, or the next active period will lead to a complex feature without real energy savings</w:t>
      </w:r>
      <w:r w:rsidR="00621079">
        <w:rPr>
          <w:sz w:val="24"/>
          <w:szCs w:val="24"/>
          <w:lang w:val="en-US"/>
        </w:rPr>
        <w:t xml:space="preserve">. In fact, this is </w:t>
      </w:r>
      <w:r w:rsidR="00000914">
        <w:rPr>
          <w:sz w:val="24"/>
          <w:szCs w:val="24"/>
          <w:lang w:val="en-US"/>
        </w:rPr>
        <w:t>also a motivation for a</w:t>
      </w:r>
      <w:r w:rsidR="00621079">
        <w:rPr>
          <w:sz w:val="24"/>
          <w:szCs w:val="24"/>
          <w:lang w:val="en-US"/>
        </w:rPr>
        <w:t xml:space="preserve"> special CQI table for URLLC</w:t>
      </w:r>
      <w:r w:rsidR="00182508">
        <w:rPr>
          <w:sz w:val="24"/>
          <w:szCs w:val="24"/>
          <w:lang w:val="en-US"/>
        </w:rPr>
        <w:t xml:space="preserve"> (table 3 in section 5.2.2.1 of TS 38.214</w:t>
      </w:r>
      <w:r w:rsidR="00FD0B02">
        <w:rPr>
          <w:sz w:val="24"/>
          <w:szCs w:val="24"/>
          <w:lang w:val="en-US"/>
        </w:rPr>
        <w:t xml:space="preserve"> </w:t>
      </w:r>
      <w:r w:rsidR="00FD0B02">
        <w:rPr>
          <w:sz w:val="24"/>
          <w:szCs w:val="24"/>
          <w:lang w:val="en-US"/>
        </w:rPr>
        <w:fldChar w:fldCharType="begin"/>
      </w:r>
      <w:r w:rsidR="00FD0B02">
        <w:rPr>
          <w:sz w:val="24"/>
          <w:szCs w:val="24"/>
          <w:lang w:val="en-US"/>
        </w:rPr>
        <w:instrText xml:space="preserve"> REF _Ref135046218 \n \h </w:instrText>
      </w:r>
      <w:r w:rsidR="00FD0B02">
        <w:rPr>
          <w:sz w:val="24"/>
          <w:szCs w:val="24"/>
          <w:lang w:val="en-US"/>
        </w:rPr>
      </w:r>
      <w:r w:rsidR="00FD0B02">
        <w:rPr>
          <w:sz w:val="24"/>
          <w:szCs w:val="24"/>
          <w:lang w:val="en-US"/>
        </w:rPr>
        <w:fldChar w:fldCharType="separate"/>
      </w:r>
      <w:r w:rsidR="00FD0B02">
        <w:rPr>
          <w:sz w:val="24"/>
          <w:szCs w:val="24"/>
          <w:lang w:val="en-US"/>
        </w:rPr>
        <w:t>[4]</w:t>
      </w:r>
      <w:r w:rsidR="00FD0B02">
        <w:rPr>
          <w:sz w:val="24"/>
          <w:szCs w:val="24"/>
          <w:lang w:val="en-US"/>
        </w:rPr>
        <w:fldChar w:fldCharType="end"/>
      </w:r>
      <w:bookmarkStart w:id="3" w:name="_GoBack"/>
      <w:bookmarkEnd w:id="3"/>
      <w:r w:rsidR="00182508">
        <w:rPr>
          <w:sz w:val="24"/>
          <w:szCs w:val="24"/>
          <w:lang w:val="en-US"/>
        </w:rPr>
        <w:t>)</w:t>
      </w:r>
      <w:r w:rsidR="00621079">
        <w:rPr>
          <w:sz w:val="24"/>
          <w:szCs w:val="24"/>
          <w:lang w:val="en-US"/>
        </w:rPr>
        <w:t xml:space="preserve">: that the desired reliability should be reached more quickly. </w:t>
      </w:r>
      <w:r w:rsidR="00000914">
        <w:rPr>
          <w:sz w:val="24"/>
          <w:szCs w:val="24"/>
          <w:lang w:val="en-US"/>
        </w:rPr>
        <w:t xml:space="preserve">The same applies to Cell DTX/DRX active period: the desired reliability should be achieved during the on-duration. </w:t>
      </w:r>
      <w:r w:rsidR="0027381A">
        <w:rPr>
          <w:sz w:val="24"/>
          <w:szCs w:val="24"/>
          <w:lang w:val="en-US"/>
        </w:rPr>
        <w:t xml:space="preserve">A new CQI table would help the gNB implementation to </w:t>
      </w:r>
      <w:r w:rsidR="009A18EB">
        <w:rPr>
          <w:sz w:val="24"/>
          <w:szCs w:val="24"/>
          <w:lang w:val="en-US"/>
        </w:rPr>
        <w:t xml:space="preserve">have precise feedback to achieve a better initial BLER target for Cell DTX/DRX. </w:t>
      </w:r>
    </w:p>
    <w:p w14:paraId="13691E78" w14:textId="017BDA68" w:rsidR="00CD5682" w:rsidRDefault="00BF699D" w:rsidP="00BF699D">
      <w:pPr>
        <w:pStyle w:val="TDocObservation"/>
        <w:numPr>
          <w:ilvl w:val="0"/>
          <w:numId w:val="0"/>
        </w:numPr>
        <w:rPr>
          <w:bCs/>
          <w:sz w:val="24"/>
          <w:szCs w:val="24"/>
          <w:lang w:val="en-US"/>
        </w:rPr>
      </w:pPr>
      <w:r>
        <w:rPr>
          <w:bCs/>
          <w:sz w:val="24"/>
          <w:szCs w:val="24"/>
          <w:lang w:val="en-US"/>
        </w:rPr>
        <w:lastRenderedPageBreak/>
        <w:t xml:space="preserve">Observation </w:t>
      </w:r>
      <w:r w:rsidR="00A20BD7">
        <w:rPr>
          <w:bCs/>
          <w:sz w:val="24"/>
          <w:szCs w:val="24"/>
          <w:lang w:val="en-US"/>
        </w:rPr>
        <w:t>5</w:t>
      </w:r>
      <w:r>
        <w:rPr>
          <w:bCs/>
          <w:sz w:val="24"/>
          <w:szCs w:val="24"/>
          <w:lang w:val="en-US"/>
        </w:rPr>
        <w:t xml:space="preserve">: </w:t>
      </w:r>
      <w:r w:rsidR="00361A77">
        <w:rPr>
          <w:sz w:val="24"/>
          <w:szCs w:val="24"/>
          <w:lang w:val="en-US"/>
        </w:rPr>
        <w:t>E</w:t>
      </w:r>
      <w:r w:rsidR="00361A77">
        <w:rPr>
          <w:sz w:val="24"/>
          <w:szCs w:val="24"/>
          <w:lang w:val="en-US"/>
        </w:rPr>
        <w:t>ven if the gNB is serving just a few UEs</w:t>
      </w:r>
      <w:r w:rsidR="009B007C" w:rsidRPr="009B007C">
        <w:rPr>
          <w:bCs/>
          <w:sz w:val="24"/>
          <w:szCs w:val="24"/>
          <w:lang w:val="en-US"/>
        </w:rPr>
        <w:t xml:space="preserve">, the </w:t>
      </w:r>
      <w:r w:rsidR="008A7B54">
        <w:rPr>
          <w:bCs/>
          <w:sz w:val="24"/>
          <w:szCs w:val="24"/>
          <w:lang w:val="en-US"/>
        </w:rPr>
        <w:t>chance</w:t>
      </w:r>
      <w:r w:rsidR="00514AA4" w:rsidRPr="009B007C">
        <w:rPr>
          <w:bCs/>
          <w:sz w:val="24"/>
          <w:szCs w:val="24"/>
          <w:lang w:val="en-US"/>
        </w:rPr>
        <w:t xml:space="preserve"> </w:t>
      </w:r>
      <w:r w:rsidR="009B007C" w:rsidRPr="009B007C">
        <w:rPr>
          <w:bCs/>
          <w:sz w:val="24"/>
          <w:szCs w:val="24"/>
          <w:lang w:val="en-US"/>
        </w:rPr>
        <w:t xml:space="preserve">of a cell to be inactive as per </w:t>
      </w:r>
      <w:r w:rsidR="00514AA4">
        <w:rPr>
          <w:bCs/>
          <w:sz w:val="24"/>
          <w:szCs w:val="24"/>
          <w:lang w:val="en-US"/>
        </w:rPr>
        <w:t>C</w:t>
      </w:r>
      <w:r w:rsidR="009B007C" w:rsidRPr="009B007C">
        <w:rPr>
          <w:bCs/>
          <w:sz w:val="24"/>
          <w:szCs w:val="24"/>
          <w:lang w:val="en-US"/>
        </w:rPr>
        <w:t>ell</w:t>
      </w:r>
      <w:r w:rsidR="00E1444D">
        <w:rPr>
          <w:bCs/>
          <w:sz w:val="24"/>
          <w:szCs w:val="24"/>
          <w:lang w:val="en-US"/>
        </w:rPr>
        <w:t xml:space="preserve"> </w:t>
      </w:r>
      <w:r w:rsidR="009B007C" w:rsidRPr="009B007C">
        <w:rPr>
          <w:bCs/>
          <w:sz w:val="24"/>
          <w:szCs w:val="24"/>
          <w:lang w:val="en-US"/>
        </w:rPr>
        <w:t xml:space="preserve">DTX is severely impacted due the </w:t>
      </w:r>
      <w:r w:rsidR="008A7B54">
        <w:rPr>
          <w:bCs/>
          <w:sz w:val="24"/>
          <w:szCs w:val="24"/>
          <w:lang w:val="en-US"/>
        </w:rPr>
        <w:t>high probability of</w:t>
      </w:r>
      <w:r w:rsidR="009B007C" w:rsidRPr="009B007C">
        <w:rPr>
          <w:bCs/>
          <w:sz w:val="24"/>
          <w:szCs w:val="24"/>
          <w:lang w:val="en-US"/>
        </w:rPr>
        <w:t xml:space="preserve"> HARQ retransmissions</w:t>
      </w:r>
      <w:r w:rsidR="00212090">
        <w:rPr>
          <w:bCs/>
          <w:sz w:val="24"/>
          <w:szCs w:val="24"/>
          <w:lang w:val="en-US"/>
        </w:rPr>
        <w:t>.</w:t>
      </w:r>
    </w:p>
    <w:p w14:paraId="71564CAB" w14:textId="06EE2FE4" w:rsidR="00621079" w:rsidRDefault="00621079" w:rsidP="00621079">
      <w:pPr>
        <w:pStyle w:val="TDocObservation"/>
        <w:numPr>
          <w:ilvl w:val="0"/>
          <w:numId w:val="0"/>
        </w:numPr>
        <w:rPr>
          <w:sz w:val="24"/>
          <w:szCs w:val="24"/>
          <w:lang w:val="en-US"/>
        </w:rPr>
      </w:pPr>
      <w:r>
        <w:rPr>
          <w:bCs/>
          <w:sz w:val="24"/>
          <w:szCs w:val="24"/>
          <w:lang w:val="en-US"/>
        </w:rPr>
        <w:t xml:space="preserve">Observation 6: </w:t>
      </w:r>
      <w:r>
        <w:rPr>
          <w:sz w:val="24"/>
          <w:szCs w:val="24"/>
          <w:lang w:val="en-US"/>
        </w:rPr>
        <w:t xml:space="preserve">In order to </w:t>
      </w:r>
      <w:r w:rsidR="008A7B54">
        <w:rPr>
          <w:sz w:val="24"/>
          <w:szCs w:val="24"/>
          <w:lang w:val="en-US"/>
        </w:rPr>
        <w:t xml:space="preserve">significantly </w:t>
      </w:r>
      <w:r>
        <w:rPr>
          <w:sz w:val="24"/>
          <w:szCs w:val="24"/>
          <w:lang w:val="en-US"/>
        </w:rPr>
        <w:t>save energy, the activity of the cell should be limited to Cell DTX/DRX active period</w:t>
      </w:r>
      <w:r w:rsidR="00212090">
        <w:rPr>
          <w:sz w:val="24"/>
          <w:szCs w:val="24"/>
          <w:lang w:val="en-US"/>
        </w:rPr>
        <w:t>.</w:t>
      </w:r>
    </w:p>
    <w:p w14:paraId="528BA639" w14:textId="7AAFF293" w:rsidR="009A18EB" w:rsidRPr="009B007C" w:rsidRDefault="009A18EB" w:rsidP="009A18EB">
      <w:pPr>
        <w:pStyle w:val="TDocObservation"/>
        <w:numPr>
          <w:ilvl w:val="0"/>
          <w:numId w:val="0"/>
        </w:numPr>
        <w:rPr>
          <w:bCs/>
          <w:sz w:val="24"/>
          <w:szCs w:val="24"/>
          <w:lang w:val="en-US"/>
        </w:rPr>
      </w:pPr>
      <w:r>
        <w:rPr>
          <w:bCs/>
          <w:sz w:val="24"/>
          <w:szCs w:val="24"/>
          <w:lang w:val="en-US"/>
        </w:rPr>
        <w:t xml:space="preserve">Observation 7: </w:t>
      </w:r>
      <w:r w:rsidR="008A7B54">
        <w:rPr>
          <w:sz w:val="24"/>
          <w:szCs w:val="24"/>
          <w:lang w:val="en-US"/>
        </w:rPr>
        <w:t>Introducing a</w:t>
      </w:r>
      <w:r>
        <w:rPr>
          <w:sz w:val="24"/>
          <w:szCs w:val="24"/>
          <w:lang w:val="en-US"/>
        </w:rPr>
        <w:t xml:space="preserve"> new CQI table would help the gNB implementation to have precise feedback to achieve a better initial BLER target for Cell DTX/DRX</w:t>
      </w:r>
      <w:r w:rsidR="00212090">
        <w:rPr>
          <w:sz w:val="24"/>
          <w:szCs w:val="24"/>
          <w:lang w:val="en-US"/>
        </w:rPr>
        <w:t>.</w:t>
      </w:r>
    </w:p>
    <w:p w14:paraId="48212ADA" w14:textId="3994F0BA" w:rsidR="00CC7148" w:rsidRDefault="0004354A" w:rsidP="0004354A">
      <w:pPr>
        <w:pStyle w:val="TDocProposal"/>
        <w:numPr>
          <w:ilvl w:val="0"/>
          <w:numId w:val="0"/>
        </w:numPr>
        <w:spacing w:after="240"/>
        <w:jc w:val="both"/>
        <w:rPr>
          <w:bCs/>
          <w:szCs w:val="24"/>
          <w:lang w:val="en-US"/>
        </w:rPr>
      </w:pPr>
      <w:r>
        <w:rPr>
          <w:bCs/>
          <w:szCs w:val="24"/>
          <w:lang w:val="en-US"/>
        </w:rPr>
        <w:t xml:space="preserve">Proposal </w:t>
      </w:r>
      <w:r w:rsidR="00A20BD7">
        <w:rPr>
          <w:bCs/>
          <w:szCs w:val="24"/>
          <w:lang w:val="en-US"/>
        </w:rPr>
        <w:t>5</w:t>
      </w:r>
      <w:r>
        <w:rPr>
          <w:bCs/>
          <w:szCs w:val="24"/>
          <w:lang w:val="en-US"/>
        </w:rPr>
        <w:t xml:space="preserve">: </w:t>
      </w:r>
      <w:r w:rsidR="00FA09EF">
        <w:rPr>
          <w:bCs/>
          <w:szCs w:val="24"/>
          <w:lang w:val="en-US"/>
        </w:rPr>
        <w:t xml:space="preserve">A new CQI table </w:t>
      </w:r>
      <w:r w:rsidR="00212090">
        <w:rPr>
          <w:bCs/>
          <w:szCs w:val="24"/>
          <w:lang w:val="en-US"/>
        </w:rPr>
        <w:t>is</w:t>
      </w:r>
      <w:r w:rsidR="008A7B54">
        <w:rPr>
          <w:bCs/>
          <w:szCs w:val="24"/>
          <w:lang w:val="en-US"/>
        </w:rPr>
        <w:t xml:space="preserve"> </w:t>
      </w:r>
      <w:r w:rsidR="00FA09EF">
        <w:rPr>
          <w:bCs/>
          <w:szCs w:val="24"/>
          <w:lang w:val="en-US"/>
        </w:rPr>
        <w:t xml:space="preserve">defined to </w:t>
      </w:r>
      <w:r w:rsidR="008A7B54">
        <w:rPr>
          <w:bCs/>
          <w:szCs w:val="24"/>
          <w:lang w:val="en-US"/>
        </w:rPr>
        <w:t xml:space="preserve">achieve higher </w:t>
      </w:r>
      <w:r w:rsidR="00FA09EF">
        <w:rPr>
          <w:bCs/>
          <w:szCs w:val="24"/>
          <w:lang w:val="en-US"/>
        </w:rPr>
        <w:t xml:space="preserve">reliability </w:t>
      </w:r>
      <w:r w:rsidR="00621079">
        <w:rPr>
          <w:bCs/>
          <w:szCs w:val="24"/>
          <w:lang w:val="en-US"/>
        </w:rPr>
        <w:t>for initial transmissions</w:t>
      </w:r>
      <w:r w:rsidR="00212090">
        <w:rPr>
          <w:bCs/>
          <w:szCs w:val="24"/>
          <w:lang w:val="en-US"/>
        </w:rPr>
        <w:t xml:space="preserve"> when</w:t>
      </w:r>
      <w:r w:rsidR="008A7B54">
        <w:rPr>
          <w:bCs/>
          <w:szCs w:val="24"/>
          <w:lang w:val="en-US"/>
        </w:rPr>
        <w:t xml:space="preserve"> </w:t>
      </w:r>
      <w:r w:rsidR="00FA09EF">
        <w:rPr>
          <w:bCs/>
          <w:szCs w:val="24"/>
          <w:lang w:val="en-US"/>
        </w:rPr>
        <w:t xml:space="preserve">Cell DTX/DRX </w:t>
      </w:r>
      <w:r w:rsidR="008A7B54">
        <w:rPr>
          <w:bCs/>
          <w:szCs w:val="24"/>
          <w:lang w:val="en-US"/>
        </w:rPr>
        <w:t xml:space="preserve">is </w:t>
      </w:r>
      <w:r w:rsidR="00621079">
        <w:rPr>
          <w:bCs/>
          <w:szCs w:val="24"/>
          <w:lang w:val="en-US"/>
        </w:rPr>
        <w:t>activated</w:t>
      </w:r>
      <w:r w:rsidR="0091022C">
        <w:rPr>
          <w:bCs/>
          <w:szCs w:val="24"/>
          <w:lang w:val="en-US"/>
        </w:rPr>
        <w:t>.</w:t>
      </w:r>
    </w:p>
    <w:p w14:paraId="3CCF633B" w14:textId="77777777" w:rsidR="00C05AC4" w:rsidRPr="00B41BCC" w:rsidRDefault="00C05AC4" w:rsidP="00510A4D">
      <w:pPr>
        <w:pStyle w:val="berschrift1"/>
        <w:tabs>
          <w:tab w:val="clear" w:pos="432"/>
        </w:tabs>
        <w:spacing w:before="480"/>
        <w:ind w:left="431" w:hanging="431"/>
        <w:rPr>
          <w:snapToGrid w:val="0"/>
          <w:lang w:val="en-US"/>
        </w:rPr>
      </w:pPr>
      <w:r w:rsidRPr="00990ECA">
        <w:rPr>
          <w:lang w:val="en-US"/>
        </w:rPr>
        <w:t>Conclusions</w:t>
      </w:r>
    </w:p>
    <w:p w14:paraId="7917FE03" w14:textId="2AE3DA98" w:rsidR="0019134D" w:rsidRDefault="00BE3AFD" w:rsidP="000719AA">
      <w:pPr>
        <w:pStyle w:val="3GPPNormalText"/>
        <w:spacing w:after="0"/>
        <w:rPr>
          <w:sz w:val="24"/>
        </w:rPr>
      </w:pPr>
      <w:r w:rsidRPr="0019134D">
        <w:rPr>
          <w:bCs/>
          <w:sz w:val="24"/>
        </w:rPr>
        <w:t xml:space="preserve">In this contribution, we discussed </w:t>
      </w:r>
      <w:r w:rsidRPr="00BE3AFD">
        <w:rPr>
          <w:bCs/>
          <w:sz w:val="24"/>
        </w:rPr>
        <w:t xml:space="preserve">some aspects of </w:t>
      </w:r>
      <w:r w:rsidR="00E1444D">
        <w:rPr>
          <w:bCs/>
          <w:sz w:val="24"/>
        </w:rPr>
        <w:t>c</w:t>
      </w:r>
      <w:r w:rsidR="00B909F4">
        <w:rPr>
          <w:bCs/>
          <w:sz w:val="24"/>
        </w:rPr>
        <w:t>ell DTX</w:t>
      </w:r>
      <w:r w:rsidR="00212090">
        <w:rPr>
          <w:bCs/>
          <w:sz w:val="24"/>
        </w:rPr>
        <w:t>/DRX</w:t>
      </w:r>
      <w:r w:rsidR="00B909F4">
        <w:rPr>
          <w:bCs/>
          <w:sz w:val="24"/>
        </w:rPr>
        <w:t xml:space="preserve"> for </w:t>
      </w:r>
      <w:r w:rsidR="00B6066F">
        <w:rPr>
          <w:bCs/>
          <w:sz w:val="24"/>
        </w:rPr>
        <w:t>Network Energy Savings</w:t>
      </w:r>
      <w:r w:rsidRPr="00BE3AFD">
        <w:rPr>
          <w:sz w:val="24"/>
        </w:rPr>
        <w:t xml:space="preserve">. </w:t>
      </w:r>
      <w:r w:rsidRPr="0019134D">
        <w:rPr>
          <w:sz w:val="24"/>
        </w:rPr>
        <w:t>The following observations and proposals have been made:</w:t>
      </w:r>
    </w:p>
    <w:p w14:paraId="5A0E523B" w14:textId="77777777" w:rsidR="002E32FA" w:rsidRDefault="002E32FA" w:rsidP="002E32FA">
      <w:pPr>
        <w:rPr>
          <w:b/>
          <w:sz w:val="24"/>
          <w:szCs w:val="24"/>
          <w:lang w:val="en-US"/>
        </w:rPr>
      </w:pPr>
    </w:p>
    <w:p w14:paraId="3E1D9DE5" w14:textId="77777777" w:rsidR="00212090" w:rsidRDefault="00212090" w:rsidP="00212090">
      <w:pPr>
        <w:rPr>
          <w:b/>
          <w:sz w:val="24"/>
          <w:szCs w:val="24"/>
          <w:lang w:val="en-US"/>
        </w:rPr>
      </w:pPr>
      <w:r w:rsidRPr="00FB6789">
        <w:rPr>
          <w:b/>
          <w:sz w:val="24"/>
          <w:szCs w:val="24"/>
          <w:lang w:val="en-US"/>
        </w:rPr>
        <w:t xml:space="preserve">Observation 1: </w:t>
      </w:r>
      <w:r>
        <w:rPr>
          <w:b/>
          <w:sz w:val="24"/>
          <w:szCs w:val="24"/>
          <w:lang w:val="en-US"/>
        </w:rPr>
        <w:t>T</w:t>
      </w:r>
      <w:r w:rsidRPr="00CC483F">
        <w:rPr>
          <w:b/>
          <w:sz w:val="24"/>
          <w:szCs w:val="24"/>
          <w:lang w:val="en-US"/>
        </w:rPr>
        <w:t xml:space="preserve">he goal of L1 signaling for Cell DTX/DRX should be </w:t>
      </w:r>
      <w:r>
        <w:rPr>
          <w:b/>
          <w:sz w:val="24"/>
          <w:szCs w:val="24"/>
          <w:lang w:val="en-US"/>
        </w:rPr>
        <w:t xml:space="preserve">to </w:t>
      </w:r>
      <w:r w:rsidRPr="00CC483F">
        <w:rPr>
          <w:b/>
          <w:sz w:val="24"/>
          <w:szCs w:val="24"/>
          <w:lang w:val="en-US"/>
        </w:rPr>
        <w:t>minimize activation delay, de-activation delay and overhead.</w:t>
      </w:r>
    </w:p>
    <w:p w14:paraId="40FB25BC" w14:textId="77777777" w:rsidR="00212090" w:rsidRDefault="00212090" w:rsidP="00212090">
      <w:pPr>
        <w:rPr>
          <w:b/>
          <w:sz w:val="24"/>
          <w:szCs w:val="24"/>
          <w:lang w:val="en-US"/>
        </w:rPr>
      </w:pPr>
      <w:r w:rsidRPr="00FB6789">
        <w:rPr>
          <w:b/>
          <w:sz w:val="24"/>
          <w:szCs w:val="24"/>
          <w:lang w:val="en-US"/>
        </w:rPr>
        <w:t xml:space="preserve">Observation </w:t>
      </w:r>
      <w:r>
        <w:rPr>
          <w:b/>
          <w:sz w:val="24"/>
          <w:szCs w:val="24"/>
          <w:lang w:val="en-US"/>
        </w:rPr>
        <w:t>2</w:t>
      </w:r>
      <w:r w:rsidRPr="00FB6789">
        <w:rPr>
          <w:b/>
          <w:sz w:val="24"/>
          <w:szCs w:val="24"/>
          <w:lang w:val="en-US"/>
        </w:rPr>
        <w:t xml:space="preserve">: </w:t>
      </w:r>
      <w:r w:rsidRPr="00BE4C59">
        <w:rPr>
          <w:b/>
          <w:sz w:val="24"/>
          <w:szCs w:val="24"/>
          <w:lang w:val="en-US"/>
        </w:rPr>
        <w:t>Cell DTX/DRX will typically be applied to the whole cell at once and because of that significant overhead can be saved by signaling to all UEs at once.</w:t>
      </w:r>
    </w:p>
    <w:p w14:paraId="47614A4B" w14:textId="77777777" w:rsidR="00212090" w:rsidRDefault="00212090" w:rsidP="00212090">
      <w:pPr>
        <w:rPr>
          <w:b/>
          <w:sz w:val="24"/>
          <w:szCs w:val="24"/>
          <w:lang w:val="en-US"/>
        </w:rPr>
      </w:pPr>
      <w:r w:rsidRPr="00FB6789">
        <w:rPr>
          <w:b/>
          <w:sz w:val="24"/>
          <w:szCs w:val="24"/>
          <w:lang w:val="en-US"/>
        </w:rPr>
        <w:t xml:space="preserve">Observation </w:t>
      </w:r>
      <w:r>
        <w:rPr>
          <w:b/>
          <w:sz w:val="24"/>
          <w:szCs w:val="24"/>
          <w:lang w:val="en-US"/>
        </w:rPr>
        <w:t>3</w:t>
      </w:r>
      <w:r w:rsidRPr="00FB6789">
        <w:rPr>
          <w:b/>
          <w:sz w:val="24"/>
          <w:szCs w:val="24"/>
          <w:lang w:val="en-US"/>
        </w:rPr>
        <w:t xml:space="preserve">: </w:t>
      </w:r>
      <w:r>
        <w:rPr>
          <w:b/>
          <w:sz w:val="24"/>
          <w:szCs w:val="24"/>
          <w:lang w:val="en-US"/>
        </w:rPr>
        <w:t>Quite often only a single or few UEs need to be served during a traffic burst.</w:t>
      </w:r>
    </w:p>
    <w:p w14:paraId="7A6BEAEC" w14:textId="77777777" w:rsidR="00212090" w:rsidRDefault="00212090" w:rsidP="00212090">
      <w:pPr>
        <w:rPr>
          <w:b/>
          <w:sz w:val="24"/>
          <w:szCs w:val="24"/>
          <w:lang w:val="en-US"/>
        </w:rPr>
      </w:pPr>
      <w:r w:rsidRPr="00FB6789">
        <w:rPr>
          <w:b/>
          <w:sz w:val="24"/>
          <w:szCs w:val="24"/>
          <w:lang w:val="en-US"/>
        </w:rPr>
        <w:t xml:space="preserve">Observation </w:t>
      </w:r>
      <w:r>
        <w:rPr>
          <w:b/>
          <w:sz w:val="24"/>
          <w:szCs w:val="24"/>
          <w:lang w:val="en-US"/>
        </w:rPr>
        <w:t>4</w:t>
      </w:r>
      <w:r w:rsidRPr="00FB6789">
        <w:rPr>
          <w:b/>
          <w:sz w:val="24"/>
          <w:szCs w:val="24"/>
          <w:lang w:val="en-US"/>
        </w:rPr>
        <w:t xml:space="preserve">: </w:t>
      </w:r>
      <w:r>
        <w:rPr>
          <w:b/>
          <w:sz w:val="24"/>
          <w:szCs w:val="24"/>
          <w:lang w:val="en-US"/>
        </w:rPr>
        <w:t xml:space="preserve">Temporary </w:t>
      </w:r>
      <w:r w:rsidRPr="00F211D5">
        <w:rPr>
          <w:b/>
          <w:sz w:val="24"/>
          <w:szCs w:val="24"/>
          <w:lang w:val="en-US"/>
        </w:rPr>
        <w:t>Cell DTX/DRX</w:t>
      </w:r>
      <w:r>
        <w:rPr>
          <w:b/>
          <w:sz w:val="24"/>
          <w:szCs w:val="24"/>
          <w:lang w:val="en-US"/>
        </w:rPr>
        <w:t xml:space="preserve"> de-activation can save the re-activation overhead.</w:t>
      </w:r>
    </w:p>
    <w:p w14:paraId="072EEF60" w14:textId="77777777" w:rsidR="00361A77" w:rsidRDefault="00361A77" w:rsidP="00361A77">
      <w:pPr>
        <w:pStyle w:val="TDocObservation"/>
        <w:numPr>
          <w:ilvl w:val="0"/>
          <w:numId w:val="0"/>
        </w:numPr>
        <w:rPr>
          <w:bCs/>
          <w:sz w:val="24"/>
          <w:szCs w:val="24"/>
          <w:lang w:val="en-US"/>
        </w:rPr>
      </w:pPr>
      <w:r>
        <w:rPr>
          <w:bCs/>
          <w:sz w:val="24"/>
          <w:szCs w:val="24"/>
          <w:lang w:val="en-US"/>
        </w:rPr>
        <w:t xml:space="preserve">Observation 5: </w:t>
      </w:r>
      <w:r>
        <w:rPr>
          <w:sz w:val="24"/>
          <w:szCs w:val="24"/>
          <w:lang w:val="en-US"/>
        </w:rPr>
        <w:t>Even if the gNB is serving just a few UEs</w:t>
      </w:r>
      <w:r w:rsidRPr="009B007C">
        <w:rPr>
          <w:bCs/>
          <w:sz w:val="24"/>
          <w:szCs w:val="24"/>
          <w:lang w:val="en-US"/>
        </w:rPr>
        <w:t xml:space="preserve">, the </w:t>
      </w:r>
      <w:r>
        <w:rPr>
          <w:bCs/>
          <w:sz w:val="24"/>
          <w:szCs w:val="24"/>
          <w:lang w:val="en-US"/>
        </w:rPr>
        <w:t>chance</w:t>
      </w:r>
      <w:r w:rsidRPr="009B007C">
        <w:rPr>
          <w:bCs/>
          <w:sz w:val="24"/>
          <w:szCs w:val="24"/>
          <w:lang w:val="en-US"/>
        </w:rPr>
        <w:t xml:space="preserve"> of a cell to be inactive as per </w:t>
      </w:r>
      <w:r>
        <w:rPr>
          <w:bCs/>
          <w:sz w:val="24"/>
          <w:szCs w:val="24"/>
          <w:lang w:val="en-US"/>
        </w:rPr>
        <w:t>C</w:t>
      </w:r>
      <w:r w:rsidRPr="009B007C">
        <w:rPr>
          <w:bCs/>
          <w:sz w:val="24"/>
          <w:szCs w:val="24"/>
          <w:lang w:val="en-US"/>
        </w:rPr>
        <w:t>ell</w:t>
      </w:r>
      <w:r>
        <w:rPr>
          <w:bCs/>
          <w:sz w:val="24"/>
          <w:szCs w:val="24"/>
          <w:lang w:val="en-US"/>
        </w:rPr>
        <w:t xml:space="preserve"> </w:t>
      </w:r>
      <w:r w:rsidRPr="009B007C">
        <w:rPr>
          <w:bCs/>
          <w:sz w:val="24"/>
          <w:szCs w:val="24"/>
          <w:lang w:val="en-US"/>
        </w:rPr>
        <w:t xml:space="preserve">DTX is severely impacted due the </w:t>
      </w:r>
      <w:r>
        <w:rPr>
          <w:bCs/>
          <w:sz w:val="24"/>
          <w:szCs w:val="24"/>
          <w:lang w:val="en-US"/>
        </w:rPr>
        <w:t>high probability of</w:t>
      </w:r>
      <w:r w:rsidRPr="009B007C">
        <w:rPr>
          <w:bCs/>
          <w:sz w:val="24"/>
          <w:szCs w:val="24"/>
          <w:lang w:val="en-US"/>
        </w:rPr>
        <w:t xml:space="preserve"> HARQ retransmissions</w:t>
      </w:r>
      <w:r>
        <w:rPr>
          <w:bCs/>
          <w:sz w:val="24"/>
          <w:szCs w:val="24"/>
          <w:lang w:val="en-US"/>
        </w:rPr>
        <w:t>.</w:t>
      </w:r>
    </w:p>
    <w:p w14:paraId="4A9423A5" w14:textId="77777777" w:rsidR="00212090" w:rsidRDefault="00212090" w:rsidP="00212090">
      <w:pPr>
        <w:pStyle w:val="TDocObservation"/>
        <w:numPr>
          <w:ilvl w:val="0"/>
          <w:numId w:val="0"/>
        </w:numPr>
        <w:rPr>
          <w:sz w:val="24"/>
          <w:szCs w:val="24"/>
          <w:lang w:val="en-US"/>
        </w:rPr>
      </w:pPr>
      <w:r>
        <w:rPr>
          <w:bCs/>
          <w:sz w:val="24"/>
          <w:szCs w:val="24"/>
          <w:lang w:val="en-US"/>
        </w:rPr>
        <w:t xml:space="preserve">Observation 6: </w:t>
      </w:r>
      <w:r>
        <w:rPr>
          <w:sz w:val="24"/>
          <w:szCs w:val="24"/>
          <w:lang w:val="en-US"/>
        </w:rPr>
        <w:t>In order to significantly save energy, the activity of the cell should be limited to Cell DTX/DRX active period.</w:t>
      </w:r>
    </w:p>
    <w:p w14:paraId="30284683" w14:textId="77777777" w:rsidR="00212090" w:rsidRPr="009B007C" w:rsidRDefault="00212090" w:rsidP="00212090">
      <w:pPr>
        <w:pStyle w:val="TDocObservation"/>
        <w:numPr>
          <w:ilvl w:val="0"/>
          <w:numId w:val="0"/>
        </w:numPr>
        <w:rPr>
          <w:bCs/>
          <w:sz w:val="24"/>
          <w:szCs w:val="24"/>
          <w:lang w:val="en-US"/>
        </w:rPr>
      </w:pPr>
      <w:r>
        <w:rPr>
          <w:bCs/>
          <w:sz w:val="24"/>
          <w:szCs w:val="24"/>
          <w:lang w:val="en-US"/>
        </w:rPr>
        <w:t xml:space="preserve">Observation 7: </w:t>
      </w:r>
      <w:r>
        <w:rPr>
          <w:sz w:val="24"/>
          <w:szCs w:val="24"/>
          <w:lang w:val="en-US"/>
        </w:rPr>
        <w:t>Introducing a new CQI table would help the gNB implementation to have precise feedback to achieve a better initial BLER target for Cell DTX/DRX.</w:t>
      </w:r>
    </w:p>
    <w:p w14:paraId="0A375824" w14:textId="77777777" w:rsidR="00212090" w:rsidRDefault="00212090" w:rsidP="00212090">
      <w:pPr>
        <w:pStyle w:val="TDocProposal"/>
        <w:numPr>
          <w:ilvl w:val="0"/>
          <w:numId w:val="0"/>
        </w:numPr>
        <w:spacing w:after="240"/>
        <w:jc w:val="both"/>
        <w:rPr>
          <w:bCs/>
          <w:szCs w:val="24"/>
          <w:lang w:val="en-US"/>
        </w:rPr>
      </w:pPr>
      <w:r>
        <w:rPr>
          <w:bCs/>
          <w:szCs w:val="24"/>
          <w:lang w:val="en-US"/>
        </w:rPr>
        <w:t>Proposal 1: At least group common DCI is supported for Cell DTX/DRX activation and de-activation.</w:t>
      </w:r>
    </w:p>
    <w:p w14:paraId="2A7FDFF3" w14:textId="77777777" w:rsidR="00212090" w:rsidRDefault="00212090" w:rsidP="00212090">
      <w:pPr>
        <w:pStyle w:val="TDocProposal"/>
        <w:numPr>
          <w:ilvl w:val="0"/>
          <w:numId w:val="0"/>
        </w:numPr>
        <w:spacing w:after="240"/>
        <w:jc w:val="both"/>
        <w:rPr>
          <w:bCs/>
          <w:szCs w:val="24"/>
          <w:lang w:val="en-US"/>
        </w:rPr>
      </w:pPr>
      <w:r>
        <w:rPr>
          <w:bCs/>
          <w:szCs w:val="24"/>
          <w:lang w:val="en-US"/>
        </w:rPr>
        <w:t>Proposal 2: Group common DCI for Cell DTX/DRX activation and de-activation can be repeated to improve reliability.</w:t>
      </w:r>
    </w:p>
    <w:p w14:paraId="6ECE0CF8" w14:textId="77777777" w:rsidR="00212090" w:rsidRDefault="00212090" w:rsidP="00212090">
      <w:pPr>
        <w:pStyle w:val="TDocProposal"/>
        <w:numPr>
          <w:ilvl w:val="0"/>
          <w:numId w:val="0"/>
        </w:numPr>
        <w:spacing w:after="240"/>
        <w:jc w:val="both"/>
        <w:rPr>
          <w:bCs/>
          <w:szCs w:val="24"/>
          <w:lang w:val="en-US"/>
        </w:rPr>
      </w:pPr>
      <w:r>
        <w:rPr>
          <w:bCs/>
          <w:szCs w:val="24"/>
          <w:lang w:val="en-US"/>
        </w:rPr>
        <w:t>Proposal 3: Group common DCI for Cell DTX/DRX activation to include an activation time.</w:t>
      </w:r>
    </w:p>
    <w:p w14:paraId="015361CF" w14:textId="77777777" w:rsidR="00212090" w:rsidRDefault="00212090" w:rsidP="00212090">
      <w:pPr>
        <w:pStyle w:val="TDocProposal"/>
        <w:numPr>
          <w:ilvl w:val="0"/>
          <w:numId w:val="0"/>
        </w:numPr>
        <w:spacing w:after="240"/>
        <w:jc w:val="both"/>
        <w:rPr>
          <w:bCs/>
          <w:szCs w:val="24"/>
          <w:lang w:val="en-US"/>
        </w:rPr>
      </w:pPr>
      <w:r>
        <w:rPr>
          <w:bCs/>
          <w:szCs w:val="24"/>
          <w:lang w:val="en-US"/>
        </w:rPr>
        <w:t>Proposal 4: Cell DTX/DRX can be temporarily de-activated for a single UE using UE-specific DCI.</w:t>
      </w:r>
    </w:p>
    <w:p w14:paraId="2ED3222E" w14:textId="77777777" w:rsidR="00212090" w:rsidRDefault="00212090" w:rsidP="00212090">
      <w:pPr>
        <w:pStyle w:val="TDocProposal"/>
        <w:numPr>
          <w:ilvl w:val="0"/>
          <w:numId w:val="0"/>
        </w:numPr>
        <w:spacing w:after="240"/>
        <w:jc w:val="both"/>
        <w:rPr>
          <w:bCs/>
          <w:szCs w:val="24"/>
          <w:lang w:val="en-US"/>
        </w:rPr>
      </w:pPr>
      <w:r>
        <w:rPr>
          <w:bCs/>
          <w:szCs w:val="24"/>
          <w:lang w:val="en-US"/>
        </w:rPr>
        <w:t>Proposal 5: A new CQI table is defined to achieve higher reliability for initial transmissions when Cell DTX/DRX is activated.</w:t>
      </w:r>
    </w:p>
    <w:p w14:paraId="68F1FAA0" w14:textId="44FF8018" w:rsidR="00C05AC4" w:rsidRPr="00B41BCC" w:rsidRDefault="00C05AC4" w:rsidP="00206D1A">
      <w:pPr>
        <w:pStyle w:val="berschrift1"/>
        <w:tabs>
          <w:tab w:val="clear" w:pos="432"/>
        </w:tabs>
        <w:spacing w:before="480"/>
        <w:ind w:left="431" w:hanging="431"/>
        <w:jc w:val="both"/>
        <w:rPr>
          <w:snapToGrid w:val="0"/>
          <w:lang w:val="en-US"/>
        </w:rPr>
      </w:pPr>
      <w:r w:rsidRPr="00990ECA">
        <w:rPr>
          <w:lang w:val="en-US"/>
        </w:rPr>
        <w:t>References</w:t>
      </w:r>
    </w:p>
    <w:p w14:paraId="352417BF" w14:textId="02D24D38" w:rsidR="002E7BF5" w:rsidRPr="00F447DE" w:rsidRDefault="00010F70" w:rsidP="002E7BF5">
      <w:pPr>
        <w:widowControl w:val="0"/>
        <w:numPr>
          <w:ilvl w:val="0"/>
          <w:numId w:val="10"/>
        </w:numPr>
        <w:overflowPunct/>
        <w:autoSpaceDE/>
        <w:adjustRightInd/>
        <w:spacing w:after="60"/>
        <w:ind w:left="418" w:hanging="418"/>
        <w:jc w:val="both"/>
        <w:textAlignment w:val="auto"/>
        <w:rPr>
          <w:iCs/>
          <w:lang w:val="en-US"/>
        </w:rPr>
      </w:pPr>
      <w:bookmarkStart w:id="4" w:name="_Ref494465620"/>
      <w:bookmarkStart w:id="5" w:name="_Ref527624780"/>
      <w:r w:rsidRPr="00FC73B9">
        <w:rPr>
          <w:rFonts w:cs="Arial"/>
        </w:rPr>
        <w:t>RP-</w:t>
      </w:r>
      <w:r w:rsidR="00B6066F" w:rsidRPr="00FC73B9">
        <w:rPr>
          <w:rFonts w:cs="Arial"/>
        </w:rPr>
        <w:t>223540</w:t>
      </w:r>
      <w:r w:rsidRPr="00FC73B9">
        <w:rPr>
          <w:rFonts w:cs="Arial"/>
        </w:rPr>
        <w:t>, “</w:t>
      </w:r>
      <w:r w:rsidR="00B6066F" w:rsidRPr="00FC73B9">
        <w:rPr>
          <w:rFonts w:cs="Arial"/>
        </w:rPr>
        <w:t>New WID: Network energy savings for NR</w:t>
      </w:r>
      <w:r w:rsidRPr="00FC73B9">
        <w:rPr>
          <w:rFonts w:cs="Arial"/>
        </w:rPr>
        <w:t xml:space="preserve">”, </w:t>
      </w:r>
      <w:r w:rsidR="00B6066F" w:rsidRPr="00FC73B9">
        <w:rPr>
          <w:rFonts w:cs="Arial"/>
        </w:rPr>
        <w:t>Huawei</w:t>
      </w:r>
      <w:r w:rsidR="00B6066F" w:rsidRPr="00FC73B9" w:rsidDel="00B6066F">
        <w:rPr>
          <w:rFonts w:cs="Arial"/>
        </w:rPr>
        <w:t xml:space="preserve"> </w:t>
      </w:r>
      <w:r w:rsidRPr="00FC73B9">
        <w:rPr>
          <w:rFonts w:cs="Arial"/>
        </w:rPr>
        <w:t>, 3GPP RAN#</w:t>
      </w:r>
      <w:r w:rsidR="00327900" w:rsidRPr="00FC73B9">
        <w:rPr>
          <w:rFonts w:cs="Arial"/>
        </w:rPr>
        <w:t>98</w:t>
      </w:r>
      <w:r w:rsidR="002E7BF5" w:rsidRPr="00FC73B9">
        <w:rPr>
          <w:rFonts w:cs="Arial"/>
        </w:rPr>
        <w:t>-</w:t>
      </w:r>
      <w:r w:rsidR="00327900" w:rsidRPr="00FC73B9">
        <w:rPr>
          <w:rFonts w:cs="Arial"/>
        </w:rPr>
        <w:t>e</w:t>
      </w:r>
      <w:r w:rsidRPr="00FC73B9">
        <w:rPr>
          <w:rFonts w:cs="Arial"/>
        </w:rPr>
        <w:t xml:space="preserve">, </w:t>
      </w:r>
      <w:r w:rsidR="00327900" w:rsidRPr="00FC73B9">
        <w:rPr>
          <w:rFonts w:cs="Arial"/>
        </w:rPr>
        <w:t xml:space="preserve">December </w:t>
      </w:r>
      <w:r w:rsidRPr="00FC73B9">
        <w:rPr>
          <w:rFonts w:cs="Arial"/>
        </w:rPr>
        <w:t>202</w:t>
      </w:r>
      <w:r w:rsidR="00627D4D" w:rsidRPr="00FC73B9">
        <w:rPr>
          <w:rFonts w:cs="Arial"/>
        </w:rPr>
        <w:t>2</w:t>
      </w:r>
      <w:r w:rsidRPr="00FC73B9">
        <w:rPr>
          <w:rFonts w:cs="Arial"/>
        </w:rPr>
        <w:t>.</w:t>
      </w:r>
      <w:bookmarkEnd w:id="4"/>
      <w:bookmarkEnd w:id="5"/>
    </w:p>
    <w:p w14:paraId="67A403AC" w14:textId="08067EEF" w:rsidR="00F447DE" w:rsidRPr="00FC73B9" w:rsidRDefault="00F447DE" w:rsidP="00F447DE">
      <w:pPr>
        <w:pStyle w:val="Listenabsatz"/>
        <w:numPr>
          <w:ilvl w:val="0"/>
          <w:numId w:val="10"/>
        </w:numPr>
        <w:rPr>
          <w:rFonts w:ascii="Times New Roman" w:eastAsia="SimSun" w:hAnsi="Times New Roman"/>
          <w:iCs/>
          <w:sz w:val="20"/>
          <w:szCs w:val="20"/>
        </w:rPr>
      </w:pPr>
      <w:bookmarkStart w:id="6" w:name="_Ref131670976"/>
      <w:r w:rsidRPr="00FC73B9">
        <w:rPr>
          <w:rFonts w:ascii="Times New Roman" w:eastAsia="SimSun" w:hAnsi="Times New Roman"/>
          <w:iCs/>
          <w:sz w:val="20"/>
          <w:szCs w:val="20"/>
        </w:rPr>
        <w:t>3GPP Chairman’s Notes, 3GPP RAN1#112</w:t>
      </w:r>
      <w:r>
        <w:rPr>
          <w:rFonts w:ascii="Times New Roman" w:eastAsia="SimSun" w:hAnsi="Times New Roman"/>
          <w:iCs/>
          <w:sz w:val="20"/>
          <w:szCs w:val="20"/>
        </w:rPr>
        <w:t>-bis-e</w:t>
      </w:r>
      <w:r w:rsidRPr="00FC73B9">
        <w:rPr>
          <w:rFonts w:ascii="Times New Roman" w:eastAsia="SimSun" w:hAnsi="Times New Roman"/>
          <w:iCs/>
          <w:sz w:val="20"/>
          <w:szCs w:val="20"/>
        </w:rPr>
        <w:t xml:space="preserve">, </w:t>
      </w:r>
      <w:r>
        <w:rPr>
          <w:rFonts w:ascii="Times New Roman" w:eastAsia="SimSun" w:hAnsi="Times New Roman"/>
          <w:iCs/>
          <w:sz w:val="20"/>
          <w:szCs w:val="20"/>
        </w:rPr>
        <w:t>Online</w:t>
      </w:r>
      <w:r w:rsidRPr="00FC73B9">
        <w:rPr>
          <w:rFonts w:ascii="Times New Roman" w:eastAsia="SimSun" w:hAnsi="Times New Roman"/>
          <w:iCs/>
          <w:sz w:val="20"/>
          <w:szCs w:val="20"/>
        </w:rPr>
        <w:t xml:space="preserve">, </w:t>
      </w:r>
      <w:r>
        <w:rPr>
          <w:rFonts w:ascii="Times New Roman" w:eastAsia="SimSun" w:hAnsi="Times New Roman"/>
          <w:iCs/>
          <w:sz w:val="20"/>
          <w:szCs w:val="20"/>
        </w:rPr>
        <w:t>April</w:t>
      </w:r>
      <w:r w:rsidRPr="00FC73B9">
        <w:rPr>
          <w:rFonts w:ascii="Times New Roman" w:eastAsia="SimSun" w:hAnsi="Times New Roman"/>
          <w:iCs/>
          <w:sz w:val="20"/>
          <w:szCs w:val="20"/>
        </w:rPr>
        <w:t xml:space="preserve"> 2022</w:t>
      </w:r>
      <w:bookmarkEnd w:id="6"/>
      <w:r w:rsidR="008A7B54">
        <w:rPr>
          <w:rFonts w:ascii="Times New Roman" w:eastAsia="SimSun" w:hAnsi="Times New Roman"/>
          <w:iCs/>
          <w:sz w:val="20"/>
          <w:szCs w:val="20"/>
        </w:rPr>
        <w:t>.</w:t>
      </w:r>
    </w:p>
    <w:p w14:paraId="31C1C849" w14:textId="396CC2DE" w:rsidR="00F447DE" w:rsidRPr="0091548C" w:rsidRDefault="00F447DE" w:rsidP="00EA048D">
      <w:pPr>
        <w:widowControl w:val="0"/>
        <w:numPr>
          <w:ilvl w:val="0"/>
          <w:numId w:val="10"/>
        </w:numPr>
        <w:overflowPunct/>
        <w:autoSpaceDE/>
        <w:adjustRightInd/>
        <w:spacing w:after="60"/>
        <w:jc w:val="both"/>
        <w:textAlignment w:val="auto"/>
        <w:rPr>
          <w:iCs/>
          <w:lang w:val="en-US"/>
        </w:rPr>
      </w:pPr>
      <w:bookmarkStart w:id="7" w:name="_Ref134781377"/>
      <w:r>
        <w:rPr>
          <w:rFonts w:cs="Arial"/>
          <w:lang w:val="en-US"/>
        </w:rPr>
        <w:t>R2-230458, “</w:t>
      </w:r>
      <w:r w:rsidRPr="000411AB">
        <w:rPr>
          <w:rFonts w:cs="Arial"/>
          <w:lang w:val="en-US"/>
        </w:rPr>
        <w:t>LS on Cell DTX/DRX activation/deactivation</w:t>
      </w:r>
      <w:r>
        <w:rPr>
          <w:rFonts w:cs="Arial"/>
          <w:lang w:val="en-US"/>
        </w:rPr>
        <w:t xml:space="preserve">”, RAN2, </w:t>
      </w:r>
      <w:r w:rsidRPr="000411AB">
        <w:rPr>
          <w:rFonts w:cs="Arial"/>
          <w:lang w:val="en-US"/>
        </w:rPr>
        <w:t>3GPP RAN2 #121-bis-e</w:t>
      </w:r>
      <w:bookmarkEnd w:id="7"/>
      <w:r w:rsidR="008A7B54">
        <w:rPr>
          <w:rFonts w:cs="Arial"/>
          <w:lang w:val="en-US"/>
        </w:rPr>
        <w:t>.</w:t>
      </w:r>
    </w:p>
    <w:p w14:paraId="1C7C91E5" w14:textId="4552E230" w:rsidR="0091548C" w:rsidRPr="00EA048D" w:rsidRDefault="0091548C" w:rsidP="0091548C">
      <w:pPr>
        <w:widowControl w:val="0"/>
        <w:numPr>
          <w:ilvl w:val="0"/>
          <w:numId w:val="10"/>
        </w:numPr>
        <w:overflowPunct/>
        <w:autoSpaceDE/>
        <w:adjustRightInd/>
        <w:spacing w:after="60"/>
        <w:jc w:val="both"/>
        <w:textAlignment w:val="auto"/>
        <w:rPr>
          <w:iCs/>
          <w:lang w:val="en-US"/>
        </w:rPr>
      </w:pPr>
      <w:bookmarkStart w:id="8" w:name="_Ref135046218"/>
      <w:r>
        <w:rPr>
          <w:rFonts w:cs="Arial"/>
          <w:lang w:val="en-US"/>
        </w:rPr>
        <w:t xml:space="preserve">TS 38.214, “ 5G NR </w:t>
      </w:r>
      <w:r w:rsidRPr="0091548C">
        <w:rPr>
          <w:rFonts w:cs="Arial"/>
          <w:lang w:val="en-US"/>
        </w:rPr>
        <w:t>Physical layer procedures for data</w:t>
      </w:r>
      <w:r>
        <w:rPr>
          <w:rFonts w:cs="Arial"/>
          <w:lang w:val="en-US"/>
        </w:rPr>
        <w:t>”, April 2023</w:t>
      </w:r>
      <w:bookmarkEnd w:id="8"/>
    </w:p>
    <w:sectPr w:rsidR="0091548C" w:rsidRPr="00EA048D"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F54EC" w14:textId="77777777" w:rsidR="0050281A" w:rsidRDefault="0050281A">
      <w:r>
        <w:separator/>
      </w:r>
    </w:p>
  </w:endnote>
  <w:endnote w:type="continuationSeparator" w:id="0">
    <w:p w14:paraId="2E864254" w14:textId="77777777" w:rsidR="0050281A" w:rsidRDefault="0050281A">
      <w:r>
        <w:continuationSeparator/>
      </w:r>
    </w:p>
  </w:endnote>
  <w:endnote w:type="continuationNotice" w:id="1">
    <w:p w14:paraId="1CEE2450" w14:textId="77777777" w:rsidR="0050281A" w:rsidRDefault="005028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2F793" w14:textId="77777777" w:rsidR="0050281A" w:rsidRDefault="0050281A">
      <w:r>
        <w:separator/>
      </w:r>
    </w:p>
  </w:footnote>
  <w:footnote w:type="continuationSeparator" w:id="0">
    <w:p w14:paraId="0BD61C0F" w14:textId="77777777" w:rsidR="0050281A" w:rsidRDefault="0050281A">
      <w:r>
        <w:continuationSeparator/>
      </w:r>
    </w:p>
  </w:footnote>
  <w:footnote w:type="continuationNotice" w:id="1">
    <w:p w14:paraId="69B11780" w14:textId="77777777" w:rsidR="0050281A" w:rsidRDefault="005028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6"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B4A74"/>
    <w:multiLevelType w:val="hybridMultilevel"/>
    <w:tmpl w:val="2D580A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426249F"/>
    <w:multiLevelType w:val="hybridMultilevel"/>
    <w:tmpl w:val="975C329C"/>
    <w:lvl w:ilvl="0" w:tplc="72023676">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3"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EC14DF4"/>
    <w:multiLevelType w:val="hybridMultilevel"/>
    <w:tmpl w:val="98A2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31"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57585E"/>
    <w:multiLevelType w:val="hybridMultilevel"/>
    <w:tmpl w:val="B3346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C72CC0"/>
    <w:multiLevelType w:val="hybridMultilevel"/>
    <w:tmpl w:val="FA74B5C0"/>
    <w:lvl w:ilvl="0" w:tplc="E9724D4E">
      <w:start w:val="2"/>
      <w:numFmt w:val="decimal"/>
      <w:lvlText w:val="%1-"/>
      <w:lvlJc w:val="left"/>
      <w:pPr>
        <w:ind w:left="980" w:hanging="360"/>
      </w:pPr>
      <w:rPr>
        <w:rFonts w:hint="default"/>
      </w:rPr>
    </w:lvl>
    <w:lvl w:ilvl="1" w:tplc="04070019" w:tentative="1">
      <w:start w:val="1"/>
      <w:numFmt w:val="lowerLetter"/>
      <w:lvlText w:val="%2."/>
      <w:lvlJc w:val="left"/>
      <w:pPr>
        <w:ind w:left="1700" w:hanging="360"/>
      </w:pPr>
    </w:lvl>
    <w:lvl w:ilvl="2" w:tplc="0407001B" w:tentative="1">
      <w:start w:val="1"/>
      <w:numFmt w:val="lowerRoman"/>
      <w:lvlText w:val="%3."/>
      <w:lvlJc w:val="right"/>
      <w:pPr>
        <w:ind w:left="2420" w:hanging="180"/>
      </w:pPr>
    </w:lvl>
    <w:lvl w:ilvl="3" w:tplc="0407000F" w:tentative="1">
      <w:start w:val="1"/>
      <w:numFmt w:val="decimal"/>
      <w:lvlText w:val="%4."/>
      <w:lvlJc w:val="left"/>
      <w:pPr>
        <w:ind w:left="3140" w:hanging="360"/>
      </w:pPr>
    </w:lvl>
    <w:lvl w:ilvl="4" w:tplc="04070019" w:tentative="1">
      <w:start w:val="1"/>
      <w:numFmt w:val="lowerLetter"/>
      <w:lvlText w:val="%5."/>
      <w:lvlJc w:val="left"/>
      <w:pPr>
        <w:ind w:left="3860" w:hanging="360"/>
      </w:pPr>
    </w:lvl>
    <w:lvl w:ilvl="5" w:tplc="0407001B" w:tentative="1">
      <w:start w:val="1"/>
      <w:numFmt w:val="lowerRoman"/>
      <w:lvlText w:val="%6."/>
      <w:lvlJc w:val="right"/>
      <w:pPr>
        <w:ind w:left="4580" w:hanging="180"/>
      </w:pPr>
    </w:lvl>
    <w:lvl w:ilvl="6" w:tplc="0407000F" w:tentative="1">
      <w:start w:val="1"/>
      <w:numFmt w:val="decimal"/>
      <w:lvlText w:val="%7."/>
      <w:lvlJc w:val="left"/>
      <w:pPr>
        <w:ind w:left="5300" w:hanging="360"/>
      </w:pPr>
    </w:lvl>
    <w:lvl w:ilvl="7" w:tplc="04070019" w:tentative="1">
      <w:start w:val="1"/>
      <w:numFmt w:val="lowerLetter"/>
      <w:lvlText w:val="%8."/>
      <w:lvlJc w:val="left"/>
      <w:pPr>
        <w:ind w:left="6020" w:hanging="360"/>
      </w:pPr>
    </w:lvl>
    <w:lvl w:ilvl="8" w:tplc="0407001B" w:tentative="1">
      <w:start w:val="1"/>
      <w:numFmt w:val="lowerRoman"/>
      <w:lvlText w:val="%9."/>
      <w:lvlJc w:val="right"/>
      <w:pPr>
        <w:ind w:left="6740" w:hanging="180"/>
      </w:pPr>
    </w:lvl>
  </w:abstractNum>
  <w:abstractNum w:abstractNumId="42" w15:restartNumberingAfterBreak="0">
    <w:nsid w:val="52820E81"/>
    <w:multiLevelType w:val="hybridMultilevel"/>
    <w:tmpl w:val="3676B424"/>
    <w:lvl w:ilvl="0" w:tplc="CB9CB15A">
      <w:start w:val="3"/>
      <w:numFmt w:val="decimal"/>
      <w:lvlText w:val="%1."/>
      <w:lvlJc w:val="left"/>
      <w:pPr>
        <w:ind w:left="720" w:hanging="360"/>
      </w:pPr>
      <w:rPr>
        <w:rFonts w:eastAsia="Calibri" w:cs="Calibri"/>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3"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0" w15:restartNumberingAfterBreak="0">
    <w:nsid w:val="60AB5390"/>
    <w:multiLevelType w:val="hybridMultilevel"/>
    <w:tmpl w:val="0B0626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2"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A1C03D5"/>
    <w:multiLevelType w:val="hybridMultilevel"/>
    <w:tmpl w:val="C2C48E02"/>
    <w:lvl w:ilvl="0" w:tplc="729AE2B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7"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9"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3" w15:restartNumberingAfterBreak="0">
    <w:nsid w:val="7D033EEF"/>
    <w:multiLevelType w:val="hybridMultilevel"/>
    <w:tmpl w:val="1868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6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7"/>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4"/>
  </w:num>
  <w:num w:numId="7">
    <w:abstractNumId w:val="36"/>
  </w:num>
  <w:num w:numId="8">
    <w:abstractNumId w:val="28"/>
  </w:num>
  <w:num w:numId="9">
    <w:abstractNumId w:val="19"/>
  </w:num>
  <w:num w:numId="10">
    <w:abstractNumId w:val="15"/>
  </w:num>
  <w:num w:numId="11">
    <w:abstractNumId w:val="47"/>
  </w:num>
  <w:num w:numId="12">
    <w:abstractNumId w:val="53"/>
  </w:num>
  <w:num w:numId="13">
    <w:abstractNumId w:val="5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9"/>
  </w:num>
  <w:num w:numId="15">
    <w:abstractNumId w:val="51"/>
  </w:num>
  <w:num w:numId="16">
    <w:abstractNumId w:val="32"/>
  </w:num>
  <w:num w:numId="17">
    <w:abstractNumId w:val="30"/>
  </w:num>
  <w:num w:numId="18">
    <w:abstractNumId w:val="21"/>
  </w:num>
  <w:num w:numId="19">
    <w:abstractNumId w:val="60"/>
  </w:num>
  <w:num w:numId="20">
    <w:abstractNumId w:val="6"/>
  </w:num>
  <w:num w:numId="21">
    <w:abstractNumId w:val="40"/>
  </w:num>
  <w:num w:numId="22">
    <w:abstractNumId w:val="46"/>
  </w:num>
  <w:num w:numId="23">
    <w:abstractNumId w:val="52"/>
  </w:num>
  <w:num w:numId="24">
    <w:abstractNumId w:val="29"/>
  </w:num>
  <w:num w:numId="25">
    <w:abstractNumId w:val="3"/>
  </w:num>
  <w:num w:numId="26">
    <w:abstractNumId w:val="3"/>
  </w:num>
  <w:num w:numId="27">
    <w:abstractNumId w:val="18"/>
  </w:num>
  <w:num w:numId="28">
    <w:abstractNumId w:val="17"/>
  </w:num>
  <w:num w:numId="29">
    <w:abstractNumId w:val="39"/>
  </w:num>
  <w:num w:numId="30">
    <w:abstractNumId w:val="65"/>
  </w:num>
  <w:num w:numId="31">
    <w:abstractNumId w:val="3"/>
  </w:num>
  <w:num w:numId="32">
    <w:abstractNumId w:val="3"/>
  </w:num>
  <w:num w:numId="33">
    <w:abstractNumId w:val="16"/>
  </w:num>
  <w:num w:numId="34">
    <w:abstractNumId w:val="64"/>
  </w:num>
  <w:num w:numId="35">
    <w:abstractNumId w:val="9"/>
  </w:num>
  <w:num w:numId="36">
    <w:abstractNumId w:val="26"/>
  </w:num>
  <w:num w:numId="37">
    <w:abstractNumId w:val="62"/>
  </w:num>
  <w:num w:numId="38">
    <w:abstractNumId w:val="13"/>
  </w:num>
  <w:num w:numId="39">
    <w:abstractNumId w:val="65"/>
  </w:num>
  <w:num w:numId="40">
    <w:abstractNumId w:val="65"/>
  </w:num>
  <w:num w:numId="41">
    <w:abstractNumId w:val="20"/>
  </w:num>
  <w:num w:numId="42">
    <w:abstractNumId w:val="66"/>
  </w:num>
  <w:num w:numId="43">
    <w:abstractNumId w:val="38"/>
  </w:num>
  <w:num w:numId="44">
    <w:abstractNumId w:val="44"/>
  </w:num>
  <w:num w:numId="45">
    <w:abstractNumId w:val="22"/>
  </w:num>
  <w:num w:numId="46">
    <w:abstractNumId w:val="58"/>
  </w:num>
  <w:num w:numId="47">
    <w:abstractNumId w:val="35"/>
  </w:num>
  <w:num w:numId="48">
    <w:abstractNumId w:val="23"/>
  </w:num>
  <w:num w:numId="49">
    <w:abstractNumId w:val="61"/>
  </w:num>
  <w:num w:numId="50">
    <w:abstractNumId w:val="31"/>
  </w:num>
  <w:num w:numId="51">
    <w:abstractNumId w:val="59"/>
  </w:num>
  <w:num w:numId="52">
    <w:abstractNumId w:val="4"/>
  </w:num>
  <w:num w:numId="53">
    <w:abstractNumId w:val="37"/>
  </w:num>
  <w:num w:numId="54">
    <w:abstractNumId w:val="45"/>
  </w:num>
  <w:num w:numId="55">
    <w:abstractNumId w:val="33"/>
  </w:num>
  <w:num w:numId="56">
    <w:abstractNumId w:val="3"/>
  </w:num>
  <w:num w:numId="57">
    <w:abstractNumId w:val="3"/>
  </w:num>
  <w:num w:numId="58">
    <w:abstractNumId w:val="3"/>
  </w:num>
  <w:num w:numId="59">
    <w:abstractNumId w:val="57"/>
  </w:num>
  <w:num w:numId="60">
    <w:abstractNumId w:val="14"/>
  </w:num>
  <w:num w:numId="61">
    <w:abstractNumId w:val="1"/>
  </w:num>
  <w:num w:numId="62">
    <w:abstractNumId w:val="5"/>
  </w:num>
  <w:num w:numId="63">
    <w:abstractNumId w:val="10"/>
  </w:num>
  <w:num w:numId="64">
    <w:abstractNumId w:val="43"/>
  </w:num>
  <w:num w:numId="65">
    <w:abstractNumId w:val="7"/>
  </w:num>
  <w:num w:numId="66">
    <w:abstractNumId w:val="11"/>
  </w:num>
  <w:num w:numId="67">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
  </w:num>
  <w:num w:numId="69">
    <w:abstractNumId w:val="25"/>
  </w:num>
  <w:num w:numId="70">
    <w:abstractNumId w:val="34"/>
  </w:num>
  <w:num w:numId="71">
    <w:abstractNumId w:val="63"/>
  </w:num>
  <w:num w:numId="72">
    <w:abstractNumId w:val="55"/>
  </w:num>
  <w:num w:numId="73">
    <w:abstractNumId w:val="56"/>
  </w:num>
  <w:num w:numId="74">
    <w:abstractNumId w:val="41"/>
  </w:num>
  <w:num w:numId="75">
    <w:abstractNumId w:val="12"/>
  </w:num>
  <w:num w:numId="76">
    <w:abstractNumId w:val="8"/>
  </w:num>
  <w:num w:numId="77">
    <w:abstractNumId w:val="2"/>
  </w:num>
  <w:num w:numId="78">
    <w:abstractNumId w:val="48"/>
  </w:num>
  <w:num w:numId="79">
    <w:abstractNumId w:val="5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914"/>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021"/>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A16"/>
    <w:rsid w:val="00036C45"/>
    <w:rsid w:val="00036FA7"/>
    <w:rsid w:val="000371DA"/>
    <w:rsid w:val="000372FA"/>
    <w:rsid w:val="00037777"/>
    <w:rsid w:val="000377E3"/>
    <w:rsid w:val="00037910"/>
    <w:rsid w:val="00037A21"/>
    <w:rsid w:val="00037DDF"/>
    <w:rsid w:val="000404F2"/>
    <w:rsid w:val="00040506"/>
    <w:rsid w:val="00040A16"/>
    <w:rsid w:val="00040A54"/>
    <w:rsid w:val="00040F7A"/>
    <w:rsid w:val="000411AB"/>
    <w:rsid w:val="000412B7"/>
    <w:rsid w:val="000413B8"/>
    <w:rsid w:val="000417B1"/>
    <w:rsid w:val="0004182E"/>
    <w:rsid w:val="000418C8"/>
    <w:rsid w:val="000426B1"/>
    <w:rsid w:val="000427BE"/>
    <w:rsid w:val="00042BFC"/>
    <w:rsid w:val="00042C4A"/>
    <w:rsid w:val="00042E6F"/>
    <w:rsid w:val="000430CF"/>
    <w:rsid w:val="0004354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3E39"/>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A22"/>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E33"/>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5CA"/>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09E"/>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054"/>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49E"/>
    <w:rsid w:val="0010294F"/>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B2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3C3"/>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4F90"/>
    <w:rsid w:val="00135015"/>
    <w:rsid w:val="00135095"/>
    <w:rsid w:val="001350ED"/>
    <w:rsid w:val="001352A6"/>
    <w:rsid w:val="001353D7"/>
    <w:rsid w:val="0013565F"/>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184"/>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7EC"/>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508"/>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4A6A"/>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13"/>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1C"/>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1F9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DA3"/>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942"/>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090"/>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40"/>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C49"/>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18"/>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1AE"/>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1A"/>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5B3"/>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DFE"/>
    <w:rsid w:val="002D4E37"/>
    <w:rsid w:val="002D51A1"/>
    <w:rsid w:val="002D52E0"/>
    <w:rsid w:val="002D576E"/>
    <w:rsid w:val="002D57D5"/>
    <w:rsid w:val="002D58AE"/>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63B"/>
    <w:rsid w:val="002E2923"/>
    <w:rsid w:val="002E2A76"/>
    <w:rsid w:val="002E306D"/>
    <w:rsid w:val="002E31D8"/>
    <w:rsid w:val="002E32FA"/>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85"/>
    <w:rsid w:val="00301EE4"/>
    <w:rsid w:val="00302144"/>
    <w:rsid w:val="00302239"/>
    <w:rsid w:val="003024AF"/>
    <w:rsid w:val="003024DE"/>
    <w:rsid w:val="00302701"/>
    <w:rsid w:val="00302739"/>
    <w:rsid w:val="0030280D"/>
    <w:rsid w:val="00302C56"/>
    <w:rsid w:val="00303115"/>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738"/>
    <w:rsid w:val="00313443"/>
    <w:rsid w:val="003137A0"/>
    <w:rsid w:val="003137ED"/>
    <w:rsid w:val="00313AC4"/>
    <w:rsid w:val="00313C4F"/>
    <w:rsid w:val="00313D01"/>
    <w:rsid w:val="00313EE1"/>
    <w:rsid w:val="003141C2"/>
    <w:rsid w:val="00314298"/>
    <w:rsid w:val="00314629"/>
    <w:rsid w:val="00314B31"/>
    <w:rsid w:val="00314C85"/>
    <w:rsid w:val="00314F8B"/>
    <w:rsid w:val="003154E8"/>
    <w:rsid w:val="00315887"/>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17C8E"/>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A77"/>
    <w:rsid w:val="00361F88"/>
    <w:rsid w:val="0036262C"/>
    <w:rsid w:val="003626C4"/>
    <w:rsid w:val="003626CB"/>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2D7B"/>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493"/>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90"/>
    <w:rsid w:val="003904B1"/>
    <w:rsid w:val="003905A9"/>
    <w:rsid w:val="003907D2"/>
    <w:rsid w:val="00390920"/>
    <w:rsid w:val="003909CF"/>
    <w:rsid w:val="00390B8F"/>
    <w:rsid w:val="00390C2B"/>
    <w:rsid w:val="00390C56"/>
    <w:rsid w:val="0039122C"/>
    <w:rsid w:val="0039124D"/>
    <w:rsid w:val="003914C2"/>
    <w:rsid w:val="00391A92"/>
    <w:rsid w:val="00391B43"/>
    <w:rsid w:val="003926BE"/>
    <w:rsid w:val="00392C09"/>
    <w:rsid w:val="00392DB8"/>
    <w:rsid w:val="00393058"/>
    <w:rsid w:val="00393157"/>
    <w:rsid w:val="00393291"/>
    <w:rsid w:val="003933E7"/>
    <w:rsid w:val="00393651"/>
    <w:rsid w:val="0039397E"/>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903"/>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C34"/>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9D2"/>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1A1"/>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9CC"/>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2A4"/>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8D5"/>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B1D"/>
    <w:rsid w:val="004C4BCE"/>
    <w:rsid w:val="004C4BF3"/>
    <w:rsid w:val="004C4CE4"/>
    <w:rsid w:val="004C4DB5"/>
    <w:rsid w:val="004C4F33"/>
    <w:rsid w:val="004C521E"/>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1FC7"/>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D44"/>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1"/>
    <w:rsid w:val="00500A1A"/>
    <w:rsid w:val="00500A59"/>
    <w:rsid w:val="00500F0D"/>
    <w:rsid w:val="005012BB"/>
    <w:rsid w:val="0050132F"/>
    <w:rsid w:val="00501723"/>
    <w:rsid w:val="005018DA"/>
    <w:rsid w:val="00501A8C"/>
    <w:rsid w:val="00501F0D"/>
    <w:rsid w:val="00501F55"/>
    <w:rsid w:val="0050281A"/>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AA4"/>
    <w:rsid w:val="00514CEE"/>
    <w:rsid w:val="00514DCF"/>
    <w:rsid w:val="00515052"/>
    <w:rsid w:val="005150E4"/>
    <w:rsid w:val="005154AC"/>
    <w:rsid w:val="005157F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091F"/>
    <w:rsid w:val="0052140B"/>
    <w:rsid w:val="00521490"/>
    <w:rsid w:val="00521D65"/>
    <w:rsid w:val="00521DB1"/>
    <w:rsid w:val="0052217F"/>
    <w:rsid w:val="005221A4"/>
    <w:rsid w:val="00522383"/>
    <w:rsid w:val="005225D6"/>
    <w:rsid w:val="0052299F"/>
    <w:rsid w:val="00522B0A"/>
    <w:rsid w:val="005231C2"/>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79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0FD"/>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B74"/>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23A"/>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212"/>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DB4"/>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C1F"/>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34BF"/>
    <w:rsid w:val="00593A7F"/>
    <w:rsid w:val="00593ADD"/>
    <w:rsid w:val="00593D6F"/>
    <w:rsid w:val="00594131"/>
    <w:rsid w:val="005943C6"/>
    <w:rsid w:val="00594AAA"/>
    <w:rsid w:val="005951A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5D3"/>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B39"/>
    <w:rsid w:val="005C7CAD"/>
    <w:rsid w:val="005C7EF8"/>
    <w:rsid w:val="005D0102"/>
    <w:rsid w:val="005D02FA"/>
    <w:rsid w:val="005D047B"/>
    <w:rsid w:val="005D0790"/>
    <w:rsid w:val="005D0DE9"/>
    <w:rsid w:val="005D0ECA"/>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554"/>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14"/>
    <w:rsid w:val="00600292"/>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CE"/>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079"/>
    <w:rsid w:val="00621AFA"/>
    <w:rsid w:val="00621B6A"/>
    <w:rsid w:val="00621C0B"/>
    <w:rsid w:val="00621C72"/>
    <w:rsid w:val="00621CAD"/>
    <w:rsid w:val="00621E5A"/>
    <w:rsid w:val="006222B1"/>
    <w:rsid w:val="00622425"/>
    <w:rsid w:val="0062286B"/>
    <w:rsid w:val="00623084"/>
    <w:rsid w:val="006231D7"/>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01B"/>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C71"/>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6F"/>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A72"/>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84"/>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BF0"/>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35"/>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72C"/>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6E86"/>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DC7"/>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71E"/>
    <w:rsid w:val="00771AAB"/>
    <w:rsid w:val="00771EE3"/>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64C"/>
    <w:rsid w:val="007837BE"/>
    <w:rsid w:val="0078380D"/>
    <w:rsid w:val="007842FE"/>
    <w:rsid w:val="00784702"/>
    <w:rsid w:val="00784C31"/>
    <w:rsid w:val="00784EA1"/>
    <w:rsid w:val="00784F46"/>
    <w:rsid w:val="00784FC7"/>
    <w:rsid w:val="007850A9"/>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3C7"/>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56"/>
    <w:rsid w:val="007C4622"/>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CF0"/>
    <w:rsid w:val="008251EC"/>
    <w:rsid w:val="008254DD"/>
    <w:rsid w:val="008257F4"/>
    <w:rsid w:val="008258D4"/>
    <w:rsid w:val="00825C8A"/>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85E"/>
    <w:rsid w:val="008569DF"/>
    <w:rsid w:val="00856A36"/>
    <w:rsid w:val="00856E21"/>
    <w:rsid w:val="00856E4A"/>
    <w:rsid w:val="00856FF3"/>
    <w:rsid w:val="0085722A"/>
    <w:rsid w:val="00857234"/>
    <w:rsid w:val="0085737E"/>
    <w:rsid w:val="008577BE"/>
    <w:rsid w:val="008577FA"/>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D6"/>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54"/>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3FD4"/>
    <w:rsid w:val="008B41AC"/>
    <w:rsid w:val="008B41EF"/>
    <w:rsid w:val="008B4230"/>
    <w:rsid w:val="008B43A7"/>
    <w:rsid w:val="008B447F"/>
    <w:rsid w:val="008B4B0D"/>
    <w:rsid w:val="008B4B33"/>
    <w:rsid w:val="008B5577"/>
    <w:rsid w:val="008B5626"/>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965"/>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E7F6F"/>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22C"/>
    <w:rsid w:val="00910334"/>
    <w:rsid w:val="009108A7"/>
    <w:rsid w:val="00910A5C"/>
    <w:rsid w:val="00910D3E"/>
    <w:rsid w:val="00910ED6"/>
    <w:rsid w:val="009113C6"/>
    <w:rsid w:val="0091147F"/>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8C"/>
    <w:rsid w:val="009154BD"/>
    <w:rsid w:val="0091553A"/>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C3"/>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8C8"/>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122"/>
    <w:rsid w:val="0095225E"/>
    <w:rsid w:val="00952391"/>
    <w:rsid w:val="00952444"/>
    <w:rsid w:val="00952752"/>
    <w:rsid w:val="009527E4"/>
    <w:rsid w:val="00952ACA"/>
    <w:rsid w:val="00952C1F"/>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8B4"/>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18C"/>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8E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7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A37"/>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1EF0"/>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74B"/>
    <w:rsid w:val="009F7883"/>
    <w:rsid w:val="009F7BD3"/>
    <w:rsid w:val="009F7D51"/>
    <w:rsid w:val="00A00519"/>
    <w:rsid w:val="00A009FB"/>
    <w:rsid w:val="00A00A20"/>
    <w:rsid w:val="00A00F81"/>
    <w:rsid w:val="00A01006"/>
    <w:rsid w:val="00A011C6"/>
    <w:rsid w:val="00A0127D"/>
    <w:rsid w:val="00A01CA8"/>
    <w:rsid w:val="00A01F3F"/>
    <w:rsid w:val="00A02036"/>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BD7"/>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3BD"/>
    <w:rsid w:val="00A5044D"/>
    <w:rsid w:val="00A50893"/>
    <w:rsid w:val="00A50B00"/>
    <w:rsid w:val="00A50B84"/>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5B0"/>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1D2"/>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87"/>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D7A"/>
    <w:rsid w:val="00A85EE4"/>
    <w:rsid w:val="00A85FFF"/>
    <w:rsid w:val="00A861C4"/>
    <w:rsid w:val="00A86584"/>
    <w:rsid w:val="00A86ACD"/>
    <w:rsid w:val="00A86FEF"/>
    <w:rsid w:val="00A87482"/>
    <w:rsid w:val="00A878AD"/>
    <w:rsid w:val="00A87C98"/>
    <w:rsid w:val="00A87DF0"/>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2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DF6"/>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19"/>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09D"/>
    <w:rsid w:val="00B251AE"/>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602"/>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7C9"/>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7DE"/>
    <w:rsid w:val="00B87B2E"/>
    <w:rsid w:val="00B900B7"/>
    <w:rsid w:val="00B909F4"/>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2E7"/>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6C3"/>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56"/>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59"/>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D47"/>
    <w:rsid w:val="00BF2F3D"/>
    <w:rsid w:val="00BF31CB"/>
    <w:rsid w:val="00BF33B8"/>
    <w:rsid w:val="00BF3681"/>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99D"/>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07E8C"/>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0AA"/>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19"/>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12A"/>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AD6"/>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A93"/>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36D"/>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C"/>
    <w:rsid w:val="00CB11BD"/>
    <w:rsid w:val="00CB11F7"/>
    <w:rsid w:val="00CB1368"/>
    <w:rsid w:val="00CB1489"/>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626"/>
    <w:rsid w:val="00CC380B"/>
    <w:rsid w:val="00CC39C1"/>
    <w:rsid w:val="00CC3E8C"/>
    <w:rsid w:val="00CC3E96"/>
    <w:rsid w:val="00CC400F"/>
    <w:rsid w:val="00CC434D"/>
    <w:rsid w:val="00CC4365"/>
    <w:rsid w:val="00CC483F"/>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8A9"/>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1FD3"/>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E0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1DE7"/>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4C92"/>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A7B"/>
    <w:rsid w:val="00DA4D11"/>
    <w:rsid w:val="00DA5A53"/>
    <w:rsid w:val="00DA5CA9"/>
    <w:rsid w:val="00DA5DC3"/>
    <w:rsid w:val="00DA5DE7"/>
    <w:rsid w:val="00DA5E7E"/>
    <w:rsid w:val="00DA6840"/>
    <w:rsid w:val="00DA70ED"/>
    <w:rsid w:val="00DA714A"/>
    <w:rsid w:val="00DA71A2"/>
    <w:rsid w:val="00DA71AF"/>
    <w:rsid w:val="00DA727D"/>
    <w:rsid w:val="00DA74E5"/>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1F54"/>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AE7"/>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AAC"/>
    <w:rsid w:val="00E12DAD"/>
    <w:rsid w:val="00E1351C"/>
    <w:rsid w:val="00E136AE"/>
    <w:rsid w:val="00E136D8"/>
    <w:rsid w:val="00E139D0"/>
    <w:rsid w:val="00E139F2"/>
    <w:rsid w:val="00E13AD1"/>
    <w:rsid w:val="00E13BD9"/>
    <w:rsid w:val="00E14331"/>
    <w:rsid w:val="00E143F1"/>
    <w:rsid w:val="00E1444D"/>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78"/>
    <w:rsid w:val="00E20AD1"/>
    <w:rsid w:val="00E20E6F"/>
    <w:rsid w:val="00E21276"/>
    <w:rsid w:val="00E214FB"/>
    <w:rsid w:val="00E21624"/>
    <w:rsid w:val="00E216A5"/>
    <w:rsid w:val="00E21CCC"/>
    <w:rsid w:val="00E21EDB"/>
    <w:rsid w:val="00E21FD8"/>
    <w:rsid w:val="00E220CA"/>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275"/>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74CC"/>
    <w:rsid w:val="00E377BF"/>
    <w:rsid w:val="00E379D0"/>
    <w:rsid w:val="00E37AF2"/>
    <w:rsid w:val="00E37B61"/>
    <w:rsid w:val="00E37BBD"/>
    <w:rsid w:val="00E37C25"/>
    <w:rsid w:val="00E37C87"/>
    <w:rsid w:val="00E37F72"/>
    <w:rsid w:val="00E40362"/>
    <w:rsid w:val="00E403D1"/>
    <w:rsid w:val="00E40453"/>
    <w:rsid w:val="00E40DAE"/>
    <w:rsid w:val="00E40E78"/>
    <w:rsid w:val="00E415CB"/>
    <w:rsid w:val="00E419AD"/>
    <w:rsid w:val="00E41A3E"/>
    <w:rsid w:val="00E41D2F"/>
    <w:rsid w:val="00E4233B"/>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5E5D"/>
    <w:rsid w:val="00E57050"/>
    <w:rsid w:val="00E5711F"/>
    <w:rsid w:val="00E57280"/>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BC0"/>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48D"/>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C85"/>
    <w:rsid w:val="00EB7D21"/>
    <w:rsid w:val="00EB7D59"/>
    <w:rsid w:val="00EB7E4D"/>
    <w:rsid w:val="00EB7F9A"/>
    <w:rsid w:val="00EB7FE8"/>
    <w:rsid w:val="00EC0293"/>
    <w:rsid w:val="00EC043B"/>
    <w:rsid w:val="00EC06DD"/>
    <w:rsid w:val="00EC097C"/>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1D5"/>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663"/>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D9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7DE"/>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67D28"/>
    <w:rsid w:val="00F701AE"/>
    <w:rsid w:val="00F703AF"/>
    <w:rsid w:val="00F706F0"/>
    <w:rsid w:val="00F70CF7"/>
    <w:rsid w:val="00F70E8B"/>
    <w:rsid w:val="00F70FF9"/>
    <w:rsid w:val="00F71026"/>
    <w:rsid w:val="00F71042"/>
    <w:rsid w:val="00F710A0"/>
    <w:rsid w:val="00F7134D"/>
    <w:rsid w:val="00F713E2"/>
    <w:rsid w:val="00F716A0"/>
    <w:rsid w:val="00F71976"/>
    <w:rsid w:val="00F719F0"/>
    <w:rsid w:val="00F71A99"/>
    <w:rsid w:val="00F71B5C"/>
    <w:rsid w:val="00F71B88"/>
    <w:rsid w:val="00F71BC4"/>
    <w:rsid w:val="00F71C4F"/>
    <w:rsid w:val="00F71D45"/>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6FDB"/>
    <w:rsid w:val="00F9709C"/>
    <w:rsid w:val="00F9725A"/>
    <w:rsid w:val="00F975B5"/>
    <w:rsid w:val="00F97654"/>
    <w:rsid w:val="00F97761"/>
    <w:rsid w:val="00F97765"/>
    <w:rsid w:val="00FA04BE"/>
    <w:rsid w:val="00FA0509"/>
    <w:rsid w:val="00FA09EF"/>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03C"/>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268"/>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789"/>
    <w:rsid w:val="00FB68CE"/>
    <w:rsid w:val="00FB6B9D"/>
    <w:rsid w:val="00FB72CB"/>
    <w:rsid w:val="00FB77BB"/>
    <w:rsid w:val="00FB7A9C"/>
    <w:rsid w:val="00FB7B85"/>
    <w:rsid w:val="00FB7D1C"/>
    <w:rsid w:val="00FC04F0"/>
    <w:rsid w:val="00FC0651"/>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DC0"/>
    <w:rsid w:val="00FC5EE6"/>
    <w:rsid w:val="00FC63CD"/>
    <w:rsid w:val="00FC645D"/>
    <w:rsid w:val="00FC654F"/>
    <w:rsid w:val="00FC65A0"/>
    <w:rsid w:val="00FC6A7D"/>
    <w:rsid w:val="00FC6B41"/>
    <w:rsid w:val="00FC6C0E"/>
    <w:rsid w:val="00FC7001"/>
    <w:rsid w:val="00FC7308"/>
    <w:rsid w:val="00FC73B9"/>
    <w:rsid w:val="00FC748F"/>
    <w:rsid w:val="00FC7AEC"/>
    <w:rsid w:val="00FC7F93"/>
    <w:rsid w:val="00FD003E"/>
    <w:rsid w:val="00FD0A0E"/>
    <w:rsid w:val="00FD0B02"/>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8DA"/>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39D2"/>
    <w:rsid w:val="00FE4425"/>
    <w:rsid w:val="00FE4688"/>
    <w:rsid w:val="00FE4AD0"/>
    <w:rsid w:val="00FE5172"/>
    <w:rsid w:val="00FE51CC"/>
    <w:rsid w:val="00FE51F9"/>
    <w:rsid w:val="00FE5410"/>
    <w:rsid w:val="00FE5538"/>
    <w:rsid w:val="00FE5633"/>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926"/>
    <w:rsid w:val="00FF2A88"/>
    <w:rsid w:val="00FF2B35"/>
    <w:rsid w:val="00FF310E"/>
    <w:rsid w:val="00FF32D4"/>
    <w:rsid w:val="00FF36E1"/>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36"/>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67420216">
      <w:bodyDiv w:val="1"/>
      <w:marLeft w:val="0"/>
      <w:marRight w:val="0"/>
      <w:marTop w:val="0"/>
      <w:marBottom w:val="0"/>
      <w:divBdr>
        <w:top w:val="none" w:sz="0" w:space="0" w:color="auto"/>
        <w:left w:val="none" w:sz="0" w:space="0" w:color="auto"/>
        <w:bottom w:val="none" w:sz="0" w:space="0" w:color="auto"/>
        <w:right w:val="none" w:sz="0" w:space="0" w:color="auto"/>
      </w:divBdr>
      <w:divsChild>
        <w:div w:id="1175610428">
          <w:marLeft w:val="0"/>
          <w:marRight w:val="0"/>
          <w:marTop w:val="0"/>
          <w:marBottom w:val="0"/>
          <w:divBdr>
            <w:top w:val="none" w:sz="0" w:space="0" w:color="auto"/>
            <w:left w:val="none" w:sz="0" w:space="0" w:color="auto"/>
            <w:bottom w:val="none" w:sz="0" w:space="0" w:color="auto"/>
            <w:right w:val="none" w:sz="0" w:space="0" w:color="auto"/>
          </w:divBdr>
        </w:div>
      </w:divsChild>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3.xml><?xml version="1.0" encoding="utf-8"?>
<ds:datastoreItem xmlns:ds="http://schemas.openxmlformats.org/officeDocument/2006/customXml" ds:itemID="{4C15AC77-19C8-49C7-A71F-9EBD88DCF776}">
  <ds:schemaRefs>
    <ds:schemaRef ds:uri="http://purl.org/dc/elements/1.1/"/>
    <ds:schemaRef ds:uri="http://schemas.microsoft.com/office/2006/metadata/properties"/>
    <ds:schemaRef ds:uri="35d934a9-c0cd-4c6a-b8d8-662a115f1c92"/>
    <ds:schemaRef ds:uri="81f21dd9-5de3-44a3-9c4e-ab308fbc6c4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29220E1F-47CF-4013-9990-9DF547597D7B}">
  <ds:schemaRefs>
    <ds:schemaRef ds:uri="http://schemas.openxmlformats.org/officeDocument/2006/bibliography"/>
  </ds:schemaRefs>
</ds:datastoreItem>
</file>

<file path=customXml/itemProps6.xml><?xml version="1.0" encoding="utf-8"?>
<ds:datastoreItem xmlns:ds="http://schemas.openxmlformats.org/officeDocument/2006/customXml" ds:itemID="{2269669B-E41B-415C-B0FA-C48A1CCFA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2264</Words>
  <Characters>11854</Characters>
  <Application>Microsoft Office Word</Application>
  <DocSecurity>0</DocSecurity>
  <Lines>98</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14090</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Oliveira da Costa, Gustavo Wagner</cp:lastModifiedBy>
  <cp:revision>36</cp:revision>
  <cp:lastPrinted>2022-01-05T12:49:00Z</cp:lastPrinted>
  <dcterms:created xsi:type="dcterms:W3CDTF">2023-05-15T08:33:00Z</dcterms:created>
  <dcterms:modified xsi:type="dcterms:W3CDTF">2023-05-15T10:30:00Z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