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36964" w14:textId="77160393" w:rsidR="000B1E74" w:rsidRPr="00BB062C" w:rsidRDefault="000B1E74" w:rsidP="000B1E74">
      <w:pPr>
        <w:tabs>
          <w:tab w:val="left" w:pos="1985"/>
        </w:tabs>
        <w:spacing w:after="0" w:afterAutospacing="0"/>
        <w:ind w:left="1985" w:hangingChars="706" w:hanging="1985"/>
        <w:rPr>
          <w:rFonts w:ascii="Arial" w:eastAsia="ＭＳ 明朝" w:hAnsi="Arial" w:cs="Arial"/>
          <w:b/>
          <w:sz w:val="28"/>
          <w:szCs w:val="28"/>
          <w:lang w:val="en-US"/>
        </w:rPr>
      </w:pPr>
      <w:bookmarkStart w:id="0" w:name="_Ref133120545"/>
      <w:r w:rsidRPr="00BB062C">
        <w:rPr>
          <w:rFonts w:ascii="Arial" w:eastAsia="ＭＳ 明朝" w:hAnsi="Arial" w:cs="Arial"/>
          <w:b/>
          <w:sz w:val="28"/>
          <w:szCs w:val="28"/>
          <w:lang w:val="en-US"/>
        </w:rPr>
        <w:t>3GPP TSG RAN WG1 #11</w:t>
      </w:r>
      <w:r>
        <w:rPr>
          <w:rFonts w:ascii="Arial" w:eastAsia="ＭＳ 明朝" w:hAnsi="Arial" w:cs="Arial" w:hint="eastAsia"/>
          <w:b/>
          <w:sz w:val="28"/>
          <w:szCs w:val="28"/>
          <w:lang w:val="en-US"/>
        </w:rPr>
        <w:t>3</w:t>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sidR="000D14D9" w:rsidRPr="000D14D9">
        <w:rPr>
          <w:rFonts w:ascii="Arial" w:eastAsia="ＭＳ 明朝" w:hAnsi="Arial" w:cs="Arial"/>
          <w:b/>
          <w:sz w:val="28"/>
          <w:szCs w:val="28"/>
          <w:lang w:val="en-US"/>
        </w:rPr>
        <w:t>R1-2305850</w:t>
      </w:r>
    </w:p>
    <w:p w14:paraId="1A8F1AA4" w14:textId="77777777" w:rsidR="000B1E74" w:rsidRDefault="000B1E74" w:rsidP="000B1E74">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Incheon, Korea</w:t>
      </w:r>
      <w:r w:rsidRPr="00BB062C">
        <w:rPr>
          <w:rFonts w:ascii="Arial" w:eastAsia="ＭＳ 明朝" w:hAnsi="Arial" w:cs="Arial"/>
          <w:b/>
          <w:sz w:val="28"/>
          <w:szCs w:val="28"/>
          <w:lang w:val="en-US"/>
        </w:rPr>
        <w:t xml:space="preserve">, </w:t>
      </w:r>
      <w:r>
        <w:rPr>
          <w:rFonts w:ascii="Arial" w:eastAsia="ＭＳ 明朝" w:hAnsi="Arial" w:cs="Arial"/>
          <w:b/>
          <w:sz w:val="28"/>
          <w:szCs w:val="28"/>
          <w:lang w:val="en-US"/>
        </w:rPr>
        <w:t>May</w:t>
      </w:r>
      <w:r w:rsidRPr="00BB062C">
        <w:rPr>
          <w:rFonts w:ascii="Arial" w:eastAsia="ＭＳ 明朝" w:hAnsi="Arial" w:cs="Arial"/>
          <w:b/>
          <w:sz w:val="28"/>
          <w:szCs w:val="28"/>
          <w:lang w:val="en-US"/>
        </w:rPr>
        <w:t xml:space="preserve"> </w:t>
      </w:r>
      <w:r>
        <w:rPr>
          <w:rFonts w:ascii="Arial" w:eastAsia="ＭＳ 明朝" w:hAnsi="Arial" w:cs="Arial"/>
          <w:b/>
          <w:sz w:val="28"/>
          <w:szCs w:val="28"/>
          <w:lang w:val="en-US"/>
        </w:rPr>
        <w:t>22</w:t>
      </w:r>
      <w:r w:rsidRPr="00AB4F25">
        <w:rPr>
          <w:rFonts w:ascii="Arial" w:eastAsia="ＭＳ 明朝" w:hAnsi="Arial" w:cs="Arial"/>
          <w:b/>
          <w:sz w:val="28"/>
          <w:szCs w:val="28"/>
          <w:vertAlign w:val="superscript"/>
          <w:lang w:val="en-US"/>
        </w:rPr>
        <w:t>nd</w:t>
      </w:r>
      <w:r>
        <w:rPr>
          <w:rFonts w:ascii="Arial" w:eastAsia="ＭＳ 明朝" w:hAnsi="Arial" w:cs="Arial"/>
          <w:b/>
          <w:sz w:val="28"/>
          <w:szCs w:val="28"/>
          <w:lang w:val="en-US"/>
        </w:rPr>
        <w:t xml:space="preserve"> </w:t>
      </w:r>
      <w:r w:rsidRPr="00BB062C">
        <w:rPr>
          <w:rFonts w:ascii="Arial" w:eastAsia="ＭＳ 明朝" w:hAnsi="Arial" w:cs="Arial"/>
          <w:b/>
          <w:sz w:val="28"/>
          <w:szCs w:val="28"/>
          <w:lang w:val="en-US"/>
        </w:rPr>
        <w:t>–</w:t>
      </w:r>
      <w:r>
        <w:rPr>
          <w:rFonts w:ascii="Arial" w:eastAsia="ＭＳ 明朝" w:hAnsi="Arial" w:cs="Arial"/>
          <w:b/>
          <w:sz w:val="28"/>
          <w:szCs w:val="28"/>
          <w:lang w:val="en-US"/>
        </w:rPr>
        <w:t xml:space="preserve"> </w:t>
      </w:r>
      <w:r w:rsidRPr="00BB062C">
        <w:rPr>
          <w:rFonts w:ascii="Arial" w:eastAsia="ＭＳ 明朝" w:hAnsi="Arial" w:cs="Arial"/>
          <w:b/>
          <w:sz w:val="28"/>
          <w:szCs w:val="28"/>
          <w:lang w:val="en-US"/>
        </w:rPr>
        <w:t>26</w:t>
      </w:r>
      <w:r w:rsidRPr="00AB4F25">
        <w:rPr>
          <w:rFonts w:ascii="Arial" w:eastAsia="ＭＳ 明朝" w:hAnsi="Arial" w:cs="Arial"/>
          <w:b/>
          <w:sz w:val="28"/>
          <w:szCs w:val="28"/>
          <w:vertAlign w:val="superscript"/>
          <w:lang w:val="en-US"/>
        </w:rPr>
        <w:t>th</w:t>
      </w:r>
      <w:r w:rsidRPr="00BB062C">
        <w:rPr>
          <w:rFonts w:ascii="Arial" w:eastAsia="ＭＳ 明朝" w:hAnsi="Arial" w:cs="Arial"/>
          <w:b/>
          <w:sz w:val="28"/>
          <w:szCs w:val="28"/>
          <w:lang w:val="en-US"/>
        </w:rPr>
        <w:t>, 2023</w:t>
      </w:r>
    </w:p>
    <w:p w14:paraId="3FD48505" w14:textId="77777777" w:rsidR="00BB062C" w:rsidRPr="000B1E74" w:rsidRDefault="00BB062C" w:rsidP="00BB062C">
      <w:pPr>
        <w:tabs>
          <w:tab w:val="left" w:pos="1985"/>
        </w:tabs>
        <w:spacing w:after="0" w:afterAutospacing="0"/>
        <w:ind w:left="1985" w:hangingChars="706" w:hanging="1985"/>
        <w:rPr>
          <w:rFonts w:ascii="Arial" w:eastAsia="ＭＳ 明朝" w:hAnsi="Arial" w:cs="Arial"/>
          <w:b/>
          <w:sz w:val="28"/>
          <w:szCs w:val="28"/>
          <w:lang w:val="en-US"/>
        </w:rPr>
      </w:pPr>
    </w:p>
    <w:p w14:paraId="73AECBC2" w14:textId="0CF22079" w:rsidR="00AF31FE" w:rsidRPr="00683FDE" w:rsidRDefault="00AF31FE" w:rsidP="00BB062C">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4682F89"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6A32EA" w:rsidRPr="006A32EA">
        <w:rPr>
          <w:rFonts w:ascii="Arial" w:hAnsi="Arial" w:cs="Arial"/>
          <w:b/>
          <w:color w:val="000000" w:themeColor="text1"/>
          <w:sz w:val="28"/>
          <w:szCs w:val="28"/>
          <w:lang w:val="en-US"/>
        </w:rPr>
        <w:t>Power domain enhancements</w:t>
      </w:r>
      <w:r w:rsidR="00A875A2">
        <w:rPr>
          <w:rFonts w:ascii="Arial" w:hAnsi="Arial" w:cs="Arial"/>
          <w:b/>
          <w:color w:val="000000" w:themeColor="text1"/>
          <w:sz w:val="28"/>
          <w:szCs w:val="28"/>
          <w:lang w:val="en-US"/>
        </w:rPr>
        <w:t xml:space="preserve"> for Rel-18 </w:t>
      </w:r>
      <w:proofErr w:type="spellStart"/>
      <w:r w:rsidR="00A875A2">
        <w:rPr>
          <w:rFonts w:ascii="Arial" w:hAnsi="Arial" w:cs="Arial"/>
          <w:b/>
          <w:color w:val="000000" w:themeColor="text1"/>
          <w:sz w:val="28"/>
          <w:szCs w:val="28"/>
          <w:lang w:val="en-US"/>
        </w:rPr>
        <w:t>CovEnh</w:t>
      </w:r>
      <w:proofErr w:type="spellEnd"/>
      <w:r w:rsidR="00A875A2">
        <w:rPr>
          <w:rFonts w:ascii="Arial" w:hAnsi="Arial" w:cs="Arial"/>
          <w:b/>
          <w:color w:val="000000" w:themeColor="text1"/>
          <w:sz w:val="28"/>
          <w:szCs w:val="28"/>
          <w:lang w:val="en-US"/>
        </w:rPr>
        <w:t xml:space="preserve"> </w:t>
      </w:r>
    </w:p>
    <w:p w14:paraId="369A72EC" w14:textId="77AE4872"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521CA2">
        <w:rPr>
          <w:rFonts w:ascii="Arial" w:hAnsi="Arial" w:cs="Arial" w:hint="eastAsia"/>
          <w:b/>
          <w:color w:val="000000" w:themeColor="text1"/>
          <w:sz w:val="28"/>
          <w:szCs w:val="28"/>
          <w:lang w:val="en-US"/>
        </w:rPr>
        <w:t>2</w:t>
      </w:r>
      <w:r w:rsidR="00AF31FE" w:rsidRPr="00AD0FF0">
        <w:rPr>
          <w:rFonts w:ascii="Arial" w:hAnsi="Arial" w:cs="Arial"/>
          <w:b/>
          <w:color w:val="000000" w:themeColor="text1"/>
          <w:sz w:val="28"/>
          <w:szCs w:val="28"/>
          <w:lang w:val="en-US"/>
        </w:rPr>
        <w:t>.</w:t>
      </w:r>
      <w:r w:rsidR="006A32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1" w:name="DocumentFor"/>
      <w:bookmarkEnd w:id="1"/>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0"/>
    </w:p>
    <w:p w14:paraId="51C52015" w14:textId="13FEBA26" w:rsidR="000733DC" w:rsidRPr="004953F0" w:rsidRDefault="000733DC" w:rsidP="000733DC">
      <w:pPr>
        <w:spacing w:before="240" w:after="240" w:afterAutospacing="0"/>
        <w:rPr>
          <w:rFonts w:eastAsiaTheme="minorEastAsia"/>
          <w:color w:val="000000" w:themeColor="text1"/>
          <w:szCs w:val="24"/>
          <w:lang w:val="en-US"/>
        </w:rPr>
      </w:pPr>
      <w:bookmarkStart w:id="2" w:name="_Hlk101443289"/>
      <w:bookmarkStart w:id="3" w:name="OLE_LINK1"/>
      <w:r>
        <w:rPr>
          <w:rFonts w:eastAsiaTheme="minorEastAsia"/>
          <w:color w:val="000000" w:themeColor="text1"/>
          <w:szCs w:val="24"/>
          <w:lang w:val="en-US"/>
        </w:rPr>
        <w:t>In RAN</w:t>
      </w:r>
      <w:r w:rsidR="00AB4F25">
        <w:rPr>
          <w:rFonts w:eastAsiaTheme="minorEastAsia"/>
          <w:color w:val="000000" w:themeColor="text1"/>
          <w:szCs w:val="24"/>
          <w:lang w:val="en-US"/>
        </w:rPr>
        <w:t>1</w:t>
      </w:r>
      <w:r>
        <w:rPr>
          <w:rFonts w:eastAsiaTheme="minorEastAsia"/>
          <w:color w:val="000000" w:themeColor="text1"/>
          <w:szCs w:val="24"/>
          <w:lang w:val="en-US"/>
        </w:rPr>
        <w:t>#</w:t>
      </w:r>
      <w:r w:rsidR="00AB4F25">
        <w:rPr>
          <w:rFonts w:eastAsiaTheme="minorEastAsia"/>
          <w:color w:val="000000" w:themeColor="text1"/>
          <w:szCs w:val="24"/>
          <w:lang w:val="en-US"/>
        </w:rPr>
        <w:t>112bis</w:t>
      </w:r>
      <w:r>
        <w:rPr>
          <w:rFonts w:eastAsiaTheme="minorEastAsia"/>
          <w:color w:val="000000" w:themeColor="text1"/>
          <w:szCs w:val="24"/>
          <w:lang w:val="en-US"/>
        </w:rPr>
        <w:t xml:space="preserve">-e, </w:t>
      </w:r>
      <w:r w:rsidR="00A43A40">
        <w:rPr>
          <w:iCs/>
          <w:lang w:val="en-US"/>
        </w:rPr>
        <w:t xml:space="preserve">the </w:t>
      </w:r>
      <w:r w:rsidR="00404C4C">
        <w:rPr>
          <w:iCs/>
          <w:lang w:val="en-US"/>
        </w:rPr>
        <w:t>following</w:t>
      </w:r>
      <w:r w:rsidR="00AB4F25">
        <w:rPr>
          <w:iCs/>
          <w:lang w:val="en-US"/>
        </w:rPr>
        <w:t xml:space="preserve"> agreements and observations were made in terms of power domain enhancements for Rel-18 Coverage Enhancement.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50E57FE7" w14:textId="77777777" w:rsidR="00AB4F25" w:rsidRPr="009F0A58" w:rsidRDefault="00AB4F25" w:rsidP="00AB4F25">
            <w:pPr>
              <w:shd w:val="clear" w:color="auto" w:fill="FFFFFF"/>
              <w:rPr>
                <w:highlight w:val="green"/>
                <w:lang w:val="en-US" w:eastAsia="x-none"/>
              </w:rPr>
            </w:pPr>
            <w:bookmarkStart w:id="4" w:name="_Hlk83924038"/>
            <w:r w:rsidRPr="00D83689">
              <w:rPr>
                <w:highlight w:val="green"/>
                <w:lang w:val="en-US" w:eastAsia="x-none"/>
              </w:rPr>
              <w:t>Agreement</w:t>
            </w:r>
          </w:p>
          <w:p w14:paraId="0F68AB3F" w14:textId="77777777" w:rsidR="00AB4F25" w:rsidRPr="009F0A58" w:rsidRDefault="00AB4F25" w:rsidP="00AB4F25">
            <w:pPr>
              <w:numPr>
                <w:ilvl w:val="0"/>
                <w:numId w:val="40"/>
              </w:numPr>
              <w:shd w:val="clear" w:color="auto" w:fill="FFFFFF"/>
              <w:snapToGrid/>
              <w:spacing w:after="0" w:afterAutospacing="0"/>
              <w:rPr>
                <w:lang w:val="en-US" w:eastAsia="x-none"/>
              </w:rPr>
            </w:pPr>
            <w:r w:rsidRPr="009F0A58">
              <w:rPr>
                <w:lang w:val="en-US" w:eastAsia="x-none"/>
              </w:rPr>
              <w:t xml:space="preserve">If FDSS-SE is supported in Rel-18, DMRS are mapped on PRBs of both </w:t>
            </w:r>
            <w:proofErr w:type="spellStart"/>
            <w:r w:rsidRPr="009F0A58">
              <w:rPr>
                <w:lang w:val="en-US" w:eastAsia="x-none"/>
              </w:rPr>
              <w:t>inband</w:t>
            </w:r>
            <w:proofErr w:type="spellEnd"/>
            <w:r w:rsidRPr="009F0A58">
              <w:rPr>
                <w:lang w:val="en-US" w:eastAsia="x-none"/>
              </w:rPr>
              <w:t xml:space="preserve"> and extension and </w:t>
            </w:r>
            <w:proofErr w:type="spellStart"/>
            <w:r w:rsidRPr="009F0A58">
              <w:rPr>
                <w:lang w:val="en-US" w:eastAsia="x-none"/>
              </w:rPr>
              <w:t>gNB</w:t>
            </w:r>
            <w:proofErr w:type="spellEnd"/>
            <w:r w:rsidRPr="009F0A58">
              <w:rPr>
                <w:lang w:val="en-US" w:eastAsia="x-none"/>
              </w:rPr>
              <w:t xml:space="preserve"> can assume that they are filtered using the same Tx shaping filter as data.</w:t>
            </w:r>
          </w:p>
          <w:p w14:paraId="3D7E39B2" w14:textId="77777777" w:rsidR="00AB4F25" w:rsidRPr="009F0A58" w:rsidRDefault="00AB4F25" w:rsidP="00AB4F25">
            <w:pPr>
              <w:numPr>
                <w:ilvl w:val="0"/>
                <w:numId w:val="40"/>
              </w:numPr>
              <w:shd w:val="clear" w:color="auto" w:fill="FFFFFF"/>
              <w:snapToGrid/>
              <w:spacing w:after="0" w:afterAutospacing="0"/>
              <w:rPr>
                <w:lang w:val="en-US" w:eastAsia="x-none"/>
              </w:rPr>
            </w:pPr>
            <w:r w:rsidRPr="009F0A58">
              <w:rPr>
                <w:lang w:val="en-US" w:eastAsia="x-none"/>
              </w:rPr>
              <w:t>FFS: whether and which optimizations to Rel-15 and/or Rel-16 DMRS, including sequence extension and/or mapping, to be used with FDSS-SE, are needed.</w:t>
            </w:r>
          </w:p>
          <w:p w14:paraId="2E784924" w14:textId="77777777" w:rsidR="00AB4F25" w:rsidRPr="009F0A58" w:rsidRDefault="00AB4F25" w:rsidP="00AB4F25">
            <w:pPr>
              <w:numPr>
                <w:ilvl w:val="0"/>
                <w:numId w:val="40"/>
              </w:numPr>
              <w:shd w:val="clear" w:color="auto" w:fill="FFFFFF"/>
              <w:snapToGrid/>
              <w:spacing w:after="0" w:afterAutospacing="0"/>
              <w:rPr>
                <w:lang w:val="en-US" w:eastAsia="x-none"/>
              </w:rPr>
            </w:pPr>
            <w:r w:rsidRPr="009F0A58">
              <w:rPr>
                <w:lang w:val="en-US" w:eastAsia="x-none"/>
              </w:rPr>
              <w:t>Note: whether this will have RAN1 specification impact (if any) is a separate discussion and subject to RAN4’s conclusion to support FDSS-SE as one MPR/PAR reduction solution for Rel-18 (if any).</w:t>
            </w:r>
          </w:p>
          <w:p w14:paraId="6677CA42" w14:textId="77777777" w:rsidR="00AB4F25" w:rsidRDefault="00AB4F25" w:rsidP="00AB4F25">
            <w:pPr>
              <w:rPr>
                <w:highlight w:val="yellow"/>
                <w:lang w:val="en-US" w:eastAsia="x-none"/>
              </w:rPr>
            </w:pPr>
          </w:p>
          <w:p w14:paraId="1C973207" w14:textId="77777777" w:rsidR="00AB4F25" w:rsidRPr="009F31BD" w:rsidRDefault="00AB4F25" w:rsidP="00AB4F25">
            <w:pPr>
              <w:rPr>
                <w:b/>
                <w:bCs/>
                <w:sz w:val="22"/>
                <w:szCs w:val="22"/>
                <w:lang w:val="en-US"/>
              </w:rPr>
            </w:pPr>
            <w:r w:rsidRPr="009F31BD">
              <w:rPr>
                <w:b/>
                <w:bCs/>
                <w:sz w:val="22"/>
                <w:szCs w:val="22"/>
                <w:lang w:val="en-US"/>
              </w:rPr>
              <w:t>Observation</w:t>
            </w:r>
          </w:p>
          <w:p w14:paraId="6F66E72B" w14:textId="77777777" w:rsidR="00AB4F25" w:rsidRPr="00171F1F" w:rsidRDefault="00AB4F25" w:rsidP="00AB4F25">
            <w:pPr>
              <w:spacing w:afterLines="50" w:after="180"/>
              <w:rPr>
                <w:rFonts w:eastAsia="ＭＳ 明朝"/>
                <w:sz w:val="22"/>
                <w:szCs w:val="22"/>
                <w:lang w:val="en-US"/>
              </w:rPr>
            </w:pPr>
            <w:r w:rsidRPr="005672AB">
              <w:rPr>
                <w:rFonts w:eastAsia="ＭＳ 明朝"/>
                <w:sz w:val="22"/>
                <w:szCs w:val="22"/>
                <w:lang w:val="en-US"/>
              </w:rPr>
              <w:t xml:space="preserve">RAN1 discussed advantages and disadvantages of solutions included in </w:t>
            </w:r>
            <w:hyperlink r:id="rId8" w:history="1">
              <w:r w:rsidRPr="00F671DD">
                <w:rPr>
                  <w:rStyle w:val="a7"/>
                  <w:sz w:val="22"/>
                  <w:szCs w:val="22"/>
                  <w:lang w:val="en-US"/>
                </w:rPr>
                <w:t>R1-2302270</w:t>
              </w:r>
            </w:hyperlink>
            <w:r w:rsidRPr="005672AB">
              <w:rPr>
                <w:rFonts w:eastAsia="ＭＳ 明朝"/>
                <w:sz w:val="22"/>
                <w:szCs w:val="22"/>
                <w:lang w:val="en-US"/>
              </w:rPr>
              <w:t xml:space="preserve"> (R4-2303701) on enhancements to realize increasing UE power high limit for CA and DC. Pros and cons of the inclusion in the PHR report of at least one of the following quantities have been analyzed for different reporting </w:t>
            </w:r>
            <w:r w:rsidRPr="00171F1F">
              <w:rPr>
                <w:rFonts w:eastAsia="ＭＳ 明朝"/>
                <w:sz w:val="22"/>
                <w:szCs w:val="22"/>
                <w:lang w:val="en-US"/>
              </w:rPr>
              <w:t>mechanisms, triggers, and reporting periodicities:</w:t>
            </w:r>
          </w:p>
          <w:p w14:paraId="59BF5867" w14:textId="77777777" w:rsidR="00AB4F25" w:rsidRPr="00171F1F" w:rsidRDefault="00AB4F25" w:rsidP="00AB4F25">
            <w:pPr>
              <w:pStyle w:val="aff9"/>
              <w:numPr>
                <w:ilvl w:val="1"/>
                <w:numId w:val="41"/>
              </w:numPr>
              <w:snapToGrid/>
              <w:spacing w:after="180" w:afterAutospacing="0"/>
              <w:ind w:left="1024" w:firstLineChars="0" w:hanging="740"/>
              <w:contextualSpacing/>
              <w:rPr>
                <w:rFonts w:eastAsia="ＭＳ 明朝"/>
                <w:sz w:val="22"/>
                <w:szCs w:val="22"/>
                <w:lang w:val="en-US"/>
              </w:rPr>
            </w:pPr>
            <w:r w:rsidRPr="00171F1F">
              <w:rPr>
                <w:sz w:val="22"/>
                <w:szCs w:val="22"/>
                <w:lang w:eastAsia="zh-CN"/>
              </w:rPr>
              <w:t>∆</w:t>
            </w:r>
            <w:proofErr w:type="spellStart"/>
            <w:r w:rsidRPr="00171F1F">
              <w:rPr>
                <w:rFonts w:eastAsia="Times New Roman"/>
                <w:sz w:val="22"/>
                <w:szCs w:val="22"/>
                <w:lang w:eastAsia="zh-CN"/>
              </w:rPr>
              <w:t>P</w:t>
            </w:r>
            <w:r w:rsidRPr="00171F1F">
              <w:rPr>
                <w:rFonts w:eastAsia="Times New Roman"/>
                <w:sz w:val="22"/>
                <w:szCs w:val="22"/>
                <w:vertAlign w:val="subscript"/>
                <w:lang w:eastAsia="zh-CN"/>
              </w:rPr>
              <w:t>PowerClass</w:t>
            </w:r>
            <w:proofErr w:type="spellEnd"/>
            <w:r w:rsidRPr="00171F1F">
              <w:rPr>
                <w:sz w:val="22"/>
                <w:szCs w:val="22"/>
                <w:lang w:eastAsia="zh-CN"/>
              </w:rPr>
              <w:t xml:space="preserve"> </w:t>
            </w:r>
          </w:p>
          <w:p w14:paraId="1CAF43F5" w14:textId="77777777" w:rsidR="00AB4F25" w:rsidRPr="00171F1F" w:rsidRDefault="00AB4F25" w:rsidP="00AB4F25">
            <w:pPr>
              <w:pStyle w:val="aff9"/>
              <w:numPr>
                <w:ilvl w:val="1"/>
                <w:numId w:val="41"/>
              </w:numPr>
              <w:snapToGrid/>
              <w:spacing w:after="180" w:afterAutospacing="0"/>
              <w:ind w:left="1024" w:firstLineChars="0" w:hanging="740"/>
              <w:contextualSpacing/>
              <w:rPr>
                <w:rFonts w:eastAsia="ＭＳ 明朝"/>
                <w:sz w:val="22"/>
                <w:szCs w:val="22"/>
                <w:lang w:val="en-US"/>
              </w:rPr>
            </w:pPr>
            <w:r w:rsidRPr="00171F1F">
              <w:rPr>
                <w:sz w:val="22"/>
                <w:szCs w:val="22"/>
                <w:lang w:eastAsia="zh-CN"/>
              </w:rPr>
              <w:t>Power class</w:t>
            </w:r>
          </w:p>
          <w:p w14:paraId="0ACECDFF" w14:textId="77777777" w:rsidR="00AB4F25" w:rsidRPr="00171F1F" w:rsidRDefault="00AB4F25" w:rsidP="00AB4F25">
            <w:pPr>
              <w:pStyle w:val="aff9"/>
              <w:numPr>
                <w:ilvl w:val="1"/>
                <w:numId w:val="41"/>
              </w:numPr>
              <w:snapToGrid/>
              <w:spacing w:after="180" w:afterAutospacing="0"/>
              <w:ind w:left="1024" w:firstLineChars="0" w:hanging="740"/>
              <w:contextualSpacing/>
              <w:rPr>
                <w:rFonts w:eastAsia="ＭＳ 明朝"/>
                <w:sz w:val="22"/>
                <w:szCs w:val="22"/>
                <w:lang w:val="en-US"/>
              </w:rPr>
            </w:pPr>
            <w:r w:rsidRPr="00171F1F">
              <w:rPr>
                <w:rFonts w:eastAsia="ＭＳ 明朝"/>
                <w:sz w:val="22"/>
                <w:szCs w:val="22"/>
                <w:lang w:val="en-US"/>
              </w:rPr>
              <w:t xml:space="preserve">P-MPR </w:t>
            </w:r>
          </w:p>
          <w:p w14:paraId="3AC167C2" w14:textId="77777777" w:rsidR="00AB4F25" w:rsidRPr="00171F1F" w:rsidRDefault="00AB4F25" w:rsidP="00AB4F25">
            <w:pPr>
              <w:pStyle w:val="aff9"/>
              <w:numPr>
                <w:ilvl w:val="1"/>
                <w:numId w:val="41"/>
              </w:numPr>
              <w:snapToGrid/>
              <w:spacing w:after="180" w:afterAutospacing="0"/>
              <w:ind w:left="1024" w:firstLineChars="0" w:hanging="740"/>
              <w:contextualSpacing/>
              <w:jc w:val="left"/>
              <w:rPr>
                <w:rFonts w:eastAsia="ＭＳ 明朝"/>
                <w:sz w:val="22"/>
                <w:szCs w:val="22"/>
                <w:lang w:val="en-US"/>
              </w:rPr>
            </w:pPr>
            <w:r w:rsidRPr="00171F1F">
              <w:rPr>
                <w:rFonts w:eastAsia="ＭＳ 明朝"/>
                <w:sz w:val="22"/>
                <w:szCs w:val="22"/>
                <w:lang w:val="en-US"/>
              </w:rPr>
              <w:t>Start and length of evaluation period for power class fallback</w:t>
            </w:r>
          </w:p>
          <w:p w14:paraId="28B65931" w14:textId="77777777" w:rsidR="00AB4F25" w:rsidRPr="00171F1F" w:rsidRDefault="00AB4F25" w:rsidP="00AB4F25">
            <w:pPr>
              <w:pStyle w:val="aff9"/>
              <w:numPr>
                <w:ilvl w:val="1"/>
                <w:numId w:val="41"/>
              </w:numPr>
              <w:snapToGrid/>
              <w:spacing w:after="180" w:afterAutospacing="0"/>
              <w:ind w:left="1024" w:firstLineChars="0" w:hanging="740"/>
              <w:contextualSpacing/>
              <w:jc w:val="left"/>
              <w:rPr>
                <w:rFonts w:eastAsia="ＭＳ 明朝"/>
                <w:sz w:val="22"/>
                <w:szCs w:val="22"/>
                <w:lang w:val="en-US"/>
              </w:rPr>
            </w:pPr>
            <w:r w:rsidRPr="00171F1F">
              <w:rPr>
                <w:rFonts w:eastAsia="ＭＳ 明朝"/>
                <w:sz w:val="22"/>
                <w:szCs w:val="22"/>
                <w:lang w:val="en-US"/>
              </w:rPr>
              <w:t>Estimated duration of power class fallback</w:t>
            </w:r>
          </w:p>
          <w:p w14:paraId="76886CDD" w14:textId="77777777" w:rsidR="00AB4F25" w:rsidRPr="00171F1F" w:rsidRDefault="00AB4F25" w:rsidP="00AB4F25">
            <w:pPr>
              <w:pStyle w:val="aff9"/>
              <w:numPr>
                <w:ilvl w:val="1"/>
                <w:numId w:val="41"/>
              </w:numPr>
              <w:snapToGrid/>
              <w:spacing w:after="180" w:afterAutospacing="0"/>
              <w:ind w:left="1024" w:firstLineChars="0" w:hanging="740"/>
              <w:contextualSpacing/>
              <w:jc w:val="left"/>
              <w:rPr>
                <w:rFonts w:eastAsia="ＭＳ 明朝"/>
                <w:sz w:val="22"/>
                <w:szCs w:val="22"/>
                <w:lang w:val="en-US"/>
              </w:rPr>
            </w:pPr>
            <w:r w:rsidRPr="00171F1F">
              <w:rPr>
                <w:rFonts w:eastAsia="ＭＳ 明朝"/>
                <w:sz w:val="22"/>
                <w:szCs w:val="22"/>
                <w:lang w:val="en-US"/>
              </w:rPr>
              <w:t xml:space="preserve">Estimated duration over which UE can sustain </w:t>
            </w:r>
            <w:proofErr w:type="spellStart"/>
            <w:r w:rsidRPr="00171F1F">
              <w:rPr>
                <w:rFonts w:eastAsia="ＭＳ 明朝"/>
                <w:sz w:val="22"/>
                <w:szCs w:val="22"/>
                <w:lang w:val="en-US"/>
              </w:rPr>
              <w:t>Pcmax</w:t>
            </w:r>
            <w:proofErr w:type="spellEnd"/>
            <w:r w:rsidRPr="00171F1F">
              <w:rPr>
                <w:rFonts w:eastAsia="ＭＳ 明朝"/>
                <w:sz w:val="22"/>
                <w:szCs w:val="22"/>
                <w:lang w:val="en-US"/>
              </w:rPr>
              <w:t xml:space="preserve"> before additional P-MPR is required</w:t>
            </w:r>
          </w:p>
          <w:p w14:paraId="6AC53FBC" w14:textId="77777777" w:rsidR="00AB4F25" w:rsidRPr="00171F1F" w:rsidRDefault="00AB4F25" w:rsidP="00AB4F25">
            <w:pPr>
              <w:pStyle w:val="aff9"/>
              <w:numPr>
                <w:ilvl w:val="1"/>
                <w:numId w:val="41"/>
              </w:numPr>
              <w:snapToGrid/>
              <w:spacing w:after="180" w:afterAutospacing="0"/>
              <w:ind w:left="1024" w:firstLineChars="0" w:hanging="740"/>
              <w:contextualSpacing/>
              <w:jc w:val="left"/>
              <w:rPr>
                <w:rFonts w:eastAsia="ＭＳ 明朝"/>
                <w:sz w:val="22"/>
                <w:szCs w:val="22"/>
                <w:lang w:val="en-US"/>
              </w:rPr>
            </w:pPr>
            <w:r w:rsidRPr="00171F1F">
              <w:rPr>
                <w:rFonts w:eastAsia="ＭＳ 明朝"/>
                <w:sz w:val="22"/>
                <w:szCs w:val="22"/>
                <w:lang w:val="en-US"/>
              </w:rPr>
              <w:t>Sustainable duty cycle to prevent a fallback</w:t>
            </w:r>
          </w:p>
          <w:p w14:paraId="2C2B0D67" w14:textId="77777777" w:rsidR="00AB4F25" w:rsidRPr="00171F1F" w:rsidRDefault="00AB4F25" w:rsidP="00AB4F25">
            <w:pPr>
              <w:pStyle w:val="aff9"/>
              <w:numPr>
                <w:ilvl w:val="1"/>
                <w:numId w:val="41"/>
              </w:numPr>
              <w:snapToGrid/>
              <w:spacing w:after="180" w:afterAutospacing="0"/>
              <w:ind w:left="1024" w:firstLineChars="0" w:hanging="740"/>
              <w:contextualSpacing/>
              <w:jc w:val="left"/>
              <w:rPr>
                <w:sz w:val="22"/>
                <w:szCs w:val="22"/>
                <w:lang w:val="en-US"/>
              </w:rPr>
            </w:pPr>
            <w:r w:rsidRPr="00171F1F">
              <w:rPr>
                <w:sz w:val="22"/>
                <w:szCs w:val="22"/>
                <w:lang w:val="en-US" w:eastAsia="zh-CN"/>
              </w:rPr>
              <w:t>Energy/power availability</w:t>
            </w:r>
          </w:p>
          <w:p w14:paraId="358B54E5" w14:textId="1F0AAB22" w:rsidR="00935905" w:rsidRPr="00AB4F25" w:rsidRDefault="00AB4F25" w:rsidP="00AB4F25">
            <w:pPr>
              <w:pStyle w:val="aff9"/>
              <w:ind w:firstLine="440"/>
              <w:rPr>
                <w:rFonts w:eastAsia="ＭＳ 明朝"/>
                <w:sz w:val="22"/>
                <w:szCs w:val="22"/>
                <w:lang w:val="en-US"/>
              </w:rPr>
            </w:pPr>
            <w:r w:rsidRPr="00171F1F">
              <w:rPr>
                <w:rFonts w:eastAsia="ＭＳ 明朝"/>
                <w:sz w:val="22"/>
                <w:szCs w:val="22"/>
                <w:lang w:val="en-US"/>
              </w:rPr>
              <w:t xml:space="preserve">Note: Discussion is still ongoing, and its full current content can be found in Section 2.1.2 of </w:t>
            </w:r>
            <w:hyperlink r:id="rId9" w:history="1">
              <w:r w:rsidRPr="00F671DD">
                <w:rPr>
                  <w:rStyle w:val="a7"/>
                  <w:sz w:val="22"/>
                  <w:szCs w:val="22"/>
                  <w:lang w:val="en-US"/>
                </w:rPr>
                <w:t>R1-2303924</w:t>
              </w:r>
            </w:hyperlink>
            <w:r w:rsidRPr="00171F1F">
              <w:rPr>
                <w:rFonts w:eastAsia="ＭＳ 明朝"/>
                <w:sz w:val="22"/>
                <w:szCs w:val="22"/>
                <w:lang w:val="en-US"/>
              </w:rPr>
              <w:t>.</w:t>
            </w:r>
          </w:p>
        </w:tc>
      </w:tr>
    </w:tbl>
    <w:bookmarkEnd w:id="4"/>
    <w:p w14:paraId="0FEFEC97" w14:textId="0E3DE3B0"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6A32EA" w:rsidRPr="006A32EA">
        <w:rPr>
          <w:rFonts w:eastAsia="ＭＳ 明朝"/>
          <w:color w:val="000000" w:themeColor="text1"/>
        </w:rPr>
        <w:t>power domain enhancements</w:t>
      </w:r>
      <w:r w:rsidR="000914B6" w:rsidRPr="000914B6">
        <w:rPr>
          <w:rFonts w:eastAsia="ＭＳ 明朝"/>
          <w:color w:val="000000" w:themeColor="text1"/>
        </w:rPr>
        <w:t xml:space="preserve"> for Rel-18 </w:t>
      </w:r>
      <w:r w:rsidR="00CC072E">
        <w:rPr>
          <w:rFonts w:eastAsia="ＭＳ 明朝"/>
          <w:color w:val="000000" w:themeColor="text1"/>
        </w:rPr>
        <w:t>coverage enhancement</w:t>
      </w:r>
      <w:r w:rsidRPr="00683FDE">
        <w:rPr>
          <w:rFonts w:eastAsia="ＭＳ 明朝"/>
          <w:color w:val="000000" w:themeColor="text1"/>
        </w:rPr>
        <w:t>.</w:t>
      </w:r>
    </w:p>
    <w:bookmarkEnd w:id="2"/>
    <w:p w14:paraId="2EF708C8" w14:textId="1B843EC7" w:rsidR="00322B14" w:rsidRDefault="00656E99" w:rsidP="0025513F">
      <w:pPr>
        <w:pStyle w:val="10"/>
        <w:spacing w:after="180"/>
        <w:rPr>
          <w:color w:val="000000" w:themeColor="text1"/>
          <w:lang w:val="en-US"/>
        </w:rPr>
      </w:pPr>
      <w:r w:rsidRPr="00683FDE">
        <w:rPr>
          <w:color w:val="000000" w:themeColor="text1"/>
          <w:lang w:val="en-US"/>
        </w:rPr>
        <w:lastRenderedPageBreak/>
        <w:t>Discussions</w:t>
      </w:r>
    </w:p>
    <w:p w14:paraId="400811FE" w14:textId="4C0DB5E1" w:rsidR="00AB498D" w:rsidRDefault="00AB498D" w:rsidP="00AB498D">
      <w:pPr>
        <w:pStyle w:val="20"/>
        <w:rPr>
          <w:lang w:val="en-US"/>
        </w:rPr>
      </w:pPr>
      <w:r w:rsidRPr="00AB498D">
        <w:rPr>
          <w:lang w:val="en-US"/>
        </w:rPr>
        <w:t>Enhancements to realize increasing UE power high limit for CA and DC</w:t>
      </w:r>
    </w:p>
    <w:p w14:paraId="03BC33F9" w14:textId="06D53BD3" w:rsidR="00A1121C" w:rsidRDefault="00A1121C" w:rsidP="005E68FD">
      <w:pPr>
        <w:rPr>
          <w:lang w:val="en-US"/>
        </w:rPr>
      </w:pPr>
      <w:r>
        <w:rPr>
          <w:rFonts w:hint="eastAsia"/>
          <w:lang w:val="en-US"/>
        </w:rPr>
        <w:t>I</w:t>
      </w:r>
      <w:r>
        <w:rPr>
          <w:lang w:val="en-US"/>
        </w:rPr>
        <w:t>n RAN1#11</w:t>
      </w:r>
      <w:r w:rsidR="00521CA2">
        <w:rPr>
          <w:lang w:val="en-US"/>
        </w:rPr>
        <w:t>2</w:t>
      </w:r>
      <w:r w:rsidR="00977AF7">
        <w:rPr>
          <w:lang w:val="en-US"/>
        </w:rPr>
        <w:t>bis-e</w:t>
      </w:r>
      <w:r>
        <w:rPr>
          <w:lang w:val="en-US"/>
        </w:rPr>
        <w:t xml:space="preserve"> meeting, </w:t>
      </w:r>
      <w:r w:rsidR="00977AF7">
        <w:rPr>
          <w:lang w:val="en-US"/>
        </w:rPr>
        <w:t>although no consensus to provide formal information to RAN4 was reached, we had very detailed technical discussions on the listed options. The listed options include both reactive enhancements and proactive enhancements.</w:t>
      </w:r>
    </w:p>
    <w:p w14:paraId="1345DE40" w14:textId="3BDFF538" w:rsidR="00696043" w:rsidRDefault="00977AF7" w:rsidP="005E68FD">
      <w:pPr>
        <w:rPr>
          <w:iCs/>
          <w:lang w:val="en-US"/>
        </w:rPr>
      </w:pPr>
      <w:r>
        <w:rPr>
          <w:iCs/>
          <w:lang w:val="en-US"/>
        </w:rPr>
        <w:t>For the reactive enhancements, the following three options have been raised and were discussed.</w:t>
      </w:r>
      <w:r w:rsidR="00462A82">
        <w:rPr>
          <w:iCs/>
          <w:lang w:val="en-US"/>
        </w:rPr>
        <w:t xml:space="preserve"> “</w:t>
      </w:r>
      <w:r w:rsidR="00462A82" w:rsidRPr="00171F1F">
        <w:rPr>
          <w:sz w:val="22"/>
          <w:szCs w:val="22"/>
          <w:lang w:eastAsia="zh-CN"/>
        </w:rPr>
        <w:t>∆</w:t>
      </w:r>
      <w:proofErr w:type="spellStart"/>
      <w:r w:rsidR="00462A82" w:rsidRPr="00171F1F">
        <w:rPr>
          <w:rFonts w:eastAsia="Times New Roman"/>
          <w:sz w:val="22"/>
          <w:szCs w:val="22"/>
          <w:lang w:eastAsia="zh-CN"/>
        </w:rPr>
        <w:t>P</w:t>
      </w:r>
      <w:r w:rsidR="00462A82" w:rsidRPr="00171F1F">
        <w:rPr>
          <w:rFonts w:eastAsia="Times New Roman"/>
          <w:sz w:val="22"/>
          <w:szCs w:val="22"/>
          <w:vertAlign w:val="subscript"/>
          <w:lang w:eastAsia="zh-CN"/>
        </w:rPr>
        <w:t>PowerClass</w:t>
      </w:r>
      <w:proofErr w:type="spellEnd"/>
      <w:r w:rsidR="00462A82">
        <w:rPr>
          <w:iCs/>
          <w:lang w:val="en-US"/>
        </w:rPr>
        <w:t xml:space="preserve">” and “Power class” would enable the </w:t>
      </w:r>
      <w:proofErr w:type="spellStart"/>
      <w:r w:rsidR="00462A82">
        <w:rPr>
          <w:iCs/>
          <w:lang w:val="en-US"/>
        </w:rPr>
        <w:t>gNB</w:t>
      </w:r>
      <w:proofErr w:type="spellEnd"/>
      <w:r w:rsidR="00462A82">
        <w:rPr>
          <w:iCs/>
          <w:lang w:val="en-US"/>
        </w:rPr>
        <w:t xml:space="preserve"> to know whether the transmit power change reported by “</w:t>
      </w:r>
      <w:proofErr w:type="spellStart"/>
      <w:r w:rsidR="00462A82">
        <w:rPr>
          <w:iCs/>
          <w:lang w:val="en-US"/>
        </w:rPr>
        <w:t>Pcmax</w:t>
      </w:r>
      <w:proofErr w:type="spellEnd"/>
      <w:r w:rsidR="00462A82">
        <w:rPr>
          <w:iCs/>
          <w:lang w:val="en-US"/>
        </w:rPr>
        <w:t xml:space="preserve">” in PHR is caused by power class change or not. This somehow helps the </w:t>
      </w:r>
      <w:proofErr w:type="spellStart"/>
      <w:r w:rsidR="00462A82">
        <w:rPr>
          <w:iCs/>
          <w:lang w:val="en-US"/>
        </w:rPr>
        <w:t>gNB</w:t>
      </w:r>
      <w:proofErr w:type="spellEnd"/>
      <w:r w:rsidR="00462A82">
        <w:rPr>
          <w:iCs/>
          <w:lang w:val="en-US"/>
        </w:rPr>
        <w:t xml:space="preserve"> to determine UL scheduling and its transmission power control after the power class change. P-MPR does not directly inform the </w:t>
      </w:r>
      <w:proofErr w:type="spellStart"/>
      <w:r w:rsidR="00462A82">
        <w:rPr>
          <w:iCs/>
          <w:lang w:val="en-US"/>
        </w:rPr>
        <w:t>gNB</w:t>
      </w:r>
      <w:proofErr w:type="spellEnd"/>
      <w:r w:rsidR="00462A82">
        <w:rPr>
          <w:iCs/>
          <w:lang w:val="en-US"/>
        </w:rPr>
        <w:t xml:space="preserve"> of whether the power class has been changed or not. However, it can reflect other causes that have affected the current </w:t>
      </w:r>
      <w:proofErr w:type="spellStart"/>
      <w:r w:rsidR="00462A82">
        <w:rPr>
          <w:iCs/>
          <w:lang w:val="en-US"/>
        </w:rPr>
        <w:t>Pcmax</w:t>
      </w:r>
      <w:proofErr w:type="spellEnd"/>
      <w:r w:rsidR="00462A82">
        <w:rPr>
          <w:iCs/>
          <w:lang w:val="en-US"/>
        </w:rPr>
        <w:t xml:space="preserve"> (e.g., SAR status).</w:t>
      </w:r>
    </w:p>
    <w:p w14:paraId="0183D061" w14:textId="77777777" w:rsidR="00977AF7" w:rsidRPr="00171F1F" w:rsidRDefault="00977AF7" w:rsidP="00977AF7">
      <w:pPr>
        <w:pStyle w:val="aff9"/>
        <w:numPr>
          <w:ilvl w:val="0"/>
          <w:numId w:val="43"/>
        </w:numPr>
        <w:snapToGrid/>
        <w:spacing w:after="180" w:afterAutospacing="0"/>
        <w:ind w:firstLineChars="0"/>
        <w:contextualSpacing/>
        <w:rPr>
          <w:rFonts w:eastAsia="ＭＳ 明朝"/>
          <w:sz w:val="22"/>
          <w:szCs w:val="22"/>
          <w:lang w:val="en-US"/>
        </w:rPr>
      </w:pPr>
      <w:r w:rsidRPr="00171F1F">
        <w:rPr>
          <w:sz w:val="22"/>
          <w:szCs w:val="22"/>
          <w:lang w:eastAsia="zh-CN"/>
        </w:rPr>
        <w:t>∆</w:t>
      </w:r>
      <w:proofErr w:type="spellStart"/>
      <w:r w:rsidRPr="00171F1F">
        <w:rPr>
          <w:rFonts w:eastAsia="Times New Roman"/>
          <w:sz w:val="22"/>
          <w:szCs w:val="22"/>
          <w:lang w:eastAsia="zh-CN"/>
        </w:rPr>
        <w:t>P</w:t>
      </w:r>
      <w:r w:rsidRPr="00171F1F">
        <w:rPr>
          <w:rFonts w:eastAsia="Times New Roman"/>
          <w:sz w:val="22"/>
          <w:szCs w:val="22"/>
          <w:vertAlign w:val="subscript"/>
          <w:lang w:eastAsia="zh-CN"/>
        </w:rPr>
        <w:t>PowerClass</w:t>
      </w:r>
      <w:proofErr w:type="spellEnd"/>
      <w:r w:rsidRPr="00171F1F">
        <w:rPr>
          <w:sz w:val="22"/>
          <w:szCs w:val="22"/>
          <w:lang w:eastAsia="zh-CN"/>
        </w:rPr>
        <w:t xml:space="preserve"> </w:t>
      </w:r>
    </w:p>
    <w:p w14:paraId="38DDDBA0" w14:textId="77777777" w:rsidR="00977AF7" w:rsidRPr="00171F1F" w:rsidRDefault="00977AF7" w:rsidP="00977AF7">
      <w:pPr>
        <w:pStyle w:val="aff9"/>
        <w:numPr>
          <w:ilvl w:val="0"/>
          <w:numId w:val="43"/>
        </w:numPr>
        <w:snapToGrid/>
        <w:spacing w:after="180" w:afterAutospacing="0"/>
        <w:ind w:firstLineChars="0"/>
        <w:contextualSpacing/>
        <w:rPr>
          <w:rFonts w:eastAsia="ＭＳ 明朝"/>
          <w:sz w:val="22"/>
          <w:szCs w:val="22"/>
          <w:lang w:val="en-US"/>
        </w:rPr>
      </w:pPr>
      <w:r w:rsidRPr="00171F1F">
        <w:rPr>
          <w:sz w:val="22"/>
          <w:szCs w:val="22"/>
          <w:lang w:eastAsia="zh-CN"/>
        </w:rPr>
        <w:t>Power class</w:t>
      </w:r>
    </w:p>
    <w:p w14:paraId="323F606B" w14:textId="77777777" w:rsidR="00977AF7" w:rsidRPr="00171F1F" w:rsidRDefault="00977AF7" w:rsidP="00977AF7">
      <w:pPr>
        <w:pStyle w:val="aff9"/>
        <w:numPr>
          <w:ilvl w:val="0"/>
          <w:numId w:val="43"/>
        </w:numPr>
        <w:snapToGrid/>
        <w:spacing w:after="180" w:afterAutospacing="0"/>
        <w:ind w:firstLineChars="0"/>
        <w:contextualSpacing/>
        <w:rPr>
          <w:rFonts w:eastAsia="ＭＳ 明朝"/>
          <w:sz w:val="22"/>
          <w:szCs w:val="22"/>
          <w:lang w:val="en-US"/>
        </w:rPr>
      </w:pPr>
      <w:r w:rsidRPr="00171F1F">
        <w:rPr>
          <w:rFonts w:eastAsia="ＭＳ 明朝"/>
          <w:sz w:val="22"/>
          <w:szCs w:val="22"/>
          <w:lang w:val="en-US"/>
        </w:rPr>
        <w:t xml:space="preserve">P-MPR </w:t>
      </w:r>
    </w:p>
    <w:p w14:paraId="0330499D" w14:textId="77777777" w:rsidR="007151C6" w:rsidRDefault="00462A82" w:rsidP="005E68FD">
      <w:pPr>
        <w:rPr>
          <w:iCs/>
          <w:lang w:val="en-US"/>
        </w:rPr>
      </w:pPr>
      <w:r>
        <w:rPr>
          <w:rFonts w:hint="eastAsia"/>
          <w:iCs/>
          <w:lang w:val="en-US"/>
        </w:rPr>
        <w:t>A</w:t>
      </w:r>
      <w:r>
        <w:rPr>
          <w:iCs/>
          <w:lang w:val="en-US"/>
        </w:rPr>
        <w:t>s for the proactive enhancements, options</w:t>
      </w:r>
      <w:r w:rsidR="00806D98">
        <w:rPr>
          <w:iCs/>
          <w:lang w:val="en-US"/>
        </w:rPr>
        <w:t xml:space="preserve"> with a lot of variants</w:t>
      </w:r>
      <w:r>
        <w:rPr>
          <w:iCs/>
          <w:lang w:val="en-US"/>
        </w:rPr>
        <w:t xml:space="preserve"> including the following were raised</w:t>
      </w:r>
      <w:r w:rsidR="00806D98">
        <w:rPr>
          <w:iCs/>
          <w:lang w:val="en-US"/>
        </w:rPr>
        <w:t xml:space="preserve"> in the last meeting</w:t>
      </w:r>
      <w:r>
        <w:rPr>
          <w:iCs/>
          <w:lang w:val="en-US"/>
        </w:rPr>
        <w:t>. The majority of the companies expressed their views that RAN1 should have more study and discussion on the options.</w:t>
      </w:r>
      <w:r w:rsidR="00151356">
        <w:rPr>
          <w:iCs/>
          <w:lang w:val="en-US"/>
        </w:rPr>
        <w:t xml:space="preserve"> </w:t>
      </w:r>
    </w:p>
    <w:p w14:paraId="0F7E26F6" w14:textId="77777777" w:rsidR="00462A82" w:rsidRPr="00171F1F" w:rsidRDefault="00462A82" w:rsidP="00462A82">
      <w:pPr>
        <w:pStyle w:val="aff9"/>
        <w:numPr>
          <w:ilvl w:val="0"/>
          <w:numId w:val="44"/>
        </w:numPr>
        <w:snapToGrid/>
        <w:spacing w:after="180" w:afterAutospacing="0"/>
        <w:ind w:firstLineChars="0"/>
        <w:contextualSpacing/>
        <w:jc w:val="left"/>
        <w:rPr>
          <w:rFonts w:eastAsia="ＭＳ 明朝"/>
          <w:sz w:val="22"/>
          <w:szCs w:val="22"/>
          <w:lang w:val="en-US"/>
        </w:rPr>
      </w:pPr>
      <w:r w:rsidRPr="00171F1F">
        <w:rPr>
          <w:rFonts w:eastAsia="ＭＳ 明朝"/>
          <w:sz w:val="22"/>
          <w:szCs w:val="22"/>
          <w:lang w:val="en-US"/>
        </w:rPr>
        <w:t>Start and length of evaluation period for power class fallback</w:t>
      </w:r>
    </w:p>
    <w:p w14:paraId="75A971A6" w14:textId="77777777" w:rsidR="00462A82" w:rsidRPr="00171F1F" w:rsidRDefault="00462A82" w:rsidP="00462A82">
      <w:pPr>
        <w:pStyle w:val="aff9"/>
        <w:numPr>
          <w:ilvl w:val="0"/>
          <w:numId w:val="44"/>
        </w:numPr>
        <w:snapToGrid/>
        <w:spacing w:after="180" w:afterAutospacing="0"/>
        <w:ind w:firstLineChars="0"/>
        <w:contextualSpacing/>
        <w:jc w:val="left"/>
        <w:rPr>
          <w:rFonts w:eastAsia="ＭＳ 明朝"/>
          <w:sz w:val="22"/>
          <w:szCs w:val="22"/>
          <w:lang w:val="en-US"/>
        </w:rPr>
      </w:pPr>
      <w:r w:rsidRPr="00171F1F">
        <w:rPr>
          <w:rFonts w:eastAsia="ＭＳ 明朝"/>
          <w:sz w:val="22"/>
          <w:szCs w:val="22"/>
          <w:lang w:val="en-US"/>
        </w:rPr>
        <w:t>Estimated duration of power class fallback</w:t>
      </w:r>
    </w:p>
    <w:p w14:paraId="0079D5AF" w14:textId="77777777" w:rsidR="00462A82" w:rsidRPr="00171F1F" w:rsidRDefault="00462A82" w:rsidP="00462A82">
      <w:pPr>
        <w:pStyle w:val="aff9"/>
        <w:numPr>
          <w:ilvl w:val="0"/>
          <w:numId w:val="44"/>
        </w:numPr>
        <w:snapToGrid/>
        <w:spacing w:after="180" w:afterAutospacing="0"/>
        <w:ind w:firstLineChars="0"/>
        <w:contextualSpacing/>
        <w:jc w:val="left"/>
        <w:rPr>
          <w:rFonts w:eastAsia="ＭＳ 明朝"/>
          <w:sz w:val="22"/>
          <w:szCs w:val="22"/>
          <w:lang w:val="en-US"/>
        </w:rPr>
      </w:pPr>
      <w:r w:rsidRPr="00171F1F">
        <w:rPr>
          <w:rFonts w:eastAsia="ＭＳ 明朝"/>
          <w:sz w:val="22"/>
          <w:szCs w:val="22"/>
          <w:lang w:val="en-US"/>
        </w:rPr>
        <w:t xml:space="preserve">Estimated duration over which UE can sustain </w:t>
      </w:r>
      <w:proofErr w:type="spellStart"/>
      <w:r w:rsidRPr="00171F1F">
        <w:rPr>
          <w:rFonts w:eastAsia="ＭＳ 明朝"/>
          <w:sz w:val="22"/>
          <w:szCs w:val="22"/>
          <w:lang w:val="en-US"/>
        </w:rPr>
        <w:t>Pcmax</w:t>
      </w:r>
      <w:proofErr w:type="spellEnd"/>
      <w:r w:rsidRPr="00171F1F">
        <w:rPr>
          <w:rFonts w:eastAsia="ＭＳ 明朝"/>
          <w:sz w:val="22"/>
          <w:szCs w:val="22"/>
          <w:lang w:val="en-US"/>
        </w:rPr>
        <w:t xml:space="preserve"> before additional P-MPR is required</w:t>
      </w:r>
    </w:p>
    <w:p w14:paraId="5D074F19" w14:textId="77777777" w:rsidR="00462A82" w:rsidRPr="00171F1F" w:rsidRDefault="00462A82" w:rsidP="00462A82">
      <w:pPr>
        <w:pStyle w:val="aff9"/>
        <w:numPr>
          <w:ilvl w:val="0"/>
          <w:numId w:val="44"/>
        </w:numPr>
        <w:snapToGrid/>
        <w:spacing w:after="180" w:afterAutospacing="0"/>
        <w:ind w:firstLineChars="0"/>
        <w:contextualSpacing/>
        <w:jc w:val="left"/>
        <w:rPr>
          <w:rFonts w:eastAsia="ＭＳ 明朝"/>
          <w:sz w:val="22"/>
          <w:szCs w:val="22"/>
          <w:lang w:val="en-US"/>
        </w:rPr>
      </w:pPr>
      <w:r w:rsidRPr="00171F1F">
        <w:rPr>
          <w:rFonts w:eastAsia="ＭＳ 明朝"/>
          <w:sz w:val="22"/>
          <w:szCs w:val="22"/>
          <w:lang w:val="en-US"/>
        </w:rPr>
        <w:t>Sustainable duty cycle to prevent a fallback</w:t>
      </w:r>
    </w:p>
    <w:p w14:paraId="7C725895" w14:textId="77777777" w:rsidR="00462A82" w:rsidRPr="00171F1F" w:rsidRDefault="00462A82" w:rsidP="00462A82">
      <w:pPr>
        <w:pStyle w:val="aff9"/>
        <w:numPr>
          <w:ilvl w:val="0"/>
          <w:numId w:val="44"/>
        </w:numPr>
        <w:snapToGrid/>
        <w:spacing w:after="180" w:afterAutospacing="0"/>
        <w:ind w:firstLineChars="0"/>
        <w:contextualSpacing/>
        <w:jc w:val="left"/>
        <w:rPr>
          <w:sz w:val="22"/>
          <w:szCs w:val="22"/>
          <w:lang w:val="en-US"/>
        </w:rPr>
      </w:pPr>
      <w:r w:rsidRPr="00171F1F">
        <w:rPr>
          <w:sz w:val="22"/>
          <w:szCs w:val="22"/>
          <w:lang w:val="en-US" w:eastAsia="zh-CN"/>
        </w:rPr>
        <w:t>Energy/power availability</w:t>
      </w:r>
    </w:p>
    <w:p w14:paraId="33E600CD" w14:textId="45437EDB" w:rsidR="00554C10" w:rsidRDefault="003930AF" w:rsidP="007151C6">
      <w:pPr>
        <w:rPr>
          <w:iCs/>
          <w:lang w:val="en-US"/>
        </w:rPr>
      </w:pPr>
      <w:r>
        <w:rPr>
          <w:iCs/>
          <w:lang w:val="en-US"/>
        </w:rPr>
        <w:t>The 1</w:t>
      </w:r>
      <w:r w:rsidRPr="003930AF">
        <w:rPr>
          <w:iCs/>
          <w:vertAlign w:val="superscript"/>
          <w:lang w:val="en-US"/>
        </w:rPr>
        <w:t>st</w:t>
      </w:r>
      <w:r>
        <w:rPr>
          <w:iCs/>
          <w:lang w:val="en-US"/>
        </w:rPr>
        <w:t xml:space="preserve"> option would have an impact at the UE side, since currently the evaluation period is fully left to UE implementation. With some implementation, it may be hard even to define start timing of the evaluation period. Moreover, it does not provide any information about how much remaining energy the UE can transmit. The 2</w:t>
      </w:r>
      <w:r w:rsidRPr="003930AF">
        <w:rPr>
          <w:iCs/>
          <w:vertAlign w:val="superscript"/>
          <w:lang w:val="en-US"/>
        </w:rPr>
        <w:t>nd</w:t>
      </w:r>
      <w:r>
        <w:rPr>
          <w:iCs/>
          <w:lang w:val="en-US"/>
        </w:rPr>
        <w:t xml:space="preserve"> and 4</w:t>
      </w:r>
      <w:r w:rsidRPr="003930AF">
        <w:rPr>
          <w:iCs/>
          <w:vertAlign w:val="superscript"/>
          <w:lang w:val="en-US"/>
        </w:rPr>
        <w:t>th</w:t>
      </w:r>
      <w:r>
        <w:rPr>
          <w:iCs/>
          <w:lang w:val="en-US"/>
        </w:rPr>
        <w:t xml:space="preserve"> options are similar to the 3</w:t>
      </w:r>
      <w:r w:rsidRPr="003930AF">
        <w:rPr>
          <w:iCs/>
          <w:vertAlign w:val="superscript"/>
          <w:lang w:val="en-US"/>
        </w:rPr>
        <w:t>rd</w:t>
      </w:r>
      <w:r>
        <w:rPr>
          <w:iCs/>
          <w:lang w:val="en-US"/>
        </w:rPr>
        <w:t xml:space="preserve"> option, but the 3</w:t>
      </w:r>
      <w:r w:rsidRPr="003930AF">
        <w:rPr>
          <w:iCs/>
          <w:vertAlign w:val="superscript"/>
          <w:lang w:val="en-US"/>
        </w:rPr>
        <w:t>rd</w:t>
      </w:r>
      <w:r>
        <w:rPr>
          <w:iCs/>
          <w:lang w:val="en-US"/>
        </w:rPr>
        <w:t xml:space="preserve"> option looks much more complete</w:t>
      </w:r>
      <w:r w:rsidR="00554C10">
        <w:rPr>
          <w:iCs/>
          <w:lang w:val="en-US"/>
        </w:rPr>
        <w:t>. The reason is that</w:t>
      </w:r>
      <w:r>
        <w:rPr>
          <w:iCs/>
          <w:lang w:val="en-US"/>
        </w:rPr>
        <w:t xml:space="preserve"> </w:t>
      </w:r>
      <w:r w:rsidR="00554C10">
        <w:rPr>
          <w:iCs/>
          <w:lang w:val="en-US"/>
        </w:rPr>
        <w:t>the 3</w:t>
      </w:r>
      <w:r w:rsidR="00554C10" w:rsidRPr="00554C10">
        <w:rPr>
          <w:iCs/>
          <w:vertAlign w:val="superscript"/>
          <w:lang w:val="en-US"/>
        </w:rPr>
        <w:t>rd</w:t>
      </w:r>
      <w:r w:rsidR="00554C10">
        <w:rPr>
          <w:iCs/>
          <w:lang w:val="en-US"/>
        </w:rPr>
        <w:t xml:space="preserve"> option</w:t>
      </w:r>
      <w:r>
        <w:rPr>
          <w:iCs/>
          <w:lang w:val="en-US"/>
        </w:rPr>
        <w:t xml:space="preserve"> would provide information to the </w:t>
      </w:r>
      <w:proofErr w:type="spellStart"/>
      <w:r>
        <w:rPr>
          <w:iCs/>
          <w:lang w:val="en-US"/>
        </w:rPr>
        <w:t>gNB</w:t>
      </w:r>
      <w:proofErr w:type="spellEnd"/>
      <w:r>
        <w:rPr>
          <w:iCs/>
          <w:lang w:val="en-US"/>
        </w:rPr>
        <w:t xml:space="preserve"> both before and after power class fallback</w:t>
      </w:r>
      <w:r w:rsidR="00554C10">
        <w:rPr>
          <w:iCs/>
          <w:lang w:val="en-US"/>
        </w:rPr>
        <w:t>, while the 2</w:t>
      </w:r>
      <w:r w:rsidR="00554C10" w:rsidRPr="003930AF">
        <w:rPr>
          <w:iCs/>
          <w:vertAlign w:val="superscript"/>
          <w:lang w:val="en-US"/>
        </w:rPr>
        <w:t>nd</w:t>
      </w:r>
      <w:r w:rsidR="00554C10">
        <w:rPr>
          <w:iCs/>
          <w:lang w:val="en-US"/>
        </w:rPr>
        <w:t xml:space="preserve"> and 4</w:t>
      </w:r>
      <w:r w:rsidR="00554C10" w:rsidRPr="003930AF">
        <w:rPr>
          <w:iCs/>
          <w:vertAlign w:val="superscript"/>
          <w:lang w:val="en-US"/>
        </w:rPr>
        <w:t>th</w:t>
      </w:r>
      <w:r w:rsidR="00554C10">
        <w:rPr>
          <w:iCs/>
          <w:lang w:val="en-US"/>
        </w:rPr>
        <w:t xml:space="preserve"> options provide information only either before or after power class fallback</w:t>
      </w:r>
      <w:r>
        <w:rPr>
          <w:iCs/>
          <w:lang w:val="en-US"/>
        </w:rPr>
        <w:t xml:space="preserve">. </w:t>
      </w:r>
    </w:p>
    <w:p w14:paraId="09685C0B" w14:textId="62DE6A7E" w:rsidR="007151C6" w:rsidRDefault="00554C10" w:rsidP="007151C6">
      <w:pPr>
        <w:rPr>
          <w:iCs/>
          <w:lang w:val="en-US"/>
        </w:rPr>
      </w:pPr>
      <w:r>
        <w:rPr>
          <w:iCs/>
          <w:lang w:val="en-US"/>
        </w:rPr>
        <w:t>The 1</w:t>
      </w:r>
      <w:r w:rsidRPr="00151356">
        <w:rPr>
          <w:iCs/>
          <w:vertAlign w:val="superscript"/>
          <w:lang w:val="en-US"/>
        </w:rPr>
        <w:t>st</w:t>
      </w:r>
      <w:r>
        <w:rPr>
          <w:iCs/>
          <w:lang w:val="en-US"/>
        </w:rPr>
        <w:t xml:space="preserve"> and 4</w:t>
      </w:r>
      <w:r w:rsidRPr="00151356">
        <w:rPr>
          <w:iCs/>
          <w:vertAlign w:val="superscript"/>
          <w:lang w:val="en-US"/>
        </w:rPr>
        <w:t>th</w:t>
      </w:r>
      <w:r>
        <w:rPr>
          <w:iCs/>
          <w:lang w:val="en-US"/>
        </w:rPr>
        <w:t xml:space="preserve"> options above were also raised and discussed in RAN4 [2]. </w:t>
      </w:r>
      <w:r w:rsidR="007151C6">
        <w:rPr>
          <w:iCs/>
          <w:lang w:val="en-US"/>
        </w:rPr>
        <w:t>Additional options listed in the observation from RAN1#112bis-e could be a reference for further discussions in RAN4.</w:t>
      </w:r>
    </w:p>
    <w:p w14:paraId="2C7B1884" w14:textId="77777777" w:rsidR="007151C6" w:rsidRPr="007151C6" w:rsidRDefault="007151C6" w:rsidP="005E68FD">
      <w:pPr>
        <w:rPr>
          <w:iCs/>
          <w:lang w:val="en-US"/>
        </w:rPr>
      </w:pPr>
    </w:p>
    <w:p w14:paraId="68F74C5A" w14:textId="44FC8390" w:rsidR="00AB498D" w:rsidRDefault="00AB498D" w:rsidP="00AB498D">
      <w:pPr>
        <w:pStyle w:val="20"/>
        <w:rPr>
          <w:lang w:val="en-US"/>
        </w:rPr>
      </w:pPr>
      <w:r w:rsidRPr="00AB498D">
        <w:rPr>
          <w:lang w:val="en-US"/>
        </w:rPr>
        <w:lastRenderedPageBreak/>
        <w:t>Enhancements to reduce MPR/PAR</w:t>
      </w:r>
    </w:p>
    <w:p w14:paraId="5C8E4914" w14:textId="7FCF9ACF" w:rsidR="002B1EDC" w:rsidRDefault="002B1EDC" w:rsidP="00AB498D">
      <w:pPr>
        <w:rPr>
          <w:lang w:val="en-US"/>
        </w:rPr>
      </w:pPr>
      <w:r>
        <w:rPr>
          <w:lang w:val="en-US"/>
        </w:rPr>
        <w:t>In the study of “</w:t>
      </w:r>
      <w:r w:rsidRPr="00C33F1D">
        <w:rPr>
          <w:lang w:val="en-US"/>
        </w:rPr>
        <w:t>Study on optimizations of pi/2 BPSK uplink power in NR</w:t>
      </w:r>
      <w:r>
        <w:rPr>
          <w:lang w:val="en-US"/>
        </w:rPr>
        <w:t xml:space="preserve">”, </w:t>
      </w:r>
      <w:r w:rsidRPr="00753D28">
        <w:rPr>
          <w:lang w:val="en-US"/>
        </w:rPr>
        <w:t>the feasibility of</w:t>
      </w:r>
      <w:r>
        <w:rPr>
          <w:lang w:val="en-US"/>
        </w:rPr>
        <w:t xml:space="preserve"> power boosting for pi/2 BPSK modulation was studied, the study also covered filter characteristics for the new power capability. The conclusion of the study was described in TS38.868, in which it was captured that </w:t>
      </w:r>
      <w:r w:rsidRPr="00753D28">
        <w:rPr>
          <w:lang w:val="en-US"/>
        </w:rPr>
        <w:t>the choice of filter is up to UE implementation and transparent to the network as it was in Rel-16.</w:t>
      </w:r>
      <w:r>
        <w:rPr>
          <w:lang w:val="en-US"/>
        </w:rPr>
        <w:t xml:space="preserve"> The same principle can also apply to the second candidate solution, i.e., </w:t>
      </w:r>
      <w:r w:rsidRPr="00753D28">
        <w:rPr>
          <w:lang w:val="en-US"/>
        </w:rPr>
        <w:t>Frequency domain spectrum shaping w/o spectrum extension</w:t>
      </w:r>
      <w:r>
        <w:rPr>
          <w:lang w:val="en-US"/>
        </w:rPr>
        <w:t xml:space="preserve">. On the other hand, for Rel-18 </w:t>
      </w:r>
      <w:proofErr w:type="spellStart"/>
      <w:r>
        <w:rPr>
          <w:lang w:val="en-US"/>
        </w:rPr>
        <w:t>CovEnh</w:t>
      </w:r>
      <w:proofErr w:type="spellEnd"/>
      <w:r>
        <w:rPr>
          <w:lang w:val="en-US"/>
        </w:rPr>
        <w:t xml:space="preserve">, FDSS with spectrum extension (SE) has been considered as candidate solution for reduction of MPR/PAR. </w:t>
      </w:r>
    </w:p>
    <w:p w14:paraId="72660DAE" w14:textId="706685A4" w:rsidR="00F05ED2" w:rsidRDefault="00F05ED2" w:rsidP="00AB498D">
      <w:pPr>
        <w:rPr>
          <w:lang w:val="en-US"/>
        </w:rPr>
      </w:pPr>
      <w:r>
        <w:rPr>
          <w:lang w:val="en-US"/>
        </w:rPr>
        <w:t xml:space="preserve">In </w:t>
      </w:r>
      <w:r w:rsidR="002B1EDC">
        <w:rPr>
          <w:lang w:val="en-US"/>
        </w:rPr>
        <w:t>the past several meetings, a variety of the sets of configurations (including the number of PRBs before extension and the number of PRBs after extension) were listed as agreements and working assumptions for link-level evaluations on whether/how much SE improves net coverage performance</w:t>
      </w:r>
      <w:r>
        <w:rPr>
          <w:lang w:val="en-US"/>
        </w:rPr>
        <w:t>.</w:t>
      </w:r>
    </w:p>
    <w:p w14:paraId="24DB99BA" w14:textId="7B04F34F" w:rsidR="004B21AC" w:rsidRPr="004B21AC" w:rsidRDefault="002B1EDC" w:rsidP="002B1EDC">
      <w:pPr>
        <w:rPr>
          <w:iCs/>
          <w:lang w:val="en-US"/>
        </w:rPr>
      </w:pPr>
      <w:r>
        <w:rPr>
          <w:rFonts w:hint="eastAsia"/>
          <w:lang w:val="en-US"/>
        </w:rPr>
        <w:t>I</w:t>
      </w:r>
      <w:r>
        <w:rPr>
          <w:lang w:val="en-US"/>
        </w:rPr>
        <w:t xml:space="preserve">f it is identified </w:t>
      </w:r>
      <w:r w:rsidR="00171003">
        <w:rPr>
          <w:lang w:val="en-US"/>
        </w:rPr>
        <w:t xml:space="preserve">the signal in the extended spectrum </w:t>
      </w:r>
      <w:r>
        <w:rPr>
          <w:lang w:val="en-US"/>
        </w:rPr>
        <w:t>that does</w:t>
      </w:r>
      <w:r w:rsidR="00171003">
        <w:rPr>
          <w:lang w:val="en-US"/>
        </w:rPr>
        <w:t xml:space="preserve"> not contribute to carry information bits</w:t>
      </w:r>
      <w:r>
        <w:rPr>
          <w:lang w:val="en-US"/>
        </w:rPr>
        <w:t xml:space="preserve"> would lead to overall performance, RAN1 should specify such a new UL signal structure in the specification. In addition, it</w:t>
      </w:r>
      <w:r w:rsidR="00171003">
        <w:rPr>
          <w:lang w:val="en-US"/>
        </w:rPr>
        <w:t xml:space="preserve"> </w:t>
      </w:r>
      <w:r>
        <w:rPr>
          <w:lang w:val="en-US"/>
        </w:rPr>
        <w:t xml:space="preserve">also </w:t>
      </w:r>
      <w:r w:rsidR="00171003">
        <w:rPr>
          <w:lang w:val="en-US"/>
        </w:rPr>
        <w:t xml:space="preserve">requires </w:t>
      </w:r>
      <w:r>
        <w:rPr>
          <w:lang w:val="en-US"/>
        </w:rPr>
        <w:t xml:space="preserve">some </w:t>
      </w:r>
      <w:r w:rsidR="00171003">
        <w:rPr>
          <w:lang w:val="en-US"/>
        </w:rPr>
        <w:t>change</w:t>
      </w:r>
      <w:r>
        <w:rPr>
          <w:lang w:val="en-US"/>
        </w:rPr>
        <w:t>s in terms of the related UE behaviors</w:t>
      </w:r>
      <w:r w:rsidR="00171003">
        <w:rPr>
          <w:lang w:val="en-US"/>
        </w:rPr>
        <w:t>.</w:t>
      </w:r>
      <w:r>
        <w:rPr>
          <w:lang w:val="en-US"/>
        </w:rPr>
        <w:t xml:space="preserve"> </w:t>
      </w:r>
    </w:p>
    <w:p w14:paraId="23C35262" w14:textId="62A7A3D3" w:rsidR="002B1EDC" w:rsidRDefault="002B1EDC" w:rsidP="002B1EDC">
      <w:pPr>
        <w:rPr>
          <w:lang w:val="en-US"/>
        </w:rPr>
      </w:pPr>
      <w:r>
        <w:rPr>
          <w:rFonts w:hint="eastAsia"/>
          <w:lang w:val="en-US"/>
        </w:rPr>
        <w:t>H</w:t>
      </w:r>
      <w:r>
        <w:rPr>
          <w:lang w:val="en-US"/>
        </w:rPr>
        <w:t xml:space="preserve">ere, we focus on the process of transform precoding. The existing uplink resource allocation schemes have several restrictions, e.g., RBG size (the unit of uplink resource allocation) and total number of allocated RBs (fulfilling </w:t>
      </w:r>
      <w:r w:rsidRPr="000A2377">
        <w:rPr>
          <w:noProof/>
          <w:position w:val="-10"/>
          <w:lang w:eastAsia="en-GB"/>
        </w:rPr>
        <w:drawing>
          <wp:inline distT="0" distB="0" distL="0" distR="0" wp14:anchorId="7CE76F6C" wp14:editId="55AA8129">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Pr>
          <w:lang w:val="en-US"/>
        </w:rPr>
        <w:t xml:space="preserve"> limitation). This restriction leads to the fact that, for the legacy DFT-S-OFDM symbol generation, t</w:t>
      </w:r>
      <w:r w:rsidRPr="002B1EDC">
        <w:rPr>
          <w:lang w:val="en-US"/>
        </w:rPr>
        <w:t>he number of samples is always expressed as a product of a multiple of 2, a multiple of 3, and a multiple of 5</w:t>
      </w:r>
      <w:r w:rsidR="00161B2E">
        <w:rPr>
          <w:lang w:val="en-US"/>
        </w:rPr>
        <w:t>. This allows the UE to perform</w:t>
      </w:r>
      <w:r w:rsidR="00161B2E" w:rsidRPr="00161B2E">
        <w:rPr>
          <w:lang w:val="en-US"/>
        </w:rPr>
        <w:t xml:space="preserve"> </w:t>
      </w:r>
      <w:r w:rsidR="00161B2E">
        <w:rPr>
          <w:lang w:val="en-US"/>
        </w:rPr>
        <w:t>FFT with the mixed radices of 2, 3 and 5 so that the number of multiplications in transform precoding process is reduced.</w:t>
      </w:r>
    </w:p>
    <w:p w14:paraId="58595B9A" w14:textId="7F886721" w:rsidR="002B1EDC" w:rsidRDefault="002B1EDC" w:rsidP="002B1EDC">
      <w:pPr>
        <w:rPr>
          <w:iCs/>
          <w:lang w:val="en-US"/>
        </w:rPr>
      </w:pPr>
      <w:r>
        <w:rPr>
          <w:b/>
          <w:bCs/>
          <w:u w:val="single"/>
          <w:lang w:val="en-US"/>
        </w:rPr>
        <w:t xml:space="preserve">Observation </w:t>
      </w:r>
      <w:r w:rsidR="000D14D9">
        <w:rPr>
          <w:rFonts w:hint="eastAsia"/>
          <w:b/>
          <w:bCs/>
          <w:u w:val="single"/>
          <w:lang w:val="en-US"/>
        </w:rPr>
        <w:t>1</w:t>
      </w:r>
      <w:r w:rsidRPr="00620532">
        <w:rPr>
          <w:b/>
          <w:bCs/>
          <w:u w:val="single"/>
          <w:lang w:val="en-US"/>
        </w:rPr>
        <w:t>:</w:t>
      </w:r>
      <w:r>
        <w:rPr>
          <w:lang w:val="en-US"/>
        </w:rPr>
        <w:t xml:space="preserve"> For the legacy DFT-S-OFDM symbol generation, </w:t>
      </w:r>
      <w:bookmarkStart w:id="5" w:name="_Hlk131706089"/>
      <w:r>
        <w:rPr>
          <w:lang w:val="en-US"/>
        </w:rPr>
        <w:t>FFT with the mixed radices of 2, 3 and 5 can be used for the transform precoding process</w:t>
      </w:r>
      <w:bookmarkEnd w:id="5"/>
      <w:r w:rsidRPr="00965580">
        <w:rPr>
          <w:iCs/>
          <w:lang w:val="en-US"/>
        </w:rPr>
        <w:t>.</w:t>
      </w:r>
    </w:p>
    <w:p w14:paraId="732C9224" w14:textId="77777777" w:rsidR="0099232D" w:rsidRPr="002B1EDC" w:rsidRDefault="0099232D" w:rsidP="00122CD3">
      <w:pPr>
        <w:rPr>
          <w:lang w:val="en-US"/>
        </w:rPr>
      </w:pPr>
    </w:p>
    <w:p w14:paraId="6F958E96" w14:textId="73BA3EC8" w:rsidR="0099232D" w:rsidRDefault="0099232D" w:rsidP="0099232D">
      <w:pPr>
        <w:jc w:val="center"/>
        <w:rPr>
          <w:lang w:val="en-US"/>
        </w:rPr>
      </w:pPr>
      <w:r w:rsidRPr="0099232D">
        <w:rPr>
          <w:noProof/>
        </w:rPr>
        <w:drawing>
          <wp:inline distT="0" distB="0" distL="0" distR="0" wp14:anchorId="7AFCA133" wp14:editId="7FD371FB">
            <wp:extent cx="6327140" cy="1841500"/>
            <wp:effectExtent l="0" t="0" r="0" b="0"/>
            <wp:docPr id="7961278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7140" cy="1841500"/>
                    </a:xfrm>
                    <a:prstGeom prst="rect">
                      <a:avLst/>
                    </a:prstGeom>
                    <a:noFill/>
                    <a:ln>
                      <a:noFill/>
                    </a:ln>
                  </pic:spPr>
                </pic:pic>
              </a:graphicData>
            </a:graphic>
          </wp:inline>
        </w:drawing>
      </w:r>
    </w:p>
    <w:p w14:paraId="4B0763F5" w14:textId="64EF6AD4" w:rsidR="0099232D" w:rsidRDefault="0099232D" w:rsidP="0099232D">
      <w:pPr>
        <w:jc w:val="center"/>
        <w:rPr>
          <w:lang w:val="en-US"/>
        </w:rPr>
      </w:pPr>
      <w:r>
        <w:rPr>
          <w:rFonts w:hint="eastAsia"/>
          <w:lang w:val="en-US"/>
        </w:rPr>
        <w:t>F</w:t>
      </w:r>
      <w:r>
        <w:rPr>
          <w:lang w:val="en-US"/>
        </w:rPr>
        <w:t>igure X: Generating of DFT-S-OFDM symbol with FDSS+SE</w:t>
      </w:r>
    </w:p>
    <w:p w14:paraId="146DB4DC" w14:textId="77777777" w:rsidR="005C1C67" w:rsidRDefault="005C1C67" w:rsidP="00122CD3">
      <w:pPr>
        <w:rPr>
          <w:lang w:val="en-US"/>
        </w:rPr>
      </w:pPr>
    </w:p>
    <w:p w14:paraId="1D4CECA7" w14:textId="3B1803CC" w:rsidR="002B1EDC" w:rsidRPr="002B1EDC" w:rsidRDefault="005C1C67" w:rsidP="00122CD3">
      <w:pPr>
        <w:rPr>
          <w:lang w:val="en-US"/>
        </w:rPr>
      </w:pPr>
      <w:r>
        <w:rPr>
          <w:rFonts w:hint="eastAsia"/>
          <w:lang w:val="en-US"/>
        </w:rPr>
        <w:t>F</w:t>
      </w:r>
      <w:r>
        <w:rPr>
          <w:lang w:val="en-US"/>
        </w:rPr>
        <w:t xml:space="preserve">or the generation of DFT-S-OFDM symbol with FDSS and SE, the spectrum extension process is applied after transform precoding process. In order to make the transform precoding process remain </w:t>
      </w:r>
      <w:r>
        <w:rPr>
          <w:lang w:val="en-US"/>
        </w:rPr>
        <w:lastRenderedPageBreak/>
        <w:t xml:space="preserve">unchanged, the </w:t>
      </w:r>
      <w:r w:rsidRPr="000A2377">
        <w:rPr>
          <w:noProof/>
          <w:position w:val="-10"/>
          <w:lang w:eastAsia="en-GB"/>
        </w:rPr>
        <w:drawing>
          <wp:inline distT="0" distB="0" distL="0" distR="0" wp14:anchorId="4A8F8139" wp14:editId="7E5D4C7B">
            <wp:extent cx="1266825" cy="228600"/>
            <wp:effectExtent l="0" t="0" r="0" b="0"/>
            <wp:docPr id="1847155496" name="図 1847155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Pr>
          <w:lang w:val="en-US"/>
        </w:rPr>
        <w:t xml:space="preserve"> limitation should apply the number of samples before the spectrum extension process. Given that the above limitation is for the Resource block allocation signaled by FDRA, </w:t>
      </w:r>
      <w:bookmarkStart w:id="6" w:name="_Hlk131706869"/>
      <w:r>
        <w:rPr>
          <w:lang w:val="en-US"/>
        </w:rPr>
        <w:t>the SE should be defined outside of the frequency resource allocated by FDRA</w:t>
      </w:r>
      <w:bookmarkEnd w:id="6"/>
      <w:r>
        <w:rPr>
          <w:lang w:val="en-US"/>
        </w:rPr>
        <w:t>.</w:t>
      </w:r>
    </w:p>
    <w:p w14:paraId="1D96B28C" w14:textId="77777777" w:rsidR="005C1C67" w:rsidRDefault="005C1C67" w:rsidP="00122CD3">
      <w:pPr>
        <w:rPr>
          <w:lang w:val="en-US"/>
        </w:rPr>
      </w:pPr>
      <w:r>
        <w:rPr>
          <w:lang w:val="en-US"/>
        </w:rPr>
        <w:t>In addition</w:t>
      </w:r>
      <w:r w:rsidR="004B21AC">
        <w:rPr>
          <w:lang w:val="en-US"/>
        </w:rPr>
        <w:t xml:space="preserve">, </w:t>
      </w:r>
      <w:r>
        <w:rPr>
          <w:lang w:val="en-US"/>
        </w:rPr>
        <w:t xml:space="preserve">with this, the </w:t>
      </w:r>
      <w:r w:rsidR="004B21AC">
        <w:rPr>
          <w:lang w:val="en-US"/>
        </w:rPr>
        <w:t>PUSCH encoding/decoding procedures including TBS determination based on the FDRA value remain unchanged from the legacy behaviors</w:t>
      </w:r>
      <w:r>
        <w:rPr>
          <w:lang w:val="en-US"/>
        </w:rPr>
        <w:t>.</w:t>
      </w:r>
      <w:r w:rsidR="004B21AC">
        <w:rPr>
          <w:lang w:val="en-US"/>
        </w:rPr>
        <w:t xml:space="preserve"> </w:t>
      </w:r>
      <w:r>
        <w:rPr>
          <w:lang w:val="en-US"/>
        </w:rPr>
        <w:t>Mean</w:t>
      </w:r>
      <w:r w:rsidR="004B21AC">
        <w:rPr>
          <w:lang w:val="en-US"/>
        </w:rPr>
        <w:t>while</w:t>
      </w:r>
      <w:r>
        <w:rPr>
          <w:lang w:val="en-US"/>
        </w:rPr>
        <w:t>, if SE is defined inside the frequency resource allocated by FDRA,</w:t>
      </w:r>
      <w:r w:rsidR="004B21AC">
        <w:rPr>
          <w:lang w:val="en-US"/>
        </w:rPr>
        <w:t xml:space="preserve"> </w:t>
      </w:r>
      <w:r>
        <w:rPr>
          <w:lang w:val="en-US"/>
        </w:rPr>
        <w:t>that</w:t>
      </w:r>
      <w:r w:rsidR="004B21AC">
        <w:rPr>
          <w:lang w:val="en-US"/>
        </w:rPr>
        <w:t xml:space="preserve"> causes </w:t>
      </w:r>
      <w:r w:rsidR="00FB55C9">
        <w:rPr>
          <w:lang w:val="en-US"/>
        </w:rPr>
        <w:t xml:space="preserve">different PUSCH encoding/decoding procedures depending on whether the spectrum extension is applied or not. </w:t>
      </w:r>
    </w:p>
    <w:p w14:paraId="2FC0228D" w14:textId="1BD63784" w:rsidR="00487CAD" w:rsidRDefault="00487CAD" w:rsidP="00487CAD">
      <w:pPr>
        <w:rPr>
          <w:iCs/>
          <w:lang w:val="en-US"/>
        </w:rPr>
      </w:pPr>
      <w:r>
        <w:rPr>
          <w:b/>
          <w:bCs/>
          <w:u w:val="single"/>
          <w:lang w:val="en-US"/>
        </w:rPr>
        <w:t xml:space="preserve">Observation </w:t>
      </w:r>
      <w:r w:rsidR="000D14D9">
        <w:rPr>
          <w:b/>
          <w:bCs/>
          <w:u w:val="single"/>
          <w:lang w:val="en-US"/>
        </w:rPr>
        <w:t>2</w:t>
      </w:r>
      <w:r w:rsidRPr="00620532">
        <w:rPr>
          <w:b/>
          <w:bCs/>
          <w:u w:val="single"/>
          <w:lang w:val="en-US"/>
        </w:rPr>
        <w:t>:</w:t>
      </w:r>
      <w:r>
        <w:rPr>
          <w:lang w:val="en-US"/>
        </w:rPr>
        <w:t xml:space="preserve"> With </w:t>
      </w:r>
      <w:r>
        <w:rPr>
          <w:iCs/>
          <w:lang w:val="en-US"/>
        </w:rPr>
        <w:t>t</w:t>
      </w:r>
      <w:r w:rsidRPr="001C0C03">
        <w:rPr>
          <w:iCs/>
          <w:lang w:val="en-US"/>
        </w:rPr>
        <w:t>he spectrum extension defined outside of the frequency resources allocated by FDRA</w:t>
      </w:r>
      <w:r>
        <w:rPr>
          <w:lang w:val="en-US"/>
        </w:rPr>
        <w:t>, PUSCH encoding/decoding procedures including TBS determination based on the FDRA value remain unchanged from the legacy behaviors</w:t>
      </w:r>
      <w:r w:rsidRPr="00965580">
        <w:rPr>
          <w:iCs/>
          <w:lang w:val="en-US"/>
        </w:rPr>
        <w:t>.</w:t>
      </w:r>
    </w:p>
    <w:p w14:paraId="7EA3068E" w14:textId="3DDE35F9" w:rsidR="004B21AC" w:rsidRDefault="00FB55C9" w:rsidP="00122CD3">
      <w:pPr>
        <w:rPr>
          <w:iCs/>
          <w:lang w:val="en-US"/>
        </w:rPr>
      </w:pPr>
      <w:r>
        <w:rPr>
          <w:lang w:val="en-US"/>
        </w:rPr>
        <w:t xml:space="preserve">As for the RF process perspective, </w:t>
      </w:r>
      <w:r w:rsidR="005C1C67">
        <w:rPr>
          <w:lang w:val="en-US"/>
        </w:rPr>
        <w:t>the SE defined outside of the frequency resource allocated by FDRA</w:t>
      </w:r>
      <w:r>
        <w:rPr>
          <w:lang w:val="en-US"/>
        </w:rPr>
        <w:t xml:space="preserve"> would lead to different spectrum masking for w/ and w/o the spectrum extension, since the total bandwidth for the uplink transmission depends on the presence of the spectrum extension in addition to the FDRA information. In contrast, the total bandwidth is determined only by FDRA</w:t>
      </w:r>
      <w:r w:rsidR="005C1C67">
        <w:rPr>
          <w:lang w:val="en-US"/>
        </w:rPr>
        <w:t xml:space="preserve"> if the SE locates inside</w:t>
      </w:r>
      <w:r>
        <w:rPr>
          <w:lang w:val="en-US"/>
        </w:rPr>
        <w:t xml:space="preserve">. It is seen that </w:t>
      </w:r>
      <w:r w:rsidR="005C1C67">
        <w:rPr>
          <w:lang w:val="en-US"/>
        </w:rPr>
        <w:t>the former</w:t>
      </w:r>
      <w:r>
        <w:rPr>
          <w:lang w:val="en-US"/>
        </w:rPr>
        <w:t xml:space="preserve"> would have some impact on the spectrum masking, but FDSS would anyway requires some enhanced filtering. </w:t>
      </w:r>
    </w:p>
    <w:p w14:paraId="769586B7" w14:textId="70BCD08C" w:rsidR="0099232D" w:rsidRPr="005C1C67" w:rsidRDefault="005C1C67" w:rsidP="00122CD3">
      <w:pPr>
        <w:rPr>
          <w:lang w:val="en-US"/>
        </w:rPr>
      </w:pPr>
      <w:r w:rsidRPr="005C1C67">
        <w:rPr>
          <w:rFonts w:hint="eastAsia"/>
          <w:lang w:val="en-US"/>
        </w:rPr>
        <w:t>B</w:t>
      </w:r>
      <w:r w:rsidRPr="005C1C67">
        <w:rPr>
          <w:lang w:val="en-US"/>
        </w:rPr>
        <w:t>ased on the above analysis, we make the following proposal</w:t>
      </w:r>
      <w:r>
        <w:rPr>
          <w:lang w:val="en-US"/>
        </w:rPr>
        <w:t>.</w:t>
      </w:r>
    </w:p>
    <w:p w14:paraId="40BC5489" w14:textId="09BE7669" w:rsidR="00122CD3" w:rsidRDefault="00122CD3" w:rsidP="00122CD3">
      <w:pPr>
        <w:rPr>
          <w:iCs/>
          <w:lang w:val="en-US"/>
        </w:rPr>
      </w:pPr>
      <w:r w:rsidRPr="00620532">
        <w:rPr>
          <w:b/>
          <w:bCs/>
          <w:u w:val="single"/>
          <w:lang w:val="en-US"/>
        </w:rPr>
        <w:t>Proposal</w:t>
      </w:r>
      <w:r>
        <w:rPr>
          <w:b/>
          <w:bCs/>
          <w:u w:val="single"/>
          <w:lang w:val="en-US"/>
        </w:rPr>
        <w:t xml:space="preserve"> </w:t>
      </w:r>
      <w:r w:rsidR="000D14D9">
        <w:rPr>
          <w:b/>
          <w:bCs/>
          <w:u w:val="single"/>
          <w:lang w:val="en-US"/>
        </w:rPr>
        <w:t>1</w:t>
      </w:r>
      <w:r w:rsidRPr="00620532">
        <w:rPr>
          <w:b/>
          <w:bCs/>
          <w:u w:val="single"/>
          <w:lang w:val="en-US"/>
        </w:rPr>
        <w:t>:</w:t>
      </w:r>
      <w:r>
        <w:rPr>
          <w:lang w:val="en-US"/>
        </w:rPr>
        <w:t xml:space="preserve"> </w:t>
      </w:r>
      <w:r w:rsidR="001C0C03" w:rsidRPr="001C0C03">
        <w:rPr>
          <w:iCs/>
          <w:lang w:val="en-US"/>
        </w:rPr>
        <w:t>The spectrum extension is defined outside of the frequency resources allocated by FDRA.</w:t>
      </w:r>
      <w:r>
        <w:rPr>
          <w:iCs/>
          <w:lang w:val="en-US"/>
        </w:rPr>
        <w:t xml:space="preserve"> </w:t>
      </w:r>
    </w:p>
    <w:p w14:paraId="24EA44C5" w14:textId="77777777" w:rsidR="00000317" w:rsidRDefault="00000317" w:rsidP="005E68FD">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1C448BE2" w14:textId="77777777" w:rsidR="000D14D9" w:rsidRDefault="000D14D9" w:rsidP="000D14D9">
      <w:pPr>
        <w:rPr>
          <w:iCs/>
          <w:lang w:val="en-US"/>
        </w:rPr>
      </w:pPr>
      <w:r>
        <w:rPr>
          <w:b/>
          <w:bCs/>
          <w:u w:val="single"/>
          <w:lang w:val="en-US"/>
        </w:rPr>
        <w:t xml:space="preserve">Observation </w:t>
      </w:r>
      <w:r>
        <w:rPr>
          <w:rFonts w:hint="eastAsia"/>
          <w:b/>
          <w:bCs/>
          <w:u w:val="single"/>
          <w:lang w:val="en-US"/>
        </w:rPr>
        <w:t>1</w:t>
      </w:r>
      <w:r w:rsidRPr="00620532">
        <w:rPr>
          <w:b/>
          <w:bCs/>
          <w:u w:val="single"/>
          <w:lang w:val="en-US"/>
        </w:rPr>
        <w:t>:</w:t>
      </w:r>
      <w:r>
        <w:rPr>
          <w:lang w:val="en-US"/>
        </w:rPr>
        <w:t xml:space="preserve"> For the legacy DFT-S-OFDM symbol generation, FFT with the mixed radices of 2, 3 and 5 can be used for the transform precoding process</w:t>
      </w:r>
      <w:r w:rsidRPr="00965580">
        <w:rPr>
          <w:iCs/>
          <w:lang w:val="en-US"/>
        </w:rPr>
        <w:t>.</w:t>
      </w:r>
    </w:p>
    <w:p w14:paraId="57423A3B" w14:textId="77777777" w:rsidR="000D14D9" w:rsidRDefault="000D14D9" w:rsidP="000D14D9">
      <w:pPr>
        <w:rPr>
          <w:iCs/>
          <w:lang w:val="en-US"/>
        </w:rPr>
      </w:pPr>
      <w:r>
        <w:rPr>
          <w:b/>
          <w:bCs/>
          <w:u w:val="single"/>
          <w:lang w:val="en-US"/>
        </w:rPr>
        <w:t>Observation 2</w:t>
      </w:r>
      <w:r w:rsidRPr="00620532">
        <w:rPr>
          <w:b/>
          <w:bCs/>
          <w:u w:val="single"/>
          <w:lang w:val="en-US"/>
        </w:rPr>
        <w:t>:</w:t>
      </w:r>
      <w:r>
        <w:rPr>
          <w:lang w:val="en-US"/>
        </w:rPr>
        <w:t xml:space="preserve"> With </w:t>
      </w:r>
      <w:r>
        <w:rPr>
          <w:iCs/>
          <w:lang w:val="en-US"/>
        </w:rPr>
        <w:t>t</w:t>
      </w:r>
      <w:r w:rsidRPr="001C0C03">
        <w:rPr>
          <w:iCs/>
          <w:lang w:val="en-US"/>
        </w:rPr>
        <w:t>he spectrum extension defined outside of the frequency resources allocated by FDRA</w:t>
      </w:r>
      <w:r>
        <w:rPr>
          <w:lang w:val="en-US"/>
        </w:rPr>
        <w:t>, PUSCH encoding/decoding procedures including TBS determination based on the FDRA value remain unchanged from the legacy behaviors</w:t>
      </w:r>
      <w:r w:rsidRPr="00965580">
        <w:rPr>
          <w:iCs/>
          <w:lang w:val="en-US"/>
        </w:rPr>
        <w:t>.</w:t>
      </w:r>
    </w:p>
    <w:p w14:paraId="7BD21077" w14:textId="77777777" w:rsidR="000D14D9" w:rsidRDefault="000D14D9" w:rsidP="000D14D9">
      <w:pPr>
        <w:rPr>
          <w:iCs/>
          <w:lang w:val="en-US"/>
        </w:rPr>
      </w:pPr>
      <w:r w:rsidRPr="00620532">
        <w:rPr>
          <w:b/>
          <w:bCs/>
          <w:u w:val="single"/>
          <w:lang w:val="en-US"/>
        </w:rPr>
        <w:t>Proposal</w:t>
      </w:r>
      <w:r>
        <w:rPr>
          <w:b/>
          <w:bCs/>
          <w:u w:val="single"/>
          <w:lang w:val="en-US"/>
        </w:rPr>
        <w:t xml:space="preserve"> 1</w:t>
      </w:r>
      <w:r w:rsidRPr="00620532">
        <w:rPr>
          <w:b/>
          <w:bCs/>
          <w:u w:val="single"/>
          <w:lang w:val="en-US"/>
        </w:rPr>
        <w:t>:</w:t>
      </w:r>
      <w:r>
        <w:rPr>
          <w:lang w:val="en-US"/>
        </w:rPr>
        <w:t xml:space="preserve"> </w:t>
      </w:r>
      <w:r w:rsidRPr="001C0C03">
        <w:rPr>
          <w:iCs/>
          <w:lang w:val="en-US"/>
        </w:rPr>
        <w:t>The spectrum extension is defined outside of the frequency resources allocated by FDRA.</w:t>
      </w:r>
      <w:r>
        <w:rPr>
          <w:iCs/>
          <w:lang w:val="en-US"/>
        </w:rPr>
        <w:t xml:space="preserve"> </w:t>
      </w:r>
    </w:p>
    <w:p w14:paraId="47C48270" w14:textId="77777777" w:rsidR="0007475C" w:rsidRPr="000D14D9" w:rsidRDefault="0007475C" w:rsidP="004407D4">
      <w:pPr>
        <w:rPr>
          <w:rFonts w:eastAsiaTheme="minorEastAsia"/>
          <w:color w:val="000000" w:themeColor="text1"/>
          <w:highlight w:val="yellow"/>
          <w:lang w:val="en-US"/>
        </w:rPr>
      </w:pPr>
    </w:p>
    <w:bookmarkEnd w:id="3"/>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05DA3102" w14:textId="672E1AE3" w:rsidR="004C25B0" w:rsidRDefault="00D950A8" w:rsidP="00E84927">
      <w:pPr>
        <w:pStyle w:val="textintend2"/>
        <w:rPr>
          <w:color w:val="000000" w:themeColor="text1"/>
          <w:szCs w:val="24"/>
        </w:rPr>
      </w:pPr>
      <w:r>
        <w:rPr>
          <w:color w:val="000000" w:themeColor="text1"/>
          <w:szCs w:val="24"/>
        </w:rPr>
        <w:t>3GPP RAN1#112 chairman’s note, February 2023.</w:t>
      </w:r>
    </w:p>
    <w:p w14:paraId="2324D936" w14:textId="59F7AD2C" w:rsidR="00151356" w:rsidRPr="0037610F" w:rsidRDefault="00151356" w:rsidP="00E84927">
      <w:pPr>
        <w:pStyle w:val="textintend2"/>
        <w:rPr>
          <w:color w:val="000000" w:themeColor="text1"/>
          <w:szCs w:val="24"/>
        </w:rPr>
      </w:pPr>
      <w:r>
        <w:rPr>
          <w:color w:val="000000" w:themeColor="text1"/>
          <w:szCs w:val="24"/>
        </w:rPr>
        <w:t>R4-2303560, “</w:t>
      </w:r>
      <w:r w:rsidRPr="00151356">
        <w:rPr>
          <w:color w:val="000000" w:themeColor="text1"/>
          <w:szCs w:val="24"/>
        </w:rPr>
        <w:t>WF on coverage enhancement part 1</w:t>
      </w:r>
      <w:r>
        <w:rPr>
          <w:color w:val="000000" w:themeColor="text1"/>
          <w:szCs w:val="24"/>
        </w:rPr>
        <w:t xml:space="preserve">”, </w:t>
      </w:r>
      <w:r w:rsidRPr="00151356">
        <w:rPr>
          <w:color w:val="000000" w:themeColor="text1"/>
          <w:szCs w:val="24"/>
        </w:rPr>
        <w:t xml:space="preserve">Huawei, </w:t>
      </w:r>
      <w:proofErr w:type="spellStart"/>
      <w:r w:rsidRPr="00151356">
        <w:rPr>
          <w:color w:val="000000" w:themeColor="text1"/>
          <w:szCs w:val="24"/>
        </w:rPr>
        <w:t>HiSilicon</w:t>
      </w:r>
      <w:proofErr w:type="spellEnd"/>
      <w:r>
        <w:rPr>
          <w:color w:val="000000" w:themeColor="text1"/>
          <w:szCs w:val="24"/>
        </w:rPr>
        <w:t xml:space="preserve">, </w:t>
      </w:r>
      <w:r w:rsidRPr="00151356">
        <w:rPr>
          <w:color w:val="000000" w:themeColor="text1"/>
          <w:szCs w:val="24"/>
        </w:rPr>
        <w:t>3GPP RAN4#105</w:t>
      </w:r>
      <w:r>
        <w:rPr>
          <w:color w:val="000000" w:themeColor="text1"/>
          <w:szCs w:val="24"/>
        </w:rPr>
        <w:t>, November 2022.</w:t>
      </w:r>
    </w:p>
    <w:sectPr w:rsidR="00151356" w:rsidRPr="0037610F" w:rsidSect="00F542AD">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B9186" w14:textId="77777777" w:rsidR="003504BA" w:rsidRDefault="003504BA">
      <w:r>
        <w:separator/>
      </w:r>
    </w:p>
  </w:endnote>
  <w:endnote w:type="continuationSeparator" w:id="0">
    <w:p w14:paraId="332FD83B" w14:textId="77777777" w:rsidR="003504BA" w:rsidRDefault="0035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5FF76" w14:textId="77777777" w:rsidR="003504BA" w:rsidRDefault="003504BA">
      <w:r>
        <w:separator/>
      </w:r>
    </w:p>
  </w:footnote>
  <w:footnote w:type="continuationSeparator" w:id="0">
    <w:p w14:paraId="552F2CE0" w14:textId="77777777" w:rsidR="003504BA" w:rsidRDefault="00350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1D2D"/>
    <w:multiLevelType w:val="hybridMultilevel"/>
    <w:tmpl w:val="136435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1" w15:restartNumberingAfterBreak="0">
    <w:nsid w:val="33226D2D"/>
    <w:multiLevelType w:val="hybridMultilevel"/>
    <w:tmpl w:val="A2A6392A"/>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1160" w:hanging="44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5"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9870E59"/>
    <w:multiLevelType w:val="hybridMultilevel"/>
    <w:tmpl w:val="9474BC0E"/>
    <w:lvl w:ilvl="0" w:tplc="0409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CED6396"/>
    <w:multiLevelType w:val="hybridMultilevel"/>
    <w:tmpl w:val="405A3AE6"/>
    <w:lvl w:ilvl="0" w:tplc="FFFFFFFF">
      <w:start w:val="1"/>
      <w:numFmt w:val="bullet"/>
      <w:lvlText w:val=""/>
      <w:lvlJc w:val="left"/>
      <w:pPr>
        <w:ind w:left="360" w:hanging="360"/>
      </w:pPr>
      <w:rPr>
        <w:rFonts w:ascii="Symbol" w:hAnsi="Symbol" w:hint="default"/>
      </w:rPr>
    </w:lvl>
    <w:lvl w:ilvl="1" w:tplc="0409000B">
      <w:start w:val="1"/>
      <w:numFmt w:val="bullet"/>
      <w:lvlText w:val=""/>
      <w:lvlJc w:val="left"/>
      <w:pPr>
        <w:ind w:left="1160" w:hanging="44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4555600">
    <w:abstractNumId w:val="35"/>
  </w:num>
  <w:num w:numId="2" w16cid:durableId="2020236821">
    <w:abstractNumId w:val="4"/>
  </w:num>
  <w:num w:numId="3" w16cid:durableId="1155535935">
    <w:abstractNumId w:val="8"/>
  </w:num>
  <w:num w:numId="4" w16cid:durableId="1607229080">
    <w:abstractNumId w:val="37"/>
  </w:num>
  <w:num w:numId="5" w16cid:durableId="416950970">
    <w:abstractNumId w:val="23"/>
  </w:num>
  <w:num w:numId="6" w16cid:durableId="1602450161">
    <w:abstractNumId w:val="24"/>
  </w:num>
  <w:num w:numId="7" w16cid:durableId="928076117">
    <w:abstractNumId w:val="19"/>
  </w:num>
  <w:num w:numId="8" w16cid:durableId="731779076">
    <w:abstractNumId w:val="2"/>
  </w:num>
  <w:num w:numId="9" w16cid:durableId="126318576">
    <w:abstractNumId w:val="41"/>
  </w:num>
  <w:num w:numId="10" w16cid:durableId="1924946264">
    <w:abstractNumId w:val="16"/>
  </w:num>
  <w:num w:numId="11" w16cid:durableId="1196038620">
    <w:abstractNumId w:val="31"/>
  </w:num>
  <w:num w:numId="12" w16cid:durableId="101075070">
    <w:abstractNumId w:val="6"/>
  </w:num>
  <w:num w:numId="13" w16cid:durableId="203254192">
    <w:abstractNumId w:val="12"/>
  </w:num>
  <w:num w:numId="14" w16cid:durableId="763770240">
    <w:abstractNumId w:val="6"/>
  </w:num>
  <w:num w:numId="15" w16cid:durableId="1949387606">
    <w:abstractNumId w:val="32"/>
  </w:num>
  <w:num w:numId="16" w16cid:durableId="728696478">
    <w:abstractNumId w:val="7"/>
  </w:num>
  <w:num w:numId="17" w16cid:durableId="31343903">
    <w:abstractNumId w:val="10"/>
  </w:num>
  <w:num w:numId="18" w16cid:durableId="1781413610">
    <w:abstractNumId w:val="20"/>
  </w:num>
  <w:num w:numId="19" w16cid:durableId="685250036">
    <w:abstractNumId w:val="17"/>
  </w:num>
  <w:num w:numId="20" w16cid:durableId="1295334361">
    <w:abstractNumId w:val="5"/>
  </w:num>
  <w:num w:numId="21" w16cid:durableId="644512413">
    <w:abstractNumId w:val="27"/>
  </w:num>
  <w:num w:numId="22" w16cid:durableId="383453179">
    <w:abstractNumId w:val="30"/>
  </w:num>
  <w:num w:numId="23" w16cid:durableId="458686948">
    <w:abstractNumId w:val="1"/>
  </w:num>
  <w:num w:numId="24" w16cid:durableId="472455601">
    <w:abstractNumId w:val="21"/>
  </w:num>
  <w:num w:numId="25" w16cid:durableId="679698432">
    <w:abstractNumId w:val="38"/>
  </w:num>
  <w:num w:numId="26" w16cid:durableId="557134748">
    <w:abstractNumId w:val="15"/>
  </w:num>
  <w:num w:numId="27" w16cid:durableId="2022197730">
    <w:abstractNumId w:val="39"/>
  </w:num>
  <w:num w:numId="28" w16cid:durableId="1392466446">
    <w:abstractNumId w:val="34"/>
  </w:num>
  <w:num w:numId="29" w16cid:durableId="1751805425">
    <w:abstractNumId w:val="13"/>
  </w:num>
  <w:num w:numId="30" w16cid:durableId="719204330">
    <w:abstractNumId w:val="26"/>
  </w:num>
  <w:num w:numId="31" w16cid:durableId="1910264873">
    <w:abstractNumId w:val="14"/>
  </w:num>
  <w:num w:numId="32" w16cid:durableId="700013453">
    <w:abstractNumId w:val="18"/>
  </w:num>
  <w:num w:numId="33" w16cid:durableId="462700641">
    <w:abstractNumId w:val="3"/>
  </w:num>
  <w:num w:numId="34" w16cid:durableId="472600621">
    <w:abstractNumId w:val="42"/>
  </w:num>
  <w:num w:numId="35" w16cid:durableId="1620261377">
    <w:abstractNumId w:val="9"/>
  </w:num>
  <w:num w:numId="36" w16cid:durableId="110714458">
    <w:abstractNumId w:val="29"/>
  </w:num>
  <w:num w:numId="37" w16cid:durableId="1654211263">
    <w:abstractNumId w:val="33"/>
  </w:num>
  <w:num w:numId="38" w16cid:durableId="1901331625">
    <w:abstractNumId w:val="0"/>
  </w:num>
  <w:num w:numId="39" w16cid:durableId="781731251">
    <w:abstractNumId w:val="28"/>
  </w:num>
  <w:num w:numId="40" w16cid:durableId="1653024146">
    <w:abstractNumId w:val="36"/>
  </w:num>
  <w:num w:numId="41" w16cid:durableId="412892780">
    <w:abstractNumId w:val="40"/>
  </w:num>
  <w:num w:numId="42" w16cid:durableId="803742459">
    <w:abstractNumId w:val="25"/>
  </w:num>
  <w:num w:numId="43" w16cid:durableId="469438723">
    <w:abstractNumId w:val="11"/>
  </w:num>
  <w:num w:numId="44" w16cid:durableId="71901703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777"/>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29"/>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75C"/>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2DE"/>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1E74"/>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4D9"/>
    <w:rsid w:val="000D15F7"/>
    <w:rsid w:val="000D1DD5"/>
    <w:rsid w:val="000D1FE8"/>
    <w:rsid w:val="000D20DC"/>
    <w:rsid w:val="000D251B"/>
    <w:rsid w:val="000D282D"/>
    <w:rsid w:val="000D287E"/>
    <w:rsid w:val="000D28E2"/>
    <w:rsid w:val="000D4204"/>
    <w:rsid w:val="000D4A01"/>
    <w:rsid w:val="000D4B6B"/>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356"/>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B2E"/>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003"/>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C03"/>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6C2"/>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33F"/>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1EDC"/>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CE1"/>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4BA"/>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0F"/>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0A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593"/>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62D"/>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4B86"/>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A82"/>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CAD"/>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1AC"/>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5B0"/>
    <w:rsid w:val="004C27C8"/>
    <w:rsid w:val="004C2ACB"/>
    <w:rsid w:val="004C3606"/>
    <w:rsid w:val="004C364F"/>
    <w:rsid w:val="004C4374"/>
    <w:rsid w:val="004C4643"/>
    <w:rsid w:val="004C488D"/>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CA2"/>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4C10"/>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1C67"/>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0FD4"/>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043"/>
    <w:rsid w:val="006964EA"/>
    <w:rsid w:val="00696634"/>
    <w:rsid w:val="00697023"/>
    <w:rsid w:val="0069718D"/>
    <w:rsid w:val="006A0627"/>
    <w:rsid w:val="006A11D9"/>
    <w:rsid w:val="006A145C"/>
    <w:rsid w:val="006A260F"/>
    <w:rsid w:val="006A30CC"/>
    <w:rsid w:val="006A32EA"/>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1C6"/>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D2D"/>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3D28"/>
    <w:rsid w:val="007540A6"/>
    <w:rsid w:val="00754802"/>
    <w:rsid w:val="007550DC"/>
    <w:rsid w:val="00755160"/>
    <w:rsid w:val="0075536E"/>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BC5"/>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98"/>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897"/>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016"/>
    <w:rsid w:val="00850B9B"/>
    <w:rsid w:val="00850CCF"/>
    <w:rsid w:val="00850D28"/>
    <w:rsid w:val="00850FFD"/>
    <w:rsid w:val="0085170F"/>
    <w:rsid w:val="0085171A"/>
    <w:rsid w:val="00851790"/>
    <w:rsid w:val="008517C8"/>
    <w:rsid w:val="008518A8"/>
    <w:rsid w:val="00851959"/>
    <w:rsid w:val="00852169"/>
    <w:rsid w:val="00852C31"/>
    <w:rsid w:val="00852D69"/>
    <w:rsid w:val="00853374"/>
    <w:rsid w:val="0085341A"/>
    <w:rsid w:val="008535CD"/>
    <w:rsid w:val="00853643"/>
    <w:rsid w:val="00853C46"/>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BA1"/>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B3D"/>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424"/>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580"/>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67"/>
    <w:rsid w:val="0097598E"/>
    <w:rsid w:val="00975CF5"/>
    <w:rsid w:val="00975D36"/>
    <w:rsid w:val="009761A5"/>
    <w:rsid w:val="009763E2"/>
    <w:rsid w:val="009767C4"/>
    <w:rsid w:val="00977AF7"/>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32D"/>
    <w:rsid w:val="00992724"/>
    <w:rsid w:val="00992911"/>
    <w:rsid w:val="00992A09"/>
    <w:rsid w:val="00993190"/>
    <w:rsid w:val="009934D0"/>
    <w:rsid w:val="0099375E"/>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7FF"/>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1E76"/>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EE"/>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21C"/>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1A9"/>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8D"/>
    <w:rsid w:val="00AB4C45"/>
    <w:rsid w:val="00AB4F2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8"/>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05C"/>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31E"/>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2DA0"/>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062C"/>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10E"/>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1D"/>
    <w:rsid w:val="00C33FB4"/>
    <w:rsid w:val="00C340FD"/>
    <w:rsid w:val="00C34178"/>
    <w:rsid w:val="00C34B2A"/>
    <w:rsid w:val="00C34C08"/>
    <w:rsid w:val="00C34FC7"/>
    <w:rsid w:val="00C351FD"/>
    <w:rsid w:val="00C35380"/>
    <w:rsid w:val="00C357A1"/>
    <w:rsid w:val="00C357FF"/>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0A8"/>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08"/>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6826"/>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17FA0"/>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23D"/>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1F7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5ED2"/>
    <w:rsid w:val="00F06073"/>
    <w:rsid w:val="00F060A2"/>
    <w:rsid w:val="00F10841"/>
    <w:rsid w:val="00F1088E"/>
    <w:rsid w:val="00F109A4"/>
    <w:rsid w:val="00F1115B"/>
    <w:rsid w:val="00F11295"/>
    <w:rsid w:val="00F11582"/>
    <w:rsid w:val="00F11835"/>
    <w:rsid w:val="00F11906"/>
    <w:rsid w:val="00F119C7"/>
    <w:rsid w:val="00F126AB"/>
    <w:rsid w:val="00F126F7"/>
    <w:rsid w:val="00F128D6"/>
    <w:rsid w:val="00F1290C"/>
    <w:rsid w:val="00F12C7A"/>
    <w:rsid w:val="00F12EFB"/>
    <w:rsid w:val="00F134DD"/>
    <w:rsid w:val="00F13801"/>
    <w:rsid w:val="00F1446F"/>
    <w:rsid w:val="00F144B6"/>
    <w:rsid w:val="00F1497A"/>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2C1"/>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5C9"/>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DF"/>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4D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TALCar">
    <w:name w:val="TAL Car"/>
    <w:link w:val="TAL"/>
    <w:qFormat/>
    <w:rsid w:val="004C488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30227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Docs\R1-2303924.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4</Pages>
  <Words>1295</Words>
  <Characters>7384</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65</cp:revision>
  <cp:lastPrinted>2019-02-13T08:31:00Z</cp:lastPrinted>
  <dcterms:created xsi:type="dcterms:W3CDTF">2022-09-05T13:01:00Z</dcterms:created>
  <dcterms:modified xsi:type="dcterms:W3CDTF">2023-05-15T09:06:00Z</dcterms:modified>
</cp:coreProperties>
</file>