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7980E143"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1C0385" w:rsidRPr="00CB323E">
        <w:rPr>
          <w:rFonts w:eastAsia="Malgun Gothic"/>
          <w:b/>
          <w:bCs/>
          <w:lang w:val="en-US" w:eastAsia="en-US"/>
        </w:rPr>
        <w:t>3</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FE0D58" w:rsidRPr="00CB323E">
        <w:rPr>
          <w:rFonts w:eastAsia="Malgun Gothic"/>
          <w:b/>
          <w:bCs/>
          <w:lang w:val="en-US" w:eastAsia="en-US"/>
        </w:rPr>
        <w:t>R1-</w:t>
      </w:r>
      <w:r w:rsidR="00FE0D58" w:rsidRPr="00865EA6">
        <w:rPr>
          <w:rFonts w:eastAsia="Malgun Gothic"/>
          <w:b/>
          <w:bCs/>
          <w:lang w:val="en-US" w:eastAsia="en-US"/>
        </w:rPr>
        <w:t>2</w:t>
      </w:r>
      <w:r w:rsidR="004D66CF" w:rsidRPr="00865EA6">
        <w:rPr>
          <w:rFonts w:eastAsia="Malgun Gothic"/>
          <w:b/>
          <w:bCs/>
          <w:lang w:val="en-US" w:eastAsia="en-US"/>
        </w:rPr>
        <w:t>3</w:t>
      </w:r>
      <w:r w:rsidR="00865EA6" w:rsidRPr="00865EA6">
        <w:rPr>
          <w:rFonts w:eastAsia="Malgun Gothic"/>
          <w:b/>
          <w:bCs/>
          <w:lang w:val="en-US" w:eastAsia="en-US"/>
        </w:rPr>
        <w:t>05447</w:t>
      </w:r>
      <w:bookmarkStart w:id="0" w:name="_GoBack"/>
      <w:bookmarkEnd w:id="0"/>
    </w:p>
    <w:p w14:paraId="7082E301" w14:textId="52132645" w:rsidR="004D66CF" w:rsidRPr="00CB323E" w:rsidRDefault="001C0385" w:rsidP="004D66CF">
      <w:pPr>
        <w:tabs>
          <w:tab w:val="center" w:pos="4536"/>
          <w:tab w:val="right" w:pos="9072"/>
        </w:tabs>
        <w:spacing w:line="276" w:lineRule="auto"/>
        <w:rPr>
          <w:rFonts w:eastAsia="Malgun Gothic"/>
          <w:b/>
          <w:bCs/>
          <w:lang w:eastAsia="en-US"/>
        </w:rPr>
      </w:pPr>
      <w:r w:rsidRPr="00CB323E">
        <w:rPr>
          <w:rFonts w:eastAsia="Malgun Gothic"/>
          <w:b/>
          <w:bCs/>
          <w:lang w:eastAsia="en-US"/>
        </w:rPr>
        <w:t>Incheon, Korea</w:t>
      </w:r>
      <w:r w:rsidR="004D66CF" w:rsidRPr="00CB323E">
        <w:rPr>
          <w:rFonts w:eastAsia="Malgun Gothic"/>
          <w:b/>
          <w:bCs/>
          <w:lang w:eastAsia="en-US"/>
        </w:rPr>
        <w:t xml:space="preserve">, </w:t>
      </w:r>
      <w:r w:rsidRPr="00CB323E">
        <w:rPr>
          <w:rFonts w:eastAsia="Malgun Gothic"/>
          <w:b/>
          <w:bCs/>
          <w:lang w:eastAsia="en-US"/>
        </w:rPr>
        <w:t>May</w:t>
      </w:r>
      <w:r w:rsidR="004D66CF" w:rsidRPr="00CB323E">
        <w:rPr>
          <w:rFonts w:eastAsia="Malgun Gothic"/>
          <w:b/>
          <w:bCs/>
          <w:lang w:eastAsia="en-US"/>
        </w:rPr>
        <w:t xml:space="preserve"> </w:t>
      </w:r>
      <w:r w:rsidRPr="00CB323E">
        <w:rPr>
          <w:rFonts w:eastAsia="Malgun Gothic"/>
          <w:b/>
          <w:bCs/>
          <w:lang w:eastAsia="en-US"/>
        </w:rPr>
        <w:t>22</w:t>
      </w:r>
      <w:r w:rsidRPr="00CB323E">
        <w:rPr>
          <w:rFonts w:eastAsia="Malgun Gothic"/>
          <w:b/>
          <w:bCs/>
          <w:vertAlign w:val="superscript"/>
          <w:lang w:eastAsia="en-US"/>
        </w:rPr>
        <w:t>nd</w:t>
      </w:r>
      <w:r w:rsidR="004D66CF" w:rsidRPr="00CB323E">
        <w:rPr>
          <w:rFonts w:eastAsia="Malgun Gothic"/>
          <w:b/>
          <w:bCs/>
          <w:lang w:eastAsia="en-US"/>
        </w:rPr>
        <w:t xml:space="preserve"> – </w:t>
      </w:r>
      <w:r w:rsidR="00E80D8D" w:rsidRPr="00CB323E">
        <w:rPr>
          <w:rFonts w:eastAsia="Malgun Gothic"/>
          <w:b/>
          <w:bCs/>
          <w:lang w:eastAsia="en-US"/>
        </w:rPr>
        <w:t>26</w:t>
      </w:r>
      <w:r w:rsidR="00E80D8D" w:rsidRPr="00CB323E">
        <w:rPr>
          <w:rFonts w:eastAsia="Malgun Gothic"/>
          <w:b/>
          <w:bCs/>
          <w:vertAlign w:val="superscript"/>
          <w:lang w:eastAsia="en-US"/>
        </w:rPr>
        <w:t>th</w:t>
      </w:r>
      <w:r w:rsidR="004D66CF" w:rsidRPr="00CB323E">
        <w:rPr>
          <w:rFonts w:eastAsia="Malgun Gothic"/>
          <w:b/>
          <w:bCs/>
          <w:lang w:eastAsia="en-US"/>
        </w:rPr>
        <w:t>, 2023</w:t>
      </w:r>
    </w:p>
    <w:p w14:paraId="44225355" w14:textId="77777777" w:rsidR="004E0707" w:rsidRPr="00CB323E" w:rsidRDefault="004E0707" w:rsidP="0093333E">
      <w:pPr>
        <w:tabs>
          <w:tab w:val="center" w:pos="4536"/>
          <w:tab w:val="right" w:pos="9072"/>
        </w:tabs>
        <w:spacing w:line="276" w:lineRule="auto"/>
        <w:rPr>
          <w:rFonts w:eastAsia="Malgun Gothic"/>
          <w:b/>
          <w:bCs/>
          <w:szCs w:val="24"/>
          <w:highlight w:val="yellow"/>
          <w:lang w:eastAsia="en-US"/>
        </w:rPr>
      </w:pPr>
    </w:p>
    <w:p w14:paraId="66670163" w14:textId="50B14593"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1" w:name="Source"/>
      <w:bookmarkEnd w:id="1"/>
      <w:r w:rsidR="002A0F00" w:rsidRPr="00CB323E">
        <w:rPr>
          <w:rFonts w:eastAsia="Malgun Gothic"/>
          <w:lang w:val="en-US" w:eastAsia="en-US"/>
        </w:rPr>
        <w:t>9</w:t>
      </w:r>
      <w:r w:rsidR="00E80D8D" w:rsidRPr="00CB323E">
        <w:rPr>
          <w:rFonts w:eastAsia="Malgun Gothic"/>
          <w:lang w:val="en-US" w:eastAsia="en-US"/>
        </w:rPr>
        <w:t>.</w:t>
      </w:r>
      <w:r w:rsidR="002A0F00" w:rsidRPr="00CB323E">
        <w:rPr>
          <w:rFonts w:eastAsia="Malgun Gothic"/>
          <w:lang w:val="en-US" w:eastAsia="en-US"/>
        </w:rPr>
        <w:t>1</w:t>
      </w:r>
      <w:r w:rsidR="001C0385" w:rsidRPr="00CB323E">
        <w:rPr>
          <w:rFonts w:eastAsia="Malgun Gothic"/>
          <w:lang w:val="en-US" w:eastAsia="en-US"/>
        </w:rPr>
        <w:t>6.</w:t>
      </w:r>
      <w:r w:rsidR="00C77C09">
        <w:rPr>
          <w:rFonts w:eastAsia="Malgun Gothic"/>
          <w:lang w:val="en-US" w:eastAsia="en-US"/>
        </w:rPr>
        <w:t>11</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26CE4668"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r w:rsidR="00C77C09" w:rsidRPr="00C77C09">
        <w:rPr>
          <w:rFonts w:eastAsia="Malgun Gothic"/>
          <w:bCs/>
          <w:lang w:val="en-US" w:eastAsia="en-US"/>
        </w:rPr>
        <w:t>Discussion on UE features for IoT NTN enhancements</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2" w:name="DocumentFor"/>
      <w:bookmarkEnd w:id="2"/>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B3777D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2A0F00">
        <w:rPr>
          <w:rFonts w:eastAsia="Malgun Gothic" w:cs="Batang"/>
          <w:sz w:val="22"/>
          <w:szCs w:val="22"/>
          <w:lang w:val="en-US" w:eastAsia="en-US"/>
        </w:rPr>
        <w:t xml:space="preserve">initial </w:t>
      </w:r>
      <w:r w:rsidRPr="0006525D">
        <w:rPr>
          <w:rFonts w:eastAsia="Malgun Gothic" w:cs="Batang"/>
          <w:sz w:val="22"/>
          <w:szCs w:val="22"/>
          <w:lang w:val="en-US" w:eastAsia="en-US"/>
        </w:rPr>
        <w:t xml:space="preserve">RAN1 UE feature </w:t>
      </w:r>
      <w:r w:rsidR="007C7E13">
        <w:rPr>
          <w:rFonts w:eastAsia="Malgun Gothic" w:cs="Batang"/>
          <w:sz w:val="22"/>
          <w:szCs w:val="22"/>
          <w:lang w:val="en-US" w:eastAsia="en-US"/>
        </w:rPr>
        <w:t xml:space="preserve">list </w:t>
      </w:r>
      <w:r w:rsidR="00566776">
        <w:rPr>
          <w:rFonts w:eastAsia="Malgun Gothic" w:cs="Batang"/>
          <w:sz w:val="22"/>
          <w:szCs w:val="22"/>
          <w:lang w:val="en-US" w:eastAsia="en-US"/>
        </w:rPr>
        <w:t xml:space="preserve">from our perspective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EA24DC">
        <w:rPr>
          <w:rFonts w:eastAsia="Malgun Gothic" w:cs="Batang"/>
          <w:sz w:val="22"/>
          <w:szCs w:val="22"/>
          <w:lang w:val="en-US" w:eastAsia="en-US"/>
        </w:rPr>
        <w:t xml:space="preserve">WI of </w:t>
      </w:r>
      <w:r w:rsidR="0024606B">
        <w:rPr>
          <w:rFonts w:eastAsia="Malgun Gothic" w:cs="Batang"/>
          <w:sz w:val="22"/>
          <w:szCs w:val="22"/>
          <w:lang w:val="en-US" w:eastAsia="en-US"/>
        </w:rPr>
        <w:t>IoT NTN enhancement</w:t>
      </w:r>
      <w:r w:rsidR="00EA24DC">
        <w:rPr>
          <w:rFonts w:eastAsia="Malgun Gothic" w:cs="Batang"/>
          <w:sz w:val="22"/>
          <w:szCs w:val="22"/>
          <w:lang w:val="en-US" w:eastAsia="en-US"/>
        </w:rPr>
        <w:t>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7ED8D344" w:rsidR="001E08E6" w:rsidRPr="0071278C" w:rsidRDefault="0071278C"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 list for </w:t>
      </w:r>
      <w:r w:rsidR="00EA24DC">
        <w:rPr>
          <w:rFonts w:ascii="Arial" w:eastAsia="Batang" w:hAnsi="Arial"/>
          <w:sz w:val="32"/>
          <w:szCs w:val="32"/>
          <w:lang w:val="nl-NL" w:eastAsia="ko-KR"/>
        </w:rPr>
        <w:t>IoT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850"/>
        <w:gridCol w:w="2977"/>
        <w:gridCol w:w="4535"/>
        <w:gridCol w:w="1148"/>
        <w:gridCol w:w="527"/>
        <w:gridCol w:w="517"/>
        <w:gridCol w:w="3204"/>
        <w:gridCol w:w="1072"/>
        <w:gridCol w:w="447"/>
        <w:gridCol w:w="447"/>
        <w:gridCol w:w="3127"/>
        <w:gridCol w:w="1973"/>
      </w:tblGrid>
      <w:tr w:rsidR="00C62BDB" w:rsidRPr="002A75D7" w14:paraId="16638BB8" w14:textId="77777777" w:rsidTr="008201D1">
        <w:tc>
          <w:tcPr>
            <w:tcW w:w="1556" w:type="dxa"/>
            <w:tcBorders>
              <w:top w:val="single" w:sz="4" w:space="0" w:color="auto"/>
              <w:left w:val="single" w:sz="4" w:space="0" w:color="auto"/>
              <w:bottom w:val="single" w:sz="4" w:space="0" w:color="auto"/>
              <w:right w:val="single" w:sz="4" w:space="0" w:color="auto"/>
            </w:tcBorders>
          </w:tcPr>
          <w:p w14:paraId="76E19516" w14:textId="76AEB23E"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Pr>
                <w:rFonts w:ascii="Arial" w:eastAsia="Times New Roman" w:hAnsi="Arial" w:cs="Arial"/>
                <w:color w:val="000000"/>
                <w:sz w:val="18"/>
                <w:szCs w:val="18"/>
              </w:rPr>
              <w:t>IoT</w:t>
            </w:r>
            <w:r w:rsidRPr="002A75D7">
              <w:rPr>
                <w:rFonts w:ascii="Arial" w:eastAsia="Times New Roman" w:hAnsi="Arial" w:cs="Arial"/>
                <w:color w:val="000000"/>
                <w:sz w:val="18"/>
                <w:szCs w:val="18"/>
              </w:rPr>
              <w:t>_NTN</w:t>
            </w:r>
            <w:r>
              <w:rPr>
                <w:rFonts w:ascii="Arial" w:eastAsia="Times New Roman" w:hAnsi="Arial" w:cs="Arial"/>
                <w:color w:val="000000"/>
                <w:sz w:val="18"/>
                <w:szCs w:val="18"/>
              </w:rPr>
              <w:t>_enh</w:t>
            </w:r>
            <w:proofErr w:type="spellEnd"/>
            <w:r>
              <w:rPr>
                <w:rFonts w:ascii="Arial" w:eastAsia="Times New Roman" w:hAnsi="Arial" w:cs="Arial"/>
                <w:color w:val="000000"/>
                <w:sz w:val="18"/>
                <w:szCs w:val="18"/>
              </w:rPr>
              <w:t>-Core</w:t>
            </w:r>
          </w:p>
        </w:tc>
        <w:tc>
          <w:tcPr>
            <w:tcW w:w="850" w:type="dxa"/>
            <w:tcBorders>
              <w:top w:val="single" w:sz="4" w:space="0" w:color="auto"/>
              <w:left w:val="single" w:sz="4" w:space="0" w:color="auto"/>
              <w:bottom w:val="single" w:sz="4" w:space="0" w:color="auto"/>
              <w:right w:val="single" w:sz="4" w:space="0" w:color="auto"/>
            </w:tcBorders>
          </w:tcPr>
          <w:p w14:paraId="47216D0B" w14:textId="6038C309"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-1</w:t>
            </w:r>
          </w:p>
        </w:tc>
        <w:tc>
          <w:tcPr>
            <w:tcW w:w="2977" w:type="dxa"/>
            <w:tcBorders>
              <w:top w:val="single" w:sz="4" w:space="0" w:color="auto"/>
              <w:left w:val="single" w:sz="4" w:space="0" w:color="auto"/>
              <w:bottom w:val="single" w:sz="4" w:space="0" w:color="auto"/>
              <w:right w:val="single" w:sz="4" w:space="0" w:color="auto"/>
            </w:tcBorders>
          </w:tcPr>
          <w:p w14:paraId="6861292B" w14:textId="096511C5"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6C46E2">
              <w:rPr>
                <w:rFonts w:ascii="Arial" w:eastAsia="Times New Roman" w:hAnsi="Arial" w:cs="Arial"/>
                <w:color w:val="000000"/>
                <w:sz w:val="18"/>
                <w:szCs w:val="18"/>
              </w:rPr>
              <w:t xml:space="preserve">Disabling HARQ feedback for downlink transmission for </w:t>
            </w:r>
            <w:proofErr w:type="spellStart"/>
            <w:r w:rsidRPr="006C46E2">
              <w:rPr>
                <w:rFonts w:ascii="Arial" w:eastAsia="Times New Roman" w:hAnsi="Arial" w:cs="Arial"/>
                <w:color w:val="000000"/>
                <w:sz w:val="18"/>
                <w:szCs w:val="18"/>
              </w:rPr>
              <w:t>eMTC</w:t>
            </w:r>
            <w:proofErr w:type="spellEnd"/>
          </w:p>
        </w:tc>
        <w:tc>
          <w:tcPr>
            <w:tcW w:w="4535" w:type="dxa"/>
            <w:tcBorders>
              <w:top w:val="single" w:sz="4" w:space="0" w:color="auto"/>
              <w:left w:val="single" w:sz="4" w:space="0" w:color="auto"/>
              <w:bottom w:val="single" w:sz="4" w:space="0" w:color="auto"/>
              <w:right w:val="single" w:sz="4" w:space="0" w:color="auto"/>
            </w:tcBorders>
          </w:tcPr>
          <w:p w14:paraId="3B713595" w14:textId="77777777" w:rsidR="00C62BDB" w:rsidRPr="001344E3" w:rsidRDefault="00C62BDB" w:rsidP="00C62BDB">
            <w:pPr>
              <w:pStyle w:val="TAL"/>
              <w:rPr>
                <w:rFonts w:cs="Arial"/>
                <w:szCs w:val="18"/>
              </w:rPr>
            </w:pPr>
            <w:r w:rsidRPr="001344E3">
              <w:rPr>
                <w:rFonts w:cs="Arial"/>
                <w:szCs w:val="18"/>
              </w:rPr>
              <w:t xml:space="preserve">1) </w:t>
            </w:r>
            <w:r w:rsidRPr="001344E3">
              <w:t>Indicates whether the UE supports disabled HARQ feedback for downlink transmission</w:t>
            </w:r>
            <w:r>
              <w:t xml:space="preserve"> via RRC</w:t>
            </w:r>
            <w:r w:rsidRPr="001344E3">
              <w:rPr>
                <w:rFonts w:cs="Arial"/>
                <w:szCs w:val="18"/>
              </w:rPr>
              <w:t>.</w:t>
            </w:r>
          </w:p>
          <w:p w14:paraId="01215F50" w14:textId="77777777" w:rsidR="00C62BDB" w:rsidRPr="001344E3" w:rsidRDefault="00C62BDB" w:rsidP="00C62BDB">
            <w:pPr>
              <w:pStyle w:val="TAL"/>
              <w:rPr>
                <w:rFonts w:cs="Arial"/>
                <w:szCs w:val="18"/>
              </w:rPr>
            </w:pPr>
            <w:r>
              <w:rPr>
                <w:rFonts w:cs="Arial"/>
                <w:szCs w:val="18"/>
              </w:rPr>
              <w:t>2</w:t>
            </w:r>
            <w:r w:rsidRPr="001344E3">
              <w:rPr>
                <w:rFonts w:cs="Arial"/>
                <w:szCs w:val="18"/>
              </w:rPr>
              <w:t xml:space="preserve">) </w:t>
            </w:r>
            <w:r w:rsidRPr="001344E3">
              <w:t>Indicates whether the UE supports disabled HARQ feedback for downlink transmission</w:t>
            </w:r>
            <w:r>
              <w:t xml:space="preserve"> via DCI</w:t>
            </w:r>
            <w:r>
              <w:rPr>
                <w:rFonts w:cs="Arial"/>
                <w:szCs w:val="18"/>
              </w:rPr>
              <w:t>.</w:t>
            </w:r>
          </w:p>
          <w:p w14:paraId="51D1F061" w14:textId="3229658F" w:rsidR="00C62BDB" w:rsidRDefault="00C62BDB" w:rsidP="00C62BDB">
            <w:pPr>
              <w:pStyle w:val="TAL"/>
              <w:rPr>
                <w:rFonts w:cs="Arial"/>
                <w:szCs w:val="18"/>
              </w:rPr>
            </w:pPr>
            <w:r>
              <w:rPr>
                <w:rFonts w:cs="Arial"/>
                <w:szCs w:val="18"/>
              </w:rPr>
              <w:t>3</w:t>
            </w:r>
            <w:r w:rsidRPr="001344E3">
              <w:rPr>
                <w:rFonts w:cs="Arial"/>
                <w:szCs w:val="18"/>
              </w:rPr>
              <w:t xml:space="preserve">) </w:t>
            </w:r>
            <w:r w:rsidRPr="001344E3">
              <w:t>Indicates whether the UE supports disabled HARQ feedback for downlink transmission</w:t>
            </w:r>
            <w:r>
              <w:t xml:space="preserve"> via RRC and DCI</w:t>
            </w:r>
            <w:r>
              <w:rPr>
                <w:rFonts w:cs="Arial"/>
                <w:szCs w:val="18"/>
              </w:rPr>
              <w:t>.</w:t>
            </w:r>
          </w:p>
          <w:p w14:paraId="7929DF89" w14:textId="5FFDEF86" w:rsidR="00B0664C" w:rsidRPr="001344E3" w:rsidRDefault="00B0664C" w:rsidP="00C62BDB">
            <w:pPr>
              <w:pStyle w:val="TAL"/>
              <w:rPr>
                <w:rFonts w:cs="Arial"/>
                <w:szCs w:val="18"/>
                <w:lang w:eastAsia="zh-CN"/>
              </w:rPr>
            </w:pPr>
            <w:r>
              <w:rPr>
                <w:rFonts w:cs="Arial" w:hint="eastAsia"/>
                <w:szCs w:val="18"/>
                <w:lang w:eastAsia="zh-CN"/>
              </w:rPr>
              <w:t>4</w:t>
            </w:r>
            <w:r>
              <w:rPr>
                <w:rFonts w:cs="Arial"/>
                <w:szCs w:val="18"/>
                <w:lang w:eastAsia="zh-CN"/>
              </w:rPr>
              <w:t>) UE supports the corresponding PDCCH monitoring restriction when HARQ processes are configured with disabled HARQ feedback</w:t>
            </w:r>
          </w:p>
          <w:p w14:paraId="498145F1" w14:textId="22DAB57D"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1148" w:type="dxa"/>
            <w:tcBorders>
              <w:top w:val="single" w:sz="4" w:space="0" w:color="auto"/>
              <w:left w:val="single" w:sz="4" w:space="0" w:color="auto"/>
              <w:bottom w:val="single" w:sz="4" w:space="0" w:color="auto"/>
              <w:right w:val="single" w:sz="4" w:space="0" w:color="auto"/>
            </w:tcBorders>
          </w:tcPr>
          <w:p w14:paraId="7F650E4E" w14:textId="70100154" w:rsidR="00C62BDB" w:rsidRPr="002A75D7" w:rsidRDefault="00C62BDB" w:rsidP="00C62BDB">
            <w:pPr>
              <w:pStyle w:val="TAL"/>
              <w:rPr>
                <w:rFonts w:eastAsia="Malgun Gothic" w:cs="Arial"/>
                <w:szCs w:val="18"/>
                <w:lang w:eastAsia="ko-KR"/>
              </w:rPr>
            </w:pPr>
            <w:r>
              <w:rPr>
                <w:rFonts w:eastAsia="Malgun Gothic" w:cs="Arial"/>
                <w:szCs w:val="18"/>
                <w:lang w:eastAsia="ko-KR"/>
              </w:rPr>
              <w:t>2-1</w:t>
            </w:r>
          </w:p>
        </w:tc>
        <w:tc>
          <w:tcPr>
            <w:tcW w:w="0" w:type="auto"/>
            <w:tcBorders>
              <w:top w:val="single" w:sz="4" w:space="0" w:color="auto"/>
              <w:left w:val="single" w:sz="4" w:space="0" w:color="auto"/>
              <w:bottom w:val="single" w:sz="4" w:space="0" w:color="auto"/>
              <w:right w:val="single" w:sz="4" w:space="0" w:color="auto"/>
            </w:tcBorders>
          </w:tcPr>
          <w:p w14:paraId="62E2CBC8"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A4D4"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B02571" w14:textId="088AD576"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Release 1</w:t>
            </w:r>
            <w:r w:rsidR="0014674F">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w:t>
            </w:r>
            <w:proofErr w:type="spellStart"/>
            <w:r w:rsidRPr="002A75D7">
              <w:rPr>
                <w:rFonts w:ascii="Arial" w:eastAsia="Times New Roman" w:hAnsi="Arial" w:cs="Arial"/>
                <w:color w:val="000000"/>
                <w:sz w:val="18"/>
                <w:szCs w:val="18"/>
              </w:rPr>
              <w:t>eMTC</w:t>
            </w:r>
            <w:proofErr w:type="spellEnd"/>
            <w:r w:rsidRPr="002A75D7">
              <w:rPr>
                <w:rFonts w:ascii="Arial" w:eastAsia="Times New Roman" w:hAnsi="Arial" w:cs="Arial"/>
                <w:color w:val="000000"/>
                <w:sz w:val="18"/>
                <w:szCs w:val="18"/>
              </w:rPr>
              <w:t xml:space="preserve"> UE cannot </w:t>
            </w:r>
            <w:r w:rsidR="0014674F">
              <w:rPr>
                <w:rFonts w:ascii="Arial" w:eastAsia="Times New Roman" w:hAnsi="Arial" w:cs="Arial"/>
                <w:color w:val="000000"/>
                <w:sz w:val="18"/>
                <w:szCs w:val="18"/>
              </w:rPr>
              <w:t>support disabling HARQ feedback for DL transmission</w:t>
            </w:r>
          </w:p>
        </w:tc>
        <w:tc>
          <w:tcPr>
            <w:tcW w:w="0" w:type="auto"/>
            <w:tcBorders>
              <w:top w:val="single" w:sz="4" w:space="0" w:color="auto"/>
              <w:left w:val="single" w:sz="4" w:space="0" w:color="auto"/>
              <w:bottom w:val="single" w:sz="4" w:space="0" w:color="auto"/>
              <w:right w:val="single" w:sz="4" w:space="0" w:color="auto"/>
            </w:tcBorders>
          </w:tcPr>
          <w:p w14:paraId="60994461"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72E11F64"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17E3D95"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230D5985" w14:textId="790B6CE8" w:rsidR="00C62BDB" w:rsidRPr="002A75D7" w:rsidRDefault="00D10EE1"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lang w:eastAsia="zh-CN"/>
              </w:rPr>
              <w:t xml:space="preserve">For UEs supporting </w:t>
            </w:r>
            <w:r>
              <w:rPr>
                <w:rFonts w:ascii="Arial" w:eastAsia="Times New Roman" w:hAnsi="Arial" w:cs="Arial"/>
                <w:color w:val="000000"/>
                <w:sz w:val="18"/>
                <w:szCs w:val="18"/>
                <w:lang w:eastAsia="zh-CN"/>
              </w:rPr>
              <w:t>d</w:t>
            </w:r>
            <w:r w:rsidRPr="006C46E2">
              <w:rPr>
                <w:rFonts w:ascii="Arial" w:eastAsia="Times New Roman" w:hAnsi="Arial" w:cs="Arial"/>
                <w:color w:val="000000"/>
                <w:sz w:val="18"/>
                <w:szCs w:val="18"/>
              </w:rPr>
              <w:t>isabling HARQ feedback</w:t>
            </w:r>
            <w:r>
              <w:rPr>
                <w:rFonts w:ascii="Arial" w:eastAsia="Times New Roman" w:hAnsi="Arial" w:cs="Arial"/>
                <w:color w:val="000000"/>
                <w:sz w:val="18"/>
                <w:szCs w:val="18"/>
              </w:rPr>
              <w:t xml:space="preserve"> for DL</w:t>
            </w:r>
            <w:r w:rsidRPr="002A75D7">
              <w:rPr>
                <w:rFonts w:ascii="Arial" w:eastAsia="Times New Roman" w:hAnsi="Arial" w:cs="Arial"/>
                <w:color w:val="000000"/>
                <w:sz w:val="18"/>
                <w:szCs w:val="18"/>
                <w:lang w:eastAsia="zh-CN"/>
              </w:rPr>
              <w:t>, it must indicate this FG is supported.</w:t>
            </w:r>
          </w:p>
        </w:tc>
        <w:tc>
          <w:tcPr>
            <w:tcW w:w="1973" w:type="dxa"/>
            <w:tcBorders>
              <w:top w:val="single" w:sz="4" w:space="0" w:color="auto"/>
              <w:left w:val="single" w:sz="4" w:space="0" w:color="auto"/>
              <w:bottom w:val="single" w:sz="4" w:space="0" w:color="auto"/>
              <w:right w:val="single" w:sz="4" w:space="0" w:color="auto"/>
            </w:tcBorders>
          </w:tcPr>
          <w:p w14:paraId="522FF55E" w14:textId="77777777" w:rsidR="00C62BDB" w:rsidRPr="002A75D7" w:rsidRDefault="00C62BDB" w:rsidP="00C62BDB">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4EB87B6B" w14:textId="2BDACE23" w:rsidR="00C62BDB" w:rsidRPr="002A75D7" w:rsidRDefault="00C62BDB" w:rsidP="00C62BDB">
            <w:pPr>
              <w:keepNext/>
              <w:keepLines/>
              <w:overflowPunct w:val="0"/>
              <w:autoSpaceDE w:val="0"/>
              <w:autoSpaceDN w:val="0"/>
              <w:adjustRightInd w:val="0"/>
              <w:textAlignment w:val="baseline"/>
              <w:rPr>
                <w:rFonts w:ascii="Arial" w:eastAsia="MS Mincho" w:hAnsi="Arial" w:cs="Arial"/>
                <w:color w:val="000000"/>
                <w:sz w:val="18"/>
                <w:szCs w:val="18"/>
              </w:rPr>
            </w:pPr>
          </w:p>
        </w:tc>
      </w:tr>
      <w:tr w:rsidR="00D10EE1" w:rsidRPr="002A75D7" w14:paraId="1F86FB72" w14:textId="77777777" w:rsidTr="008201D1">
        <w:tc>
          <w:tcPr>
            <w:tcW w:w="1556" w:type="dxa"/>
            <w:tcBorders>
              <w:top w:val="single" w:sz="4" w:space="0" w:color="auto"/>
              <w:left w:val="single" w:sz="4" w:space="0" w:color="auto"/>
              <w:bottom w:val="single" w:sz="4" w:space="0" w:color="auto"/>
              <w:right w:val="single" w:sz="4" w:space="0" w:color="auto"/>
            </w:tcBorders>
          </w:tcPr>
          <w:p w14:paraId="03F3CF24" w14:textId="415DB9F2"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Pr>
                <w:rFonts w:ascii="Arial" w:eastAsia="Times New Roman" w:hAnsi="Arial" w:cs="Arial"/>
                <w:color w:val="000000"/>
                <w:sz w:val="18"/>
                <w:szCs w:val="18"/>
              </w:rPr>
              <w:t>IoT</w:t>
            </w:r>
            <w:r w:rsidRPr="002A75D7">
              <w:rPr>
                <w:rFonts w:ascii="Arial" w:eastAsia="Times New Roman" w:hAnsi="Arial" w:cs="Arial"/>
                <w:color w:val="000000"/>
                <w:sz w:val="18"/>
                <w:szCs w:val="18"/>
              </w:rPr>
              <w:t>_NTN</w:t>
            </w:r>
            <w:r>
              <w:rPr>
                <w:rFonts w:ascii="Arial" w:eastAsia="Times New Roman" w:hAnsi="Arial" w:cs="Arial"/>
                <w:color w:val="000000"/>
                <w:sz w:val="18"/>
                <w:szCs w:val="18"/>
              </w:rPr>
              <w:t>_enh</w:t>
            </w:r>
            <w:proofErr w:type="spellEnd"/>
            <w:r>
              <w:rPr>
                <w:rFonts w:ascii="Arial" w:eastAsia="Times New Roman" w:hAnsi="Arial" w:cs="Arial"/>
                <w:color w:val="000000"/>
                <w:sz w:val="18"/>
                <w:szCs w:val="18"/>
              </w:rPr>
              <w:t>-Core</w:t>
            </w:r>
          </w:p>
        </w:tc>
        <w:tc>
          <w:tcPr>
            <w:tcW w:w="850" w:type="dxa"/>
            <w:tcBorders>
              <w:top w:val="single" w:sz="4" w:space="0" w:color="auto"/>
              <w:left w:val="single" w:sz="4" w:space="0" w:color="auto"/>
              <w:bottom w:val="single" w:sz="4" w:space="0" w:color="auto"/>
              <w:right w:val="single" w:sz="4" w:space="0" w:color="auto"/>
            </w:tcBorders>
          </w:tcPr>
          <w:p w14:paraId="3B5E3B85" w14:textId="178DA429"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-1</w:t>
            </w:r>
            <w:r>
              <w:rPr>
                <w:rFonts w:ascii="Arial" w:eastAsia="Times New Roman" w:hAnsi="Arial" w:cs="Arial"/>
                <w:color w:val="000000"/>
                <w:sz w:val="18"/>
                <w:szCs w:val="18"/>
              </w:rPr>
              <w:t>a</w:t>
            </w:r>
          </w:p>
        </w:tc>
        <w:tc>
          <w:tcPr>
            <w:tcW w:w="2977" w:type="dxa"/>
            <w:tcBorders>
              <w:top w:val="single" w:sz="4" w:space="0" w:color="auto"/>
              <w:left w:val="single" w:sz="4" w:space="0" w:color="auto"/>
              <w:bottom w:val="single" w:sz="4" w:space="0" w:color="auto"/>
              <w:right w:val="single" w:sz="4" w:space="0" w:color="auto"/>
            </w:tcBorders>
          </w:tcPr>
          <w:p w14:paraId="291E33EF" w14:textId="197C348B"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6C46E2">
              <w:rPr>
                <w:rFonts w:ascii="Arial" w:eastAsia="Times New Roman" w:hAnsi="Arial" w:cs="Arial"/>
                <w:color w:val="000000"/>
                <w:sz w:val="18"/>
                <w:szCs w:val="18"/>
              </w:rPr>
              <w:t>Disabling HARQ feedback for downlink transmission for NB-IoT</w:t>
            </w:r>
          </w:p>
        </w:tc>
        <w:tc>
          <w:tcPr>
            <w:tcW w:w="4535" w:type="dxa"/>
            <w:tcBorders>
              <w:top w:val="single" w:sz="4" w:space="0" w:color="auto"/>
              <w:left w:val="single" w:sz="4" w:space="0" w:color="auto"/>
              <w:bottom w:val="single" w:sz="4" w:space="0" w:color="auto"/>
              <w:right w:val="single" w:sz="4" w:space="0" w:color="auto"/>
            </w:tcBorders>
          </w:tcPr>
          <w:p w14:paraId="038D5273" w14:textId="642A1883" w:rsidR="00D10EE1" w:rsidRPr="001344E3" w:rsidRDefault="00D10EE1" w:rsidP="00D10EE1">
            <w:pPr>
              <w:pStyle w:val="TAL"/>
              <w:rPr>
                <w:rFonts w:cs="Arial"/>
                <w:szCs w:val="18"/>
              </w:rPr>
            </w:pPr>
            <w:r w:rsidRPr="001344E3">
              <w:rPr>
                <w:rFonts w:cs="Arial"/>
                <w:szCs w:val="18"/>
              </w:rPr>
              <w:t>1)</w:t>
            </w:r>
            <w:r>
              <w:rPr>
                <w:rFonts w:cs="Arial"/>
                <w:szCs w:val="18"/>
              </w:rPr>
              <w:t xml:space="preserve"> </w:t>
            </w:r>
            <w:r w:rsidRPr="001344E3">
              <w:t>Indicates whether the UE supports disabled HARQ feedback for downlink transmission</w:t>
            </w:r>
            <w:r>
              <w:t xml:space="preserve"> via DCI</w:t>
            </w:r>
            <w:r w:rsidRPr="001344E3">
              <w:rPr>
                <w:rFonts w:cs="Arial"/>
                <w:szCs w:val="18"/>
              </w:rPr>
              <w:t>.</w:t>
            </w:r>
          </w:p>
          <w:p w14:paraId="58603855" w14:textId="75CC8CCE" w:rsidR="00D10EE1" w:rsidRPr="001344E3" w:rsidRDefault="00D10EE1" w:rsidP="00D10EE1">
            <w:pPr>
              <w:pStyle w:val="TAL"/>
              <w:rPr>
                <w:rFonts w:cs="Arial"/>
                <w:szCs w:val="18"/>
              </w:rPr>
            </w:pPr>
            <w:r>
              <w:rPr>
                <w:rFonts w:cs="Arial"/>
                <w:szCs w:val="18"/>
              </w:rPr>
              <w:t>2</w:t>
            </w:r>
            <w:r w:rsidRPr="001344E3">
              <w:rPr>
                <w:rFonts w:cs="Arial"/>
                <w:szCs w:val="18"/>
              </w:rPr>
              <w:t xml:space="preserve">) </w:t>
            </w:r>
            <w:r w:rsidRPr="001344E3">
              <w:t>Indicates whether the UE supports disabled HARQ feedback for downlink transmission</w:t>
            </w:r>
            <w:r>
              <w:t xml:space="preserve"> via RRC and DCI</w:t>
            </w:r>
            <w:r>
              <w:rPr>
                <w:rFonts w:cs="Arial"/>
                <w:szCs w:val="18"/>
              </w:rPr>
              <w:t>.</w:t>
            </w:r>
          </w:p>
          <w:p w14:paraId="20509C92" w14:textId="606F2A7E" w:rsidR="00D10EE1" w:rsidRPr="001344E3" w:rsidRDefault="00D10EE1" w:rsidP="00D10EE1">
            <w:pPr>
              <w:pStyle w:val="TAL"/>
              <w:rPr>
                <w:rFonts w:cs="Arial"/>
                <w:szCs w:val="18"/>
                <w:lang w:eastAsia="zh-CN"/>
              </w:rPr>
            </w:pPr>
            <w:r>
              <w:rPr>
                <w:rFonts w:cs="Arial"/>
                <w:szCs w:val="18"/>
                <w:lang w:eastAsia="zh-CN"/>
              </w:rPr>
              <w:t>3) UE supports the corresponding PDCCH monitoring restriction when HARQ processes are configured with disabled HARQ feedback</w:t>
            </w:r>
          </w:p>
          <w:p w14:paraId="2B9FCE77" w14:textId="78522CCB"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1148" w:type="dxa"/>
            <w:tcBorders>
              <w:top w:val="single" w:sz="4" w:space="0" w:color="auto"/>
              <w:left w:val="single" w:sz="4" w:space="0" w:color="auto"/>
              <w:bottom w:val="single" w:sz="4" w:space="0" w:color="auto"/>
              <w:right w:val="single" w:sz="4" w:space="0" w:color="auto"/>
            </w:tcBorders>
          </w:tcPr>
          <w:p w14:paraId="2CC065FA" w14:textId="310FDDC4" w:rsidR="00D10EE1" w:rsidRPr="002A75D7" w:rsidRDefault="00D10EE1" w:rsidP="00D10EE1">
            <w:pPr>
              <w:pStyle w:val="TAL"/>
              <w:rPr>
                <w:rFonts w:eastAsia="Malgun Gothic" w:cs="Arial"/>
                <w:szCs w:val="18"/>
                <w:lang w:eastAsia="ko-KR"/>
              </w:rPr>
            </w:pPr>
            <w:r>
              <w:rPr>
                <w:rFonts w:eastAsia="Malgun Gothic" w:cs="Arial"/>
                <w:szCs w:val="18"/>
                <w:lang w:eastAsia="ko-KR"/>
              </w:rPr>
              <w:t>2-1b</w:t>
            </w:r>
          </w:p>
        </w:tc>
        <w:tc>
          <w:tcPr>
            <w:tcW w:w="0" w:type="auto"/>
            <w:tcBorders>
              <w:top w:val="single" w:sz="4" w:space="0" w:color="auto"/>
              <w:left w:val="single" w:sz="4" w:space="0" w:color="auto"/>
              <w:bottom w:val="single" w:sz="4" w:space="0" w:color="auto"/>
              <w:right w:val="single" w:sz="4" w:space="0" w:color="auto"/>
            </w:tcBorders>
          </w:tcPr>
          <w:p w14:paraId="6C14EAE1"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A961"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05E0F4" w14:textId="1FD2D0D2"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Release 1</w:t>
            </w:r>
            <w:r>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NB-IoT UE cannot </w:t>
            </w:r>
            <w:r>
              <w:rPr>
                <w:rFonts w:ascii="Arial" w:eastAsia="Times New Roman" w:hAnsi="Arial" w:cs="Arial"/>
                <w:color w:val="000000"/>
                <w:sz w:val="18"/>
                <w:szCs w:val="18"/>
              </w:rPr>
              <w:t>support disabling HARQ feedback for DL transmission</w:t>
            </w:r>
          </w:p>
        </w:tc>
        <w:tc>
          <w:tcPr>
            <w:tcW w:w="0" w:type="auto"/>
            <w:tcBorders>
              <w:top w:val="single" w:sz="4" w:space="0" w:color="auto"/>
              <w:left w:val="single" w:sz="4" w:space="0" w:color="auto"/>
              <w:bottom w:val="single" w:sz="4" w:space="0" w:color="auto"/>
              <w:right w:val="single" w:sz="4" w:space="0" w:color="auto"/>
            </w:tcBorders>
          </w:tcPr>
          <w:p w14:paraId="3B93CE14" w14:textId="75B8C113"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30559C26"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F543133"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3BF051BC" w14:textId="08690A92" w:rsidR="00D10EE1" w:rsidRPr="002A75D7" w:rsidDel="0039780C"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lang w:eastAsia="zh-CN"/>
              </w:rPr>
              <w:t xml:space="preserve">For UEs supporting </w:t>
            </w:r>
            <w:r>
              <w:rPr>
                <w:rFonts w:ascii="Arial" w:eastAsia="Times New Roman" w:hAnsi="Arial" w:cs="Arial"/>
                <w:color w:val="000000"/>
                <w:sz w:val="18"/>
                <w:szCs w:val="18"/>
                <w:lang w:eastAsia="zh-CN"/>
              </w:rPr>
              <w:t>d</w:t>
            </w:r>
            <w:r w:rsidRPr="006C46E2">
              <w:rPr>
                <w:rFonts w:ascii="Arial" w:eastAsia="Times New Roman" w:hAnsi="Arial" w:cs="Arial"/>
                <w:color w:val="000000"/>
                <w:sz w:val="18"/>
                <w:szCs w:val="18"/>
              </w:rPr>
              <w:t>isabling HARQ feedback</w:t>
            </w:r>
            <w:r>
              <w:rPr>
                <w:rFonts w:ascii="Arial" w:eastAsia="Times New Roman" w:hAnsi="Arial" w:cs="Arial"/>
                <w:color w:val="000000"/>
                <w:sz w:val="18"/>
                <w:szCs w:val="18"/>
              </w:rPr>
              <w:t xml:space="preserve"> for DL</w:t>
            </w:r>
            <w:r w:rsidRPr="002A75D7">
              <w:rPr>
                <w:rFonts w:ascii="Arial" w:eastAsia="Times New Roman" w:hAnsi="Arial" w:cs="Arial"/>
                <w:color w:val="000000"/>
                <w:sz w:val="18"/>
                <w:szCs w:val="18"/>
                <w:lang w:eastAsia="zh-CN"/>
              </w:rPr>
              <w:t>, it must indicate this FG is supported.</w:t>
            </w:r>
          </w:p>
        </w:tc>
        <w:tc>
          <w:tcPr>
            <w:tcW w:w="1973" w:type="dxa"/>
            <w:tcBorders>
              <w:top w:val="single" w:sz="4" w:space="0" w:color="auto"/>
              <w:left w:val="single" w:sz="4" w:space="0" w:color="auto"/>
              <w:bottom w:val="single" w:sz="4" w:space="0" w:color="auto"/>
              <w:right w:val="single" w:sz="4" w:space="0" w:color="auto"/>
            </w:tcBorders>
          </w:tcPr>
          <w:p w14:paraId="0D7C7BD5"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7405D9F1" w14:textId="0422E2F2"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p>
        </w:tc>
      </w:tr>
      <w:tr w:rsidR="00D10EE1" w:rsidRPr="002A75D7" w14:paraId="5CB14913" w14:textId="77777777" w:rsidTr="008201D1">
        <w:tc>
          <w:tcPr>
            <w:tcW w:w="1556" w:type="dxa"/>
            <w:tcBorders>
              <w:top w:val="single" w:sz="4" w:space="0" w:color="auto"/>
              <w:left w:val="single" w:sz="4" w:space="0" w:color="auto"/>
              <w:bottom w:val="single" w:sz="4" w:space="0" w:color="auto"/>
              <w:right w:val="single" w:sz="4" w:space="0" w:color="auto"/>
            </w:tcBorders>
          </w:tcPr>
          <w:p w14:paraId="186918DC" w14:textId="511E8BEC"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Pr>
                <w:rFonts w:ascii="Arial" w:eastAsia="Times New Roman" w:hAnsi="Arial" w:cs="Arial"/>
                <w:color w:val="000000"/>
                <w:sz w:val="18"/>
                <w:szCs w:val="18"/>
              </w:rPr>
              <w:t>IoT</w:t>
            </w:r>
            <w:r w:rsidRPr="002A75D7">
              <w:rPr>
                <w:rFonts w:ascii="Arial" w:eastAsia="Times New Roman" w:hAnsi="Arial" w:cs="Arial"/>
                <w:color w:val="000000"/>
                <w:sz w:val="18"/>
                <w:szCs w:val="18"/>
              </w:rPr>
              <w:t>_NTN</w:t>
            </w:r>
            <w:r>
              <w:rPr>
                <w:rFonts w:ascii="Arial" w:eastAsia="Times New Roman" w:hAnsi="Arial" w:cs="Arial"/>
                <w:color w:val="000000"/>
                <w:sz w:val="18"/>
                <w:szCs w:val="18"/>
              </w:rPr>
              <w:t>_enh</w:t>
            </w:r>
            <w:proofErr w:type="spellEnd"/>
            <w:r>
              <w:rPr>
                <w:rFonts w:ascii="Arial" w:eastAsia="Times New Roman" w:hAnsi="Arial" w:cs="Arial"/>
                <w:color w:val="000000"/>
                <w:sz w:val="18"/>
                <w:szCs w:val="18"/>
              </w:rPr>
              <w:t>-Core</w:t>
            </w:r>
          </w:p>
        </w:tc>
        <w:tc>
          <w:tcPr>
            <w:tcW w:w="850" w:type="dxa"/>
            <w:tcBorders>
              <w:top w:val="single" w:sz="4" w:space="0" w:color="auto"/>
              <w:left w:val="single" w:sz="4" w:space="0" w:color="auto"/>
              <w:bottom w:val="single" w:sz="4" w:space="0" w:color="auto"/>
              <w:right w:val="single" w:sz="4" w:space="0" w:color="auto"/>
            </w:tcBorders>
          </w:tcPr>
          <w:p w14:paraId="12EB7E9A" w14:textId="36052A9E"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X-2</w:t>
            </w:r>
          </w:p>
        </w:tc>
        <w:tc>
          <w:tcPr>
            <w:tcW w:w="2977" w:type="dxa"/>
            <w:tcBorders>
              <w:top w:val="single" w:sz="4" w:space="0" w:color="auto"/>
              <w:left w:val="single" w:sz="4" w:space="0" w:color="auto"/>
              <w:bottom w:val="single" w:sz="4" w:space="0" w:color="auto"/>
              <w:right w:val="single" w:sz="4" w:space="0" w:color="auto"/>
            </w:tcBorders>
          </w:tcPr>
          <w:p w14:paraId="6F6482C7" w14:textId="1B5B4F85"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6C46E2">
              <w:rPr>
                <w:rFonts w:ascii="Arial" w:eastAsia="Times New Roman" w:hAnsi="Arial" w:cs="Arial"/>
                <w:color w:val="000000"/>
                <w:sz w:val="18"/>
                <w:szCs w:val="18"/>
              </w:rPr>
              <w:t xml:space="preserve">HARQ mode B for uplink transmission for </w:t>
            </w:r>
            <w:proofErr w:type="spellStart"/>
            <w:r w:rsidRPr="006C46E2">
              <w:rPr>
                <w:rFonts w:ascii="Arial" w:eastAsia="Times New Roman" w:hAnsi="Arial" w:cs="Arial"/>
                <w:color w:val="000000"/>
                <w:sz w:val="18"/>
                <w:szCs w:val="18"/>
              </w:rPr>
              <w:t>eMTC</w:t>
            </w:r>
            <w:proofErr w:type="spellEnd"/>
          </w:p>
        </w:tc>
        <w:tc>
          <w:tcPr>
            <w:tcW w:w="4535" w:type="dxa"/>
            <w:tcBorders>
              <w:top w:val="single" w:sz="4" w:space="0" w:color="auto"/>
              <w:left w:val="single" w:sz="4" w:space="0" w:color="auto"/>
              <w:bottom w:val="single" w:sz="4" w:space="0" w:color="auto"/>
              <w:right w:val="single" w:sz="4" w:space="0" w:color="auto"/>
            </w:tcBorders>
          </w:tcPr>
          <w:p w14:paraId="33B08722" w14:textId="77777777" w:rsidR="00D10EE1" w:rsidRPr="001344E3" w:rsidRDefault="00D10EE1" w:rsidP="00D10EE1">
            <w:pPr>
              <w:pStyle w:val="TAL"/>
              <w:rPr>
                <w:rFonts w:cs="Arial"/>
                <w:szCs w:val="18"/>
              </w:rPr>
            </w:pPr>
            <w:r w:rsidRPr="001344E3">
              <w:t>Indicates whether the UE supports HARQ mode B and the corresponding LCR restrictions for uplink transmission</w:t>
            </w:r>
            <w:r w:rsidRPr="001344E3">
              <w:rPr>
                <w:rFonts w:cs="Arial"/>
                <w:szCs w:val="18"/>
              </w:rPr>
              <w:t>.</w:t>
            </w:r>
          </w:p>
          <w:p w14:paraId="7DFA0C44" w14:textId="5FA0B79A"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1148" w:type="dxa"/>
            <w:tcBorders>
              <w:top w:val="single" w:sz="4" w:space="0" w:color="auto"/>
              <w:left w:val="single" w:sz="4" w:space="0" w:color="auto"/>
              <w:bottom w:val="single" w:sz="4" w:space="0" w:color="auto"/>
              <w:right w:val="single" w:sz="4" w:space="0" w:color="auto"/>
            </w:tcBorders>
          </w:tcPr>
          <w:p w14:paraId="7CB59631" w14:textId="1E57281C" w:rsidR="00D10EE1" w:rsidRPr="002A75D7" w:rsidRDefault="00D10EE1" w:rsidP="00D10EE1">
            <w:pPr>
              <w:pStyle w:val="TAL"/>
              <w:rPr>
                <w:rFonts w:eastAsia="Malgun Gothic" w:cs="Arial"/>
                <w:szCs w:val="18"/>
                <w:lang w:eastAsia="ko-KR"/>
              </w:rPr>
            </w:pPr>
            <w:r>
              <w:rPr>
                <w:rFonts w:eastAsia="Malgun Gothic" w:cs="Arial"/>
                <w:szCs w:val="18"/>
                <w:lang w:eastAsia="ko-KR"/>
              </w:rPr>
              <w:t>2-3</w:t>
            </w:r>
          </w:p>
        </w:tc>
        <w:tc>
          <w:tcPr>
            <w:tcW w:w="0" w:type="auto"/>
            <w:tcBorders>
              <w:top w:val="single" w:sz="4" w:space="0" w:color="auto"/>
              <w:left w:val="single" w:sz="4" w:space="0" w:color="auto"/>
              <w:bottom w:val="single" w:sz="4" w:space="0" w:color="auto"/>
              <w:right w:val="single" w:sz="4" w:space="0" w:color="auto"/>
            </w:tcBorders>
          </w:tcPr>
          <w:p w14:paraId="5D4FE1FD"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A16B"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6465F0A" w14:textId="6CB6D425"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Release 1</w:t>
            </w:r>
            <w:r>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w:t>
            </w:r>
            <w:proofErr w:type="spellStart"/>
            <w:r w:rsidRPr="002A75D7">
              <w:rPr>
                <w:rFonts w:ascii="Arial" w:eastAsia="Times New Roman" w:hAnsi="Arial" w:cs="Arial"/>
                <w:color w:val="000000"/>
                <w:sz w:val="18"/>
                <w:szCs w:val="18"/>
              </w:rPr>
              <w:t>eMTC</w:t>
            </w:r>
            <w:proofErr w:type="spellEnd"/>
            <w:r w:rsidRPr="002A75D7">
              <w:rPr>
                <w:rFonts w:ascii="Arial" w:eastAsia="Times New Roman" w:hAnsi="Arial" w:cs="Arial"/>
                <w:color w:val="000000"/>
                <w:sz w:val="18"/>
                <w:szCs w:val="18"/>
              </w:rPr>
              <w:t xml:space="preserve"> UE cannot </w:t>
            </w:r>
            <w:r>
              <w:rPr>
                <w:rFonts w:ascii="Arial" w:eastAsia="Times New Roman" w:hAnsi="Arial" w:cs="Arial"/>
                <w:color w:val="000000"/>
                <w:sz w:val="18"/>
                <w:szCs w:val="18"/>
              </w:rPr>
              <w:t>support HARQ mode B for UL transmission</w:t>
            </w:r>
          </w:p>
        </w:tc>
        <w:tc>
          <w:tcPr>
            <w:tcW w:w="0" w:type="auto"/>
            <w:tcBorders>
              <w:top w:val="single" w:sz="4" w:space="0" w:color="auto"/>
              <w:left w:val="single" w:sz="4" w:space="0" w:color="auto"/>
              <w:bottom w:val="single" w:sz="4" w:space="0" w:color="auto"/>
              <w:right w:val="single" w:sz="4" w:space="0" w:color="auto"/>
            </w:tcBorders>
          </w:tcPr>
          <w:p w14:paraId="74B8BBF3" w14:textId="1D72BD1C"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6E0F57C1"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DA67854"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56631A09" w14:textId="620A2DDE"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sidRPr="002A75D7">
              <w:rPr>
                <w:rFonts w:ascii="Arial" w:eastAsia="Times New Roman" w:hAnsi="Arial" w:cs="Arial"/>
                <w:color w:val="000000"/>
                <w:sz w:val="18"/>
                <w:szCs w:val="18"/>
                <w:lang w:eastAsia="zh-CN"/>
              </w:rPr>
              <w:t xml:space="preserve">For UEs supporting </w:t>
            </w:r>
            <w:r>
              <w:rPr>
                <w:rFonts w:ascii="Arial" w:eastAsia="Times New Roman" w:hAnsi="Arial" w:cs="Arial"/>
                <w:color w:val="000000"/>
                <w:sz w:val="18"/>
                <w:szCs w:val="18"/>
                <w:lang w:eastAsia="zh-CN"/>
              </w:rPr>
              <w:t xml:space="preserve">UL </w:t>
            </w:r>
            <w:r w:rsidRPr="006C46E2">
              <w:rPr>
                <w:rFonts w:ascii="Arial" w:eastAsia="Times New Roman" w:hAnsi="Arial" w:cs="Arial"/>
                <w:color w:val="000000"/>
                <w:sz w:val="18"/>
                <w:szCs w:val="18"/>
              </w:rPr>
              <w:t>HARQ mode B</w:t>
            </w:r>
            <w:r w:rsidRPr="002A75D7">
              <w:rPr>
                <w:rFonts w:ascii="Arial" w:eastAsia="Times New Roman" w:hAnsi="Arial" w:cs="Arial"/>
                <w:color w:val="000000"/>
                <w:sz w:val="18"/>
                <w:szCs w:val="18"/>
                <w:lang w:eastAsia="zh-CN"/>
              </w:rPr>
              <w:t>, it must indicate this FG is supported.</w:t>
            </w:r>
          </w:p>
        </w:tc>
        <w:tc>
          <w:tcPr>
            <w:tcW w:w="1973" w:type="dxa"/>
            <w:tcBorders>
              <w:top w:val="single" w:sz="4" w:space="0" w:color="auto"/>
              <w:left w:val="single" w:sz="4" w:space="0" w:color="auto"/>
              <w:bottom w:val="single" w:sz="4" w:space="0" w:color="auto"/>
              <w:right w:val="single" w:sz="4" w:space="0" w:color="auto"/>
            </w:tcBorders>
          </w:tcPr>
          <w:p w14:paraId="32EABE36"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15FE6D3C" w14:textId="4969034E"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p>
        </w:tc>
      </w:tr>
      <w:tr w:rsidR="00D10EE1" w:rsidRPr="002A75D7" w14:paraId="3CDF08BC" w14:textId="77777777" w:rsidTr="008201D1">
        <w:tc>
          <w:tcPr>
            <w:tcW w:w="1556" w:type="dxa"/>
            <w:tcBorders>
              <w:top w:val="single" w:sz="4" w:space="0" w:color="auto"/>
              <w:left w:val="single" w:sz="4" w:space="0" w:color="auto"/>
              <w:bottom w:val="single" w:sz="4" w:space="0" w:color="auto"/>
              <w:right w:val="single" w:sz="4" w:space="0" w:color="auto"/>
            </w:tcBorders>
          </w:tcPr>
          <w:p w14:paraId="184D332C" w14:textId="18DD9AE2"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Pr>
                <w:rFonts w:ascii="Arial" w:eastAsia="Times New Roman" w:hAnsi="Arial" w:cs="Arial"/>
                <w:color w:val="000000"/>
                <w:sz w:val="18"/>
                <w:szCs w:val="18"/>
              </w:rPr>
              <w:t>IoT</w:t>
            </w:r>
            <w:r w:rsidRPr="002A75D7">
              <w:rPr>
                <w:rFonts w:ascii="Arial" w:eastAsia="Times New Roman" w:hAnsi="Arial" w:cs="Arial"/>
                <w:color w:val="000000"/>
                <w:sz w:val="18"/>
                <w:szCs w:val="18"/>
              </w:rPr>
              <w:t>_NTN</w:t>
            </w:r>
            <w:r>
              <w:rPr>
                <w:rFonts w:ascii="Arial" w:eastAsia="Times New Roman" w:hAnsi="Arial" w:cs="Arial"/>
                <w:color w:val="000000"/>
                <w:sz w:val="18"/>
                <w:szCs w:val="18"/>
              </w:rPr>
              <w:t>_enh</w:t>
            </w:r>
            <w:proofErr w:type="spellEnd"/>
            <w:r>
              <w:rPr>
                <w:rFonts w:ascii="Arial" w:eastAsia="Times New Roman" w:hAnsi="Arial" w:cs="Arial"/>
                <w:color w:val="000000"/>
                <w:sz w:val="18"/>
                <w:szCs w:val="18"/>
              </w:rPr>
              <w:t>-Core</w:t>
            </w:r>
          </w:p>
        </w:tc>
        <w:tc>
          <w:tcPr>
            <w:tcW w:w="850" w:type="dxa"/>
            <w:tcBorders>
              <w:top w:val="single" w:sz="4" w:space="0" w:color="auto"/>
              <w:left w:val="single" w:sz="4" w:space="0" w:color="auto"/>
              <w:bottom w:val="single" w:sz="4" w:space="0" w:color="auto"/>
              <w:right w:val="single" w:sz="4" w:space="0" w:color="auto"/>
            </w:tcBorders>
          </w:tcPr>
          <w:p w14:paraId="64B0ED95" w14:textId="2DC46589"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w:t>
            </w:r>
            <w:r>
              <w:rPr>
                <w:rFonts w:ascii="Arial" w:eastAsia="Times New Roman" w:hAnsi="Arial" w:cs="Arial"/>
                <w:color w:val="000000"/>
                <w:sz w:val="18"/>
                <w:szCs w:val="18"/>
              </w:rPr>
              <w:t>2a</w:t>
            </w:r>
          </w:p>
        </w:tc>
        <w:tc>
          <w:tcPr>
            <w:tcW w:w="2977" w:type="dxa"/>
            <w:tcBorders>
              <w:top w:val="single" w:sz="4" w:space="0" w:color="auto"/>
              <w:left w:val="single" w:sz="4" w:space="0" w:color="auto"/>
              <w:bottom w:val="single" w:sz="4" w:space="0" w:color="auto"/>
              <w:right w:val="single" w:sz="4" w:space="0" w:color="auto"/>
            </w:tcBorders>
          </w:tcPr>
          <w:p w14:paraId="72975BB8" w14:textId="7CA0222F"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6C46E2">
              <w:rPr>
                <w:rFonts w:ascii="Arial" w:eastAsia="Times New Roman" w:hAnsi="Arial" w:cs="Arial"/>
                <w:color w:val="000000"/>
                <w:sz w:val="18"/>
                <w:szCs w:val="18"/>
              </w:rPr>
              <w:t>HARQ mode B for uplink transmission for NB-IoT</w:t>
            </w:r>
          </w:p>
        </w:tc>
        <w:tc>
          <w:tcPr>
            <w:tcW w:w="4535" w:type="dxa"/>
            <w:tcBorders>
              <w:top w:val="single" w:sz="4" w:space="0" w:color="auto"/>
              <w:left w:val="single" w:sz="4" w:space="0" w:color="auto"/>
              <w:bottom w:val="single" w:sz="4" w:space="0" w:color="auto"/>
              <w:right w:val="single" w:sz="4" w:space="0" w:color="auto"/>
            </w:tcBorders>
          </w:tcPr>
          <w:p w14:paraId="163CE451" w14:textId="77777777" w:rsidR="00D10EE1" w:rsidRDefault="00D10EE1" w:rsidP="00D10EE1">
            <w:pPr>
              <w:pStyle w:val="TAL"/>
              <w:rPr>
                <w:rFonts w:cs="Arial"/>
                <w:szCs w:val="18"/>
              </w:rPr>
            </w:pPr>
            <w:r w:rsidRPr="001344E3">
              <w:t>Indicates whether the UE supports HARQ mode B and the corresponding LCR restrictions for uplink transmission</w:t>
            </w:r>
            <w:r w:rsidRPr="001344E3">
              <w:rPr>
                <w:rFonts w:cs="Arial"/>
                <w:szCs w:val="18"/>
              </w:rPr>
              <w:t>.</w:t>
            </w:r>
          </w:p>
          <w:p w14:paraId="1B38F162" w14:textId="77777777" w:rsidR="00D10EE1" w:rsidRPr="002A75D7" w:rsidDel="00906D0F"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p>
        </w:tc>
        <w:tc>
          <w:tcPr>
            <w:tcW w:w="1148" w:type="dxa"/>
            <w:tcBorders>
              <w:top w:val="single" w:sz="4" w:space="0" w:color="auto"/>
              <w:left w:val="single" w:sz="4" w:space="0" w:color="auto"/>
              <w:bottom w:val="single" w:sz="4" w:space="0" w:color="auto"/>
              <w:right w:val="single" w:sz="4" w:space="0" w:color="auto"/>
            </w:tcBorders>
          </w:tcPr>
          <w:p w14:paraId="7291067A" w14:textId="50E8A430" w:rsidR="00D10EE1" w:rsidRPr="002A75D7" w:rsidRDefault="00D10EE1" w:rsidP="00D10EE1">
            <w:pPr>
              <w:pStyle w:val="TAL"/>
              <w:rPr>
                <w:rFonts w:eastAsia="Malgun Gothic" w:cs="Arial"/>
                <w:szCs w:val="18"/>
                <w:lang w:eastAsia="ko-KR"/>
              </w:rPr>
            </w:pPr>
            <w:r w:rsidRPr="00C62BDB">
              <w:rPr>
                <w:rFonts w:eastAsia="Malgun Gothic" w:cs="Arial"/>
                <w:szCs w:val="18"/>
                <w:lang w:eastAsia="ko-KR"/>
              </w:rPr>
              <w:t>2-</w:t>
            </w:r>
            <w:r>
              <w:rPr>
                <w:rFonts w:eastAsia="Malgun Gothic" w:cs="Arial"/>
                <w:szCs w:val="18"/>
                <w:lang w:eastAsia="ko-KR"/>
              </w:rPr>
              <w:t>3a</w:t>
            </w:r>
          </w:p>
        </w:tc>
        <w:tc>
          <w:tcPr>
            <w:tcW w:w="0" w:type="auto"/>
            <w:tcBorders>
              <w:top w:val="single" w:sz="4" w:space="0" w:color="auto"/>
              <w:left w:val="single" w:sz="4" w:space="0" w:color="auto"/>
              <w:bottom w:val="single" w:sz="4" w:space="0" w:color="auto"/>
              <w:right w:val="single" w:sz="4" w:space="0" w:color="auto"/>
            </w:tcBorders>
          </w:tcPr>
          <w:p w14:paraId="40B27A45"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7DF6"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32187C" w14:textId="70ADF268"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highlight w:val="cyan"/>
              </w:rPr>
            </w:pPr>
            <w:r w:rsidRPr="002A75D7">
              <w:rPr>
                <w:rFonts w:ascii="Arial" w:eastAsia="Times New Roman" w:hAnsi="Arial" w:cs="Arial"/>
                <w:color w:val="000000"/>
                <w:sz w:val="18"/>
                <w:szCs w:val="18"/>
              </w:rPr>
              <w:t>Release 1</w:t>
            </w:r>
            <w:r>
              <w:rPr>
                <w:rFonts w:ascii="Arial" w:eastAsia="Times New Roman" w:hAnsi="Arial" w:cs="Arial"/>
                <w:color w:val="000000"/>
                <w:sz w:val="18"/>
                <w:szCs w:val="18"/>
              </w:rPr>
              <w:t>8</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NB-IoT</w:t>
            </w:r>
            <w:r w:rsidRPr="002A75D7">
              <w:rPr>
                <w:rFonts w:ascii="Arial" w:eastAsia="Times New Roman" w:hAnsi="Arial" w:cs="Arial"/>
                <w:color w:val="000000"/>
                <w:sz w:val="18"/>
                <w:szCs w:val="18"/>
              </w:rPr>
              <w:t xml:space="preserve"> UE cannot </w:t>
            </w:r>
            <w:r>
              <w:rPr>
                <w:rFonts w:ascii="Arial" w:eastAsia="Times New Roman" w:hAnsi="Arial" w:cs="Arial"/>
                <w:color w:val="000000"/>
                <w:sz w:val="18"/>
                <w:szCs w:val="18"/>
              </w:rPr>
              <w:t>support HARQ mode B for UL transmission</w:t>
            </w:r>
          </w:p>
        </w:tc>
        <w:tc>
          <w:tcPr>
            <w:tcW w:w="0" w:type="auto"/>
            <w:tcBorders>
              <w:top w:val="single" w:sz="4" w:space="0" w:color="auto"/>
              <w:left w:val="single" w:sz="4" w:space="0" w:color="auto"/>
              <w:bottom w:val="single" w:sz="4" w:space="0" w:color="auto"/>
              <w:right w:val="single" w:sz="4" w:space="0" w:color="auto"/>
            </w:tcBorders>
          </w:tcPr>
          <w:p w14:paraId="11E25040" w14:textId="4C89C996"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sidRPr="002A75D7">
              <w:rPr>
                <w:rFonts w:ascii="Arial" w:eastAsia="Times New Roman" w:hAnsi="Arial" w:cs="Arial"/>
                <w:sz w:val="18"/>
                <w:szCs w:val="18"/>
              </w:rPr>
              <w:t>[per UE/per band]</w:t>
            </w:r>
          </w:p>
        </w:tc>
        <w:tc>
          <w:tcPr>
            <w:tcW w:w="0" w:type="auto"/>
            <w:tcBorders>
              <w:top w:val="single" w:sz="4" w:space="0" w:color="auto"/>
              <w:left w:val="single" w:sz="4" w:space="0" w:color="auto"/>
              <w:bottom w:val="single" w:sz="4" w:space="0" w:color="auto"/>
              <w:right w:val="single" w:sz="4" w:space="0" w:color="auto"/>
            </w:tcBorders>
          </w:tcPr>
          <w:p w14:paraId="322D5CD3"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14EDFA0"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19E5AFDB" w14:textId="4C32D6B2"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lang w:eastAsia="zh-CN"/>
              </w:rPr>
            </w:pPr>
            <w:r w:rsidRPr="002A75D7">
              <w:rPr>
                <w:rFonts w:ascii="Arial" w:eastAsia="Times New Roman" w:hAnsi="Arial" w:cs="Arial"/>
                <w:color w:val="000000"/>
                <w:sz w:val="18"/>
                <w:szCs w:val="18"/>
                <w:lang w:eastAsia="zh-CN"/>
              </w:rPr>
              <w:t>For UEs supporting</w:t>
            </w:r>
            <w:r>
              <w:rPr>
                <w:rFonts w:ascii="Arial" w:eastAsia="Times New Roman" w:hAnsi="Arial" w:cs="Arial"/>
                <w:color w:val="000000"/>
                <w:sz w:val="18"/>
                <w:szCs w:val="18"/>
                <w:lang w:eastAsia="zh-CN"/>
              </w:rPr>
              <w:t xml:space="preserve"> UL</w:t>
            </w:r>
            <w:r w:rsidRPr="002A75D7">
              <w:rPr>
                <w:rFonts w:ascii="Arial" w:eastAsia="Times New Roman" w:hAnsi="Arial" w:cs="Arial"/>
                <w:color w:val="000000"/>
                <w:sz w:val="18"/>
                <w:szCs w:val="18"/>
                <w:lang w:eastAsia="zh-CN"/>
              </w:rPr>
              <w:t xml:space="preserve"> </w:t>
            </w:r>
            <w:r w:rsidRPr="006C46E2">
              <w:rPr>
                <w:rFonts w:ascii="Arial" w:eastAsia="Times New Roman" w:hAnsi="Arial" w:cs="Arial"/>
                <w:color w:val="000000"/>
                <w:sz w:val="18"/>
                <w:szCs w:val="18"/>
              </w:rPr>
              <w:t>HARQ mode B</w:t>
            </w:r>
            <w:r w:rsidRPr="002A75D7">
              <w:rPr>
                <w:rFonts w:ascii="Arial" w:eastAsia="Times New Roman" w:hAnsi="Arial" w:cs="Arial"/>
                <w:color w:val="000000"/>
                <w:sz w:val="18"/>
                <w:szCs w:val="18"/>
                <w:lang w:eastAsia="zh-CN"/>
              </w:rPr>
              <w:t>, it must indicate this FG is supported.</w:t>
            </w:r>
          </w:p>
        </w:tc>
        <w:tc>
          <w:tcPr>
            <w:tcW w:w="1973" w:type="dxa"/>
            <w:tcBorders>
              <w:top w:val="single" w:sz="4" w:space="0" w:color="auto"/>
              <w:left w:val="single" w:sz="4" w:space="0" w:color="auto"/>
              <w:bottom w:val="single" w:sz="4" w:space="0" w:color="auto"/>
              <w:right w:val="single" w:sz="4" w:space="0" w:color="auto"/>
            </w:tcBorders>
          </w:tcPr>
          <w:p w14:paraId="1B9816EA"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p w14:paraId="6F94DC94" w14:textId="5CB09350"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p>
        </w:tc>
      </w:tr>
      <w:tr w:rsidR="00D10EE1" w:rsidRPr="002A75D7" w14:paraId="36B91539" w14:textId="77777777" w:rsidTr="008201D1">
        <w:tc>
          <w:tcPr>
            <w:tcW w:w="1556" w:type="dxa"/>
            <w:tcBorders>
              <w:top w:val="single" w:sz="4" w:space="0" w:color="auto"/>
              <w:left w:val="single" w:sz="4" w:space="0" w:color="auto"/>
              <w:bottom w:val="single" w:sz="4" w:space="0" w:color="auto"/>
              <w:right w:val="single" w:sz="4" w:space="0" w:color="auto"/>
            </w:tcBorders>
          </w:tcPr>
          <w:p w14:paraId="535EEE96" w14:textId="5C836EEA"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Pr>
                <w:rFonts w:ascii="Arial" w:eastAsia="Times New Roman" w:hAnsi="Arial" w:cs="Arial"/>
                <w:color w:val="000000"/>
                <w:sz w:val="18"/>
                <w:szCs w:val="18"/>
              </w:rPr>
              <w:t>IoT</w:t>
            </w:r>
            <w:r w:rsidRPr="002A75D7">
              <w:rPr>
                <w:rFonts w:ascii="Arial" w:eastAsia="Times New Roman" w:hAnsi="Arial" w:cs="Arial"/>
                <w:color w:val="000000"/>
                <w:sz w:val="18"/>
                <w:szCs w:val="18"/>
              </w:rPr>
              <w:t>_NTN</w:t>
            </w:r>
            <w:r>
              <w:rPr>
                <w:rFonts w:ascii="Arial" w:eastAsia="Times New Roman" w:hAnsi="Arial" w:cs="Arial"/>
                <w:color w:val="000000"/>
                <w:sz w:val="18"/>
                <w:szCs w:val="18"/>
              </w:rPr>
              <w:t>_enh</w:t>
            </w:r>
            <w:proofErr w:type="spellEnd"/>
            <w:r>
              <w:rPr>
                <w:rFonts w:ascii="Arial" w:eastAsia="Times New Roman" w:hAnsi="Arial" w:cs="Arial"/>
                <w:color w:val="000000"/>
                <w:sz w:val="18"/>
                <w:szCs w:val="18"/>
              </w:rPr>
              <w:t>-Core</w:t>
            </w:r>
          </w:p>
        </w:tc>
        <w:tc>
          <w:tcPr>
            <w:tcW w:w="850" w:type="dxa"/>
            <w:tcBorders>
              <w:top w:val="single" w:sz="4" w:space="0" w:color="auto"/>
              <w:left w:val="single" w:sz="4" w:space="0" w:color="auto"/>
              <w:bottom w:val="single" w:sz="4" w:space="0" w:color="auto"/>
              <w:right w:val="single" w:sz="4" w:space="0" w:color="auto"/>
            </w:tcBorders>
          </w:tcPr>
          <w:p w14:paraId="7BF3C59B" w14:textId="0B338E61"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X-3</w:t>
            </w:r>
          </w:p>
        </w:tc>
        <w:tc>
          <w:tcPr>
            <w:tcW w:w="2977" w:type="dxa"/>
            <w:tcBorders>
              <w:top w:val="single" w:sz="4" w:space="0" w:color="auto"/>
              <w:left w:val="single" w:sz="4" w:space="0" w:color="auto"/>
              <w:bottom w:val="single" w:sz="4" w:space="0" w:color="auto"/>
              <w:right w:val="single" w:sz="4" w:space="0" w:color="auto"/>
            </w:tcBorders>
          </w:tcPr>
          <w:p w14:paraId="51F0D8B3" w14:textId="535DB873"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6F34AA">
              <w:rPr>
                <w:rFonts w:ascii="Arial" w:eastAsia="Times New Roman" w:hAnsi="Arial" w:cs="Arial"/>
                <w:color w:val="000000"/>
                <w:sz w:val="18"/>
                <w:szCs w:val="18"/>
              </w:rPr>
              <w:t>GNSS measurement</w:t>
            </w:r>
            <w:r w:rsidRPr="002A75D7">
              <w:rPr>
                <w:rFonts w:ascii="Arial" w:eastAsia="Times New Roman" w:hAnsi="Arial" w:cs="Arial"/>
                <w:color w:val="000000"/>
                <w:sz w:val="18"/>
                <w:szCs w:val="18"/>
              </w:rPr>
              <w:t xml:space="preserve"> for </w:t>
            </w:r>
            <w:proofErr w:type="spellStart"/>
            <w:r w:rsidRPr="002A75D7">
              <w:rPr>
                <w:rFonts w:ascii="Arial" w:eastAsia="Times New Roman" w:hAnsi="Arial" w:cs="Arial"/>
                <w:color w:val="000000"/>
                <w:sz w:val="18"/>
                <w:szCs w:val="18"/>
              </w:rPr>
              <w:t>eMTC</w:t>
            </w:r>
            <w:proofErr w:type="spellEnd"/>
          </w:p>
        </w:tc>
        <w:tc>
          <w:tcPr>
            <w:tcW w:w="4535" w:type="dxa"/>
            <w:tcBorders>
              <w:top w:val="single" w:sz="4" w:space="0" w:color="auto"/>
              <w:left w:val="single" w:sz="4" w:space="0" w:color="auto"/>
              <w:bottom w:val="single" w:sz="4" w:space="0" w:color="auto"/>
              <w:right w:val="single" w:sz="4" w:space="0" w:color="auto"/>
            </w:tcBorders>
          </w:tcPr>
          <w:p w14:paraId="2B6C6D9E" w14:textId="258E63B8" w:rsidR="00D10EE1" w:rsidRPr="001344E3" w:rsidRDefault="00D10EE1" w:rsidP="00D10EE1">
            <w:pPr>
              <w:pStyle w:val="TAL"/>
              <w:rPr>
                <w:rFonts w:cs="Arial"/>
                <w:szCs w:val="18"/>
              </w:rPr>
            </w:pPr>
            <w:r w:rsidRPr="001344E3">
              <w:rPr>
                <w:rFonts w:cs="Arial"/>
                <w:szCs w:val="18"/>
              </w:rPr>
              <w:t>1)</w:t>
            </w:r>
            <w:r>
              <w:rPr>
                <w:rFonts w:cs="Arial"/>
                <w:szCs w:val="18"/>
              </w:rPr>
              <w:t xml:space="preserve"> </w:t>
            </w:r>
            <w:r>
              <w:t>UE</w:t>
            </w:r>
            <w:r w:rsidRPr="001344E3">
              <w:t xml:space="preserve"> </w:t>
            </w:r>
            <w:r w:rsidRPr="00C93CE0">
              <w:t>reports GNSS position fix time duration for measurement</w:t>
            </w:r>
            <w:r w:rsidRPr="001344E3">
              <w:rPr>
                <w:rFonts w:cs="Arial"/>
                <w:szCs w:val="18"/>
              </w:rPr>
              <w:t>.</w:t>
            </w:r>
          </w:p>
          <w:p w14:paraId="09E6E8FB" w14:textId="0A8EBBBB" w:rsidR="00D10EE1" w:rsidRDefault="00D10EE1" w:rsidP="00D10EE1">
            <w:pPr>
              <w:pStyle w:val="TAL"/>
            </w:pPr>
            <w:r>
              <w:rPr>
                <w:rFonts w:cs="Arial"/>
                <w:szCs w:val="18"/>
              </w:rPr>
              <w:t>2</w:t>
            </w:r>
            <w:r w:rsidRPr="001344E3">
              <w:rPr>
                <w:rFonts w:cs="Arial"/>
                <w:szCs w:val="18"/>
              </w:rPr>
              <w:t xml:space="preserve">) </w:t>
            </w:r>
            <w:r>
              <w:rPr>
                <w:rFonts w:cs="Arial"/>
                <w:szCs w:val="18"/>
              </w:rPr>
              <w:t xml:space="preserve">UE supports GNSS measurement during the GNSS measurement gap which is </w:t>
            </w:r>
            <w:proofErr w:type="spellStart"/>
            <w:r w:rsidRPr="00C93CE0">
              <w:t>aperiodically</w:t>
            </w:r>
            <w:proofErr w:type="spellEnd"/>
            <w:r w:rsidRPr="00C93CE0">
              <w:t xml:space="preserve"> triggered by </w:t>
            </w:r>
            <w:proofErr w:type="spellStart"/>
            <w:r w:rsidRPr="00C93CE0">
              <w:t>eNB</w:t>
            </w:r>
            <w:proofErr w:type="spellEnd"/>
            <w:r w:rsidRPr="00C93CE0">
              <w:t xml:space="preserve"> with MAC CE</w:t>
            </w:r>
            <w:r>
              <w:t>.</w:t>
            </w:r>
            <w:r w:rsidRPr="00C93CE0">
              <w:t xml:space="preserve"> </w:t>
            </w:r>
          </w:p>
          <w:p w14:paraId="1FB61B94" w14:textId="20C4A809" w:rsidR="00D10EE1" w:rsidRPr="002A75D7" w:rsidRDefault="00D10EE1" w:rsidP="00D10EE1">
            <w:pPr>
              <w:spacing w:before="60" w:afterLines="50" w:after="120"/>
              <w:contextualSpacing/>
              <w:jc w:val="both"/>
              <w:rPr>
                <w:rFonts w:ascii="Arial" w:eastAsia="等线" w:hAnsi="Arial" w:cs="Arial"/>
                <w:color w:val="000000"/>
                <w:sz w:val="18"/>
                <w:szCs w:val="18"/>
                <w:lang w:val="en-US" w:eastAsia="en-US"/>
              </w:rPr>
            </w:pPr>
          </w:p>
        </w:tc>
        <w:tc>
          <w:tcPr>
            <w:tcW w:w="1148" w:type="dxa"/>
            <w:tcBorders>
              <w:top w:val="single" w:sz="4" w:space="0" w:color="auto"/>
              <w:left w:val="single" w:sz="4" w:space="0" w:color="auto"/>
              <w:bottom w:val="single" w:sz="4" w:space="0" w:color="auto"/>
              <w:right w:val="single" w:sz="4" w:space="0" w:color="auto"/>
            </w:tcBorders>
          </w:tcPr>
          <w:p w14:paraId="284CBA5C" w14:textId="483EE446"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2-1, 2-3</w:t>
            </w:r>
          </w:p>
        </w:tc>
        <w:tc>
          <w:tcPr>
            <w:tcW w:w="0" w:type="auto"/>
            <w:tcBorders>
              <w:top w:val="single" w:sz="4" w:space="0" w:color="auto"/>
              <w:left w:val="single" w:sz="4" w:space="0" w:color="auto"/>
              <w:bottom w:val="single" w:sz="4" w:space="0" w:color="auto"/>
              <w:right w:val="single" w:sz="4" w:space="0" w:color="auto"/>
            </w:tcBorders>
          </w:tcPr>
          <w:p w14:paraId="22961ABD"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C8ACA"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B5682F" w14:textId="44A9039E"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proofErr w:type="spellStart"/>
            <w:r w:rsidRPr="002A75D7">
              <w:rPr>
                <w:rFonts w:ascii="Arial" w:eastAsia="Times New Roman" w:hAnsi="Arial" w:cs="Arial"/>
                <w:color w:val="000000"/>
                <w:sz w:val="18"/>
                <w:szCs w:val="18"/>
              </w:rPr>
              <w:t>eMTC</w:t>
            </w:r>
            <w:proofErr w:type="spellEnd"/>
            <w:r w:rsidRPr="002A75D7">
              <w:rPr>
                <w:rFonts w:ascii="Arial" w:eastAsia="Times New Roman" w:hAnsi="Arial" w:cs="Arial"/>
                <w:color w:val="000000"/>
                <w:sz w:val="18"/>
                <w:szCs w:val="18"/>
              </w:rPr>
              <w:t xml:space="preserve"> UE </w:t>
            </w:r>
            <w:r>
              <w:rPr>
                <w:rFonts w:ascii="Arial" w:eastAsia="Times New Roman" w:hAnsi="Arial" w:cs="Arial"/>
                <w:color w:val="000000"/>
                <w:sz w:val="18"/>
                <w:szCs w:val="18"/>
              </w:rPr>
              <w:t>can</w:t>
            </w:r>
            <w:r w:rsidRPr="002A75D7">
              <w:rPr>
                <w:rFonts w:ascii="Arial" w:eastAsia="Times New Roman" w:hAnsi="Arial" w:cs="Arial"/>
                <w:color w:val="000000"/>
                <w:sz w:val="18"/>
                <w:szCs w:val="18"/>
              </w:rPr>
              <w:t xml:space="preserve">not </w:t>
            </w:r>
            <w:r>
              <w:rPr>
                <w:rFonts w:ascii="Arial" w:eastAsia="Times New Roman" w:hAnsi="Arial" w:cs="Arial"/>
                <w:color w:val="000000"/>
                <w:sz w:val="18"/>
                <w:szCs w:val="18"/>
              </w:rPr>
              <w:t xml:space="preserve">perform </w:t>
            </w:r>
            <w:r w:rsidRPr="00423A65">
              <w:rPr>
                <w:rFonts w:ascii="Arial" w:eastAsia="Times New Roman" w:hAnsi="Arial" w:cs="Arial"/>
                <w:color w:val="000000"/>
                <w:sz w:val="18"/>
                <w:szCs w:val="18"/>
              </w:rPr>
              <w:t>GNSS re-acquisition</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in RRC connected mode</w:t>
            </w:r>
          </w:p>
        </w:tc>
        <w:tc>
          <w:tcPr>
            <w:tcW w:w="0" w:type="auto"/>
            <w:tcBorders>
              <w:top w:val="single" w:sz="4" w:space="0" w:color="auto"/>
              <w:left w:val="single" w:sz="4" w:space="0" w:color="auto"/>
              <w:bottom w:val="single" w:sz="4" w:space="0" w:color="auto"/>
              <w:right w:val="single" w:sz="4" w:space="0" w:color="auto"/>
            </w:tcBorders>
          </w:tcPr>
          <w:p w14:paraId="576AB634" w14:textId="2EF041F0"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33DCCEB8"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38F33CEA"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2B4F2168" w14:textId="5563439A" w:rsidR="00D10EE1" w:rsidRPr="002A75D7" w:rsidRDefault="00D10EE1" w:rsidP="00D10EE1">
            <w:pPr>
              <w:keepNext/>
              <w:keepLines/>
              <w:overflowPunct w:val="0"/>
              <w:autoSpaceDE w:val="0"/>
              <w:autoSpaceDN w:val="0"/>
              <w:adjustRightInd w:val="0"/>
              <w:textAlignment w:val="baseline"/>
              <w:rPr>
                <w:rFonts w:ascii="Arial" w:eastAsia="MS Mincho" w:hAnsi="Arial" w:cs="Arial"/>
                <w:color w:val="000000"/>
                <w:sz w:val="18"/>
                <w:szCs w:val="18"/>
              </w:rPr>
            </w:pPr>
            <w:r w:rsidRPr="002A75D7">
              <w:rPr>
                <w:rFonts w:ascii="Arial" w:eastAsia="Times New Roman" w:hAnsi="Arial" w:cs="Arial"/>
                <w:color w:val="000000"/>
                <w:sz w:val="18"/>
                <w:szCs w:val="18"/>
              </w:rPr>
              <w:t xml:space="preserve">For </w:t>
            </w:r>
            <w:proofErr w:type="spellStart"/>
            <w:r>
              <w:rPr>
                <w:rFonts w:ascii="Arial" w:eastAsia="Times New Roman" w:hAnsi="Arial" w:cs="Arial"/>
                <w:color w:val="000000"/>
                <w:sz w:val="18"/>
                <w:szCs w:val="18"/>
              </w:rPr>
              <w:t>eMTC</w:t>
            </w:r>
            <w:proofErr w:type="spellEnd"/>
            <w:r w:rsidRPr="002A75D7">
              <w:rPr>
                <w:rFonts w:ascii="Arial" w:eastAsia="Times New Roman" w:hAnsi="Arial" w:cs="Arial"/>
                <w:color w:val="000000"/>
                <w:sz w:val="18"/>
                <w:szCs w:val="18"/>
              </w:rPr>
              <w:t xml:space="preserve">, support </w:t>
            </w:r>
            <w:r w:rsidRPr="00423A65">
              <w:rPr>
                <w:rFonts w:ascii="Arial" w:eastAsia="Times New Roman" w:hAnsi="Arial" w:cs="Arial"/>
                <w:color w:val="000000"/>
                <w:sz w:val="18"/>
                <w:szCs w:val="18"/>
              </w:rPr>
              <w:t>GNSS re-acquisition</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in RRC connected mode</w:t>
            </w:r>
            <w:r w:rsidRPr="002A75D7">
              <w:rPr>
                <w:rFonts w:ascii="Arial" w:eastAsia="Times New Roman" w:hAnsi="Arial" w:cs="Arial"/>
                <w:color w:val="000000"/>
                <w:sz w:val="18"/>
                <w:szCs w:val="18"/>
              </w:rPr>
              <w:t>.</w:t>
            </w:r>
          </w:p>
        </w:tc>
        <w:tc>
          <w:tcPr>
            <w:tcW w:w="1973" w:type="dxa"/>
            <w:tcBorders>
              <w:top w:val="single" w:sz="4" w:space="0" w:color="auto"/>
              <w:left w:val="single" w:sz="4" w:space="0" w:color="auto"/>
              <w:bottom w:val="single" w:sz="4" w:space="0" w:color="auto"/>
              <w:right w:val="single" w:sz="4" w:space="0" w:color="auto"/>
            </w:tcBorders>
          </w:tcPr>
          <w:p w14:paraId="15C16129"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tc>
      </w:tr>
      <w:tr w:rsidR="00D10EE1" w:rsidRPr="002A75D7" w14:paraId="6CE6CF50" w14:textId="77777777" w:rsidTr="008201D1">
        <w:tc>
          <w:tcPr>
            <w:tcW w:w="1556" w:type="dxa"/>
            <w:tcBorders>
              <w:top w:val="single" w:sz="4" w:space="0" w:color="auto"/>
              <w:left w:val="single" w:sz="4" w:space="0" w:color="auto"/>
              <w:bottom w:val="single" w:sz="4" w:space="0" w:color="auto"/>
              <w:right w:val="single" w:sz="4" w:space="0" w:color="auto"/>
            </w:tcBorders>
          </w:tcPr>
          <w:p w14:paraId="756FEF70" w14:textId="582E3A2E"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 xml:space="preserve">. </w:t>
            </w:r>
            <w:proofErr w:type="spellStart"/>
            <w:r>
              <w:rPr>
                <w:rFonts w:ascii="Arial" w:eastAsia="Times New Roman" w:hAnsi="Arial" w:cs="Arial"/>
                <w:color w:val="000000"/>
                <w:sz w:val="18"/>
                <w:szCs w:val="18"/>
              </w:rPr>
              <w:t>IoT</w:t>
            </w:r>
            <w:r w:rsidRPr="002A75D7">
              <w:rPr>
                <w:rFonts w:ascii="Arial" w:eastAsia="Times New Roman" w:hAnsi="Arial" w:cs="Arial"/>
                <w:color w:val="000000"/>
                <w:sz w:val="18"/>
                <w:szCs w:val="18"/>
              </w:rPr>
              <w:t>_NTN</w:t>
            </w:r>
            <w:r>
              <w:rPr>
                <w:rFonts w:ascii="Arial" w:eastAsia="Times New Roman" w:hAnsi="Arial" w:cs="Arial"/>
                <w:color w:val="000000"/>
                <w:sz w:val="18"/>
                <w:szCs w:val="18"/>
              </w:rPr>
              <w:t>_enh</w:t>
            </w:r>
            <w:proofErr w:type="spellEnd"/>
            <w:r>
              <w:rPr>
                <w:rFonts w:ascii="Arial" w:eastAsia="Times New Roman" w:hAnsi="Arial" w:cs="Arial"/>
                <w:color w:val="000000"/>
                <w:sz w:val="18"/>
                <w:szCs w:val="18"/>
              </w:rPr>
              <w:t>-Core</w:t>
            </w:r>
          </w:p>
        </w:tc>
        <w:tc>
          <w:tcPr>
            <w:tcW w:w="850" w:type="dxa"/>
            <w:tcBorders>
              <w:top w:val="single" w:sz="4" w:space="0" w:color="auto"/>
              <w:left w:val="single" w:sz="4" w:space="0" w:color="auto"/>
              <w:bottom w:val="single" w:sz="4" w:space="0" w:color="auto"/>
              <w:right w:val="single" w:sz="4" w:space="0" w:color="auto"/>
            </w:tcBorders>
          </w:tcPr>
          <w:p w14:paraId="6241A3AE" w14:textId="641139A2"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Pr>
                <w:rFonts w:ascii="Arial" w:eastAsia="Times New Roman" w:hAnsi="Arial" w:cs="Arial"/>
                <w:color w:val="000000"/>
                <w:sz w:val="18"/>
                <w:szCs w:val="18"/>
              </w:rPr>
              <w:t>X</w:t>
            </w:r>
            <w:r w:rsidRPr="002A75D7">
              <w:rPr>
                <w:rFonts w:ascii="Arial" w:eastAsia="Times New Roman" w:hAnsi="Arial" w:cs="Arial"/>
                <w:color w:val="000000"/>
                <w:sz w:val="18"/>
                <w:szCs w:val="18"/>
              </w:rPr>
              <w:t>-</w:t>
            </w:r>
            <w:r>
              <w:rPr>
                <w:rFonts w:ascii="Arial" w:eastAsia="Times New Roman" w:hAnsi="Arial" w:cs="Arial"/>
                <w:color w:val="000000"/>
                <w:sz w:val="18"/>
                <w:szCs w:val="18"/>
              </w:rPr>
              <w:t>3</w:t>
            </w:r>
            <w:r w:rsidRPr="002A75D7">
              <w:rPr>
                <w:rFonts w:ascii="Arial" w:eastAsia="Times New Roman" w:hAnsi="Arial" w:cs="Arial"/>
                <w:color w:val="000000"/>
                <w:sz w:val="18"/>
                <w:szCs w:val="18"/>
              </w:rPr>
              <w:t>a</w:t>
            </w:r>
          </w:p>
        </w:tc>
        <w:tc>
          <w:tcPr>
            <w:tcW w:w="2977" w:type="dxa"/>
            <w:tcBorders>
              <w:top w:val="single" w:sz="4" w:space="0" w:color="auto"/>
              <w:left w:val="single" w:sz="4" w:space="0" w:color="auto"/>
              <w:bottom w:val="single" w:sz="4" w:space="0" w:color="auto"/>
              <w:right w:val="single" w:sz="4" w:space="0" w:color="auto"/>
            </w:tcBorders>
          </w:tcPr>
          <w:p w14:paraId="0B313E21" w14:textId="0495D67B"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C93CE0">
              <w:rPr>
                <w:rFonts w:ascii="Arial" w:eastAsia="Times New Roman" w:hAnsi="Arial" w:cs="Arial"/>
                <w:color w:val="000000"/>
                <w:sz w:val="18"/>
                <w:szCs w:val="18"/>
              </w:rPr>
              <w:t>GNSS measurement</w:t>
            </w:r>
            <w:r w:rsidRPr="002A75D7">
              <w:rPr>
                <w:rFonts w:ascii="Arial" w:eastAsia="Times New Roman" w:hAnsi="Arial" w:cs="Arial"/>
                <w:color w:val="000000"/>
                <w:sz w:val="18"/>
                <w:szCs w:val="18"/>
              </w:rPr>
              <w:t xml:space="preserve"> for NB-IoT</w:t>
            </w:r>
          </w:p>
        </w:tc>
        <w:tc>
          <w:tcPr>
            <w:tcW w:w="4535" w:type="dxa"/>
            <w:tcBorders>
              <w:top w:val="single" w:sz="4" w:space="0" w:color="auto"/>
              <w:left w:val="single" w:sz="4" w:space="0" w:color="auto"/>
              <w:bottom w:val="single" w:sz="4" w:space="0" w:color="auto"/>
              <w:right w:val="single" w:sz="4" w:space="0" w:color="auto"/>
            </w:tcBorders>
          </w:tcPr>
          <w:p w14:paraId="5577ABAE" w14:textId="77777777" w:rsidR="00D10EE1" w:rsidRPr="001344E3" w:rsidRDefault="00D10EE1" w:rsidP="00D10EE1">
            <w:pPr>
              <w:pStyle w:val="TAL"/>
              <w:rPr>
                <w:rFonts w:cs="Arial"/>
                <w:szCs w:val="18"/>
              </w:rPr>
            </w:pPr>
            <w:r w:rsidRPr="001344E3">
              <w:rPr>
                <w:rFonts w:cs="Arial"/>
                <w:szCs w:val="18"/>
              </w:rPr>
              <w:t>1)</w:t>
            </w:r>
            <w:r>
              <w:rPr>
                <w:rFonts w:cs="Arial"/>
                <w:szCs w:val="18"/>
              </w:rPr>
              <w:t xml:space="preserve"> </w:t>
            </w:r>
            <w:r>
              <w:t>UE</w:t>
            </w:r>
            <w:r w:rsidRPr="001344E3">
              <w:t xml:space="preserve"> </w:t>
            </w:r>
            <w:r w:rsidRPr="00C93CE0">
              <w:t>reports GNSS position fix time duration for measurement</w:t>
            </w:r>
            <w:r w:rsidRPr="001344E3">
              <w:rPr>
                <w:rFonts w:cs="Arial"/>
                <w:szCs w:val="18"/>
              </w:rPr>
              <w:t>.</w:t>
            </w:r>
          </w:p>
          <w:p w14:paraId="6B0209CD" w14:textId="77777777" w:rsidR="00D10EE1" w:rsidRDefault="00D10EE1" w:rsidP="00D10EE1">
            <w:pPr>
              <w:pStyle w:val="TAL"/>
            </w:pPr>
            <w:r>
              <w:rPr>
                <w:rFonts w:cs="Arial"/>
                <w:szCs w:val="18"/>
              </w:rPr>
              <w:t>2</w:t>
            </w:r>
            <w:r w:rsidRPr="001344E3">
              <w:rPr>
                <w:rFonts w:cs="Arial"/>
                <w:szCs w:val="18"/>
              </w:rPr>
              <w:t xml:space="preserve">) </w:t>
            </w:r>
            <w:r>
              <w:rPr>
                <w:rFonts w:cs="Arial"/>
                <w:szCs w:val="18"/>
              </w:rPr>
              <w:t xml:space="preserve">UE supports GNSS measurement during the GNSS measurement gap which is </w:t>
            </w:r>
            <w:proofErr w:type="spellStart"/>
            <w:r w:rsidRPr="00C93CE0">
              <w:t>aperiodically</w:t>
            </w:r>
            <w:proofErr w:type="spellEnd"/>
            <w:r w:rsidRPr="00C93CE0">
              <w:t xml:space="preserve"> triggered by </w:t>
            </w:r>
            <w:proofErr w:type="spellStart"/>
            <w:r w:rsidRPr="00C93CE0">
              <w:t>eNB</w:t>
            </w:r>
            <w:proofErr w:type="spellEnd"/>
            <w:r w:rsidRPr="00C93CE0">
              <w:t xml:space="preserve"> with MAC CE</w:t>
            </w:r>
            <w:r>
              <w:t>.</w:t>
            </w:r>
            <w:r w:rsidRPr="00C93CE0">
              <w:t xml:space="preserve"> </w:t>
            </w:r>
          </w:p>
          <w:p w14:paraId="7B292B63" w14:textId="791FD693" w:rsidR="00D10EE1" w:rsidRPr="002A75D7" w:rsidRDefault="00D10EE1" w:rsidP="00D10EE1">
            <w:pPr>
              <w:spacing w:before="60" w:afterLines="50" w:after="120"/>
              <w:contextualSpacing/>
              <w:jc w:val="both"/>
              <w:rPr>
                <w:rFonts w:ascii="Arial" w:eastAsia="等线" w:hAnsi="Arial" w:cs="Arial"/>
                <w:color w:val="000000"/>
                <w:sz w:val="18"/>
                <w:szCs w:val="18"/>
                <w:lang w:eastAsia="en-US"/>
              </w:rPr>
            </w:pPr>
          </w:p>
        </w:tc>
        <w:tc>
          <w:tcPr>
            <w:tcW w:w="1148" w:type="dxa"/>
            <w:tcBorders>
              <w:top w:val="single" w:sz="4" w:space="0" w:color="auto"/>
              <w:left w:val="single" w:sz="4" w:space="0" w:color="auto"/>
              <w:bottom w:val="single" w:sz="4" w:space="0" w:color="auto"/>
              <w:right w:val="single" w:sz="4" w:space="0" w:color="auto"/>
            </w:tcBorders>
          </w:tcPr>
          <w:p w14:paraId="75726607"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2-1b, 2-3a</w:t>
            </w:r>
          </w:p>
        </w:tc>
        <w:tc>
          <w:tcPr>
            <w:tcW w:w="0" w:type="auto"/>
            <w:tcBorders>
              <w:top w:val="single" w:sz="4" w:space="0" w:color="auto"/>
              <w:left w:val="single" w:sz="4" w:space="0" w:color="auto"/>
              <w:bottom w:val="single" w:sz="4" w:space="0" w:color="auto"/>
              <w:right w:val="single" w:sz="4" w:space="0" w:color="auto"/>
            </w:tcBorders>
          </w:tcPr>
          <w:p w14:paraId="40C11E7E"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9CAB"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761E3D" w14:textId="3568CB08"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 xml:space="preserve">NB-IoT UE </w:t>
            </w:r>
            <w:r>
              <w:rPr>
                <w:rFonts w:ascii="Arial" w:eastAsia="Times New Roman" w:hAnsi="Arial" w:cs="Arial"/>
                <w:color w:val="000000"/>
                <w:sz w:val="18"/>
                <w:szCs w:val="18"/>
              </w:rPr>
              <w:t>can</w:t>
            </w:r>
            <w:r w:rsidRPr="002A75D7">
              <w:rPr>
                <w:rFonts w:ascii="Arial" w:eastAsia="Times New Roman" w:hAnsi="Arial" w:cs="Arial"/>
                <w:color w:val="000000"/>
                <w:sz w:val="18"/>
                <w:szCs w:val="18"/>
              </w:rPr>
              <w:t xml:space="preserve">not </w:t>
            </w:r>
            <w:r>
              <w:rPr>
                <w:rFonts w:ascii="Arial" w:eastAsia="Times New Roman" w:hAnsi="Arial" w:cs="Arial"/>
                <w:color w:val="000000"/>
                <w:sz w:val="18"/>
                <w:szCs w:val="18"/>
              </w:rPr>
              <w:t xml:space="preserve">perform </w:t>
            </w:r>
            <w:r w:rsidRPr="00423A65">
              <w:rPr>
                <w:rFonts w:ascii="Arial" w:eastAsia="Times New Roman" w:hAnsi="Arial" w:cs="Arial"/>
                <w:color w:val="000000"/>
                <w:sz w:val="18"/>
                <w:szCs w:val="18"/>
              </w:rPr>
              <w:t>GNSS re-acquisition</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in RRC connected mode</w:t>
            </w:r>
          </w:p>
        </w:tc>
        <w:tc>
          <w:tcPr>
            <w:tcW w:w="0" w:type="auto"/>
            <w:tcBorders>
              <w:top w:val="single" w:sz="4" w:space="0" w:color="auto"/>
              <w:left w:val="single" w:sz="4" w:space="0" w:color="auto"/>
              <w:bottom w:val="single" w:sz="4" w:space="0" w:color="auto"/>
              <w:right w:val="single" w:sz="4" w:space="0" w:color="auto"/>
            </w:tcBorders>
          </w:tcPr>
          <w:p w14:paraId="09730D5D" w14:textId="6A431DCA"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highlight w:val="yellow"/>
              </w:rPr>
            </w:pPr>
            <w:r w:rsidRPr="002A75D7">
              <w:rPr>
                <w:rFonts w:ascii="Arial" w:eastAsia="Times New Roman"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1DD45E5C"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7734C463"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No</w:t>
            </w:r>
          </w:p>
        </w:tc>
        <w:tc>
          <w:tcPr>
            <w:tcW w:w="3127" w:type="dxa"/>
            <w:tcBorders>
              <w:top w:val="single" w:sz="4" w:space="0" w:color="auto"/>
              <w:left w:val="single" w:sz="4" w:space="0" w:color="auto"/>
              <w:bottom w:val="single" w:sz="4" w:space="0" w:color="auto"/>
              <w:right w:val="single" w:sz="4" w:space="0" w:color="auto"/>
            </w:tcBorders>
          </w:tcPr>
          <w:p w14:paraId="174D049A" w14:textId="5AD4BDDE"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 xml:space="preserve">For </w:t>
            </w:r>
            <w:r>
              <w:rPr>
                <w:rFonts w:ascii="Arial" w:eastAsia="Times New Roman" w:hAnsi="Arial" w:cs="Arial"/>
                <w:color w:val="000000"/>
                <w:sz w:val="18"/>
                <w:szCs w:val="18"/>
              </w:rPr>
              <w:t>NB-IoT</w:t>
            </w:r>
            <w:r w:rsidRPr="002A75D7">
              <w:rPr>
                <w:rFonts w:ascii="Arial" w:eastAsia="Times New Roman" w:hAnsi="Arial" w:cs="Arial"/>
                <w:color w:val="000000"/>
                <w:sz w:val="18"/>
                <w:szCs w:val="18"/>
              </w:rPr>
              <w:t xml:space="preserve">, support </w:t>
            </w:r>
            <w:r w:rsidRPr="00423A65">
              <w:rPr>
                <w:rFonts w:ascii="Arial" w:eastAsia="Times New Roman" w:hAnsi="Arial" w:cs="Arial"/>
                <w:color w:val="000000"/>
                <w:sz w:val="18"/>
                <w:szCs w:val="18"/>
              </w:rPr>
              <w:t>GNSS re-acquisition</w:t>
            </w:r>
            <w:r w:rsidRPr="002A75D7">
              <w:rPr>
                <w:rFonts w:ascii="Arial" w:eastAsia="Times New Roman" w:hAnsi="Arial" w:cs="Arial"/>
                <w:color w:val="000000"/>
                <w:sz w:val="18"/>
                <w:szCs w:val="18"/>
              </w:rPr>
              <w:t xml:space="preserve"> </w:t>
            </w:r>
            <w:r>
              <w:rPr>
                <w:rFonts w:ascii="Arial" w:eastAsia="Times New Roman" w:hAnsi="Arial" w:cs="Arial"/>
                <w:color w:val="000000"/>
                <w:sz w:val="18"/>
                <w:szCs w:val="18"/>
              </w:rPr>
              <w:t>in RRC connected mode</w:t>
            </w:r>
            <w:r w:rsidRPr="002A75D7">
              <w:rPr>
                <w:rFonts w:ascii="Arial" w:eastAsia="Times New Roman" w:hAnsi="Arial" w:cs="Arial"/>
                <w:color w:val="000000"/>
                <w:sz w:val="18"/>
                <w:szCs w:val="18"/>
              </w:rPr>
              <w:t>.</w:t>
            </w:r>
          </w:p>
        </w:tc>
        <w:tc>
          <w:tcPr>
            <w:tcW w:w="1973" w:type="dxa"/>
            <w:tcBorders>
              <w:top w:val="single" w:sz="4" w:space="0" w:color="auto"/>
              <w:left w:val="single" w:sz="4" w:space="0" w:color="auto"/>
              <w:bottom w:val="single" w:sz="4" w:space="0" w:color="auto"/>
              <w:right w:val="single" w:sz="4" w:space="0" w:color="auto"/>
            </w:tcBorders>
          </w:tcPr>
          <w:p w14:paraId="00B64E4F" w14:textId="77777777" w:rsidR="00D10EE1" w:rsidRPr="002A75D7" w:rsidRDefault="00D10EE1" w:rsidP="00D10EE1">
            <w:pPr>
              <w:keepNext/>
              <w:keepLines/>
              <w:overflowPunct w:val="0"/>
              <w:autoSpaceDE w:val="0"/>
              <w:autoSpaceDN w:val="0"/>
              <w:adjustRightInd w:val="0"/>
              <w:textAlignment w:val="baseline"/>
              <w:rPr>
                <w:rFonts w:ascii="Arial" w:eastAsia="Times New Roman" w:hAnsi="Arial" w:cs="Arial"/>
                <w:color w:val="000000"/>
                <w:sz w:val="18"/>
                <w:szCs w:val="18"/>
              </w:rPr>
            </w:pPr>
            <w:r w:rsidRPr="002A75D7">
              <w:rPr>
                <w:rFonts w:ascii="Arial" w:eastAsia="Times New Roman" w:hAnsi="Arial" w:cs="Arial"/>
                <w:color w:val="000000"/>
                <w:sz w:val="18"/>
                <w:szCs w:val="18"/>
              </w:rPr>
              <w:t>Optional with capability signalling</w:t>
            </w:r>
          </w:p>
        </w:tc>
      </w:tr>
    </w:tbl>
    <w:p w14:paraId="59D0C3BD" w14:textId="77777777" w:rsidR="004A0C90" w:rsidRDefault="004A0C90" w:rsidP="001C0385">
      <w:pPr>
        <w:spacing w:afterLines="50" w:after="120"/>
        <w:jc w:val="both"/>
        <w:rPr>
          <w:rFonts w:eastAsia="MS Mincho"/>
          <w:sz w:val="22"/>
        </w:rPr>
      </w:pPr>
    </w:p>
    <w:p w14:paraId="71E03550" w14:textId="77777777" w:rsidR="0071278C" w:rsidRPr="004C1CCF" w:rsidRDefault="0071278C" w:rsidP="0071278C">
      <w:pPr>
        <w:rPr>
          <w:lang w:eastAsia="ko-KR"/>
        </w:rPr>
      </w:pPr>
    </w:p>
    <w:sectPr w:rsidR="0071278C" w:rsidRPr="004C1CCF"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B0842" w14:textId="77777777" w:rsidR="00D95ABF" w:rsidRDefault="00D95ABF">
      <w:r>
        <w:separator/>
      </w:r>
    </w:p>
  </w:endnote>
  <w:endnote w:type="continuationSeparator" w:id="0">
    <w:p w14:paraId="5D312621" w14:textId="77777777" w:rsidR="00D95ABF" w:rsidRDefault="00D95ABF">
      <w:r>
        <w:continuationSeparator/>
      </w:r>
    </w:p>
  </w:endnote>
  <w:endnote w:type="continuationNotice" w:id="1">
    <w:p w14:paraId="642AC305" w14:textId="77777777" w:rsidR="00D95ABF" w:rsidRDefault="00D95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63E30" w14:textId="77777777" w:rsidR="00D95ABF" w:rsidRDefault="00D95ABF">
      <w:r>
        <w:separator/>
      </w:r>
    </w:p>
  </w:footnote>
  <w:footnote w:type="continuationSeparator" w:id="0">
    <w:p w14:paraId="72BE8A09" w14:textId="77777777" w:rsidR="00D95ABF" w:rsidRDefault="00D95ABF">
      <w:r>
        <w:continuationSeparator/>
      </w:r>
    </w:p>
  </w:footnote>
  <w:footnote w:type="continuationNotice" w:id="1">
    <w:p w14:paraId="4938AC04" w14:textId="77777777" w:rsidR="00D95ABF" w:rsidRDefault="00D95A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2"/>
  </w:num>
  <w:num w:numId="4">
    <w:abstractNumId w:val="0"/>
  </w:num>
  <w:num w:numId="5">
    <w:abstractNumId w:val="1"/>
  </w:num>
  <w:num w:numId="6">
    <w:abstractNumId w:val="4"/>
  </w:num>
  <w:num w:numId="7">
    <w:abstractNumId w:val="10"/>
  </w:num>
  <w:num w:numId="8">
    <w:abstractNumId w:val="7"/>
  </w:num>
  <w:num w:numId="9">
    <w:abstractNumId w:val="6"/>
  </w:num>
  <w:num w:numId="10">
    <w:abstractNumId w:val="2"/>
  </w:num>
  <w:num w:numId="11">
    <w:abstractNumId w:val="5"/>
  </w:num>
  <w:num w:numId="12">
    <w:abstractNumId w:val="9"/>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521</Words>
  <Characters>2975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吴作敏(Zuomin)</cp:lastModifiedBy>
  <cp:revision>29</cp:revision>
  <cp:lastPrinted>2017-08-09T04:40:00Z</cp:lastPrinted>
  <dcterms:created xsi:type="dcterms:W3CDTF">2023-05-09T04:02:00Z</dcterms:created>
  <dcterms:modified xsi:type="dcterms:W3CDTF">2023-05-12T06:24:00Z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