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rPr>
          <w:rFonts w:ascii="Times New Roman" w:hAnsi="Times New Roman" w:eastAsia="宋体"/>
          <w:bCs/>
          <w:sz w:val="22"/>
          <w:szCs w:val="22"/>
          <w:lang w:val="en-GB" w:eastAsia="zh-CN"/>
        </w:rPr>
      </w:pPr>
      <w:r>
        <w:rPr>
          <w:rFonts w:ascii="Times New Roman" w:hAnsi="Times New Roman" w:eastAsia="宋体"/>
          <w:bCs/>
          <w:sz w:val="22"/>
          <w:szCs w:val="22"/>
          <w:lang w:val="en-GB" w:eastAsia="zh-CN"/>
        </w:rPr>
        <w:t>3GPP TSG RAN WG1 #113</w:t>
      </w:r>
      <w:r>
        <w:rPr>
          <w:rFonts w:ascii="Times New Roman" w:hAnsi="Times New Roman" w:eastAsia="宋体"/>
          <w:bCs/>
          <w:sz w:val="22"/>
          <w:szCs w:val="22"/>
          <w:lang w:val="en-GB" w:eastAsia="zh-CN"/>
        </w:rPr>
        <w:tab/>
      </w:r>
      <w:r>
        <w:rPr>
          <w:rFonts w:ascii="Times New Roman" w:hAnsi="Times New Roman" w:eastAsia="宋体"/>
          <w:bCs/>
          <w:sz w:val="22"/>
          <w:szCs w:val="22"/>
          <w:lang w:val="en-GB" w:eastAsia="zh-CN"/>
        </w:rPr>
        <w:tab/>
      </w:r>
      <w:r>
        <w:rPr>
          <w:rFonts w:ascii="Times New Roman" w:hAnsi="Times New Roman" w:eastAsia="宋体"/>
          <w:bCs/>
          <w:sz w:val="22"/>
          <w:szCs w:val="22"/>
          <w:lang w:val="en-GB" w:eastAsia="zh-CN"/>
        </w:rPr>
        <w:t>R1-2305441</w:t>
      </w:r>
    </w:p>
    <w:p>
      <w:pPr>
        <w:pStyle w:val="18"/>
        <w:rPr>
          <w:rFonts w:ascii="Times New Roman" w:hAnsi="Times New Roman" w:eastAsia="宋体"/>
          <w:bCs/>
          <w:sz w:val="22"/>
          <w:szCs w:val="22"/>
          <w:lang w:val="en-GB" w:eastAsia="zh-CN"/>
        </w:rPr>
      </w:pPr>
      <w:r>
        <w:rPr>
          <w:rFonts w:ascii="Times New Roman" w:hAnsi="Times New Roman" w:eastAsia="宋体"/>
          <w:bCs/>
          <w:sz w:val="22"/>
          <w:szCs w:val="22"/>
          <w:lang w:val="en-GB" w:eastAsia="zh-CN"/>
        </w:rPr>
        <w:t>Incheon, Korea, May 22</w:t>
      </w:r>
      <w:r>
        <w:rPr>
          <w:rFonts w:ascii="Times New Roman" w:hAnsi="Times New Roman" w:eastAsia="宋体"/>
          <w:bCs/>
          <w:sz w:val="22"/>
          <w:szCs w:val="22"/>
          <w:vertAlign w:val="superscript"/>
          <w:lang w:val="en-GB" w:eastAsia="zh-CN"/>
        </w:rPr>
        <w:t>nd</w:t>
      </w:r>
      <w:r>
        <w:rPr>
          <w:rFonts w:ascii="Times New Roman" w:hAnsi="Times New Roman" w:eastAsia="宋体"/>
          <w:bCs/>
          <w:sz w:val="22"/>
          <w:szCs w:val="22"/>
          <w:lang w:val="en-GB" w:eastAsia="zh-CN"/>
        </w:rPr>
        <w:t xml:space="preserve"> – May 26</w:t>
      </w:r>
      <w:r>
        <w:rPr>
          <w:rFonts w:ascii="Times New Roman" w:hAnsi="Times New Roman" w:eastAsia="宋体"/>
          <w:bCs/>
          <w:sz w:val="22"/>
          <w:szCs w:val="22"/>
          <w:vertAlign w:val="superscript"/>
          <w:lang w:val="en-GB" w:eastAsia="zh-CN"/>
        </w:rPr>
        <w:t>th</w:t>
      </w:r>
      <w:r>
        <w:rPr>
          <w:rFonts w:ascii="Times New Roman" w:hAnsi="Times New Roman" w:eastAsia="宋体"/>
          <w:bCs/>
          <w:sz w:val="22"/>
          <w:szCs w:val="22"/>
          <w:lang w:val="en-GB" w:eastAsia="zh-CN"/>
        </w:rPr>
        <w:t>, 2023</w:t>
      </w:r>
    </w:p>
    <w:p>
      <w:pPr>
        <w:pStyle w:val="18"/>
        <w:rPr>
          <w:szCs w:val="20"/>
          <w:lang w:val="en-GB" w:eastAsia="zh-CN"/>
        </w:rPr>
      </w:pPr>
    </w:p>
    <w:p>
      <w:pPr>
        <w:overflowPunct w:val="0"/>
        <w:autoSpaceDE w:val="0"/>
        <w:autoSpaceDN w:val="0"/>
        <w:adjustRightInd w:val="0"/>
        <w:spacing w:after="60"/>
        <w:ind w:left="1985" w:hanging="1985"/>
        <w:textAlignment w:val="baseline"/>
        <w:rPr>
          <w:rFonts w:eastAsia="宋体"/>
          <w:b/>
          <w:sz w:val="22"/>
          <w:szCs w:val="22"/>
          <w:lang w:eastAsia="zh-CN"/>
        </w:rPr>
      </w:pPr>
      <w:r>
        <w:rPr>
          <w:b/>
          <w:sz w:val="22"/>
          <w:szCs w:val="22"/>
          <w:lang w:val="en-GB" w:eastAsia="en-GB"/>
        </w:rPr>
        <w:t>Title:</w:t>
      </w:r>
      <w:r>
        <w:rPr>
          <w:b/>
          <w:sz w:val="22"/>
          <w:szCs w:val="22"/>
          <w:lang w:val="en-GB" w:eastAsia="en-GB"/>
        </w:rPr>
        <w:tab/>
      </w:r>
      <w:r>
        <w:rPr>
          <w:rFonts w:hint="eastAsia" w:eastAsia="宋体"/>
          <w:b/>
          <w:sz w:val="22"/>
          <w:szCs w:val="22"/>
          <w:lang w:eastAsia="zh-CN"/>
        </w:rPr>
        <w:t>[</w:t>
      </w:r>
      <w:r>
        <w:rPr>
          <w:rFonts w:hint="eastAsia" w:eastAsia="宋体"/>
          <w:b/>
          <w:sz w:val="22"/>
          <w:szCs w:val="22"/>
          <w:highlight w:val="yellow"/>
          <w:lang w:eastAsia="zh-CN"/>
        </w:rPr>
        <w:t>Draft</w:t>
      </w:r>
      <w:r>
        <w:rPr>
          <w:rFonts w:hint="eastAsia" w:eastAsia="宋体"/>
          <w:b/>
          <w:sz w:val="22"/>
          <w:szCs w:val="22"/>
          <w:lang w:eastAsia="zh-CN"/>
        </w:rPr>
        <w:t xml:space="preserve">] reply </w:t>
      </w:r>
      <w:r>
        <w:rPr>
          <w:b/>
          <w:sz w:val="22"/>
          <w:szCs w:val="22"/>
          <w:lang w:val="en-GB" w:eastAsia="en-GB"/>
        </w:rPr>
        <w:t xml:space="preserve">LS on </w:t>
      </w:r>
      <w:r>
        <w:rPr>
          <w:rFonts w:eastAsia="宋体"/>
          <w:b/>
          <w:sz w:val="22"/>
          <w:szCs w:val="22"/>
          <w:lang w:eastAsia="zh-CN"/>
        </w:rPr>
        <w:t>unchanged PCI</w:t>
      </w:r>
    </w:p>
    <w:p>
      <w:pPr>
        <w:overflowPunct w:val="0"/>
        <w:autoSpaceDE w:val="0"/>
        <w:autoSpaceDN w:val="0"/>
        <w:adjustRightInd w:val="0"/>
        <w:spacing w:after="60"/>
        <w:ind w:left="1985" w:hanging="1985"/>
        <w:textAlignment w:val="baseline"/>
        <w:rPr>
          <w:rFonts w:hint="eastAsia" w:eastAsia="宋体"/>
          <w:b/>
          <w:sz w:val="22"/>
          <w:szCs w:val="22"/>
          <w:lang w:eastAsia="zh-CN"/>
        </w:rPr>
      </w:pPr>
      <w:r>
        <w:rPr>
          <w:rFonts w:eastAsia="宋体"/>
          <w:b/>
          <w:sz w:val="22"/>
          <w:szCs w:val="22"/>
          <w:lang w:val="en-GB" w:eastAsia="zh-CN"/>
        </w:rPr>
        <w:t>Response to:</w:t>
      </w:r>
      <w:r>
        <w:rPr>
          <w:rFonts w:eastAsia="宋体"/>
          <w:b/>
          <w:bCs/>
          <w:sz w:val="22"/>
          <w:szCs w:val="22"/>
          <w:lang w:val="en-GB" w:eastAsia="zh-CN"/>
        </w:rPr>
        <w:tab/>
      </w:r>
      <w:r>
        <w:rPr>
          <w:rFonts w:eastAsia="宋体"/>
          <w:b/>
          <w:sz w:val="22"/>
          <w:szCs w:val="22"/>
          <w:lang w:val="en-GB" w:eastAsia="zh-CN"/>
        </w:rPr>
        <w:t>R1-2304323 (R2-2304273)</w:t>
      </w:r>
    </w:p>
    <w:p>
      <w:pPr>
        <w:overflowPunct w:val="0"/>
        <w:autoSpaceDE w:val="0"/>
        <w:autoSpaceDN w:val="0"/>
        <w:adjustRightInd w:val="0"/>
        <w:spacing w:after="60"/>
        <w:ind w:left="1985" w:hanging="1985"/>
        <w:textAlignment w:val="baseline"/>
        <w:rPr>
          <w:b/>
          <w:bCs/>
          <w:sz w:val="22"/>
          <w:szCs w:val="22"/>
          <w:lang w:val="en-GB" w:eastAsia="en-GB"/>
        </w:rPr>
      </w:pPr>
      <w:bookmarkStart w:id="0" w:name="OLE_LINK60"/>
      <w:bookmarkStart w:id="1" w:name="OLE_LINK59"/>
      <w:bookmarkStart w:id="2" w:name="OLE_LINK61"/>
      <w:r>
        <w:rPr>
          <w:b/>
          <w:sz w:val="22"/>
          <w:szCs w:val="22"/>
          <w:lang w:val="en-GB" w:eastAsia="en-GB"/>
        </w:rPr>
        <w:t>Release:</w:t>
      </w:r>
      <w:r>
        <w:rPr>
          <w:b/>
          <w:bCs/>
          <w:sz w:val="22"/>
          <w:szCs w:val="22"/>
          <w:lang w:val="en-GB" w:eastAsia="en-GB"/>
        </w:rPr>
        <w:tab/>
      </w:r>
      <w:r>
        <w:rPr>
          <w:b/>
          <w:bCs/>
          <w:sz w:val="22"/>
          <w:szCs w:val="22"/>
          <w:lang w:val="en-GB" w:eastAsia="zh-CN"/>
        </w:rPr>
        <w:t>Rel-18</w:t>
      </w:r>
    </w:p>
    <w:bookmarkEnd w:id="0"/>
    <w:bookmarkEnd w:id="1"/>
    <w:bookmarkEnd w:id="2"/>
    <w:p>
      <w:pPr>
        <w:overflowPunct w:val="0"/>
        <w:autoSpaceDE w:val="0"/>
        <w:autoSpaceDN w:val="0"/>
        <w:adjustRightInd w:val="0"/>
        <w:spacing w:after="60"/>
        <w:ind w:left="1985" w:hanging="1985"/>
        <w:textAlignment w:val="baseline"/>
        <w:rPr>
          <w:rFonts w:eastAsia="宋体"/>
          <w:b/>
          <w:bCs/>
          <w:sz w:val="22"/>
          <w:szCs w:val="22"/>
          <w:lang w:eastAsia="zh-CN"/>
        </w:rPr>
      </w:pPr>
      <w:r>
        <w:rPr>
          <w:b/>
          <w:sz w:val="22"/>
          <w:szCs w:val="22"/>
          <w:lang w:val="en-GB" w:eastAsia="en-GB"/>
        </w:rPr>
        <w:t>Work Item:</w:t>
      </w:r>
      <w:r>
        <w:rPr>
          <w:b/>
          <w:bCs/>
          <w:sz w:val="22"/>
          <w:szCs w:val="22"/>
          <w:lang w:val="en-GB" w:eastAsia="en-GB"/>
        </w:rPr>
        <w:tab/>
      </w:r>
      <w:r>
        <w:rPr>
          <w:rFonts w:eastAsia="宋体"/>
          <w:b/>
          <w:bCs/>
          <w:sz w:val="22"/>
          <w:szCs w:val="22"/>
          <w:lang w:val="en-GB" w:eastAsia="zh-CN"/>
        </w:rPr>
        <w:t>NR_NTN_enh-Core</w:t>
      </w:r>
    </w:p>
    <w:p>
      <w:pPr>
        <w:pStyle w:val="18"/>
        <w:rPr>
          <w:sz w:val="22"/>
          <w:szCs w:val="22"/>
          <w:lang w:val="en-GB" w:eastAsia="en-GB"/>
        </w:rPr>
      </w:pPr>
    </w:p>
    <w:p>
      <w:pPr>
        <w:overflowPunct w:val="0"/>
        <w:autoSpaceDE w:val="0"/>
        <w:autoSpaceDN w:val="0"/>
        <w:adjustRightInd w:val="0"/>
        <w:spacing w:after="60"/>
        <w:ind w:left="1985" w:hanging="1985"/>
        <w:textAlignment w:val="baseline"/>
        <w:rPr>
          <w:b/>
          <w:sz w:val="22"/>
          <w:szCs w:val="22"/>
          <w:lang w:eastAsia="en-GB"/>
        </w:rPr>
      </w:pPr>
      <w:r>
        <w:rPr>
          <w:b/>
          <w:sz w:val="22"/>
          <w:szCs w:val="22"/>
          <w:lang w:val="en-GB" w:eastAsia="en-GB"/>
        </w:rPr>
        <w:t>Source:</w:t>
      </w:r>
      <w:r>
        <w:rPr>
          <w:b/>
          <w:sz w:val="22"/>
          <w:szCs w:val="22"/>
          <w:lang w:val="en-GB" w:eastAsia="en-GB"/>
        </w:rPr>
        <w:tab/>
      </w:r>
      <w:bookmarkStart w:id="3" w:name="OLE_LINK12"/>
      <w:bookmarkStart w:id="4" w:name="OLE_LINK13"/>
      <w:bookmarkStart w:id="5" w:name="OLE_LINK14"/>
      <w:r>
        <w:rPr>
          <w:rFonts w:hint="eastAsia" w:eastAsia="宋体"/>
          <w:b/>
          <w:sz w:val="22"/>
          <w:szCs w:val="22"/>
          <w:lang w:eastAsia="zh-CN"/>
        </w:rPr>
        <w:t>OPPO [</w:t>
      </w:r>
      <w:r>
        <w:rPr>
          <w:rFonts w:hint="eastAsia" w:eastAsia="宋体"/>
          <w:b/>
          <w:sz w:val="22"/>
          <w:szCs w:val="22"/>
          <w:highlight w:val="yellow"/>
          <w:lang w:eastAsia="zh-CN"/>
        </w:rPr>
        <w:t xml:space="preserve">to be </w:t>
      </w:r>
      <w:r>
        <w:rPr>
          <w:b/>
          <w:sz w:val="22"/>
          <w:szCs w:val="22"/>
          <w:highlight w:val="yellow"/>
          <w:lang w:val="en-GB" w:eastAsia="zh-CN"/>
        </w:rPr>
        <w:t>RAN</w:t>
      </w:r>
      <w:bookmarkEnd w:id="3"/>
      <w:bookmarkEnd w:id="4"/>
      <w:bookmarkEnd w:id="5"/>
      <w:r>
        <w:rPr>
          <w:b/>
          <w:sz w:val="22"/>
          <w:szCs w:val="22"/>
          <w:highlight w:val="yellow"/>
          <w:lang w:eastAsia="zh-CN"/>
        </w:rPr>
        <w:t>1</w:t>
      </w:r>
      <w:r>
        <w:rPr>
          <w:rFonts w:hint="eastAsia"/>
          <w:b/>
          <w:sz w:val="22"/>
          <w:szCs w:val="22"/>
          <w:lang w:eastAsia="zh-CN"/>
        </w:rPr>
        <w:t>]</w:t>
      </w:r>
    </w:p>
    <w:p>
      <w:pPr>
        <w:overflowPunct w:val="0"/>
        <w:autoSpaceDE w:val="0"/>
        <w:autoSpaceDN w:val="0"/>
        <w:adjustRightInd w:val="0"/>
        <w:spacing w:after="60"/>
        <w:ind w:left="1985" w:hanging="1985"/>
        <w:textAlignment w:val="baseline"/>
        <w:rPr>
          <w:b/>
          <w:bCs/>
          <w:sz w:val="22"/>
          <w:szCs w:val="22"/>
          <w:lang w:eastAsia="en-GB"/>
        </w:rPr>
      </w:pPr>
      <w:r>
        <w:rPr>
          <w:b/>
          <w:sz w:val="22"/>
          <w:szCs w:val="22"/>
          <w:lang w:val="en-GB" w:eastAsia="en-GB"/>
        </w:rPr>
        <w:t>To:</w:t>
      </w:r>
      <w:r>
        <w:rPr>
          <w:b/>
          <w:bCs/>
          <w:sz w:val="22"/>
          <w:szCs w:val="22"/>
          <w:lang w:val="en-GB" w:eastAsia="en-GB"/>
        </w:rPr>
        <w:tab/>
      </w:r>
      <w:bookmarkStart w:id="6" w:name="OLE_LINK43"/>
      <w:bookmarkStart w:id="7" w:name="OLE_LINK42"/>
      <w:bookmarkStart w:id="8" w:name="OLE_LINK44"/>
      <w:r>
        <w:rPr>
          <w:b/>
          <w:bCs/>
          <w:sz w:val="22"/>
          <w:szCs w:val="22"/>
          <w:lang w:val="en-GB" w:eastAsia="zh-CN"/>
        </w:rPr>
        <w:t>RAN</w:t>
      </w:r>
      <w:bookmarkEnd w:id="6"/>
      <w:bookmarkEnd w:id="7"/>
      <w:bookmarkEnd w:id="8"/>
      <w:r>
        <w:rPr>
          <w:b/>
          <w:bCs/>
          <w:sz w:val="22"/>
          <w:szCs w:val="22"/>
          <w:lang w:eastAsia="zh-CN"/>
        </w:rPr>
        <w:t>2</w:t>
      </w:r>
    </w:p>
    <w:p>
      <w:pPr>
        <w:overflowPunct w:val="0"/>
        <w:autoSpaceDE w:val="0"/>
        <w:autoSpaceDN w:val="0"/>
        <w:adjustRightInd w:val="0"/>
        <w:spacing w:after="60"/>
        <w:ind w:left="1985" w:hanging="1985"/>
        <w:textAlignment w:val="baseline"/>
        <w:rPr>
          <w:b/>
          <w:bCs/>
          <w:sz w:val="22"/>
          <w:szCs w:val="22"/>
          <w:lang w:val="en-GB" w:eastAsia="en-GB"/>
        </w:rPr>
      </w:pPr>
      <w:bookmarkStart w:id="9" w:name="OLE_LINK45"/>
      <w:bookmarkStart w:id="10" w:name="OLE_LINK46"/>
      <w:r>
        <w:rPr>
          <w:b/>
          <w:sz w:val="22"/>
          <w:szCs w:val="22"/>
          <w:lang w:val="en-GB" w:eastAsia="en-GB"/>
        </w:rPr>
        <w:t>Cc:</w:t>
      </w:r>
      <w:r>
        <w:rPr>
          <w:b/>
          <w:bCs/>
          <w:sz w:val="22"/>
          <w:szCs w:val="22"/>
          <w:lang w:val="en-GB" w:eastAsia="en-GB"/>
        </w:rPr>
        <w:tab/>
      </w:r>
    </w:p>
    <w:bookmarkEnd w:id="9"/>
    <w:bookmarkEnd w:id="10"/>
    <w:p>
      <w:pPr>
        <w:pStyle w:val="18"/>
        <w:rPr>
          <w:bCs/>
          <w:szCs w:val="20"/>
          <w:lang w:val="en-GB" w:eastAsia="en-GB"/>
        </w:rPr>
      </w:pPr>
    </w:p>
    <w:p>
      <w:pPr>
        <w:overflowPunct w:val="0"/>
        <w:autoSpaceDE w:val="0"/>
        <w:autoSpaceDN w:val="0"/>
        <w:adjustRightInd w:val="0"/>
        <w:spacing w:after="60"/>
        <w:ind w:left="1985" w:hanging="1985"/>
        <w:textAlignment w:val="baseline"/>
        <w:rPr>
          <w:b/>
          <w:bCs/>
          <w:sz w:val="22"/>
          <w:szCs w:val="22"/>
          <w:lang w:val="fr-FR" w:eastAsia="en-GB"/>
        </w:rPr>
      </w:pPr>
      <w:r>
        <w:rPr>
          <w:b/>
          <w:sz w:val="22"/>
          <w:szCs w:val="22"/>
          <w:lang w:val="fr-FR" w:eastAsia="en-GB"/>
        </w:rPr>
        <w:t>Contact person:</w:t>
      </w:r>
      <w:r>
        <w:rPr>
          <w:b/>
          <w:bCs/>
          <w:sz w:val="22"/>
          <w:szCs w:val="22"/>
          <w:lang w:val="fr-FR" w:eastAsia="en-GB"/>
        </w:rPr>
        <w:tab/>
      </w:r>
      <w:r>
        <w:rPr>
          <w:b/>
          <w:bCs/>
          <w:sz w:val="22"/>
          <w:szCs w:val="22"/>
          <w:lang w:val="fr-FR" w:eastAsia="en-GB"/>
        </w:rPr>
        <w:tab/>
      </w:r>
    </w:p>
    <w:p>
      <w:pPr>
        <w:overflowPunct w:val="0"/>
        <w:autoSpaceDE w:val="0"/>
        <w:autoSpaceDN w:val="0"/>
        <w:adjustRightInd w:val="0"/>
        <w:spacing w:after="60"/>
        <w:ind w:left="1985" w:hanging="1985"/>
        <w:textAlignment w:val="baseline"/>
        <w:rPr>
          <w:b/>
          <w:sz w:val="22"/>
          <w:szCs w:val="22"/>
          <w:lang w:val="en-GB" w:eastAsia="en-GB"/>
        </w:rPr>
      </w:pPr>
      <w:r>
        <w:rPr>
          <w:b/>
          <w:sz w:val="22"/>
          <w:szCs w:val="22"/>
          <w:lang w:val="en-GB" w:eastAsia="en-GB"/>
        </w:rPr>
        <w:t>Send any reply LS to:</w:t>
      </w:r>
      <w:r>
        <w:rPr>
          <w:b/>
          <w:sz w:val="22"/>
          <w:szCs w:val="22"/>
          <w:lang w:val="en-GB" w:eastAsia="en-GB"/>
        </w:rPr>
        <w:tab/>
      </w:r>
      <w:r>
        <w:rPr>
          <w:b/>
          <w:sz w:val="22"/>
          <w:szCs w:val="22"/>
          <w:lang w:val="en-GB" w:eastAsia="en-GB"/>
        </w:rPr>
        <w:t xml:space="preserve">3GPP Liaisons Coordinator, </w:t>
      </w:r>
      <w:r>
        <w:fldChar w:fldCharType="begin"/>
      </w:r>
      <w:r>
        <w:instrText xml:space="preserve"> HYPERLINK "mailto:3GPPLiaison@etsi.org" </w:instrText>
      </w:r>
      <w:r>
        <w:fldChar w:fldCharType="separate"/>
      </w:r>
      <w:r>
        <w:rPr>
          <w:b/>
          <w:color w:val="0000FF"/>
          <w:sz w:val="22"/>
          <w:szCs w:val="22"/>
          <w:u w:val="single"/>
          <w:lang w:val="en-GB" w:eastAsia="en-GB"/>
        </w:rPr>
        <w:t>mailto:3GPPLiaison@etsi.org</w:t>
      </w:r>
      <w:r>
        <w:rPr>
          <w:b/>
          <w:color w:val="0000FF"/>
          <w:sz w:val="22"/>
          <w:szCs w:val="22"/>
          <w:u w:val="single"/>
          <w:lang w:val="en-GB" w:eastAsia="en-GB"/>
        </w:rPr>
        <w:fldChar w:fldCharType="end"/>
      </w:r>
    </w:p>
    <w:p>
      <w:pPr>
        <w:pStyle w:val="18"/>
        <w:rPr>
          <w:szCs w:val="20"/>
          <w:lang w:val="en-GB" w:eastAsia="en-GB"/>
        </w:rPr>
      </w:pPr>
    </w:p>
    <w:p>
      <w:pPr>
        <w:overflowPunct w:val="0"/>
        <w:autoSpaceDE w:val="0"/>
        <w:autoSpaceDN w:val="0"/>
        <w:adjustRightInd w:val="0"/>
        <w:spacing w:after="60"/>
        <w:ind w:left="1985" w:hanging="1985"/>
        <w:textAlignment w:val="baseline"/>
        <w:rPr>
          <w:bCs/>
          <w:szCs w:val="20"/>
          <w:lang w:val="en-GB" w:eastAsia="zh-CN"/>
        </w:rPr>
      </w:pPr>
      <w:r>
        <w:rPr>
          <w:b/>
          <w:szCs w:val="20"/>
          <w:lang w:val="en-GB" w:eastAsia="en-GB"/>
        </w:rPr>
        <w:t>Attachments:</w:t>
      </w:r>
      <w:r>
        <w:rPr>
          <w:bCs/>
          <w:szCs w:val="20"/>
          <w:lang w:val="en-GB" w:eastAsia="en-GB"/>
        </w:rPr>
        <w:tab/>
      </w:r>
      <w:r>
        <w:rPr>
          <w:color w:val="0070C0"/>
          <w:szCs w:val="20"/>
          <w:lang w:val="en-GB" w:eastAsia="zh-CN"/>
        </w:rPr>
        <w:t>-</w:t>
      </w:r>
    </w:p>
    <w:p>
      <w:pPr>
        <w:pStyle w:val="18"/>
        <w:rPr>
          <w:szCs w:val="20"/>
          <w:lang w:val="en-GB" w:eastAsia="en-GB"/>
        </w:rPr>
      </w:pPr>
    </w:p>
    <w:p>
      <w:pPr>
        <w:keepNext/>
        <w:keepLines/>
        <w:pBdr>
          <w:top w:val="single" w:color="auto" w:sz="12" w:space="3"/>
        </w:pBdr>
        <w:overflowPunct w:val="0"/>
        <w:autoSpaceDE w:val="0"/>
        <w:autoSpaceDN w:val="0"/>
        <w:adjustRightInd w:val="0"/>
        <w:spacing w:before="240" w:after="180"/>
        <w:textAlignment w:val="baseline"/>
        <w:outlineLvl w:val="0"/>
        <w:rPr>
          <w:sz w:val="36"/>
          <w:szCs w:val="20"/>
          <w:lang w:val="en-GB" w:eastAsia="en-GB"/>
        </w:rPr>
      </w:pPr>
      <w:r>
        <w:rPr>
          <w:sz w:val="36"/>
          <w:szCs w:val="20"/>
          <w:lang w:val="en-GB" w:eastAsia="en-GB"/>
        </w:rPr>
        <w:t>1</w:t>
      </w:r>
      <w:r>
        <w:rPr>
          <w:sz w:val="36"/>
          <w:szCs w:val="20"/>
          <w:lang w:val="en-GB" w:eastAsia="en-GB"/>
        </w:rPr>
        <w:tab/>
      </w:r>
      <w:r>
        <w:rPr>
          <w:sz w:val="36"/>
          <w:szCs w:val="20"/>
          <w:lang w:val="en-GB" w:eastAsia="en-GB"/>
        </w:rPr>
        <w:t>Overall description</w:t>
      </w:r>
    </w:p>
    <w:p>
      <w:pPr>
        <w:pStyle w:val="3"/>
        <w:spacing w:line="252" w:lineRule="auto"/>
        <w:rPr>
          <w:rFonts w:eastAsia="等线"/>
          <w:szCs w:val="20"/>
          <w:lang w:eastAsia="zh-CN"/>
        </w:rPr>
      </w:pPr>
      <w:r>
        <w:rPr>
          <w:rFonts w:hint="eastAsia" w:eastAsia="等线"/>
          <w:szCs w:val="20"/>
          <w:lang w:eastAsia="zh-CN"/>
        </w:rPr>
        <w:t>RAN1 would like to thank RAN2</w:t>
      </w:r>
      <w:r>
        <w:rPr>
          <w:rFonts w:eastAsia="等线"/>
          <w:szCs w:val="20"/>
          <w:lang w:eastAsia="zh-CN"/>
        </w:rPr>
        <w:t>’</w:t>
      </w:r>
      <w:r>
        <w:rPr>
          <w:rFonts w:hint="eastAsia" w:eastAsia="等线"/>
          <w:szCs w:val="20"/>
          <w:lang w:eastAsia="zh-CN"/>
        </w:rPr>
        <w:t xml:space="preserve">s LS on </w:t>
      </w:r>
      <w:r>
        <w:rPr>
          <w:rFonts w:eastAsia="等线"/>
          <w:szCs w:val="20"/>
          <w:lang w:eastAsia="zh-CN"/>
        </w:rPr>
        <w:t>unchanged PCI,</w:t>
      </w:r>
      <w:r>
        <w:rPr>
          <w:rFonts w:hint="eastAsia" w:eastAsia="等线"/>
          <w:szCs w:val="20"/>
          <w:lang w:eastAsia="zh-CN"/>
        </w:rPr>
        <w:t xml:space="preserve"> and RAN2</w:t>
      </w:r>
      <w:r>
        <w:rPr>
          <w:rFonts w:eastAsia="等线"/>
          <w:szCs w:val="20"/>
          <w:lang w:eastAsia="zh-CN"/>
        </w:rPr>
        <w:t>’</w:t>
      </w:r>
      <w:r>
        <w:rPr>
          <w:rFonts w:hint="eastAsia" w:eastAsia="等线"/>
          <w:szCs w:val="20"/>
          <w:lang w:eastAsia="zh-CN"/>
        </w:rPr>
        <w:t xml:space="preserve">s LS provides the following </w:t>
      </w:r>
      <w:r>
        <w:rPr>
          <w:rFonts w:eastAsia="等线"/>
          <w:szCs w:val="20"/>
          <w:lang w:eastAsia="zh-CN"/>
        </w:rPr>
        <w:t>descriptions</w:t>
      </w:r>
      <w:r>
        <w:rPr>
          <w:rFonts w:hint="eastAsia" w:eastAsia="等线"/>
          <w:szCs w:val="20"/>
          <w:lang w:eastAsia="zh-CN"/>
        </w:rPr>
        <w:t xml:space="preserve"> on the </w:t>
      </w:r>
      <w:r>
        <w:rPr>
          <w:rFonts w:eastAsia="等线"/>
          <w:szCs w:val="20"/>
          <w:lang w:eastAsia="zh-CN"/>
        </w:rPr>
        <w:t>unchanged PCI scenario</w:t>
      </w:r>
      <w:r>
        <w:rPr>
          <w:rFonts w:hint="eastAsia" w:eastAsia="等线"/>
          <w:szCs w:val="20"/>
          <w:lang w:eastAsia="zh-CN"/>
        </w:rPr>
        <w:t xml:space="preserve"> and asks for RAN1</w:t>
      </w:r>
      <w:r>
        <w:rPr>
          <w:rFonts w:eastAsia="等线"/>
          <w:szCs w:val="20"/>
          <w:lang w:eastAsia="zh-CN"/>
        </w:rPr>
        <w:t>’</w:t>
      </w:r>
      <w:r>
        <w:rPr>
          <w:rFonts w:hint="eastAsia" w:eastAsia="等线"/>
          <w:szCs w:val="20"/>
          <w:lang w:eastAsia="zh-CN"/>
        </w:rPr>
        <w:t>s responses.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spacing w:after="120"/>
              <w:rPr>
                <w:rFonts w:ascii="Arial" w:hAnsi="Arial" w:eastAsia="宋体" w:cs="Arial"/>
                <w:b/>
                <w:szCs w:val="20"/>
                <w:lang w:val="en-GB"/>
              </w:rPr>
            </w:pPr>
            <w:bookmarkStart w:id="11" w:name="_Hlk130998004"/>
            <w:r>
              <w:rPr>
                <w:rFonts w:ascii="Arial" w:hAnsi="Arial" w:eastAsia="宋体" w:cs="Arial"/>
                <w:b/>
                <w:szCs w:val="20"/>
                <w:lang w:val="en-GB"/>
              </w:rPr>
              <w:t>1. Overall Description:</w:t>
            </w:r>
          </w:p>
          <w:p>
            <w:pPr>
              <w:spacing w:before="240" w:beforeLines="100"/>
              <w:jc w:val="both"/>
              <w:rPr>
                <w:rFonts w:eastAsia="宋体"/>
                <w:szCs w:val="20"/>
                <w:lang w:val="en-GB" w:eastAsia="zh-CN"/>
              </w:rPr>
            </w:pPr>
            <w:r>
              <w:rPr>
                <w:rFonts w:eastAsia="宋体"/>
                <w:szCs w:val="20"/>
                <w:lang w:val="en-GB" w:eastAsia="zh-CN"/>
              </w:rPr>
              <w:t>For mobility enhancement in Rel-18 NR NTN, in quasi-earth fixed cell case,</w:t>
            </w:r>
            <w:r>
              <w:rPr>
                <w:rFonts w:hint="eastAsia" w:eastAsia="宋体"/>
                <w:szCs w:val="20"/>
                <w:lang w:val="en-GB" w:eastAsia="zh-CN"/>
              </w:rPr>
              <w:t xml:space="preserve"> </w:t>
            </w:r>
            <w:r>
              <w:rPr>
                <w:rFonts w:eastAsia="宋体"/>
                <w:szCs w:val="20"/>
                <w:lang w:val="en-GB" w:eastAsia="zh-CN"/>
              </w:rPr>
              <w:t xml:space="preserve">RAN2 has discussed unchanged PCI </w:t>
            </w:r>
            <w:r>
              <w:rPr>
                <w:rFonts w:hint="eastAsia" w:eastAsia="宋体"/>
                <w:szCs w:val="20"/>
                <w:lang w:val="en-GB" w:eastAsia="zh-CN"/>
              </w:rPr>
              <w:t>scenario, including</w:t>
            </w:r>
            <w:r>
              <w:rPr>
                <w:rFonts w:eastAsia="宋体"/>
                <w:szCs w:val="20"/>
                <w:lang w:val="en-GB" w:eastAsia="zh-CN"/>
              </w:rPr>
              <w:t xml:space="preserve"> </w:t>
            </w:r>
            <w:r>
              <w:rPr>
                <w:rFonts w:hint="eastAsia" w:eastAsia="宋体"/>
                <w:szCs w:val="20"/>
                <w:lang w:val="en-GB" w:eastAsia="zh-CN"/>
              </w:rPr>
              <w:t xml:space="preserve">hard </w:t>
            </w:r>
            <w:r>
              <w:rPr>
                <w:rFonts w:eastAsia="宋体"/>
                <w:szCs w:val="20"/>
                <w:lang w:val="en-GB" w:eastAsia="zh-CN"/>
              </w:rPr>
              <w:t>satellite switch</w:t>
            </w:r>
            <w:r>
              <w:rPr>
                <w:rFonts w:hint="eastAsia" w:eastAsia="宋体"/>
                <w:szCs w:val="20"/>
                <w:lang w:val="en-GB" w:eastAsia="zh-CN"/>
              </w:rPr>
              <w:t xml:space="preserve">ing </w:t>
            </w:r>
            <w:r>
              <w:rPr>
                <w:rFonts w:eastAsia="宋体"/>
                <w:szCs w:val="20"/>
                <w:lang w:val="en-GB" w:eastAsia="zh-CN"/>
              </w:rPr>
              <w:t>(non-overlapping satellite coverage at switching time) and soft satellite switch</w:t>
            </w:r>
            <w:r>
              <w:rPr>
                <w:rFonts w:hint="eastAsia" w:eastAsia="宋体"/>
                <w:szCs w:val="20"/>
                <w:lang w:val="en-GB" w:eastAsia="zh-CN"/>
              </w:rPr>
              <w:t xml:space="preserve">ing </w:t>
            </w:r>
            <w:r>
              <w:rPr>
                <w:rFonts w:eastAsia="宋体"/>
                <w:szCs w:val="20"/>
                <w:lang w:val="en-GB" w:eastAsia="zh-CN"/>
              </w:rPr>
              <w:t>(overlapping satellite coverage at switching time).</w:t>
            </w:r>
          </w:p>
          <w:p>
            <w:pPr>
              <w:spacing w:before="240" w:beforeLines="100"/>
              <w:jc w:val="both"/>
              <w:rPr>
                <w:rFonts w:eastAsia="宋体"/>
                <w:szCs w:val="20"/>
                <w:lang w:val="en-GB" w:eastAsia="zh-CN"/>
              </w:rPr>
            </w:pPr>
            <w:r>
              <w:rPr>
                <w:rFonts w:hint="eastAsia" w:eastAsia="宋体"/>
                <w:szCs w:val="20"/>
                <w:lang w:val="en-GB" w:eastAsia="zh-CN"/>
              </w:rPr>
              <w:t>RAN2 has agreed that, i</w:t>
            </w:r>
            <w:r>
              <w:rPr>
                <w:rFonts w:eastAsia="宋体"/>
                <w:szCs w:val="20"/>
                <w:lang w:val="en-GB" w:eastAsia="zh-CN"/>
              </w:rPr>
              <w:t>n quasi-earth fixed cell case, for hard satellite switch in the same SSB frequency and same gNB (no key change), satellite switching without PCI changing (not requiring L3 mobility) is supported, unless major technical issues are identified by RAN1</w:t>
            </w:r>
            <w:r>
              <w:rPr>
                <w:rFonts w:hint="eastAsia" w:eastAsia="宋体"/>
                <w:szCs w:val="20"/>
                <w:lang w:val="en-GB" w:eastAsia="zh-CN"/>
              </w:rPr>
              <w:t xml:space="preserve">. </w:t>
            </w:r>
            <w:r>
              <w:rPr>
                <w:rFonts w:eastAsia="宋体"/>
                <w:szCs w:val="20"/>
                <w:lang w:val="en-GB" w:eastAsia="zh-CN"/>
              </w:rPr>
              <w:t>RAN2 understands</w:t>
            </w:r>
            <w:r>
              <w:rPr>
                <w:rFonts w:hint="eastAsia" w:eastAsia="宋体"/>
                <w:szCs w:val="20"/>
                <w:lang w:eastAsia="zh-CN"/>
              </w:rPr>
              <w:t xml:space="preserve"> that the standard impact includes</w:t>
            </w:r>
            <w:r>
              <w:rPr>
                <w:rFonts w:eastAsia="宋体"/>
                <w:szCs w:val="20"/>
                <w:lang w:eastAsia="zh-CN"/>
              </w:rPr>
              <w:t xml:space="preserve"> </w:t>
            </w:r>
            <w:r>
              <w:rPr>
                <w:rFonts w:hint="eastAsia" w:eastAsia="宋体"/>
                <w:szCs w:val="20"/>
                <w:lang w:eastAsia="zh-CN"/>
              </w:rPr>
              <w:t>th</w:t>
            </w:r>
            <w:r>
              <w:rPr>
                <w:rFonts w:eastAsia="宋体"/>
                <w:szCs w:val="20"/>
                <w:lang w:eastAsia="zh-CN"/>
              </w:rPr>
              <w:t>at</w:t>
            </w:r>
            <w:r>
              <w:rPr>
                <w:rFonts w:eastAsia="宋体"/>
                <w:szCs w:val="20"/>
                <w:lang w:val="en-GB" w:eastAsia="zh-CN"/>
              </w:rPr>
              <w:t xml:space="preserve"> the UE </w:t>
            </w:r>
            <w:r>
              <w:rPr>
                <w:rFonts w:eastAsia="宋体"/>
                <w:szCs w:val="20"/>
                <w:lang w:eastAsia="zh-CN"/>
              </w:rPr>
              <w:t>may</w:t>
            </w:r>
            <w:r>
              <w:rPr>
                <w:rFonts w:hint="eastAsia" w:eastAsia="宋体"/>
                <w:szCs w:val="20"/>
                <w:lang w:eastAsia="zh-CN"/>
              </w:rPr>
              <w:t xml:space="preserve"> be notified</w:t>
            </w:r>
            <w:r>
              <w:rPr>
                <w:rFonts w:eastAsia="宋体"/>
                <w:szCs w:val="20"/>
                <w:lang w:val="en-GB" w:eastAsia="zh-CN"/>
              </w:rPr>
              <w:t xml:space="preserve"> to re-acquire DL/UL synchronization </w:t>
            </w:r>
            <w:r>
              <w:rPr>
                <w:rFonts w:hint="eastAsia" w:eastAsia="宋体"/>
                <w:szCs w:val="20"/>
                <w:lang w:eastAsia="zh-CN"/>
              </w:rPr>
              <w:t xml:space="preserve">with the serving cell </w:t>
            </w:r>
            <w:r>
              <w:rPr>
                <w:rFonts w:eastAsia="宋体"/>
                <w:szCs w:val="20"/>
                <w:lang w:val="en-GB" w:eastAsia="zh-CN"/>
              </w:rPr>
              <w:t xml:space="preserve">after the </w:t>
            </w:r>
            <w:r>
              <w:rPr>
                <w:rFonts w:hint="eastAsia" w:eastAsia="宋体"/>
                <w:szCs w:val="20"/>
                <w:lang w:eastAsia="zh-CN"/>
              </w:rPr>
              <w:t xml:space="preserve">satellite </w:t>
            </w:r>
            <w:r>
              <w:rPr>
                <w:rFonts w:eastAsia="宋体"/>
                <w:szCs w:val="20"/>
                <w:lang w:val="en-GB" w:eastAsia="zh-CN"/>
              </w:rPr>
              <w:t>switch</w:t>
            </w:r>
            <w:r>
              <w:rPr>
                <w:rFonts w:hint="eastAsia" w:eastAsia="宋体"/>
                <w:szCs w:val="20"/>
                <w:lang w:val="en-GB" w:eastAsia="zh-CN"/>
              </w:rPr>
              <w:t>ing</w:t>
            </w:r>
            <w:r>
              <w:rPr>
                <w:rFonts w:eastAsia="宋体"/>
                <w:szCs w:val="20"/>
                <w:lang w:val="en-GB" w:eastAsia="zh-CN"/>
              </w:rPr>
              <w:t xml:space="preserve">. </w:t>
            </w:r>
          </w:p>
          <w:p>
            <w:pPr>
              <w:spacing w:before="240" w:beforeLines="100"/>
              <w:jc w:val="both"/>
              <w:rPr>
                <w:rFonts w:eastAsia="宋体"/>
                <w:szCs w:val="20"/>
                <w:lang w:val="en-GB" w:eastAsia="zh-CN"/>
              </w:rPr>
            </w:pPr>
            <w:r>
              <w:rPr>
                <w:rFonts w:eastAsia="宋体"/>
                <w:szCs w:val="20"/>
                <w:lang w:val="en-GB" w:eastAsia="zh-CN"/>
              </w:rPr>
              <w:t>RAN2</w:t>
            </w:r>
            <w:r>
              <w:rPr>
                <w:rFonts w:hint="eastAsia" w:eastAsia="宋体"/>
                <w:szCs w:val="20"/>
                <w:lang w:val="en-GB" w:eastAsia="zh-CN"/>
              </w:rPr>
              <w:t xml:space="preserve"> understands that</w:t>
            </w:r>
            <w:r>
              <w:rPr>
                <w:rFonts w:eastAsia="宋体"/>
                <w:szCs w:val="20"/>
                <w:lang w:val="en-GB" w:eastAsia="zh-CN"/>
              </w:rPr>
              <w:t xml:space="preserve"> the feasibility of soft satellite switch</w:t>
            </w:r>
            <w:r>
              <w:rPr>
                <w:rFonts w:hint="eastAsia" w:eastAsia="宋体"/>
                <w:szCs w:val="20"/>
                <w:lang w:val="en-GB" w:eastAsia="zh-CN"/>
              </w:rPr>
              <w:t>ing</w:t>
            </w:r>
            <w:r>
              <w:rPr>
                <w:rFonts w:eastAsia="宋体"/>
                <w:szCs w:val="20"/>
                <w:lang w:val="en-GB" w:eastAsia="zh-CN"/>
              </w:rPr>
              <w:t xml:space="preserve"> without PCI change (not requiring L3 mobility)</w:t>
            </w:r>
            <w:r>
              <w:rPr>
                <w:rFonts w:hint="eastAsia" w:eastAsia="宋体"/>
                <w:szCs w:val="20"/>
                <w:lang w:val="en-GB" w:eastAsia="zh-CN"/>
              </w:rPr>
              <w:t xml:space="preserve"> is more relevant to RAN1 aspects, and would like to check its feasibility with RAN1.</w:t>
            </w:r>
          </w:p>
          <w:p>
            <w:pPr>
              <w:jc w:val="both"/>
              <w:rPr>
                <w:rFonts w:eastAsia="宋体"/>
                <w:szCs w:val="20"/>
                <w:lang w:val="en-GB" w:eastAsia="zh-CN"/>
              </w:rPr>
            </w:pPr>
          </w:p>
          <w:p>
            <w:pPr>
              <w:jc w:val="both"/>
              <w:rPr>
                <w:rFonts w:ascii="Arial" w:hAnsi="Arial" w:eastAsia="宋体" w:cs="Arial"/>
                <w:color w:val="000000"/>
                <w:szCs w:val="20"/>
                <w:lang w:val="en-GB" w:eastAsia="ko-KR"/>
              </w:rPr>
            </w:pPr>
          </w:p>
          <w:p>
            <w:pPr>
              <w:spacing w:after="120"/>
              <w:rPr>
                <w:rFonts w:ascii="Arial" w:hAnsi="Arial" w:eastAsia="宋体" w:cs="Arial"/>
                <w:b/>
                <w:szCs w:val="20"/>
                <w:lang w:val="en-GB"/>
              </w:rPr>
            </w:pPr>
            <w:r>
              <w:rPr>
                <w:rFonts w:ascii="Arial" w:hAnsi="Arial" w:eastAsia="宋体" w:cs="Arial"/>
                <w:b/>
                <w:szCs w:val="20"/>
                <w:lang w:val="en-GB"/>
              </w:rPr>
              <w:t>2. Actions:</w:t>
            </w:r>
          </w:p>
          <w:p>
            <w:pPr>
              <w:spacing w:after="120"/>
              <w:ind w:left="1985" w:hanging="1985"/>
              <w:rPr>
                <w:rFonts w:ascii="Arial" w:hAnsi="Arial" w:eastAsia="宋体" w:cs="Arial"/>
                <w:b/>
                <w:szCs w:val="20"/>
                <w:lang w:val="en-GB"/>
              </w:rPr>
            </w:pPr>
            <w:r>
              <w:rPr>
                <w:rFonts w:ascii="Arial" w:hAnsi="Arial" w:eastAsia="宋体" w:cs="Arial"/>
                <w:b/>
                <w:szCs w:val="20"/>
                <w:lang w:val="en-GB"/>
              </w:rPr>
              <w:t>To</w:t>
            </w:r>
            <w:bookmarkStart w:id="12" w:name="_Hlk46227635"/>
            <w:r>
              <w:rPr>
                <w:rFonts w:ascii="Arial" w:hAnsi="Arial" w:eastAsia="宋体" w:cs="Arial"/>
                <w:b/>
                <w:szCs w:val="20"/>
                <w:lang w:val="en-GB"/>
              </w:rPr>
              <w:t xml:space="preserve"> </w:t>
            </w:r>
            <w:bookmarkEnd w:id="12"/>
            <w:r>
              <w:rPr>
                <w:rFonts w:ascii="Arial" w:hAnsi="Arial" w:eastAsia="宋体" w:cs="Arial"/>
                <w:b/>
                <w:szCs w:val="20"/>
                <w:lang w:val="en-GB"/>
              </w:rPr>
              <w:t>RAN1</w:t>
            </w:r>
          </w:p>
          <w:p>
            <w:pPr>
              <w:rPr>
                <w:rFonts w:eastAsia="宋体"/>
                <w:b/>
                <w:color w:val="000000"/>
                <w:szCs w:val="20"/>
                <w:lang w:val="en-GB" w:eastAsia="zh-CN"/>
              </w:rPr>
            </w:pPr>
            <w:r>
              <w:rPr>
                <w:rFonts w:ascii="Arial" w:hAnsi="Arial" w:eastAsia="宋体" w:cs="Arial"/>
                <w:b/>
                <w:szCs w:val="20"/>
                <w:lang w:val="en-GB"/>
              </w:rPr>
              <w:t>ACTION:</w:t>
            </w:r>
            <w:r>
              <w:rPr>
                <w:rFonts w:hint="eastAsia" w:ascii="Arial" w:hAnsi="Arial" w:eastAsia="宋体" w:cs="Arial"/>
                <w:b/>
                <w:szCs w:val="20"/>
                <w:lang w:val="en-GB" w:eastAsia="zh-CN"/>
              </w:rPr>
              <w:t xml:space="preserve"> </w:t>
            </w:r>
            <w:r>
              <w:rPr>
                <w:rFonts w:eastAsia="宋体"/>
                <w:color w:val="000000"/>
                <w:szCs w:val="20"/>
                <w:lang w:val="en-GB"/>
              </w:rPr>
              <w:t xml:space="preserve">RAN2 kindly requests RAN1 to </w:t>
            </w:r>
            <w:r>
              <w:rPr>
                <w:rFonts w:hint="eastAsia" w:eastAsia="宋体"/>
                <w:color w:val="000000"/>
                <w:szCs w:val="20"/>
                <w:lang w:val="en-GB" w:eastAsia="zh-CN"/>
              </w:rPr>
              <w:t>take into account the above agreement on hard satellite switching without PCI change</w:t>
            </w:r>
            <w:r>
              <w:rPr>
                <w:rFonts w:eastAsia="宋体"/>
                <w:color w:val="000000"/>
                <w:szCs w:val="20"/>
                <w:lang w:val="en-GB" w:eastAsia="zh-CN"/>
              </w:rPr>
              <w:t xml:space="preserve"> and provide fee</w:t>
            </w:r>
            <w:r>
              <w:rPr>
                <w:rFonts w:eastAsia="宋体"/>
                <w:color w:val="000000"/>
                <w:szCs w:val="20"/>
                <w:lang w:val="en-GB"/>
              </w:rPr>
              <w:t>dback if RAN1 identifies any major technical issues</w:t>
            </w:r>
            <w:r>
              <w:rPr>
                <w:rFonts w:hint="eastAsia" w:eastAsia="宋体"/>
                <w:color w:val="000000"/>
                <w:szCs w:val="20"/>
                <w:lang w:val="en-GB"/>
              </w:rPr>
              <w:t>, and</w:t>
            </w:r>
            <w:r>
              <w:rPr>
                <w:rFonts w:hint="eastAsia" w:eastAsia="宋体"/>
                <w:color w:val="000000"/>
                <w:szCs w:val="20"/>
                <w:lang w:val="en-GB" w:eastAsia="zh-CN"/>
              </w:rPr>
              <w:t xml:space="preserve"> </w:t>
            </w:r>
            <w:r>
              <w:rPr>
                <w:rFonts w:eastAsia="宋体"/>
                <w:color w:val="000000"/>
                <w:szCs w:val="20"/>
                <w:lang w:val="en-GB" w:eastAsia="zh-CN"/>
              </w:rPr>
              <w:t xml:space="preserve">also </w:t>
            </w:r>
            <w:r>
              <w:rPr>
                <w:rFonts w:hint="eastAsia" w:eastAsia="宋体"/>
                <w:color w:val="000000"/>
                <w:szCs w:val="20"/>
                <w:lang w:val="en-GB" w:eastAsia="zh-CN"/>
              </w:rPr>
              <w:t>provide feedback on the feasibility to support soft satellite switching without PCI change</w:t>
            </w:r>
            <w:r>
              <w:rPr>
                <w:rFonts w:eastAsia="宋体"/>
                <w:color w:val="000000"/>
                <w:szCs w:val="20"/>
                <w:lang w:val="en-GB"/>
              </w:rPr>
              <w:t>.</w:t>
            </w:r>
          </w:p>
          <w:p>
            <w:pPr>
              <w:rPr>
                <w:rFonts w:ascii="Arial" w:hAnsi="Arial" w:eastAsia="宋体" w:cs="Arial"/>
                <w:color w:val="000000"/>
                <w:szCs w:val="20"/>
                <w:lang w:val="en-GB"/>
              </w:rPr>
            </w:pPr>
          </w:p>
          <w:p>
            <w:pPr>
              <w:spacing w:after="120"/>
              <w:rPr>
                <w:rFonts w:ascii="Arial" w:hAnsi="Arial" w:eastAsia="宋体" w:cs="Arial"/>
                <w:b/>
                <w:szCs w:val="20"/>
                <w:lang w:val="en-GB"/>
              </w:rPr>
            </w:pPr>
            <w:r>
              <w:rPr>
                <w:rFonts w:ascii="Arial" w:hAnsi="Arial" w:eastAsia="宋体" w:cs="Arial"/>
                <w:b/>
                <w:szCs w:val="20"/>
                <w:lang w:val="en-GB"/>
              </w:rPr>
              <w:t>3. Date of Next RAN2 Meetings:</w:t>
            </w:r>
          </w:p>
          <w:p>
            <w:pPr>
              <w:tabs>
                <w:tab w:val="left" w:pos="5103"/>
              </w:tabs>
              <w:spacing w:after="120"/>
              <w:ind w:left="2268" w:hanging="2268"/>
              <w:rPr>
                <w:rFonts w:eastAsia="宋体"/>
                <w:bCs/>
                <w:szCs w:val="20"/>
                <w:lang w:val="sv-SE"/>
              </w:rPr>
            </w:pPr>
            <w:r>
              <w:rPr>
                <w:rFonts w:eastAsia="宋体"/>
                <w:bCs/>
                <w:szCs w:val="20"/>
                <w:lang w:val="sv-SE"/>
              </w:rPr>
              <w:t>TSG-RAN WG2#12</w:t>
            </w:r>
            <w:r>
              <w:rPr>
                <w:rFonts w:hint="eastAsia" w:eastAsia="宋体"/>
                <w:bCs/>
                <w:szCs w:val="20"/>
                <w:lang w:val="sv-SE" w:eastAsia="zh-CN"/>
              </w:rPr>
              <w:t>2</w:t>
            </w:r>
            <w:r>
              <w:rPr>
                <w:rFonts w:eastAsia="宋体"/>
                <w:bCs/>
                <w:szCs w:val="20"/>
                <w:lang w:val="sv-SE"/>
              </w:rPr>
              <w:t xml:space="preserve">                      202</w:t>
            </w:r>
            <w:r>
              <w:rPr>
                <w:rFonts w:hint="eastAsia" w:eastAsia="宋体"/>
                <w:bCs/>
                <w:szCs w:val="20"/>
                <w:lang w:val="sv-SE" w:eastAsia="zh-CN"/>
              </w:rPr>
              <w:t>3</w:t>
            </w:r>
            <w:r>
              <w:rPr>
                <w:rFonts w:eastAsia="宋体"/>
                <w:bCs/>
                <w:szCs w:val="20"/>
                <w:lang w:val="sv-SE"/>
              </w:rPr>
              <w:t>-</w:t>
            </w:r>
            <w:r>
              <w:rPr>
                <w:rFonts w:hint="eastAsia" w:eastAsia="宋体"/>
                <w:bCs/>
                <w:szCs w:val="20"/>
                <w:lang w:val="sv-SE" w:eastAsia="zh-CN"/>
              </w:rPr>
              <w:t>05</w:t>
            </w:r>
            <w:r>
              <w:rPr>
                <w:rFonts w:eastAsia="宋体"/>
                <w:bCs/>
                <w:szCs w:val="20"/>
                <w:lang w:val="sv-SE"/>
              </w:rPr>
              <w:t>-</w:t>
            </w:r>
            <w:r>
              <w:rPr>
                <w:rFonts w:hint="eastAsia" w:eastAsia="宋体"/>
                <w:bCs/>
                <w:szCs w:val="20"/>
                <w:lang w:val="sv-SE" w:eastAsia="zh-CN"/>
              </w:rPr>
              <w:t>22</w:t>
            </w:r>
            <w:r>
              <w:rPr>
                <w:rFonts w:eastAsia="宋体"/>
                <w:bCs/>
                <w:szCs w:val="20"/>
                <w:lang w:val="sv-SE"/>
              </w:rPr>
              <w:t xml:space="preserve"> </w:t>
            </w:r>
            <w:r>
              <w:rPr>
                <w:rFonts w:eastAsia="宋体"/>
                <w:bCs/>
                <w:szCs w:val="20"/>
                <w:lang w:val="sv-SE" w:eastAsia="zh-CN"/>
              </w:rPr>
              <w:t>to 202</w:t>
            </w:r>
            <w:r>
              <w:rPr>
                <w:rFonts w:hint="eastAsia" w:eastAsia="宋体"/>
                <w:bCs/>
                <w:szCs w:val="20"/>
                <w:lang w:val="sv-SE" w:eastAsia="zh-CN"/>
              </w:rPr>
              <w:t>3</w:t>
            </w:r>
            <w:r>
              <w:rPr>
                <w:rFonts w:eastAsia="宋体"/>
                <w:bCs/>
                <w:szCs w:val="20"/>
                <w:lang w:val="sv-SE" w:eastAsia="zh-CN"/>
              </w:rPr>
              <w:t>-</w:t>
            </w:r>
            <w:r>
              <w:rPr>
                <w:rFonts w:hint="eastAsia" w:eastAsia="宋体"/>
                <w:bCs/>
                <w:szCs w:val="20"/>
                <w:lang w:val="sv-SE" w:eastAsia="zh-CN"/>
              </w:rPr>
              <w:t>05</w:t>
            </w:r>
            <w:r>
              <w:rPr>
                <w:rFonts w:eastAsia="宋体"/>
                <w:bCs/>
                <w:szCs w:val="20"/>
                <w:lang w:val="sv-SE" w:eastAsia="zh-CN"/>
              </w:rPr>
              <w:t>-</w:t>
            </w:r>
            <w:r>
              <w:rPr>
                <w:rFonts w:hint="eastAsia" w:eastAsia="宋体"/>
                <w:bCs/>
                <w:szCs w:val="20"/>
                <w:lang w:val="sv-SE" w:eastAsia="zh-CN"/>
              </w:rPr>
              <w:t>26</w:t>
            </w:r>
            <w:r>
              <w:rPr>
                <w:rFonts w:eastAsia="宋体"/>
                <w:bCs/>
                <w:szCs w:val="20"/>
                <w:lang w:val="sv-SE" w:eastAsia="zh-CN"/>
              </w:rPr>
              <w:tab/>
            </w:r>
            <w:r>
              <w:rPr>
                <w:rFonts w:eastAsia="宋体"/>
                <w:bCs/>
                <w:szCs w:val="20"/>
                <w:lang w:val="sv-SE" w:eastAsia="zh-CN"/>
              </w:rPr>
              <w:tab/>
            </w:r>
            <w:r>
              <w:rPr>
                <w:rFonts w:eastAsia="宋体"/>
                <w:bCs/>
                <w:szCs w:val="20"/>
                <w:lang w:val="sv-SE" w:eastAsia="zh-CN"/>
              </w:rPr>
              <w:t>Incheon, KR</w:t>
            </w:r>
            <w:r>
              <w:rPr>
                <w:rFonts w:eastAsia="宋体"/>
                <w:bCs/>
                <w:szCs w:val="20"/>
                <w:lang w:val="sv-SE"/>
              </w:rPr>
              <w:t xml:space="preserve"> </w:t>
            </w:r>
          </w:p>
          <w:p>
            <w:pPr>
              <w:tabs>
                <w:tab w:val="left" w:pos="5103"/>
              </w:tabs>
              <w:spacing w:after="120"/>
              <w:ind w:left="2268" w:hanging="2268"/>
              <w:rPr>
                <w:rFonts w:eastAsia="宋体"/>
                <w:bCs/>
                <w:szCs w:val="20"/>
                <w:lang w:val="sv-SE"/>
              </w:rPr>
            </w:pPr>
            <w:r>
              <w:rPr>
                <w:rFonts w:eastAsia="宋体"/>
                <w:bCs/>
                <w:szCs w:val="20"/>
                <w:lang w:val="sv-SE"/>
              </w:rPr>
              <w:t>TSG-RAN WG2#12</w:t>
            </w:r>
            <w:r>
              <w:rPr>
                <w:rFonts w:hint="eastAsia" w:eastAsia="宋体"/>
                <w:bCs/>
                <w:szCs w:val="20"/>
                <w:lang w:val="sv-SE" w:eastAsia="zh-CN"/>
              </w:rPr>
              <w:t>3</w:t>
            </w:r>
            <w:r>
              <w:rPr>
                <w:rFonts w:eastAsia="宋体"/>
                <w:bCs/>
                <w:szCs w:val="20"/>
                <w:lang w:val="sv-SE"/>
              </w:rPr>
              <w:t xml:space="preserve">                      2023-0</w:t>
            </w:r>
            <w:r>
              <w:rPr>
                <w:rFonts w:hint="eastAsia" w:eastAsia="宋体"/>
                <w:bCs/>
                <w:szCs w:val="20"/>
                <w:lang w:val="sv-SE" w:eastAsia="zh-CN"/>
              </w:rPr>
              <w:t>8</w:t>
            </w:r>
            <w:r>
              <w:rPr>
                <w:rFonts w:eastAsia="宋体"/>
                <w:bCs/>
                <w:szCs w:val="20"/>
                <w:lang w:val="sv-SE"/>
              </w:rPr>
              <w:t>-2</w:t>
            </w:r>
            <w:r>
              <w:rPr>
                <w:rFonts w:hint="eastAsia" w:eastAsia="宋体"/>
                <w:bCs/>
                <w:szCs w:val="20"/>
                <w:lang w:val="sv-SE" w:eastAsia="zh-CN"/>
              </w:rPr>
              <w:t xml:space="preserve">1 </w:t>
            </w:r>
            <w:r>
              <w:rPr>
                <w:rFonts w:eastAsia="宋体"/>
                <w:bCs/>
                <w:szCs w:val="20"/>
                <w:lang w:val="sv-SE" w:eastAsia="zh-CN"/>
              </w:rPr>
              <w:t xml:space="preserve">to </w:t>
            </w:r>
            <w:r>
              <w:rPr>
                <w:rFonts w:eastAsia="宋体"/>
                <w:bCs/>
                <w:szCs w:val="20"/>
                <w:lang w:val="sv-SE"/>
              </w:rPr>
              <w:t>2023-0</w:t>
            </w:r>
            <w:r>
              <w:rPr>
                <w:rFonts w:hint="eastAsia" w:eastAsia="宋体"/>
                <w:bCs/>
                <w:szCs w:val="20"/>
                <w:lang w:val="sv-SE" w:eastAsia="zh-CN"/>
              </w:rPr>
              <w:t>8</w:t>
            </w:r>
            <w:r>
              <w:rPr>
                <w:rFonts w:eastAsia="宋体"/>
                <w:bCs/>
                <w:szCs w:val="20"/>
                <w:lang w:val="sv-SE"/>
              </w:rPr>
              <w:t>-</w:t>
            </w:r>
            <w:r>
              <w:rPr>
                <w:rFonts w:hint="eastAsia" w:eastAsia="宋体"/>
                <w:bCs/>
                <w:szCs w:val="20"/>
                <w:lang w:val="sv-SE" w:eastAsia="zh-CN"/>
              </w:rPr>
              <w:t>25</w:t>
            </w:r>
            <w:r>
              <w:rPr>
                <w:rFonts w:eastAsia="宋体"/>
                <w:bCs/>
                <w:szCs w:val="20"/>
                <w:lang w:val="sv-SE"/>
              </w:rPr>
              <w:tab/>
            </w:r>
            <w:r>
              <w:rPr>
                <w:rFonts w:eastAsia="宋体"/>
                <w:bCs/>
                <w:szCs w:val="20"/>
                <w:lang w:val="sv-SE"/>
              </w:rPr>
              <w:tab/>
            </w:r>
            <w:r>
              <w:rPr>
                <w:rFonts w:eastAsia="宋体"/>
                <w:bCs/>
                <w:szCs w:val="20"/>
                <w:lang w:val="sv-SE"/>
              </w:rPr>
              <w:t xml:space="preserve">Toulouse, FR </w:t>
            </w:r>
          </w:p>
        </w:tc>
      </w:tr>
      <w:bookmarkEnd w:id="11"/>
    </w:tbl>
    <w:p>
      <w:pPr>
        <w:pStyle w:val="3"/>
        <w:snapToGrid w:val="0"/>
        <w:spacing w:after="0"/>
        <w:rPr>
          <w:rFonts w:eastAsia="等线"/>
          <w:szCs w:val="20"/>
          <w:lang w:eastAsia="zh-CN"/>
        </w:rPr>
      </w:pPr>
    </w:p>
    <w:p>
      <w:pPr>
        <w:overflowPunct w:val="0"/>
        <w:autoSpaceDE w:val="0"/>
        <w:autoSpaceDN w:val="0"/>
        <w:adjustRightInd w:val="0"/>
        <w:spacing w:after="180"/>
        <w:jc w:val="both"/>
        <w:textAlignment w:val="baseline"/>
        <w:rPr>
          <w:b/>
          <w:bCs/>
          <w:szCs w:val="20"/>
          <w:lang w:eastAsia="zh-CN"/>
        </w:rPr>
      </w:pPr>
      <w:r>
        <w:rPr>
          <w:rFonts w:hint="eastAsia"/>
          <w:b/>
          <w:bCs/>
          <w:szCs w:val="20"/>
          <w:lang w:eastAsia="zh-CN"/>
        </w:rPr>
        <w:t>RAN1 response</w:t>
      </w:r>
    </w:p>
    <w:p>
      <w:pPr>
        <w:overflowPunct w:val="0"/>
        <w:autoSpaceDE w:val="0"/>
        <w:autoSpaceDN w:val="0"/>
        <w:adjustRightInd w:val="0"/>
        <w:spacing w:after="180"/>
        <w:jc w:val="both"/>
        <w:textAlignment w:val="baseline"/>
        <w:rPr>
          <w:szCs w:val="20"/>
          <w:lang w:val="en-GB" w:eastAsia="zh-CN"/>
        </w:rPr>
      </w:pPr>
      <w:r>
        <w:rPr>
          <w:szCs w:val="20"/>
          <w:lang w:val="en-GB" w:eastAsia="zh-CN"/>
        </w:rPr>
        <w:t>For hard satellite switching, RAN1 identifies no major technical issues and thinks that it is feasible as long as the UE can determine when to perform DL/UL synchronization to the upcoming satellite.</w:t>
      </w:r>
      <w:r>
        <w:rPr>
          <w:rFonts w:hint="eastAsia"/>
          <w:szCs w:val="20"/>
          <w:lang w:val="en-GB" w:eastAsia="zh-CN"/>
        </w:rPr>
        <w:t xml:space="preserve"> </w:t>
      </w:r>
      <w:r>
        <w:rPr>
          <w:szCs w:val="20"/>
          <w:lang w:val="en-GB" w:eastAsia="zh-CN"/>
        </w:rPr>
        <w:t xml:space="preserve">However, for soft satellite switching, it </w:t>
      </w:r>
      <w:r>
        <w:rPr>
          <w:rFonts w:hint="eastAsia"/>
          <w:szCs w:val="20"/>
          <w:lang w:val="en-US" w:eastAsia="zh-CN"/>
        </w:rPr>
        <w:t>may</w:t>
      </w:r>
      <w:r>
        <w:rPr>
          <w:szCs w:val="20"/>
          <w:lang w:val="en-GB" w:eastAsia="zh-CN"/>
        </w:rPr>
        <w:t xml:space="preserve"> not</w:t>
      </w:r>
      <w:r>
        <w:rPr>
          <w:rFonts w:hint="eastAsia"/>
          <w:szCs w:val="20"/>
          <w:lang w:val="en-US" w:eastAsia="zh-CN"/>
        </w:rPr>
        <w:t xml:space="preserve"> be</w:t>
      </w:r>
      <w:r>
        <w:rPr>
          <w:szCs w:val="20"/>
          <w:lang w:val="en-GB" w:eastAsia="zh-CN"/>
        </w:rPr>
        <w:t xml:space="preserve"> feasible from RAN1 perspective for the mutual interference </w:t>
      </w:r>
      <w:r>
        <w:rPr>
          <w:rFonts w:eastAsiaTheme="minorEastAsia"/>
          <w:lang w:val="en-GB" w:eastAsia="zh-CN"/>
        </w:rPr>
        <w:t>between the receiving signal from</w:t>
      </w:r>
      <w:r>
        <w:rPr>
          <w:rFonts w:hint="eastAsia" w:eastAsiaTheme="minorEastAsia"/>
          <w:lang w:val="en-US" w:eastAsia="zh-CN"/>
        </w:rPr>
        <w:t>/to</w:t>
      </w:r>
      <w:r>
        <w:rPr>
          <w:rFonts w:eastAsiaTheme="minorEastAsia"/>
          <w:lang w:val="en-GB" w:eastAsia="zh-CN"/>
        </w:rPr>
        <w:t xml:space="preserve"> the current and upcoming satellite</w:t>
      </w:r>
      <w:r>
        <w:rPr>
          <w:szCs w:val="20"/>
          <w:lang w:val="en-GB" w:eastAsia="zh-CN"/>
        </w:rPr>
        <w:t xml:space="preserve"> and unclear</w:t>
      </w:r>
      <w:r>
        <w:rPr>
          <w:rFonts w:hint="eastAsia"/>
          <w:szCs w:val="20"/>
          <w:lang w:val="en-US" w:eastAsia="zh-CN"/>
        </w:rPr>
        <w:t>/ambiguous</w:t>
      </w:r>
      <w:r>
        <w:rPr>
          <w:szCs w:val="20"/>
          <w:lang w:val="en-GB" w:eastAsia="zh-CN"/>
        </w:rPr>
        <w:t xml:space="preserve"> ephemeris information/applied TA reasons.</w:t>
      </w:r>
    </w:p>
    <w:p>
      <w:pPr>
        <w:overflowPunct w:val="0"/>
        <w:autoSpaceDE w:val="0"/>
        <w:autoSpaceDN w:val="0"/>
        <w:adjustRightInd w:val="0"/>
        <w:spacing w:after="180"/>
        <w:jc w:val="both"/>
        <w:textAlignment w:val="baseline"/>
        <w:rPr>
          <w:rFonts w:eastAsiaTheme="minorEastAsia"/>
          <w:szCs w:val="20"/>
          <w:lang w:eastAsia="zh-CN"/>
        </w:rPr>
      </w:pPr>
      <w:bookmarkStart w:id="15" w:name="_GoBack"/>
      <w:bookmarkEnd w:id="15"/>
    </w:p>
    <w:p>
      <w:pPr>
        <w:keepNext/>
        <w:keepLines/>
        <w:pBdr>
          <w:top w:val="single" w:color="auto" w:sz="12" w:space="3"/>
        </w:pBdr>
        <w:overflowPunct w:val="0"/>
        <w:autoSpaceDE w:val="0"/>
        <w:autoSpaceDN w:val="0"/>
        <w:adjustRightInd w:val="0"/>
        <w:spacing w:before="240" w:after="180"/>
        <w:textAlignment w:val="baseline"/>
        <w:outlineLvl w:val="0"/>
        <w:rPr>
          <w:sz w:val="36"/>
          <w:szCs w:val="20"/>
          <w:lang w:val="en-GB" w:eastAsia="en-GB"/>
        </w:rPr>
      </w:pPr>
      <w:r>
        <w:rPr>
          <w:sz w:val="36"/>
          <w:szCs w:val="20"/>
          <w:lang w:val="en-GB" w:eastAsia="en-GB"/>
        </w:rPr>
        <w:t>2</w:t>
      </w:r>
      <w:r>
        <w:rPr>
          <w:sz w:val="36"/>
          <w:szCs w:val="20"/>
          <w:lang w:val="en-GB" w:eastAsia="en-GB"/>
        </w:rPr>
        <w:tab/>
      </w:r>
      <w:r>
        <w:rPr>
          <w:sz w:val="36"/>
          <w:szCs w:val="20"/>
          <w:lang w:val="en-GB" w:eastAsia="en-GB"/>
        </w:rPr>
        <w:t>Actions</w:t>
      </w:r>
    </w:p>
    <w:p>
      <w:pPr>
        <w:overflowPunct w:val="0"/>
        <w:autoSpaceDE w:val="0"/>
        <w:autoSpaceDN w:val="0"/>
        <w:adjustRightInd w:val="0"/>
        <w:spacing w:after="120"/>
        <w:ind w:left="1985" w:hanging="1985"/>
        <w:textAlignment w:val="baseline"/>
        <w:rPr>
          <w:b/>
          <w:szCs w:val="20"/>
          <w:lang w:eastAsia="en-GB"/>
        </w:rPr>
      </w:pPr>
      <w:r>
        <w:rPr>
          <w:b/>
          <w:szCs w:val="20"/>
          <w:lang w:val="en-GB" w:eastAsia="en-GB"/>
        </w:rPr>
        <w:t xml:space="preserve">To </w:t>
      </w:r>
      <w:r>
        <w:rPr>
          <w:b/>
          <w:szCs w:val="20"/>
          <w:lang w:val="en-GB" w:eastAsia="zh-CN"/>
        </w:rPr>
        <w:t>RAN</w:t>
      </w:r>
      <w:r>
        <w:rPr>
          <w:b/>
          <w:szCs w:val="20"/>
          <w:lang w:eastAsia="zh-CN"/>
        </w:rPr>
        <w:t>2</w:t>
      </w:r>
    </w:p>
    <w:p>
      <w:pPr>
        <w:overflowPunct w:val="0"/>
        <w:autoSpaceDE w:val="0"/>
        <w:autoSpaceDN w:val="0"/>
        <w:adjustRightInd w:val="0"/>
        <w:spacing w:after="120"/>
        <w:ind w:left="993" w:hanging="993"/>
        <w:textAlignment w:val="baseline"/>
        <w:rPr>
          <w:szCs w:val="20"/>
          <w:lang w:val="en-GB" w:eastAsia="zh-CN"/>
        </w:rPr>
      </w:pPr>
      <w:r>
        <w:rPr>
          <w:b/>
          <w:szCs w:val="20"/>
          <w:lang w:val="en-GB" w:eastAsia="en-GB"/>
        </w:rPr>
        <w:t xml:space="preserve">ACTION: </w:t>
      </w:r>
      <w:r>
        <w:rPr>
          <w:b/>
          <w:color w:val="0070C0"/>
          <w:szCs w:val="20"/>
          <w:lang w:val="en-GB" w:eastAsia="en-GB"/>
        </w:rPr>
        <w:tab/>
      </w:r>
      <w:r>
        <w:rPr>
          <w:szCs w:val="20"/>
          <w:lang w:val="en-GB" w:eastAsia="zh-CN"/>
        </w:rPr>
        <w:t>RAN</w:t>
      </w:r>
      <w:r>
        <w:rPr>
          <w:szCs w:val="20"/>
          <w:lang w:eastAsia="zh-CN"/>
        </w:rPr>
        <w:t>1</w:t>
      </w:r>
      <w:r>
        <w:rPr>
          <w:szCs w:val="20"/>
          <w:lang w:val="en-GB" w:eastAsia="zh-CN"/>
        </w:rPr>
        <w:t xml:space="preserve"> respectfully </w:t>
      </w:r>
      <w:r>
        <w:rPr>
          <w:rFonts w:hint="eastAsia"/>
          <w:szCs w:val="20"/>
          <w:lang w:eastAsia="zh-CN"/>
        </w:rPr>
        <w:t xml:space="preserve">asks </w:t>
      </w:r>
      <w:r>
        <w:rPr>
          <w:szCs w:val="20"/>
          <w:lang w:val="en-GB" w:eastAsia="zh-CN"/>
        </w:rPr>
        <w:t>RAN</w:t>
      </w:r>
      <w:r>
        <w:rPr>
          <w:szCs w:val="20"/>
          <w:lang w:eastAsia="zh-CN"/>
        </w:rPr>
        <w:t>2</w:t>
      </w:r>
      <w:r>
        <w:rPr>
          <w:szCs w:val="20"/>
          <w:lang w:val="en-GB" w:eastAsia="zh-CN"/>
        </w:rPr>
        <w:t xml:space="preserve"> to take the above agreement into consideration in their future work.</w:t>
      </w:r>
    </w:p>
    <w:p>
      <w:pPr>
        <w:overflowPunct w:val="0"/>
        <w:autoSpaceDE w:val="0"/>
        <w:autoSpaceDN w:val="0"/>
        <w:adjustRightInd w:val="0"/>
        <w:spacing w:after="120"/>
        <w:ind w:left="993" w:hanging="993"/>
        <w:textAlignment w:val="baseline"/>
        <w:rPr>
          <w:szCs w:val="20"/>
          <w:lang w:val="en-GB" w:eastAsia="en-GB"/>
        </w:rPr>
      </w:pPr>
    </w:p>
    <w:p>
      <w:pPr>
        <w:keepNext/>
        <w:keepLines/>
        <w:pBdr>
          <w:top w:val="single" w:color="auto" w:sz="12" w:space="3"/>
        </w:pBdr>
        <w:overflowPunct w:val="0"/>
        <w:autoSpaceDE w:val="0"/>
        <w:autoSpaceDN w:val="0"/>
        <w:adjustRightInd w:val="0"/>
        <w:spacing w:before="240" w:after="180"/>
        <w:textAlignment w:val="baseline"/>
        <w:outlineLvl w:val="0"/>
        <w:rPr>
          <w:sz w:val="36"/>
          <w:szCs w:val="36"/>
          <w:lang w:val="en-GB" w:eastAsia="en-GB"/>
        </w:rPr>
      </w:pPr>
      <w:r>
        <w:rPr>
          <w:sz w:val="36"/>
          <w:szCs w:val="36"/>
          <w:lang w:val="en-GB" w:eastAsia="en-GB"/>
        </w:rPr>
        <w:t>3</w:t>
      </w:r>
      <w:r>
        <w:rPr>
          <w:sz w:val="36"/>
          <w:szCs w:val="36"/>
          <w:lang w:val="en-GB" w:eastAsia="en-GB"/>
        </w:rPr>
        <w:tab/>
      </w:r>
      <w:r>
        <w:rPr>
          <w:sz w:val="36"/>
          <w:szCs w:val="36"/>
          <w:lang w:val="en-GB" w:eastAsia="en-GB"/>
        </w:rPr>
        <w:t xml:space="preserve">Date of next </w:t>
      </w:r>
      <w:r>
        <w:rPr>
          <w:bCs/>
          <w:sz w:val="36"/>
          <w:szCs w:val="36"/>
          <w:lang w:val="en-GB" w:eastAsia="en-GB"/>
        </w:rPr>
        <w:t>TSG</w:t>
      </w:r>
      <w:r>
        <w:rPr>
          <w:bCs/>
          <w:sz w:val="36"/>
          <w:szCs w:val="36"/>
          <w:lang w:val="en-GB" w:eastAsia="zh-CN"/>
        </w:rPr>
        <w:t>-RAN</w:t>
      </w:r>
      <w:r>
        <w:rPr>
          <w:bCs/>
          <w:sz w:val="36"/>
          <w:szCs w:val="36"/>
          <w:lang w:val="en-GB" w:eastAsia="en-GB"/>
        </w:rPr>
        <w:t xml:space="preserve"> WG</w:t>
      </w:r>
      <w:r>
        <w:rPr>
          <w:rFonts w:eastAsia="宋体"/>
          <w:bCs/>
          <w:sz w:val="36"/>
          <w:szCs w:val="36"/>
          <w:lang w:eastAsia="zh-CN"/>
        </w:rPr>
        <w:t>1</w:t>
      </w:r>
      <w:r>
        <w:rPr>
          <w:sz w:val="36"/>
          <w:szCs w:val="36"/>
          <w:lang w:val="en-GB" w:eastAsia="en-GB"/>
        </w:rPr>
        <w:t xml:space="preserve"> meeting</w:t>
      </w:r>
    </w:p>
    <w:p>
      <w:pPr>
        <w:overflowPunct w:val="0"/>
        <w:autoSpaceDE w:val="0"/>
        <w:autoSpaceDN w:val="0"/>
        <w:adjustRightInd w:val="0"/>
        <w:spacing w:after="180"/>
        <w:textAlignment w:val="baseline"/>
        <w:rPr>
          <w:rFonts w:eastAsia="宋体"/>
          <w:szCs w:val="20"/>
          <w:lang w:eastAsia="zh-CN"/>
        </w:rPr>
      </w:pPr>
      <w:bookmarkStart w:id="13" w:name="OLE_LINK53"/>
      <w:bookmarkStart w:id="14" w:name="OLE_LINK54"/>
      <w:r>
        <w:rPr>
          <w:szCs w:val="20"/>
          <w:lang w:val="en-GB" w:eastAsia="en-GB"/>
        </w:rPr>
        <w:t>TSG-RAN WG</w:t>
      </w:r>
      <w:r>
        <w:rPr>
          <w:rFonts w:eastAsia="宋体"/>
          <w:szCs w:val="20"/>
          <w:lang w:eastAsia="zh-CN"/>
        </w:rPr>
        <w:t>1</w:t>
      </w:r>
      <w:r>
        <w:rPr>
          <w:szCs w:val="20"/>
          <w:lang w:val="en-GB" w:eastAsia="en-GB"/>
        </w:rPr>
        <w:t xml:space="preserve"> Meeting #</w:t>
      </w:r>
      <w:r>
        <w:rPr>
          <w:szCs w:val="20"/>
          <w:lang w:val="en-GB" w:eastAsia="zh-CN"/>
        </w:rPr>
        <w:t>1</w:t>
      </w:r>
      <w:r>
        <w:rPr>
          <w:szCs w:val="20"/>
          <w:lang w:eastAsia="zh-CN"/>
        </w:rPr>
        <w:t>13</w:t>
      </w:r>
      <w:r>
        <w:rPr>
          <w:szCs w:val="20"/>
          <w:lang w:val="en-GB" w:eastAsia="en-GB"/>
        </w:rPr>
        <w:t xml:space="preserve">        </w:t>
      </w:r>
      <w:r>
        <w:rPr>
          <w:rFonts w:eastAsia="宋体"/>
          <w:szCs w:val="20"/>
          <w:lang w:val="en-GB" w:eastAsia="zh-CN"/>
        </w:rPr>
        <w:t>May</w:t>
      </w:r>
      <w:r>
        <w:rPr>
          <w:rFonts w:hint="eastAsia"/>
          <w:szCs w:val="20"/>
          <w:lang w:eastAsia="zh-CN"/>
        </w:rPr>
        <w:t xml:space="preserve"> 2</w:t>
      </w:r>
      <w:r>
        <w:rPr>
          <w:szCs w:val="20"/>
          <w:lang w:eastAsia="zh-CN"/>
        </w:rPr>
        <w:t>2</w:t>
      </w:r>
      <w:r>
        <w:rPr>
          <w:rFonts w:hint="eastAsia"/>
          <w:szCs w:val="20"/>
          <w:lang w:eastAsia="zh-CN"/>
        </w:rPr>
        <w:t xml:space="preserve"> - </w:t>
      </w:r>
      <w:r>
        <w:rPr>
          <w:szCs w:val="20"/>
          <w:lang w:eastAsia="zh-CN"/>
        </w:rPr>
        <w:t>May</w:t>
      </w:r>
      <w:r>
        <w:rPr>
          <w:rFonts w:hint="eastAsia"/>
          <w:szCs w:val="20"/>
          <w:lang w:eastAsia="zh-CN"/>
        </w:rPr>
        <w:t xml:space="preserve"> </w:t>
      </w:r>
      <w:r>
        <w:rPr>
          <w:szCs w:val="20"/>
          <w:lang w:eastAsia="zh-CN"/>
        </w:rPr>
        <w:t>26, 202</w:t>
      </w:r>
      <w:r>
        <w:rPr>
          <w:rFonts w:hint="eastAsia"/>
          <w:szCs w:val="20"/>
          <w:lang w:eastAsia="zh-CN"/>
        </w:rPr>
        <w:t>3</w:t>
      </w:r>
      <w:r>
        <w:rPr>
          <w:szCs w:val="20"/>
          <w:lang w:eastAsia="zh-CN"/>
        </w:rPr>
        <w:t xml:space="preserve">     </w:t>
      </w:r>
      <w:r>
        <w:rPr>
          <w:szCs w:val="20"/>
          <w:lang w:val="en-GB" w:eastAsia="en-GB"/>
        </w:rPr>
        <w:t xml:space="preserve">   </w:t>
      </w:r>
      <w:r>
        <w:rPr>
          <w:rFonts w:eastAsia="宋体"/>
          <w:bCs/>
          <w:szCs w:val="20"/>
          <w:lang w:val="en-GB" w:eastAsia="zh-CN"/>
        </w:rPr>
        <w:t>Incheon, Korea</w:t>
      </w:r>
    </w:p>
    <w:bookmarkEnd w:id="13"/>
    <w:bookmarkEnd w:id="14"/>
    <w:p>
      <w:pPr>
        <w:overflowPunct w:val="0"/>
        <w:autoSpaceDE w:val="0"/>
        <w:autoSpaceDN w:val="0"/>
        <w:adjustRightInd w:val="0"/>
        <w:spacing w:after="180"/>
        <w:textAlignment w:val="baseline"/>
        <w:rPr>
          <w:szCs w:val="20"/>
          <w:lang w:eastAsia="en-GB"/>
        </w:rPr>
      </w:pPr>
    </w:p>
    <w:p>
      <w:pPr>
        <w:rPr>
          <w:rFonts w:eastAsia="宋体"/>
          <w:lang w:val="en-GB"/>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1"/>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7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8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F1912B1"/>
    <w:multiLevelType w:val="multilevel"/>
    <w:tmpl w:val="5F1912B1"/>
    <w:lvl w:ilvl="0" w:tentative="0">
      <w:start w:val="1"/>
      <w:numFmt w:val="bullet"/>
      <w:pStyle w:val="58"/>
      <w:lvlText w:val=""/>
      <w:lvlJc w:val="left"/>
      <w:pPr>
        <w:ind w:left="720" w:hanging="360"/>
      </w:pPr>
      <w:rPr>
        <w:rFonts w:hint="default" w:ascii="Symbol" w:hAnsi="Symbol"/>
      </w:rPr>
    </w:lvl>
    <w:lvl w:ilvl="1" w:tentative="0">
      <w:start w:val="1"/>
      <w:numFmt w:val="bullet"/>
      <w:pStyle w:val="59"/>
      <w:lvlText w:val="o"/>
      <w:lvlJc w:val="left"/>
      <w:pPr>
        <w:ind w:left="1440" w:hanging="360"/>
      </w:pPr>
      <w:rPr>
        <w:rFonts w:hint="default" w:ascii="Courier New" w:hAnsi="Courier New" w:cs="Courier New"/>
      </w:rPr>
    </w:lvl>
    <w:lvl w:ilvl="2" w:tentative="0">
      <w:start w:val="1"/>
      <w:numFmt w:val="bullet"/>
      <w:pStyle w:val="61"/>
      <w:lvlText w:val=""/>
      <w:lvlJc w:val="left"/>
      <w:pPr>
        <w:ind w:left="2160" w:hanging="360"/>
      </w:pPr>
      <w:rPr>
        <w:rFonts w:hint="default" w:ascii="Wingdings" w:hAnsi="Wingdings"/>
      </w:rPr>
    </w:lvl>
    <w:lvl w:ilvl="3" w:tentative="0">
      <w:start w:val="1"/>
      <w:numFmt w:val="bullet"/>
      <w:pStyle w:val="6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3690C9E"/>
    <w:multiLevelType w:val="singleLevel"/>
    <w:tmpl w:val="63690C9E"/>
    <w:lvl w:ilvl="0" w:tentative="0">
      <w:start w:val="1"/>
      <w:numFmt w:val="bullet"/>
      <w:pStyle w:val="97"/>
      <w:lvlText w:val=""/>
      <w:lvlJc w:val="left"/>
      <w:pPr>
        <w:tabs>
          <w:tab w:val="left" w:pos="360"/>
        </w:tabs>
        <w:ind w:left="360" w:hanging="360"/>
      </w:pPr>
      <w:rPr>
        <w:rFonts w:hint="default" w:ascii="Wingdings" w:hAnsi="Wingdings"/>
      </w:r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6"/>
  </w:num>
  <w:num w:numId="2">
    <w:abstractNumId w:val="0"/>
    <w:lvlOverride w:ilvl="0">
      <w:lvl w:ilvl="0" w:tentative="1">
        <w:start w:val="1"/>
        <w:numFmt w:val="bullet"/>
        <w:pStyle w:val="50"/>
        <w:lvlText w:val=""/>
        <w:legacy w:legacy="1" w:legacySpace="0" w:legacyIndent="360"/>
        <w:lvlJc w:val="left"/>
        <w:pPr>
          <w:ind w:left="360" w:hanging="360"/>
        </w:pPr>
        <w:rPr>
          <w:rFonts w:hint="default" w:ascii="Symbol" w:hAnsi="Symbol"/>
        </w:rPr>
      </w:lvl>
    </w:lvlOverride>
  </w:num>
  <w:num w:numId="3">
    <w:abstractNumId w:val="4"/>
  </w:num>
  <w:num w:numId="4">
    <w:abstractNumId w:val="2"/>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64C2"/>
    <w:rsid w:val="00006655"/>
    <w:rsid w:val="00011B2D"/>
    <w:rsid w:val="00012997"/>
    <w:rsid w:val="00013FB0"/>
    <w:rsid w:val="00015378"/>
    <w:rsid w:val="000159B6"/>
    <w:rsid w:val="00015BAC"/>
    <w:rsid w:val="00016C1F"/>
    <w:rsid w:val="00017F1A"/>
    <w:rsid w:val="00020597"/>
    <w:rsid w:val="00020BFD"/>
    <w:rsid w:val="00020DAE"/>
    <w:rsid w:val="0002224F"/>
    <w:rsid w:val="00023704"/>
    <w:rsid w:val="00023BB9"/>
    <w:rsid w:val="000249A4"/>
    <w:rsid w:val="000251AF"/>
    <w:rsid w:val="00025675"/>
    <w:rsid w:val="00025F10"/>
    <w:rsid w:val="00026E34"/>
    <w:rsid w:val="000270A8"/>
    <w:rsid w:val="0002743B"/>
    <w:rsid w:val="0003036B"/>
    <w:rsid w:val="0003093B"/>
    <w:rsid w:val="00032E98"/>
    <w:rsid w:val="000348BB"/>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D81"/>
    <w:rsid w:val="0009473C"/>
    <w:rsid w:val="000A11A8"/>
    <w:rsid w:val="000A1FAF"/>
    <w:rsid w:val="000A2B2C"/>
    <w:rsid w:val="000A2BEF"/>
    <w:rsid w:val="000A46AA"/>
    <w:rsid w:val="000B0466"/>
    <w:rsid w:val="000B0890"/>
    <w:rsid w:val="000B0DCC"/>
    <w:rsid w:val="000B18AE"/>
    <w:rsid w:val="000B1DF3"/>
    <w:rsid w:val="000B2006"/>
    <w:rsid w:val="000B2BE5"/>
    <w:rsid w:val="000B32DE"/>
    <w:rsid w:val="000B4D63"/>
    <w:rsid w:val="000C0FB6"/>
    <w:rsid w:val="000C1603"/>
    <w:rsid w:val="000C283F"/>
    <w:rsid w:val="000C4326"/>
    <w:rsid w:val="000C584C"/>
    <w:rsid w:val="000C79D9"/>
    <w:rsid w:val="000C7DD3"/>
    <w:rsid w:val="000D0DC3"/>
    <w:rsid w:val="000D1226"/>
    <w:rsid w:val="000D217D"/>
    <w:rsid w:val="000D3D83"/>
    <w:rsid w:val="000D4ED9"/>
    <w:rsid w:val="000E0C43"/>
    <w:rsid w:val="000E1F91"/>
    <w:rsid w:val="000E5850"/>
    <w:rsid w:val="000E67A2"/>
    <w:rsid w:val="000F056C"/>
    <w:rsid w:val="000F12D9"/>
    <w:rsid w:val="000F196A"/>
    <w:rsid w:val="000F287A"/>
    <w:rsid w:val="000F45DC"/>
    <w:rsid w:val="000F4CFC"/>
    <w:rsid w:val="000F4D84"/>
    <w:rsid w:val="000F6DC1"/>
    <w:rsid w:val="000F7254"/>
    <w:rsid w:val="00101CFD"/>
    <w:rsid w:val="0010289E"/>
    <w:rsid w:val="001062DC"/>
    <w:rsid w:val="00106637"/>
    <w:rsid w:val="001069F7"/>
    <w:rsid w:val="001108D7"/>
    <w:rsid w:val="001125BF"/>
    <w:rsid w:val="0011261A"/>
    <w:rsid w:val="0011285D"/>
    <w:rsid w:val="001141D4"/>
    <w:rsid w:val="00114BFB"/>
    <w:rsid w:val="00114C40"/>
    <w:rsid w:val="00114D33"/>
    <w:rsid w:val="00115575"/>
    <w:rsid w:val="00116CC3"/>
    <w:rsid w:val="00116F07"/>
    <w:rsid w:val="00117F57"/>
    <w:rsid w:val="00120A54"/>
    <w:rsid w:val="00122329"/>
    <w:rsid w:val="00122D43"/>
    <w:rsid w:val="0012404F"/>
    <w:rsid w:val="0012430B"/>
    <w:rsid w:val="001267D4"/>
    <w:rsid w:val="0012764B"/>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5C8A"/>
    <w:rsid w:val="00157CD2"/>
    <w:rsid w:val="00160C09"/>
    <w:rsid w:val="0016104C"/>
    <w:rsid w:val="001620FA"/>
    <w:rsid w:val="001620FE"/>
    <w:rsid w:val="0016230E"/>
    <w:rsid w:val="00164B9F"/>
    <w:rsid w:val="001658DC"/>
    <w:rsid w:val="00166F6A"/>
    <w:rsid w:val="0016760C"/>
    <w:rsid w:val="001700DA"/>
    <w:rsid w:val="00170D25"/>
    <w:rsid w:val="0017129A"/>
    <w:rsid w:val="00171BD9"/>
    <w:rsid w:val="00176175"/>
    <w:rsid w:val="00177499"/>
    <w:rsid w:val="00177E3B"/>
    <w:rsid w:val="00180217"/>
    <w:rsid w:val="001804CF"/>
    <w:rsid w:val="00180715"/>
    <w:rsid w:val="00181798"/>
    <w:rsid w:val="00181E12"/>
    <w:rsid w:val="00182C39"/>
    <w:rsid w:val="001839BC"/>
    <w:rsid w:val="00184237"/>
    <w:rsid w:val="00184E8E"/>
    <w:rsid w:val="00185CCB"/>
    <w:rsid w:val="0018612B"/>
    <w:rsid w:val="00190520"/>
    <w:rsid w:val="00190A37"/>
    <w:rsid w:val="00191505"/>
    <w:rsid w:val="00193370"/>
    <w:rsid w:val="00193BCA"/>
    <w:rsid w:val="00193CD9"/>
    <w:rsid w:val="00194673"/>
    <w:rsid w:val="00195844"/>
    <w:rsid w:val="001958D2"/>
    <w:rsid w:val="00195E91"/>
    <w:rsid w:val="00196536"/>
    <w:rsid w:val="001A21C8"/>
    <w:rsid w:val="001A524D"/>
    <w:rsid w:val="001A56FC"/>
    <w:rsid w:val="001A65C8"/>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207B"/>
    <w:rsid w:val="001E5A56"/>
    <w:rsid w:val="001E792A"/>
    <w:rsid w:val="001F1EEA"/>
    <w:rsid w:val="001F22E9"/>
    <w:rsid w:val="001F3F1A"/>
    <w:rsid w:val="001F4A09"/>
    <w:rsid w:val="0020073A"/>
    <w:rsid w:val="00201EFA"/>
    <w:rsid w:val="00202388"/>
    <w:rsid w:val="00203A86"/>
    <w:rsid w:val="00203DF5"/>
    <w:rsid w:val="002050D7"/>
    <w:rsid w:val="00205B20"/>
    <w:rsid w:val="0020659C"/>
    <w:rsid w:val="00210A41"/>
    <w:rsid w:val="00210A7F"/>
    <w:rsid w:val="002117A5"/>
    <w:rsid w:val="00220846"/>
    <w:rsid w:val="00220A76"/>
    <w:rsid w:val="00221316"/>
    <w:rsid w:val="00223CEA"/>
    <w:rsid w:val="00223FBD"/>
    <w:rsid w:val="002248B2"/>
    <w:rsid w:val="00225B6B"/>
    <w:rsid w:val="00226307"/>
    <w:rsid w:val="00227974"/>
    <w:rsid w:val="0023041D"/>
    <w:rsid w:val="002309B4"/>
    <w:rsid w:val="0023111D"/>
    <w:rsid w:val="002314B7"/>
    <w:rsid w:val="00231AFD"/>
    <w:rsid w:val="00233A7D"/>
    <w:rsid w:val="00234352"/>
    <w:rsid w:val="00241E92"/>
    <w:rsid w:val="00242BD7"/>
    <w:rsid w:val="00242E70"/>
    <w:rsid w:val="0024370E"/>
    <w:rsid w:val="00243A6E"/>
    <w:rsid w:val="002452A0"/>
    <w:rsid w:val="00245C4C"/>
    <w:rsid w:val="00246534"/>
    <w:rsid w:val="00250E92"/>
    <w:rsid w:val="00251DE1"/>
    <w:rsid w:val="00252ABB"/>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77DF2"/>
    <w:rsid w:val="00283CD3"/>
    <w:rsid w:val="00285154"/>
    <w:rsid w:val="002862CE"/>
    <w:rsid w:val="002876E3"/>
    <w:rsid w:val="00287AF9"/>
    <w:rsid w:val="00287C7F"/>
    <w:rsid w:val="00291469"/>
    <w:rsid w:val="00294608"/>
    <w:rsid w:val="00294851"/>
    <w:rsid w:val="00295720"/>
    <w:rsid w:val="00297252"/>
    <w:rsid w:val="002A1382"/>
    <w:rsid w:val="002A2429"/>
    <w:rsid w:val="002A2E47"/>
    <w:rsid w:val="002A51CB"/>
    <w:rsid w:val="002A55C7"/>
    <w:rsid w:val="002A56A5"/>
    <w:rsid w:val="002A5BD2"/>
    <w:rsid w:val="002A5EDA"/>
    <w:rsid w:val="002A7E34"/>
    <w:rsid w:val="002B13E3"/>
    <w:rsid w:val="002B1571"/>
    <w:rsid w:val="002B1B9C"/>
    <w:rsid w:val="002B1E3C"/>
    <w:rsid w:val="002B29E9"/>
    <w:rsid w:val="002B3CB5"/>
    <w:rsid w:val="002B3D3A"/>
    <w:rsid w:val="002B4D4A"/>
    <w:rsid w:val="002B4E57"/>
    <w:rsid w:val="002B6DAF"/>
    <w:rsid w:val="002B719D"/>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4964"/>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218A0"/>
    <w:rsid w:val="00322A9D"/>
    <w:rsid w:val="00324767"/>
    <w:rsid w:val="003247A3"/>
    <w:rsid w:val="003250F6"/>
    <w:rsid w:val="003257FE"/>
    <w:rsid w:val="003268EB"/>
    <w:rsid w:val="0032732A"/>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6BC1"/>
    <w:rsid w:val="0036720E"/>
    <w:rsid w:val="00367925"/>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549A"/>
    <w:rsid w:val="0039627D"/>
    <w:rsid w:val="0039689B"/>
    <w:rsid w:val="00397814"/>
    <w:rsid w:val="003A11FC"/>
    <w:rsid w:val="003A165D"/>
    <w:rsid w:val="003A22D0"/>
    <w:rsid w:val="003A2742"/>
    <w:rsid w:val="003A34C8"/>
    <w:rsid w:val="003B0262"/>
    <w:rsid w:val="003B067A"/>
    <w:rsid w:val="003B09F2"/>
    <w:rsid w:val="003B6473"/>
    <w:rsid w:val="003B7B1F"/>
    <w:rsid w:val="003C156C"/>
    <w:rsid w:val="003C194F"/>
    <w:rsid w:val="003C1FAD"/>
    <w:rsid w:val="003C26C4"/>
    <w:rsid w:val="003C4051"/>
    <w:rsid w:val="003C48E9"/>
    <w:rsid w:val="003C5458"/>
    <w:rsid w:val="003C6C18"/>
    <w:rsid w:val="003C6ED0"/>
    <w:rsid w:val="003C6F9D"/>
    <w:rsid w:val="003D0FEE"/>
    <w:rsid w:val="003D1711"/>
    <w:rsid w:val="003D1ADA"/>
    <w:rsid w:val="003D34F5"/>
    <w:rsid w:val="003D3F27"/>
    <w:rsid w:val="003D4228"/>
    <w:rsid w:val="003D47B0"/>
    <w:rsid w:val="003D63C4"/>
    <w:rsid w:val="003E013F"/>
    <w:rsid w:val="003E0D3F"/>
    <w:rsid w:val="003E4DB4"/>
    <w:rsid w:val="003E566B"/>
    <w:rsid w:val="003E57D9"/>
    <w:rsid w:val="003F054D"/>
    <w:rsid w:val="003F15B5"/>
    <w:rsid w:val="003F31F5"/>
    <w:rsid w:val="003F32AB"/>
    <w:rsid w:val="003F5DD0"/>
    <w:rsid w:val="00400DD2"/>
    <w:rsid w:val="00401A8E"/>
    <w:rsid w:val="00402B0E"/>
    <w:rsid w:val="00402C54"/>
    <w:rsid w:val="00403E3C"/>
    <w:rsid w:val="004048E4"/>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14D8"/>
    <w:rsid w:val="0043341A"/>
    <w:rsid w:val="004357C7"/>
    <w:rsid w:val="00435FD9"/>
    <w:rsid w:val="00436396"/>
    <w:rsid w:val="00436452"/>
    <w:rsid w:val="00436697"/>
    <w:rsid w:val="00437037"/>
    <w:rsid w:val="00437B5C"/>
    <w:rsid w:val="00440EEA"/>
    <w:rsid w:val="0044166F"/>
    <w:rsid w:val="004446AE"/>
    <w:rsid w:val="00445742"/>
    <w:rsid w:val="00445937"/>
    <w:rsid w:val="0044662F"/>
    <w:rsid w:val="00447DEB"/>
    <w:rsid w:val="00450A4A"/>
    <w:rsid w:val="004528B2"/>
    <w:rsid w:val="00452FBA"/>
    <w:rsid w:val="00455177"/>
    <w:rsid w:val="00456A14"/>
    <w:rsid w:val="0045704F"/>
    <w:rsid w:val="004601AA"/>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345D"/>
    <w:rsid w:val="00494800"/>
    <w:rsid w:val="00495D0E"/>
    <w:rsid w:val="004968ED"/>
    <w:rsid w:val="004A2C2C"/>
    <w:rsid w:val="004A397F"/>
    <w:rsid w:val="004A5C45"/>
    <w:rsid w:val="004A6EB2"/>
    <w:rsid w:val="004A75B8"/>
    <w:rsid w:val="004A7614"/>
    <w:rsid w:val="004A7B80"/>
    <w:rsid w:val="004A7F61"/>
    <w:rsid w:val="004B6650"/>
    <w:rsid w:val="004C1AC4"/>
    <w:rsid w:val="004C1B7C"/>
    <w:rsid w:val="004C2929"/>
    <w:rsid w:val="004C324D"/>
    <w:rsid w:val="004C344E"/>
    <w:rsid w:val="004C3DB0"/>
    <w:rsid w:val="004C6ABC"/>
    <w:rsid w:val="004C6DAE"/>
    <w:rsid w:val="004D1514"/>
    <w:rsid w:val="004D1796"/>
    <w:rsid w:val="004D187B"/>
    <w:rsid w:val="004D2927"/>
    <w:rsid w:val="004D29A1"/>
    <w:rsid w:val="004D2A18"/>
    <w:rsid w:val="004D3236"/>
    <w:rsid w:val="004D4687"/>
    <w:rsid w:val="004D76DE"/>
    <w:rsid w:val="004E1571"/>
    <w:rsid w:val="004E267C"/>
    <w:rsid w:val="004E2AAF"/>
    <w:rsid w:val="004E3171"/>
    <w:rsid w:val="004E3297"/>
    <w:rsid w:val="004E3494"/>
    <w:rsid w:val="004E3609"/>
    <w:rsid w:val="004E5ACB"/>
    <w:rsid w:val="004E773B"/>
    <w:rsid w:val="004F0B21"/>
    <w:rsid w:val="004F11FF"/>
    <w:rsid w:val="004F36F1"/>
    <w:rsid w:val="004F6834"/>
    <w:rsid w:val="005011FB"/>
    <w:rsid w:val="00502652"/>
    <w:rsid w:val="00503049"/>
    <w:rsid w:val="00503361"/>
    <w:rsid w:val="00504D7F"/>
    <w:rsid w:val="005063FE"/>
    <w:rsid w:val="00510B02"/>
    <w:rsid w:val="00512040"/>
    <w:rsid w:val="00513329"/>
    <w:rsid w:val="00514230"/>
    <w:rsid w:val="00516681"/>
    <w:rsid w:val="00522DC1"/>
    <w:rsid w:val="005243D0"/>
    <w:rsid w:val="00525770"/>
    <w:rsid w:val="005263C9"/>
    <w:rsid w:val="00526D5C"/>
    <w:rsid w:val="005275C7"/>
    <w:rsid w:val="00530A8F"/>
    <w:rsid w:val="00531FDC"/>
    <w:rsid w:val="00533A59"/>
    <w:rsid w:val="005370D7"/>
    <w:rsid w:val="005375F9"/>
    <w:rsid w:val="00540EB6"/>
    <w:rsid w:val="00542FE3"/>
    <w:rsid w:val="00543C0E"/>
    <w:rsid w:val="005440BC"/>
    <w:rsid w:val="00544418"/>
    <w:rsid w:val="00545015"/>
    <w:rsid w:val="005463EB"/>
    <w:rsid w:val="00546520"/>
    <w:rsid w:val="005473F2"/>
    <w:rsid w:val="00547C80"/>
    <w:rsid w:val="0055083B"/>
    <w:rsid w:val="005517F1"/>
    <w:rsid w:val="00553BCB"/>
    <w:rsid w:val="005544F6"/>
    <w:rsid w:val="00554C06"/>
    <w:rsid w:val="00554E3F"/>
    <w:rsid w:val="00556473"/>
    <w:rsid w:val="00560027"/>
    <w:rsid w:val="00560210"/>
    <w:rsid w:val="00561447"/>
    <w:rsid w:val="005618A4"/>
    <w:rsid w:val="0056344B"/>
    <w:rsid w:val="005637E8"/>
    <w:rsid w:val="005643E8"/>
    <w:rsid w:val="00565EF3"/>
    <w:rsid w:val="00566ABE"/>
    <w:rsid w:val="005675C6"/>
    <w:rsid w:val="00567A4F"/>
    <w:rsid w:val="00570792"/>
    <w:rsid w:val="00572901"/>
    <w:rsid w:val="00572E79"/>
    <w:rsid w:val="00573825"/>
    <w:rsid w:val="005742F1"/>
    <w:rsid w:val="00576CF3"/>
    <w:rsid w:val="00576E88"/>
    <w:rsid w:val="005816C4"/>
    <w:rsid w:val="00582E90"/>
    <w:rsid w:val="00587589"/>
    <w:rsid w:val="00591CAC"/>
    <w:rsid w:val="00592DF2"/>
    <w:rsid w:val="00593108"/>
    <w:rsid w:val="00593589"/>
    <w:rsid w:val="00593F10"/>
    <w:rsid w:val="005955AE"/>
    <w:rsid w:val="00595A2D"/>
    <w:rsid w:val="00596358"/>
    <w:rsid w:val="0059792D"/>
    <w:rsid w:val="005A109D"/>
    <w:rsid w:val="005A4070"/>
    <w:rsid w:val="005A467F"/>
    <w:rsid w:val="005A5FA5"/>
    <w:rsid w:val="005A6171"/>
    <w:rsid w:val="005A62FF"/>
    <w:rsid w:val="005A7B44"/>
    <w:rsid w:val="005B17E4"/>
    <w:rsid w:val="005B2010"/>
    <w:rsid w:val="005B3762"/>
    <w:rsid w:val="005B3C8F"/>
    <w:rsid w:val="005B4EA7"/>
    <w:rsid w:val="005B64F4"/>
    <w:rsid w:val="005B7038"/>
    <w:rsid w:val="005B7248"/>
    <w:rsid w:val="005B7535"/>
    <w:rsid w:val="005C14E1"/>
    <w:rsid w:val="005C2D45"/>
    <w:rsid w:val="005C3859"/>
    <w:rsid w:val="005C3FDF"/>
    <w:rsid w:val="005C481C"/>
    <w:rsid w:val="005C4F0F"/>
    <w:rsid w:val="005C53D8"/>
    <w:rsid w:val="005C5CA3"/>
    <w:rsid w:val="005C7591"/>
    <w:rsid w:val="005C7CD6"/>
    <w:rsid w:val="005D3D2F"/>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14D6"/>
    <w:rsid w:val="0060226F"/>
    <w:rsid w:val="006061C3"/>
    <w:rsid w:val="00607F29"/>
    <w:rsid w:val="0061200A"/>
    <w:rsid w:val="006123A5"/>
    <w:rsid w:val="00612D55"/>
    <w:rsid w:val="006130AA"/>
    <w:rsid w:val="00613BBD"/>
    <w:rsid w:val="00614C12"/>
    <w:rsid w:val="0061588E"/>
    <w:rsid w:val="00616C30"/>
    <w:rsid w:val="00627664"/>
    <w:rsid w:val="00630834"/>
    <w:rsid w:val="00631861"/>
    <w:rsid w:val="00632EC1"/>
    <w:rsid w:val="00634C2C"/>
    <w:rsid w:val="00635A09"/>
    <w:rsid w:val="00636A9F"/>
    <w:rsid w:val="00641CFB"/>
    <w:rsid w:val="00643116"/>
    <w:rsid w:val="00643A94"/>
    <w:rsid w:val="00643B68"/>
    <w:rsid w:val="0064532E"/>
    <w:rsid w:val="006461FB"/>
    <w:rsid w:val="00646345"/>
    <w:rsid w:val="006465AD"/>
    <w:rsid w:val="006465F4"/>
    <w:rsid w:val="006471C3"/>
    <w:rsid w:val="006473AC"/>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177F"/>
    <w:rsid w:val="006726A6"/>
    <w:rsid w:val="00673FE6"/>
    <w:rsid w:val="006819C7"/>
    <w:rsid w:val="00682F5E"/>
    <w:rsid w:val="00684F41"/>
    <w:rsid w:val="006852EA"/>
    <w:rsid w:val="00685452"/>
    <w:rsid w:val="006859CE"/>
    <w:rsid w:val="0068608C"/>
    <w:rsid w:val="00687259"/>
    <w:rsid w:val="00687A24"/>
    <w:rsid w:val="0069103D"/>
    <w:rsid w:val="0069193F"/>
    <w:rsid w:val="0069588D"/>
    <w:rsid w:val="00695D1A"/>
    <w:rsid w:val="006A01B8"/>
    <w:rsid w:val="006A15D7"/>
    <w:rsid w:val="006A188C"/>
    <w:rsid w:val="006A1CC3"/>
    <w:rsid w:val="006A39F2"/>
    <w:rsid w:val="006A6725"/>
    <w:rsid w:val="006A68E9"/>
    <w:rsid w:val="006B41BF"/>
    <w:rsid w:val="006C2398"/>
    <w:rsid w:val="006C2855"/>
    <w:rsid w:val="006C4C79"/>
    <w:rsid w:val="006C5E57"/>
    <w:rsid w:val="006D0D9B"/>
    <w:rsid w:val="006D2E96"/>
    <w:rsid w:val="006D6C9A"/>
    <w:rsid w:val="006D735C"/>
    <w:rsid w:val="006E0A9E"/>
    <w:rsid w:val="006E1953"/>
    <w:rsid w:val="006E3896"/>
    <w:rsid w:val="006E5B15"/>
    <w:rsid w:val="006F103E"/>
    <w:rsid w:val="006F2664"/>
    <w:rsid w:val="006F295E"/>
    <w:rsid w:val="006F2961"/>
    <w:rsid w:val="006F3B71"/>
    <w:rsid w:val="006F3F49"/>
    <w:rsid w:val="006F459C"/>
    <w:rsid w:val="006F49D8"/>
    <w:rsid w:val="006F6F3D"/>
    <w:rsid w:val="006F730A"/>
    <w:rsid w:val="007019ED"/>
    <w:rsid w:val="00702CF2"/>
    <w:rsid w:val="00702E64"/>
    <w:rsid w:val="00705950"/>
    <w:rsid w:val="00706688"/>
    <w:rsid w:val="00706B71"/>
    <w:rsid w:val="00707188"/>
    <w:rsid w:val="007120CA"/>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425B4"/>
    <w:rsid w:val="00742DEE"/>
    <w:rsid w:val="00743655"/>
    <w:rsid w:val="007447BE"/>
    <w:rsid w:val="00747476"/>
    <w:rsid w:val="00747837"/>
    <w:rsid w:val="007500D8"/>
    <w:rsid w:val="00750610"/>
    <w:rsid w:val="00750B65"/>
    <w:rsid w:val="007511E3"/>
    <w:rsid w:val="007521C2"/>
    <w:rsid w:val="0075429C"/>
    <w:rsid w:val="0075442C"/>
    <w:rsid w:val="007549C2"/>
    <w:rsid w:val="007604C9"/>
    <w:rsid w:val="00760F15"/>
    <w:rsid w:val="007627AF"/>
    <w:rsid w:val="00762AA2"/>
    <w:rsid w:val="00763CDC"/>
    <w:rsid w:val="007641E2"/>
    <w:rsid w:val="007652F7"/>
    <w:rsid w:val="007657C1"/>
    <w:rsid w:val="00767B22"/>
    <w:rsid w:val="00767E09"/>
    <w:rsid w:val="007708F0"/>
    <w:rsid w:val="0077149B"/>
    <w:rsid w:val="00772532"/>
    <w:rsid w:val="00774C6B"/>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BA6"/>
    <w:rsid w:val="007A5F82"/>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3302"/>
    <w:rsid w:val="007E48DD"/>
    <w:rsid w:val="007E6F4B"/>
    <w:rsid w:val="007E7EFF"/>
    <w:rsid w:val="007F097F"/>
    <w:rsid w:val="007F2BA8"/>
    <w:rsid w:val="007F39AC"/>
    <w:rsid w:val="007F4349"/>
    <w:rsid w:val="007F585B"/>
    <w:rsid w:val="007F66C3"/>
    <w:rsid w:val="00801935"/>
    <w:rsid w:val="008033CA"/>
    <w:rsid w:val="00803DD9"/>
    <w:rsid w:val="0080439F"/>
    <w:rsid w:val="00804582"/>
    <w:rsid w:val="00804D30"/>
    <w:rsid w:val="00807126"/>
    <w:rsid w:val="00807CF7"/>
    <w:rsid w:val="00811071"/>
    <w:rsid w:val="0081110E"/>
    <w:rsid w:val="00811264"/>
    <w:rsid w:val="0081143F"/>
    <w:rsid w:val="008125B3"/>
    <w:rsid w:val="00812770"/>
    <w:rsid w:val="00814DC2"/>
    <w:rsid w:val="00815D1F"/>
    <w:rsid w:val="00815FAB"/>
    <w:rsid w:val="008171E9"/>
    <w:rsid w:val="00817871"/>
    <w:rsid w:val="00820E71"/>
    <w:rsid w:val="00821284"/>
    <w:rsid w:val="00821B3B"/>
    <w:rsid w:val="00821E13"/>
    <w:rsid w:val="008238A5"/>
    <w:rsid w:val="00825E25"/>
    <w:rsid w:val="008265F2"/>
    <w:rsid w:val="0083082B"/>
    <w:rsid w:val="00833165"/>
    <w:rsid w:val="0083371D"/>
    <w:rsid w:val="008339CA"/>
    <w:rsid w:val="008343A4"/>
    <w:rsid w:val="008351C5"/>
    <w:rsid w:val="00835325"/>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524E"/>
    <w:rsid w:val="008578B5"/>
    <w:rsid w:val="00860803"/>
    <w:rsid w:val="00860FA9"/>
    <w:rsid w:val="00860FEC"/>
    <w:rsid w:val="00861B99"/>
    <w:rsid w:val="00863D0B"/>
    <w:rsid w:val="00864172"/>
    <w:rsid w:val="008644BC"/>
    <w:rsid w:val="008645FD"/>
    <w:rsid w:val="0086463F"/>
    <w:rsid w:val="008661B0"/>
    <w:rsid w:val="00866336"/>
    <w:rsid w:val="008664A0"/>
    <w:rsid w:val="0086686A"/>
    <w:rsid w:val="0086715A"/>
    <w:rsid w:val="008737F5"/>
    <w:rsid w:val="00875B02"/>
    <w:rsid w:val="00876E3C"/>
    <w:rsid w:val="008774EC"/>
    <w:rsid w:val="00877F24"/>
    <w:rsid w:val="00880679"/>
    <w:rsid w:val="00882D8B"/>
    <w:rsid w:val="008855F5"/>
    <w:rsid w:val="008859EE"/>
    <w:rsid w:val="00885DF1"/>
    <w:rsid w:val="00886BAC"/>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713A"/>
    <w:rsid w:val="008B769D"/>
    <w:rsid w:val="008C174A"/>
    <w:rsid w:val="008C49A2"/>
    <w:rsid w:val="008C5589"/>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3A14"/>
    <w:rsid w:val="008E3B76"/>
    <w:rsid w:val="008E4D54"/>
    <w:rsid w:val="008E605D"/>
    <w:rsid w:val="008E6310"/>
    <w:rsid w:val="008E7A1F"/>
    <w:rsid w:val="008E7DEC"/>
    <w:rsid w:val="008F0CB1"/>
    <w:rsid w:val="008F1B56"/>
    <w:rsid w:val="008F1E8C"/>
    <w:rsid w:val="008F2756"/>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7C59"/>
    <w:rsid w:val="00910E5D"/>
    <w:rsid w:val="0091330D"/>
    <w:rsid w:val="009141FA"/>
    <w:rsid w:val="009142EF"/>
    <w:rsid w:val="00914EC8"/>
    <w:rsid w:val="00915173"/>
    <w:rsid w:val="00915878"/>
    <w:rsid w:val="00917184"/>
    <w:rsid w:val="00917F46"/>
    <w:rsid w:val="0092114D"/>
    <w:rsid w:val="00922309"/>
    <w:rsid w:val="009229E1"/>
    <w:rsid w:val="00923368"/>
    <w:rsid w:val="00925C76"/>
    <w:rsid w:val="00926A5A"/>
    <w:rsid w:val="009276AF"/>
    <w:rsid w:val="009277E7"/>
    <w:rsid w:val="00927BE1"/>
    <w:rsid w:val="00930915"/>
    <w:rsid w:val="00932993"/>
    <w:rsid w:val="00933E81"/>
    <w:rsid w:val="00935AD2"/>
    <w:rsid w:val="00936544"/>
    <w:rsid w:val="00936FC2"/>
    <w:rsid w:val="00943C4B"/>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2AD7"/>
    <w:rsid w:val="009836AA"/>
    <w:rsid w:val="00983C20"/>
    <w:rsid w:val="00984CEB"/>
    <w:rsid w:val="00986BBB"/>
    <w:rsid w:val="00991DE4"/>
    <w:rsid w:val="00993517"/>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811"/>
    <w:rsid w:val="009B5365"/>
    <w:rsid w:val="009B5B0B"/>
    <w:rsid w:val="009B64E0"/>
    <w:rsid w:val="009B68D9"/>
    <w:rsid w:val="009B73D3"/>
    <w:rsid w:val="009C3901"/>
    <w:rsid w:val="009C3B92"/>
    <w:rsid w:val="009C4478"/>
    <w:rsid w:val="009D0597"/>
    <w:rsid w:val="009D21E8"/>
    <w:rsid w:val="009D2740"/>
    <w:rsid w:val="009D3731"/>
    <w:rsid w:val="009D3F48"/>
    <w:rsid w:val="009D5843"/>
    <w:rsid w:val="009D66E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A1E"/>
    <w:rsid w:val="00A06AF0"/>
    <w:rsid w:val="00A06E6B"/>
    <w:rsid w:val="00A11D3C"/>
    <w:rsid w:val="00A12C6D"/>
    <w:rsid w:val="00A12C9A"/>
    <w:rsid w:val="00A152C0"/>
    <w:rsid w:val="00A15349"/>
    <w:rsid w:val="00A17BAF"/>
    <w:rsid w:val="00A17FB0"/>
    <w:rsid w:val="00A20B17"/>
    <w:rsid w:val="00A21065"/>
    <w:rsid w:val="00A21099"/>
    <w:rsid w:val="00A21C46"/>
    <w:rsid w:val="00A22798"/>
    <w:rsid w:val="00A22FD8"/>
    <w:rsid w:val="00A23445"/>
    <w:rsid w:val="00A239F5"/>
    <w:rsid w:val="00A23BA3"/>
    <w:rsid w:val="00A24E0B"/>
    <w:rsid w:val="00A26739"/>
    <w:rsid w:val="00A26B28"/>
    <w:rsid w:val="00A30E24"/>
    <w:rsid w:val="00A3142F"/>
    <w:rsid w:val="00A324FF"/>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4D38"/>
    <w:rsid w:val="00A45030"/>
    <w:rsid w:val="00A45094"/>
    <w:rsid w:val="00A47919"/>
    <w:rsid w:val="00A47BBB"/>
    <w:rsid w:val="00A52E37"/>
    <w:rsid w:val="00A53C07"/>
    <w:rsid w:val="00A56351"/>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D6C"/>
    <w:rsid w:val="00A70E7C"/>
    <w:rsid w:val="00A73222"/>
    <w:rsid w:val="00A74CE2"/>
    <w:rsid w:val="00A754B8"/>
    <w:rsid w:val="00A75E36"/>
    <w:rsid w:val="00A77534"/>
    <w:rsid w:val="00A776CC"/>
    <w:rsid w:val="00A808DC"/>
    <w:rsid w:val="00A81918"/>
    <w:rsid w:val="00A8206B"/>
    <w:rsid w:val="00A82753"/>
    <w:rsid w:val="00A850D4"/>
    <w:rsid w:val="00A86CED"/>
    <w:rsid w:val="00A90CCC"/>
    <w:rsid w:val="00A91389"/>
    <w:rsid w:val="00A96282"/>
    <w:rsid w:val="00A97888"/>
    <w:rsid w:val="00AA0B6B"/>
    <w:rsid w:val="00AA1648"/>
    <w:rsid w:val="00AA1E91"/>
    <w:rsid w:val="00AA2A5A"/>
    <w:rsid w:val="00AA5442"/>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35D"/>
    <w:rsid w:val="00AC53EE"/>
    <w:rsid w:val="00AC5CE3"/>
    <w:rsid w:val="00AC6355"/>
    <w:rsid w:val="00AC6FCC"/>
    <w:rsid w:val="00AC729C"/>
    <w:rsid w:val="00AC7906"/>
    <w:rsid w:val="00AD1D9A"/>
    <w:rsid w:val="00AD3174"/>
    <w:rsid w:val="00AD4B09"/>
    <w:rsid w:val="00AD4C1D"/>
    <w:rsid w:val="00AD59A6"/>
    <w:rsid w:val="00AD5FC1"/>
    <w:rsid w:val="00AD7BE2"/>
    <w:rsid w:val="00AD7E4B"/>
    <w:rsid w:val="00AE148E"/>
    <w:rsid w:val="00AE3877"/>
    <w:rsid w:val="00AE6D0A"/>
    <w:rsid w:val="00AE6DB5"/>
    <w:rsid w:val="00AE6E6A"/>
    <w:rsid w:val="00AF09E0"/>
    <w:rsid w:val="00AF0D32"/>
    <w:rsid w:val="00AF0F5C"/>
    <w:rsid w:val="00AF25A3"/>
    <w:rsid w:val="00AF26BE"/>
    <w:rsid w:val="00AF273D"/>
    <w:rsid w:val="00AF4D73"/>
    <w:rsid w:val="00AF4FBF"/>
    <w:rsid w:val="00AF598B"/>
    <w:rsid w:val="00AF5D92"/>
    <w:rsid w:val="00B00F80"/>
    <w:rsid w:val="00B02A44"/>
    <w:rsid w:val="00B04C0C"/>
    <w:rsid w:val="00B05D97"/>
    <w:rsid w:val="00B060FA"/>
    <w:rsid w:val="00B07708"/>
    <w:rsid w:val="00B10366"/>
    <w:rsid w:val="00B11069"/>
    <w:rsid w:val="00B11402"/>
    <w:rsid w:val="00B126DD"/>
    <w:rsid w:val="00B14D4C"/>
    <w:rsid w:val="00B1520A"/>
    <w:rsid w:val="00B15818"/>
    <w:rsid w:val="00B1677D"/>
    <w:rsid w:val="00B16F93"/>
    <w:rsid w:val="00B17EAE"/>
    <w:rsid w:val="00B21D49"/>
    <w:rsid w:val="00B21EF7"/>
    <w:rsid w:val="00B22F71"/>
    <w:rsid w:val="00B249F7"/>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35AA"/>
    <w:rsid w:val="00B4425D"/>
    <w:rsid w:val="00B45FA4"/>
    <w:rsid w:val="00B46651"/>
    <w:rsid w:val="00B50789"/>
    <w:rsid w:val="00B517F0"/>
    <w:rsid w:val="00B526F4"/>
    <w:rsid w:val="00B5404E"/>
    <w:rsid w:val="00B5481B"/>
    <w:rsid w:val="00B57883"/>
    <w:rsid w:val="00B60EDD"/>
    <w:rsid w:val="00B61E2D"/>
    <w:rsid w:val="00B62C3E"/>
    <w:rsid w:val="00B6336C"/>
    <w:rsid w:val="00B66923"/>
    <w:rsid w:val="00B71B8E"/>
    <w:rsid w:val="00B72255"/>
    <w:rsid w:val="00B72517"/>
    <w:rsid w:val="00B729D5"/>
    <w:rsid w:val="00B737EC"/>
    <w:rsid w:val="00B73F98"/>
    <w:rsid w:val="00B769BF"/>
    <w:rsid w:val="00B76ED0"/>
    <w:rsid w:val="00B777C7"/>
    <w:rsid w:val="00B8081F"/>
    <w:rsid w:val="00B80D5A"/>
    <w:rsid w:val="00B81349"/>
    <w:rsid w:val="00B832AF"/>
    <w:rsid w:val="00B84041"/>
    <w:rsid w:val="00B84BF5"/>
    <w:rsid w:val="00B85B6B"/>
    <w:rsid w:val="00B869DA"/>
    <w:rsid w:val="00B87340"/>
    <w:rsid w:val="00B87576"/>
    <w:rsid w:val="00B87C57"/>
    <w:rsid w:val="00B9047B"/>
    <w:rsid w:val="00B92287"/>
    <w:rsid w:val="00B93357"/>
    <w:rsid w:val="00B969F7"/>
    <w:rsid w:val="00B9720A"/>
    <w:rsid w:val="00BA2905"/>
    <w:rsid w:val="00BA29A0"/>
    <w:rsid w:val="00BA4452"/>
    <w:rsid w:val="00BA44A3"/>
    <w:rsid w:val="00BA4CA7"/>
    <w:rsid w:val="00BA643C"/>
    <w:rsid w:val="00BA6DF3"/>
    <w:rsid w:val="00BA7273"/>
    <w:rsid w:val="00BB1993"/>
    <w:rsid w:val="00BB3976"/>
    <w:rsid w:val="00BB3F8C"/>
    <w:rsid w:val="00BC0538"/>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C41"/>
    <w:rsid w:val="00BD7E3B"/>
    <w:rsid w:val="00BE018E"/>
    <w:rsid w:val="00BE0F8C"/>
    <w:rsid w:val="00BE24EF"/>
    <w:rsid w:val="00BE39CE"/>
    <w:rsid w:val="00BE5EF1"/>
    <w:rsid w:val="00BE6481"/>
    <w:rsid w:val="00BE7213"/>
    <w:rsid w:val="00BE7254"/>
    <w:rsid w:val="00BF0539"/>
    <w:rsid w:val="00BF1854"/>
    <w:rsid w:val="00BF1D86"/>
    <w:rsid w:val="00BF2806"/>
    <w:rsid w:val="00BF348A"/>
    <w:rsid w:val="00BF3BDE"/>
    <w:rsid w:val="00BF61A4"/>
    <w:rsid w:val="00BF6637"/>
    <w:rsid w:val="00BF67FF"/>
    <w:rsid w:val="00BF726D"/>
    <w:rsid w:val="00C00D83"/>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2A42"/>
    <w:rsid w:val="00C260E0"/>
    <w:rsid w:val="00C26BE7"/>
    <w:rsid w:val="00C30E37"/>
    <w:rsid w:val="00C32ADB"/>
    <w:rsid w:val="00C33321"/>
    <w:rsid w:val="00C34558"/>
    <w:rsid w:val="00C34671"/>
    <w:rsid w:val="00C378BD"/>
    <w:rsid w:val="00C4319B"/>
    <w:rsid w:val="00C439EB"/>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577"/>
    <w:rsid w:val="00C63DB0"/>
    <w:rsid w:val="00C6701C"/>
    <w:rsid w:val="00C6754F"/>
    <w:rsid w:val="00C727D0"/>
    <w:rsid w:val="00C7345F"/>
    <w:rsid w:val="00C745A2"/>
    <w:rsid w:val="00C75BAC"/>
    <w:rsid w:val="00C76781"/>
    <w:rsid w:val="00C77479"/>
    <w:rsid w:val="00C826CF"/>
    <w:rsid w:val="00C82FF3"/>
    <w:rsid w:val="00C837B6"/>
    <w:rsid w:val="00C845CF"/>
    <w:rsid w:val="00C85B2D"/>
    <w:rsid w:val="00C8760E"/>
    <w:rsid w:val="00C901B2"/>
    <w:rsid w:val="00C901B6"/>
    <w:rsid w:val="00C9036D"/>
    <w:rsid w:val="00C918B3"/>
    <w:rsid w:val="00C927F4"/>
    <w:rsid w:val="00C92A63"/>
    <w:rsid w:val="00C93094"/>
    <w:rsid w:val="00C94608"/>
    <w:rsid w:val="00C95671"/>
    <w:rsid w:val="00C95EFF"/>
    <w:rsid w:val="00C9622B"/>
    <w:rsid w:val="00C97B7A"/>
    <w:rsid w:val="00C97C89"/>
    <w:rsid w:val="00CA22AF"/>
    <w:rsid w:val="00CA27F3"/>
    <w:rsid w:val="00CA2821"/>
    <w:rsid w:val="00CA5935"/>
    <w:rsid w:val="00CA6C20"/>
    <w:rsid w:val="00CA70CC"/>
    <w:rsid w:val="00CB078D"/>
    <w:rsid w:val="00CB169E"/>
    <w:rsid w:val="00CB1C73"/>
    <w:rsid w:val="00CB2DD3"/>
    <w:rsid w:val="00CB433E"/>
    <w:rsid w:val="00CB4BB5"/>
    <w:rsid w:val="00CB6667"/>
    <w:rsid w:val="00CB76C1"/>
    <w:rsid w:val="00CB7D34"/>
    <w:rsid w:val="00CC02E6"/>
    <w:rsid w:val="00CC1D16"/>
    <w:rsid w:val="00CC3A8D"/>
    <w:rsid w:val="00CC3ABD"/>
    <w:rsid w:val="00CC3CDD"/>
    <w:rsid w:val="00CC48C5"/>
    <w:rsid w:val="00CC7D0A"/>
    <w:rsid w:val="00CD0795"/>
    <w:rsid w:val="00CD0911"/>
    <w:rsid w:val="00CD0F0A"/>
    <w:rsid w:val="00CD10D6"/>
    <w:rsid w:val="00CD167A"/>
    <w:rsid w:val="00CD191B"/>
    <w:rsid w:val="00CD63AA"/>
    <w:rsid w:val="00CD67C6"/>
    <w:rsid w:val="00CD6A3F"/>
    <w:rsid w:val="00CD6CCA"/>
    <w:rsid w:val="00CD762B"/>
    <w:rsid w:val="00CD7889"/>
    <w:rsid w:val="00CD7907"/>
    <w:rsid w:val="00CE0156"/>
    <w:rsid w:val="00CE02EA"/>
    <w:rsid w:val="00CE1400"/>
    <w:rsid w:val="00CE1512"/>
    <w:rsid w:val="00CE5F56"/>
    <w:rsid w:val="00CE6C5D"/>
    <w:rsid w:val="00CF0D50"/>
    <w:rsid w:val="00CF0E5E"/>
    <w:rsid w:val="00CF27F8"/>
    <w:rsid w:val="00CF3E60"/>
    <w:rsid w:val="00CF4A9E"/>
    <w:rsid w:val="00CF536B"/>
    <w:rsid w:val="00CF5A84"/>
    <w:rsid w:val="00CF5FC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540"/>
    <w:rsid w:val="00D3485F"/>
    <w:rsid w:val="00D35FB4"/>
    <w:rsid w:val="00D36DE8"/>
    <w:rsid w:val="00D42349"/>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06FC"/>
    <w:rsid w:val="00D71440"/>
    <w:rsid w:val="00D72A05"/>
    <w:rsid w:val="00D73303"/>
    <w:rsid w:val="00D7592B"/>
    <w:rsid w:val="00D80170"/>
    <w:rsid w:val="00D804F2"/>
    <w:rsid w:val="00D80827"/>
    <w:rsid w:val="00D82FA7"/>
    <w:rsid w:val="00D8595F"/>
    <w:rsid w:val="00D85CE4"/>
    <w:rsid w:val="00D870BF"/>
    <w:rsid w:val="00D87B71"/>
    <w:rsid w:val="00D91913"/>
    <w:rsid w:val="00D9474C"/>
    <w:rsid w:val="00D9706C"/>
    <w:rsid w:val="00DA07AE"/>
    <w:rsid w:val="00DA4004"/>
    <w:rsid w:val="00DA6CD1"/>
    <w:rsid w:val="00DA75E3"/>
    <w:rsid w:val="00DA795C"/>
    <w:rsid w:val="00DA7A1D"/>
    <w:rsid w:val="00DB03F4"/>
    <w:rsid w:val="00DB2595"/>
    <w:rsid w:val="00DB3B1D"/>
    <w:rsid w:val="00DB3EEF"/>
    <w:rsid w:val="00DB4E3F"/>
    <w:rsid w:val="00DB7452"/>
    <w:rsid w:val="00DB7F02"/>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684"/>
    <w:rsid w:val="00DE5C27"/>
    <w:rsid w:val="00DF0488"/>
    <w:rsid w:val="00DF1FD6"/>
    <w:rsid w:val="00DF3850"/>
    <w:rsid w:val="00DF4455"/>
    <w:rsid w:val="00DF7382"/>
    <w:rsid w:val="00DF7EBC"/>
    <w:rsid w:val="00E00557"/>
    <w:rsid w:val="00E019C2"/>
    <w:rsid w:val="00E02DE6"/>
    <w:rsid w:val="00E02E2E"/>
    <w:rsid w:val="00E057CE"/>
    <w:rsid w:val="00E06E24"/>
    <w:rsid w:val="00E07388"/>
    <w:rsid w:val="00E07ADF"/>
    <w:rsid w:val="00E1146D"/>
    <w:rsid w:val="00E11E84"/>
    <w:rsid w:val="00E12717"/>
    <w:rsid w:val="00E12E6C"/>
    <w:rsid w:val="00E1460C"/>
    <w:rsid w:val="00E14797"/>
    <w:rsid w:val="00E16032"/>
    <w:rsid w:val="00E16540"/>
    <w:rsid w:val="00E166CC"/>
    <w:rsid w:val="00E16E28"/>
    <w:rsid w:val="00E16FC8"/>
    <w:rsid w:val="00E17E92"/>
    <w:rsid w:val="00E20364"/>
    <w:rsid w:val="00E2341A"/>
    <w:rsid w:val="00E239F5"/>
    <w:rsid w:val="00E266C4"/>
    <w:rsid w:val="00E271D4"/>
    <w:rsid w:val="00E277DA"/>
    <w:rsid w:val="00E27AE3"/>
    <w:rsid w:val="00E30927"/>
    <w:rsid w:val="00E309E3"/>
    <w:rsid w:val="00E317DF"/>
    <w:rsid w:val="00E328AA"/>
    <w:rsid w:val="00E331E7"/>
    <w:rsid w:val="00E33FCB"/>
    <w:rsid w:val="00E34E58"/>
    <w:rsid w:val="00E3512E"/>
    <w:rsid w:val="00E35D63"/>
    <w:rsid w:val="00E35E24"/>
    <w:rsid w:val="00E3711C"/>
    <w:rsid w:val="00E37334"/>
    <w:rsid w:val="00E37F10"/>
    <w:rsid w:val="00E41251"/>
    <w:rsid w:val="00E44E1E"/>
    <w:rsid w:val="00E47A76"/>
    <w:rsid w:val="00E47AC9"/>
    <w:rsid w:val="00E50A98"/>
    <w:rsid w:val="00E51B93"/>
    <w:rsid w:val="00E54589"/>
    <w:rsid w:val="00E5488D"/>
    <w:rsid w:val="00E603D2"/>
    <w:rsid w:val="00E60BF8"/>
    <w:rsid w:val="00E61301"/>
    <w:rsid w:val="00E61639"/>
    <w:rsid w:val="00E61CFD"/>
    <w:rsid w:val="00E61D44"/>
    <w:rsid w:val="00E622B9"/>
    <w:rsid w:val="00E63252"/>
    <w:rsid w:val="00E63AEA"/>
    <w:rsid w:val="00E6459D"/>
    <w:rsid w:val="00E647E8"/>
    <w:rsid w:val="00E6564D"/>
    <w:rsid w:val="00E65E79"/>
    <w:rsid w:val="00E67145"/>
    <w:rsid w:val="00E67F15"/>
    <w:rsid w:val="00E7168A"/>
    <w:rsid w:val="00E719B5"/>
    <w:rsid w:val="00E7474A"/>
    <w:rsid w:val="00E74EED"/>
    <w:rsid w:val="00E77093"/>
    <w:rsid w:val="00E8093C"/>
    <w:rsid w:val="00E83573"/>
    <w:rsid w:val="00E84405"/>
    <w:rsid w:val="00E85233"/>
    <w:rsid w:val="00E860E7"/>
    <w:rsid w:val="00E86DDC"/>
    <w:rsid w:val="00E87BC2"/>
    <w:rsid w:val="00E87D88"/>
    <w:rsid w:val="00E90523"/>
    <w:rsid w:val="00E947C9"/>
    <w:rsid w:val="00E952EA"/>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7E6"/>
    <w:rsid w:val="00EB5367"/>
    <w:rsid w:val="00EB5B43"/>
    <w:rsid w:val="00EB7AA8"/>
    <w:rsid w:val="00EC29AC"/>
    <w:rsid w:val="00EC6D03"/>
    <w:rsid w:val="00EC6E8A"/>
    <w:rsid w:val="00EC6EB9"/>
    <w:rsid w:val="00EC7775"/>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1AE9"/>
    <w:rsid w:val="00EF51AF"/>
    <w:rsid w:val="00EF5C8E"/>
    <w:rsid w:val="00EF66D2"/>
    <w:rsid w:val="00EF756A"/>
    <w:rsid w:val="00EF77AA"/>
    <w:rsid w:val="00EF798A"/>
    <w:rsid w:val="00F01011"/>
    <w:rsid w:val="00F028BD"/>
    <w:rsid w:val="00F03458"/>
    <w:rsid w:val="00F047AA"/>
    <w:rsid w:val="00F0696E"/>
    <w:rsid w:val="00F078D2"/>
    <w:rsid w:val="00F07D99"/>
    <w:rsid w:val="00F07E43"/>
    <w:rsid w:val="00F11A2D"/>
    <w:rsid w:val="00F11F11"/>
    <w:rsid w:val="00F125A9"/>
    <w:rsid w:val="00F126F3"/>
    <w:rsid w:val="00F157EE"/>
    <w:rsid w:val="00F15D2C"/>
    <w:rsid w:val="00F15EE6"/>
    <w:rsid w:val="00F16815"/>
    <w:rsid w:val="00F16EEE"/>
    <w:rsid w:val="00F17AB6"/>
    <w:rsid w:val="00F21985"/>
    <w:rsid w:val="00F2260D"/>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62D53"/>
    <w:rsid w:val="00F639E3"/>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389"/>
    <w:rsid w:val="00F91630"/>
    <w:rsid w:val="00F922E7"/>
    <w:rsid w:val="00F93C83"/>
    <w:rsid w:val="00F956CB"/>
    <w:rsid w:val="00F95AAB"/>
    <w:rsid w:val="00FA0ECC"/>
    <w:rsid w:val="00FA324F"/>
    <w:rsid w:val="00FA3394"/>
    <w:rsid w:val="00FA427C"/>
    <w:rsid w:val="00FA4349"/>
    <w:rsid w:val="00FA482B"/>
    <w:rsid w:val="00FB0996"/>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6290"/>
    <w:rsid w:val="00FE6CF6"/>
    <w:rsid w:val="00FE74AC"/>
    <w:rsid w:val="00FE78EF"/>
    <w:rsid w:val="00FE7AC3"/>
    <w:rsid w:val="00FF163B"/>
    <w:rsid w:val="00FF2C42"/>
    <w:rsid w:val="00FF4076"/>
    <w:rsid w:val="00FF5124"/>
    <w:rsid w:val="00FF651C"/>
    <w:rsid w:val="00FF6A91"/>
    <w:rsid w:val="00FF7715"/>
    <w:rsid w:val="00FF78C0"/>
    <w:rsid w:val="00FF7C29"/>
    <w:rsid w:val="134277FC"/>
    <w:rsid w:val="44457A1E"/>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3"/>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4"/>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5"/>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6"/>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7"/>
    <w:qFormat/>
    <w:uiPriority w:val="0"/>
    <w:pPr>
      <w:spacing w:before="240" w:after="60"/>
      <w:outlineLvl w:val="4"/>
    </w:pPr>
    <w:rPr>
      <w:b/>
      <w:bCs/>
      <w:i/>
      <w:iCs/>
      <w:sz w:val="26"/>
      <w:szCs w:val="26"/>
    </w:rPr>
  </w:style>
  <w:style w:type="paragraph" w:styleId="8">
    <w:name w:val="heading 7"/>
    <w:basedOn w:val="1"/>
    <w:next w:val="1"/>
    <w:link w:val="96"/>
    <w:semiHidden/>
    <w:unhideWhenUsed/>
    <w:qFormat/>
    <w:uiPriority w:val="9"/>
    <w:pPr>
      <w:keepNext/>
      <w:keepLines/>
      <w:spacing w:before="240" w:after="64" w:line="320" w:lineRule="auto"/>
      <w:outlineLvl w:val="6"/>
    </w:pPr>
    <w:rPr>
      <w:b/>
      <w:bCs/>
      <w:sz w:val="24"/>
    </w:rPr>
  </w:style>
  <w:style w:type="paragraph" w:styleId="9">
    <w:name w:val="heading 8"/>
    <w:basedOn w:val="1"/>
    <w:next w:val="1"/>
    <w:link w:val="40"/>
    <w:unhideWhenUsed/>
    <w:qFormat/>
    <w:uiPriority w:val="9"/>
    <w:pPr>
      <w:keepNext/>
      <w:keepLines/>
      <w:spacing w:before="240" w:after="64" w:line="320" w:lineRule="auto"/>
      <w:outlineLvl w:val="7"/>
    </w:pPr>
    <w:rPr>
      <w:rFonts w:ascii="Cambria" w:hAnsi="Cambria" w:eastAsia="宋体"/>
      <w:sz w:val="24"/>
    </w:rPr>
  </w:style>
  <w:style w:type="character" w:default="1" w:styleId="10">
    <w:name w:val="Default Paragraph Font"/>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8"/>
    <w:qFormat/>
    <w:uiPriority w:val="0"/>
    <w:pPr>
      <w:spacing w:after="120"/>
      <w:jc w:val="both"/>
    </w:pPr>
    <w:rPr>
      <w:rFonts w:eastAsia="MS Mincho"/>
    </w:rPr>
  </w:style>
  <w:style w:type="paragraph" w:styleId="12">
    <w:name w:val="Balloon Text"/>
    <w:basedOn w:val="1"/>
    <w:link w:val="30"/>
    <w:unhideWhenUsed/>
    <w:qFormat/>
    <w:uiPriority w:val="99"/>
    <w:rPr>
      <w:rFonts w:ascii="Tahoma" w:hAnsi="Tahoma" w:cs="Tahoma"/>
      <w:sz w:val="16"/>
      <w:szCs w:val="16"/>
    </w:rPr>
  </w:style>
  <w:style w:type="paragraph" w:styleId="13">
    <w:name w:val="caption"/>
    <w:basedOn w:val="1"/>
    <w:next w:val="1"/>
    <w:unhideWhenUsed/>
    <w:qFormat/>
    <w:uiPriority w:val="35"/>
    <w:pPr>
      <w:spacing w:after="200"/>
    </w:pPr>
    <w:rPr>
      <w:b/>
      <w:bCs/>
      <w:sz w:val="18"/>
      <w:szCs w:val="18"/>
    </w:rPr>
  </w:style>
  <w:style w:type="character" w:styleId="14">
    <w:name w:val="annotation reference"/>
    <w:unhideWhenUsed/>
    <w:qFormat/>
    <w:uiPriority w:val="99"/>
    <w:rPr>
      <w:sz w:val="16"/>
      <w:szCs w:val="16"/>
    </w:rPr>
  </w:style>
  <w:style w:type="paragraph" w:styleId="15">
    <w:name w:val="annotation text"/>
    <w:basedOn w:val="1"/>
    <w:link w:val="32"/>
    <w:unhideWhenUsed/>
    <w:qFormat/>
    <w:uiPriority w:val="99"/>
    <w:rPr>
      <w:szCs w:val="20"/>
    </w:rPr>
  </w:style>
  <w:style w:type="paragraph" w:styleId="16">
    <w:name w:val="annotation subject"/>
    <w:basedOn w:val="15"/>
    <w:next w:val="15"/>
    <w:link w:val="33"/>
    <w:unhideWhenUsed/>
    <w:qFormat/>
    <w:uiPriority w:val="99"/>
    <w:rPr>
      <w:b/>
      <w:bCs/>
    </w:rPr>
  </w:style>
  <w:style w:type="paragraph" w:styleId="17">
    <w:name w:val="footer"/>
    <w:basedOn w:val="1"/>
    <w:link w:val="34"/>
    <w:unhideWhenUsed/>
    <w:qFormat/>
    <w:uiPriority w:val="99"/>
    <w:pPr>
      <w:tabs>
        <w:tab w:val="center" w:pos="4536"/>
        <w:tab w:val="right" w:pos="9072"/>
      </w:tabs>
    </w:pPr>
  </w:style>
  <w:style w:type="paragraph" w:styleId="18">
    <w:name w:val="header"/>
    <w:basedOn w:val="1"/>
    <w:link w:val="29"/>
    <w:qFormat/>
    <w:uiPriority w:val="0"/>
    <w:pPr>
      <w:tabs>
        <w:tab w:val="center" w:pos="4536"/>
        <w:tab w:val="right" w:pos="9072"/>
      </w:tabs>
    </w:pPr>
    <w:rPr>
      <w:rFonts w:ascii="Arial" w:hAnsi="Arial" w:eastAsia="MS Mincho"/>
      <w:b/>
    </w:rPr>
  </w:style>
  <w:style w:type="character" w:styleId="19">
    <w:name w:val="Hyperlink"/>
    <w:unhideWhenUsed/>
    <w:qFormat/>
    <w:uiPriority w:val="99"/>
    <w:rPr>
      <w:color w:val="0000FF"/>
      <w:u w:val="single"/>
    </w:rPr>
  </w:style>
  <w:style w:type="paragraph" w:styleId="20">
    <w:name w:val="List 2"/>
    <w:basedOn w:val="1"/>
    <w:unhideWhenUsed/>
    <w:qFormat/>
    <w:uiPriority w:val="99"/>
    <w:pPr>
      <w:ind w:left="100" w:leftChars="200" w:hanging="200" w:hangingChars="200"/>
      <w:contextualSpacing/>
    </w:pPr>
  </w:style>
  <w:style w:type="paragraph" w:styleId="21">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table" w:styleId="2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
    <w:name w:val="标题 1 字符"/>
    <w:link w:val="2"/>
    <w:qFormat/>
    <w:uiPriority w:val="0"/>
    <w:rPr>
      <w:rFonts w:ascii="Helvetica" w:hAnsi="Helvetica" w:eastAsia="MS Mincho" w:cs="Arial"/>
      <w:b/>
      <w:bCs/>
      <w:kern w:val="32"/>
      <w:sz w:val="28"/>
      <w:szCs w:val="32"/>
      <w:lang w:eastAsia="en-US"/>
    </w:rPr>
  </w:style>
  <w:style w:type="character" w:customStyle="1" w:styleId="24">
    <w:name w:val="标题 2 字符"/>
    <w:link w:val="4"/>
    <w:qFormat/>
    <w:uiPriority w:val="0"/>
    <w:rPr>
      <w:rFonts w:ascii="Helvetica" w:hAnsi="Helvetica" w:eastAsia="MS Mincho" w:cs="Arial"/>
      <w:b/>
      <w:bCs/>
      <w:iCs/>
      <w:szCs w:val="28"/>
      <w:lang w:eastAsia="en-US"/>
    </w:rPr>
  </w:style>
  <w:style w:type="character" w:customStyle="1" w:styleId="25">
    <w:name w:val="标题 3 字符"/>
    <w:link w:val="5"/>
    <w:qFormat/>
    <w:uiPriority w:val="0"/>
    <w:rPr>
      <w:rFonts w:ascii="Arial" w:hAnsi="Arial" w:eastAsia="MS Mincho" w:cs="Arial"/>
      <w:b/>
      <w:bCs/>
      <w:sz w:val="26"/>
      <w:szCs w:val="26"/>
      <w:lang w:eastAsia="en-US"/>
    </w:rPr>
  </w:style>
  <w:style w:type="character" w:customStyle="1" w:styleId="26">
    <w:name w:val="标题 4 字符"/>
    <w:link w:val="6"/>
    <w:qFormat/>
    <w:uiPriority w:val="9"/>
    <w:rPr>
      <w:rFonts w:ascii="Times New Roman" w:hAnsi="Times New Roman" w:eastAsia="MS Mincho"/>
      <w:b/>
      <w:bCs/>
      <w:sz w:val="28"/>
      <w:szCs w:val="28"/>
      <w:lang w:eastAsia="en-US"/>
    </w:rPr>
  </w:style>
  <w:style w:type="character" w:customStyle="1" w:styleId="27">
    <w:name w:val="标题 5 字符"/>
    <w:link w:val="7"/>
    <w:qFormat/>
    <w:uiPriority w:val="0"/>
    <w:rPr>
      <w:rFonts w:ascii="Times New Roman" w:hAnsi="Times New Roman" w:eastAsia="Times New Roman" w:cs="Times New Roman"/>
      <w:b/>
      <w:bCs/>
      <w:i/>
      <w:iCs/>
      <w:sz w:val="26"/>
      <w:szCs w:val="26"/>
      <w:lang w:val="en-US"/>
    </w:rPr>
  </w:style>
  <w:style w:type="character" w:customStyle="1" w:styleId="28">
    <w:name w:val="正文文本 字符"/>
    <w:link w:val="3"/>
    <w:qFormat/>
    <w:uiPriority w:val="0"/>
    <w:rPr>
      <w:rFonts w:ascii="Times New Roman" w:hAnsi="Times New Roman" w:eastAsia="MS Mincho" w:cs="Times New Roman"/>
      <w:sz w:val="20"/>
      <w:szCs w:val="24"/>
      <w:lang w:val="en-US"/>
    </w:rPr>
  </w:style>
  <w:style w:type="character" w:customStyle="1" w:styleId="29">
    <w:name w:val="页眉 字符1"/>
    <w:link w:val="18"/>
    <w:qFormat/>
    <w:uiPriority w:val="0"/>
    <w:rPr>
      <w:rFonts w:ascii="Arial" w:hAnsi="Arial" w:eastAsia="MS Mincho" w:cs="Times New Roman"/>
      <w:b/>
      <w:sz w:val="20"/>
      <w:szCs w:val="24"/>
      <w:lang w:val="en-US"/>
    </w:rPr>
  </w:style>
  <w:style w:type="character" w:customStyle="1" w:styleId="30">
    <w:name w:val="批注框文本 字符"/>
    <w:link w:val="12"/>
    <w:semiHidden/>
    <w:qFormat/>
    <w:uiPriority w:val="99"/>
    <w:rPr>
      <w:rFonts w:ascii="Tahoma" w:hAnsi="Tahoma" w:eastAsia="Times New Roman" w:cs="Tahoma"/>
      <w:sz w:val="16"/>
      <w:szCs w:val="16"/>
      <w:lang w:val="en-US"/>
    </w:rPr>
  </w:style>
  <w:style w:type="paragraph" w:customStyle="1" w:styleId="31">
    <w:name w:val="列表段落1"/>
    <w:basedOn w:val="1"/>
    <w:link w:val="35"/>
    <w:qFormat/>
    <w:uiPriority w:val="34"/>
    <w:pPr>
      <w:ind w:left="720"/>
      <w:contextualSpacing/>
    </w:pPr>
  </w:style>
  <w:style w:type="character" w:customStyle="1" w:styleId="32">
    <w:name w:val="批注文字 字符1"/>
    <w:link w:val="15"/>
    <w:qFormat/>
    <w:uiPriority w:val="0"/>
    <w:rPr>
      <w:rFonts w:ascii="Times New Roman" w:hAnsi="Times New Roman" w:eastAsia="Times New Roman" w:cs="Times New Roman"/>
      <w:sz w:val="20"/>
      <w:szCs w:val="20"/>
      <w:lang w:val="en-US"/>
    </w:rPr>
  </w:style>
  <w:style w:type="character" w:customStyle="1" w:styleId="33">
    <w:name w:val="批注主题 字符"/>
    <w:link w:val="16"/>
    <w:semiHidden/>
    <w:qFormat/>
    <w:uiPriority w:val="99"/>
    <w:rPr>
      <w:rFonts w:ascii="Times New Roman" w:hAnsi="Times New Roman" w:eastAsia="Times New Roman" w:cs="Times New Roman"/>
      <w:b/>
      <w:bCs/>
      <w:sz w:val="20"/>
      <w:szCs w:val="20"/>
      <w:lang w:val="en-US"/>
    </w:rPr>
  </w:style>
  <w:style w:type="character" w:customStyle="1" w:styleId="34">
    <w:name w:val="页脚 字符"/>
    <w:link w:val="17"/>
    <w:qFormat/>
    <w:uiPriority w:val="99"/>
    <w:rPr>
      <w:rFonts w:ascii="Times New Roman" w:hAnsi="Times New Roman" w:eastAsia="Times New Roman" w:cs="Times New Roman"/>
      <w:sz w:val="20"/>
      <w:szCs w:val="24"/>
      <w:lang w:val="en-US"/>
    </w:rPr>
  </w:style>
  <w:style w:type="character" w:customStyle="1" w:styleId="35">
    <w:name w:val="列表段落 字符"/>
    <w:link w:val="31"/>
    <w:qFormat/>
    <w:locked/>
    <w:uiPriority w:val="34"/>
    <w:rPr>
      <w:rFonts w:ascii="Times New Roman" w:hAnsi="Times New Roman" w:eastAsia="Times New Roman" w:cs="Times New Roman"/>
      <w:sz w:val="20"/>
      <w:szCs w:val="24"/>
      <w:lang w:val="en-US"/>
    </w:rPr>
  </w:style>
  <w:style w:type="paragraph" w:customStyle="1" w:styleId="36">
    <w:name w:val="TAL"/>
    <w:basedOn w:val="1"/>
    <w:link w:val="39"/>
    <w:qFormat/>
    <w:uiPriority w:val="0"/>
    <w:pPr>
      <w:keepNext/>
      <w:keepLines/>
    </w:pPr>
    <w:rPr>
      <w:rFonts w:ascii="Arial" w:hAnsi="Arial" w:eastAsia="Malgun Gothic"/>
      <w:sz w:val="18"/>
      <w:szCs w:val="20"/>
      <w:lang w:val="en-GB" w:eastAsia="zh-CN"/>
    </w:rPr>
  </w:style>
  <w:style w:type="paragraph" w:customStyle="1" w:styleId="37">
    <w:name w:val="TAH"/>
    <w:basedOn w:val="1"/>
    <w:link w:val="47"/>
    <w:qFormat/>
    <w:uiPriority w:val="0"/>
    <w:pPr>
      <w:keepNext/>
      <w:keepLines/>
      <w:jc w:val="center"/>
    </w:pPr>
    <w:rPr>
      <w:rFonts w:ascii="Arial" w:hAnsi="Arial" w:eastAsia="Malgun Gothic"/>
      <w:b/>
      <w:sz w:val="18"/>
      <w:szCs w:val="20"/>
      <w:lang w:val="en-GB" w:eastAsia="zh-CN"/>
    </w:rPr>
  </w:style>
  <w:style w:type="paragraph" w:customStyle="1" w:styleId="38">
    <w:name w:val="TH"/>
    <w:basedOn w:val="1"/>
    <w:link w:val="68"/>
    <w:qFormat/>
    <w:uiPriority w:val="0"/>
    <w:pPr>
      <w:keepNext/>
      <w:keepLines/>
      <w:spacing w:before="60" w:after="180"/>
      <w:jc w:val="center"/>
    </w:pPr>
    <w:rPr>
      <w:rFonts w:ascii="Arial" w:hAnsi="Arial" w:eastAsia="Malgun Gothic"/>
      <w:b/>
      <w:szCs w:val="20"/>
      <w:lang w:val="en-GB"/>
    </w:rPr>
  </w:style>
  <w:style w:type="character" w:customStyle="1" w:styleId="39">
    <w:name w:val="TAL Char"/>
    <w:link w:val="36"/>
    <w:qFormat/>
    <w:uiPriority w:val="0"/>
    <w:rPr>
      <w:rFonts w:ascii="Arial" w:hAnsi="Arial" w:eastAsia="Malgun Gothic" w:cs="Times New Roman"/>
      <w:sz w:val="18"/>
      <w:szCs w:val="20"/>
      <w:lang w:val="en-GB" w:eastAsia="zh-CN"/>
    </w:rPr>
  </w:style>
  <w:style w:type="character" w:customStyle="1" w:styleId="40">
    <w:name w:val="标题 8 字符"/>
    <w:link w:val="9"/>
    <w:qFormat/>
    <w:uiPriority w:val="9"/>
    <w:rPr>
      <w:rFonts w:ascii="Cambria" w:hAnsi="Cambria" w:eastAsia="宋体" w:cs="Times New Roman"/>
      <w:sz w:val="24"/>
      <w:szCs w:val="24"/>
      <w:lang w:val="en-US"/>
    </w:rPr>
  </w:style>
  <w:style w:type="character" w:customStyle="1" w:styleId="41">
    <w:name w:val="apple-converted-space"/>
    <w:qFormat/>
    <w:uiPriority w:val="0"/>
  </w:style>
  <w:style w:type="character" w:customStyle="1" w:styleId="42">
    <w:name w:val="high-light-bg"/>
    <w:qFormat/>
    <w:uiPriority w:val="0"/>
  </w:style>
  <w:style w:type="paragraph" w:customStyle="1" w:styleId="43">
    <w:name w:val="스타일 스타일 스타일 스타일 양쪽 첫 줄:  2 글자 + 첫 줄:  2 글자 + 첫 줄:  2 글자 + 첫 줄:  2..."/>
    <w:basedOn w:val="1"/>
    <w:link w:val="44"/>
    <w:qFormat/>
    <w:uiPriority w:val="0"/>
    <w:pPr>
      <w:spacing w:after="180" w:line="336" w:lineRule="auto"/>
      <w:ind w:firstLine="200" w:firstLineChars="200"/>
      <w:jc w:val="both"/>
    </w:pPr>
    <w:rPr>
      <w:rFonts w:eastAsia="Malgun Gothic" w:cs="Batang"/>
      <w:szCs w:val="20"/>
      <w:lang w:val="en-GB"/>
    </w:rPr>
  </w:style>
  <w:style w:type="character" w:customStyle="1" w:styleId="44">
    <w:name w:val="스타일 스타일 스타일 스타일 양쪽 첫 줄:  2 글자 + 첫 줄:  2 글자 + 첫 줄:  2 글자 + 첫 줄:  2... Char"/>
    <w:link w:val="43"/>
    <w:qFormat/>
    <w:uiPriority w:val="0"/>
    <w:rPr>
      <w:rFonts w:ascii="Times New Roman" w:hAnsi="Times New Roman" w:eastAsia="Malgun Gothic" w:cs="Batang"/>
      <w:lang w:val="en-GB" w:eastAsia="en-US"/>
    </w:rPr>
  </w:style>
  <w:style w:type="paragraph" w:customStyle="1" w:styleId="45">
    <w:name w:val="B1"/>
    <w:basedOn w:val="1"/>
    <w:link w:val="46"/>
    <w:qFormat/>
    <w:uiPriority w:val="0"/>
    <w:pPr>
      <w:spacing w:after="180"/>
      <w:ind w:left="568" w:hanging="284"/>
    </w:pPr>
    <w:rPr>
      <w:rFonts w:eastAsia="宋体"/>
      <w:szCs w:val="20"/>
      <w:lang w:val="en-GB"/>
    </w:rPr>
  </w:style>
  <w:style w:type="character" w:customStyle="1" w:styleId="46">
    <w:name w:val="B1 Char1"/>
    <w:link w:val="45"/>
    <w:qFormat/>
    <w:uiPriority w:val="0"/>
    <w:rPr>
      <w:rFonts w:ascii="Times New Roman" w:hAnsi="Times New Roman"/>
      <w:lang w:val="en-GB" w:eastAsia="en-US"/>
    </w:rPr>
  </w:style>
  <w:style w:type="character" w:customStyle="1" w:styleId="47">
    <w:name w:val="TAH Car"/>
    <w:link w:val="37"/>
    <w:qFormat/>
    <w:uiPriority w:val="0"/>
    <w:rPr>
      <w:rFonts w:ascii="Arial" w:hAnsi="Arial" w:eastAsia="Malgun Gothic"/>
      <w:b/>
      <w:sz w:val="18"/>
      <w:lang w:val="en-GB" w:eastAsia="zh-CN"/>
    </w:rPr>
  </w:style>
  <w:style w:type="paragraph" w:customStyle="1" w:styleId="48">
    <w:name w:val="TAC"/>
    <w:basedOn w:val="36"/>
    <w:link w:val="49"/>
    <w:qFormat/>
    <w:uiPriority w:val="0"/>
    <w:pPr>
      <w:jc w:val="center"/>
    </w:pPr>
    <w:rPr>
      <w:rFonts w:eastAsia="宋体"/>
      <w:lang w:eastAsia="en-US"/>
    </w:rPr>
  </w:style>
  <w:style w:type="character" w:customStyle="1" w:styleId="49">
    <w:name w:val="TAC Char"/>
    <w:link w:val="48"/>
    <w:qFormat/>
    <w:uiPriority w:val="0"/>
    <w:rPr>
      <w:rFonts w:ascii="Arial" w:hAnsi="Arial"/>
      <w:sz w:val="18"/>
      <w:lang w:val="en-GB" w:eastAsia="en-US"/>
    </w:rPr>
  </w:style>
  <w:style w:type="paragraph" w:customStyle="1" w:styleId="50">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1">
    <w:name w:val="gmail-msonormal"/>
    <w:basedOn w:val="1"/>
    <w:qFormat/>
    <w:uiPriority w:val="0"/>
    <w:pPr>
      <w:spacing w:before="100" w:beforeAutospacing="1" w:after="100" w:afterAutospacing="1"/>
    </w:pPr>
    <w:rPr>
      <w:rFonts w:eastAsia="宋体"/>
      <w:sz w:val="24"/>
      <w:lang w:eastAsia="zh-CN"/>
    </w:rPr>
  </w:style>
  <w:style w:type="paragraph" w:customStyle="1" w:styleId="52">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3">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5">
    <w:name w:val="text"/>
    <w:basedOn w:val="1"/>
    <w:link w:val="56"/>
    <w:qFormat/>
    <w:uiPriority w:val="0"/>
    <w:pPr>
      <w:widowControl w:val="0"/>
      <w:spacing w:after="240"/>
      <w:jc w:val="both"/>
    </w:pPr>
    <w:rPr>
      <w:rFonts w:ascii="Calibri" w:hAnsi="Calibri" w:eastAsia="宋体"/>
      <w:kern w:val="2"/>
      <w:sz w:val="24"/>
      <w:szCs w:val="20"/>
      <w:lang w:eastAsia="zh-CN"/>
    </w:rPr>
  </w:style>
  <w:style w:type="character" w:customStyle="1" w:styleId="56">
    <w:name w:val="text Char"/>
    <w:link w:val="55"/>
    <w:qFormat/>
    <w:uiPriority w:val="0"/>
    <w:rPr>
      <w:kern w:val="2"/>
      <w:sz w:val="24"/>
    </w:rPr>
  </w:style>
  <w:style w:type="paragraph" w:customStyle="1" w:styleId="57">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8">
    <w:name w:val="bullet1"/>
    <w:basedOn w:val="55"/>
    <w:link w:val="60"/>
    <w:qFormat/>
    <w:uiPriority w:val="0"/>
    <w:pPr>
      <w:widowControl/>
      <w:numPr>
        <w:ilvl w:val="0"/>
        <w:numId w:val="3"/>
      </w:numPr>
      <w:spacing w:after="0"/>
      <w:jc w:val="left"/>
    </w:pPr>
    <w:rPr>
      <w:szCs w:val="24"/>
      <w:lang w:val="en-GB"/>
    </w:rPr>
  </w:style>
  <w:style w:type="paragraph" w:customStyle="1" w:styleId="59">
    <w:name w:val="bullet2"/>
    <w:basedOn w:val="55"/>
    <w:qFormat/>
    <w:uiPriority w:val="0"/>
    <w:pPr>
      <w:widowControl/>
      <w:numPr>
        <w:ilvl w:val="1"/>
        <w:numId w:val="3"/>
      </w:numPr>
      <w:spacing w:after="0"/>
      <w:jc w:val="left"/>
    </w:pPr>
    <w:rPr>
      <w:rFonts w:ascii="Times" w:hAnsi="Times"/>
      <w:szCs w:val="24"/>
      <w:lang w:val="en-GB"/>
    </w:rPr>
  </w:style>
  <w:style w:type="character" w:customStyle="1" w:styleId="60">
    <w:name w:val="bullet1 Char"/>
    <w:link w:val="58"/>
    <w:qFormat/>
    <w:uiPriority w:val="0"/>
    <w:rPr>
      <w:kern w:val="2"/>
      <w:sz w:val="24"/>
      <w:szCs w:val="24"/>
      <w:lang w:val="en-GB"/>
    </w:rPr>
  </w:style>
  <w:style w:type="paragraph" w:customStyle="1" w:styleId="61">
    <w:name w:val="bullet3"/>
    <w:basedOn w:val="55"/>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2">
    <w:name w:val="bullet4"/>
    <w:basedOn w:val="55"/>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3">
    <w:name w:val="列出段落 Char1"/>
    <w:qFormat/>
    <w:uiPriority w:val="34"/>
  </w:style>
  <w:style w:type="paragraph" w:customStyle="1" w:styleId="64">
    <w:name w:val="PL"/>
    <w:link w:val="6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5">
    <w:name w:val="PL Char"/>
    <w:link w:val="64"/>
    <w:qFormat/>
    <w:uiPriority w:val="0"/>
    <w:rPr>
      <w:rFonts w:ascii="Courier New" w:hAnsi="Courier New" w:eastAsia="Batang"/>
      <w:sz w:val="16"/>
      <w:shd w:val="clear" w:color="auto" w:fill="E6E6E6"/>
      <w:lang w:val="en-GB" w:eastAsia="sv-SE"/>
    </w:rPr>
  </w:style>
  <w:style w:type="character" w:customStyle="1" w:styleId="66">
    <w:name w:val="TAL Car"/>
    <w:qFormat/>
    <w:uiPriority w:val="0"/>
    <w:rPr>
      <w:rFonts w:ascii="Arial" w:hAnsi="Arial" w:eastAsia="Times New Roman"/>
      <w:sz w:val="18"/>
      <w:lang w:val="zh-CN" w:eastAsia="zh-CN"/>
    </w:rPr>
  </w:style>
  <w:style w:type="paragraph" w:customStyle="1" w:styleId="67">
    <w:name w:val="CR Cover Page"/>
    <w:link w:val="77"/>
    <w:qFormat/>
    <w:uiPriority w:val="0"/>
    <w:pPr>
      <w:spacing w:after="120"/>
    </w:pPr>
    <w:rPr>
      <w:rFonts w:ascii="Arial" w:hAnsi="Arial" w:eastAsia="等线" w:cs="Times New Roman"/>
      <w:lang w:val="en-GB" w:eastAsia="en-US" w:bidi="ar-SA"/>
    </w:rPr>
  </w:style>
  <w:style w:type="character" w:customStyle="1" w:styleId="68">
    <w:name w:val="TH Char"/>
    <w:link w:val="38"/>
    <w:qFormat/>
    <w:uiPriority w:val="0"/>
    <w:rPr>
      <w:rFonts w:ascii="Arial" w:hAnsi="Arial" w:eastAsia="Malgun Gothic"/>
      <w:b/>
      <w:lang w:val="en-GB" w:eastAsia="en-US"/>
    </w:rPr>
  </w:style>
  <w:style w:type="paragraph" w:customStyle="1" w:styleId="69">
    <w:name w:val="LGTdoc_본문"/>
    <w:basedOn w:val="1"/>
    <w:link w:val="70"/>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70">
    <w:name w:val="LGTdoc_본문 Char"/>
    <w:link w:val="69"/>
    <w:qFormat/>
    <w:uiPriority w:val="0"/>
    <w:rPr>
      <w:rFonts w:ascii="Times New Roman" w:hAnsi="Times New Roman" w:eastAsia="Batang"/>
      <w:kern w:val="2"/>
      <w:sz w:val="22"/>
      <w:szCs w:val="24"/>
      <w:lang w:val="en-GB" w:eastAsia="ko-KR"/>
    </w:rPr>
  </w:style>
  <w:style w:type="paragraph" w:customStyle="1" w:styleId="71">
    <w:name w:val="Style1"/>
    <w:basedOn w:val="1"/>
    <w:link w:val="72"/>
    <w:qFormat/>
    <w:uiPriority w:val="0"/>
    <w:pPr>
      <w:spacing w:after="100" w:afterAutospacing="1" w:line="300" w:lineRule="auto"/>
      <w:ind w:firstLine="360"/>
      <w:contextualSpacing/>
      <w:jc w:val="both"/>
    </w:pPr>
    <w:rPr>
      <w:rFonts w:eastAsia="宋体"/>
      <w:szCs w:val="20"/>
      <w:lang w:eastAsia="zh-CN"/>
    </w:rPr>
  </w:style>
  <w:style w:type="character" w:customStyle="1" w:styleId="72">
    <w:name w:val="Style1 Char"/>
    <w:link w:val="71"/>
    <w:qFormat/>
    <w:uiPriority w:val="0"/>
    <w:rPr>
      <w:rFonts w:ascii="Times New Roman" w:hAnsi="Times New Roman"/>
    </w:rPr>
  </w:style>
  <w:style w:type="character" w:customStyle="1" w:styleId="73">
    <w:name w:val="列出段落 字符"/>
    <w:qFormat/>
    <w:locked/>
    <w:uiPriority w:val="34"/>
    <w:rPr>
      <w:rFonts w:eastAsia="宋体"/>
      <w:lang w:eastAsia="ja-JP"/>
    </w:rPr>
  </w:style>
  <w:style w:type="character" w:customStyle="1" w:styleId="74">
    <w:name w:val="页眉 字符"/>
    <w:qFormat/>
    <w:uiPriority w:val="0"/>
    <w:rPr>
      <w:lang w:val="en-GB"/>
    </w:rPr>
  </w:style>
  <w:style w:type="paragraph" w:customStyle="1" w:styleId="75">
    <w:name w:val="B3"/>
    <w:basedOn w:val="1"/>
    <w:link w:val="76"/>
    <w:qFormat/>
    <w:uiPriority w:val="0"/>
    <w:pPr>
      <w:spacing w:after="180"/>
      <w:ind w:left="1135" w:hanging="284"/>
    </w:pPr>
    <w:rPr>
      <w:rFonts w:eastAsia="宋体"/>
      <w:szCs w:val="20"/>
      <w:lang w:val="en-GB"/>
    </w:rPr>
  </w:style>
  <w:style w:type="character" w:customStyle="1" w:styleId="76">
    <w:name w:val="B3 Char"/>
    <w:link w:val="75"/>
    <w:qFormat/>
    <w:uiPriority w:val="0"/>
    <w:rPr>
      <w:rFonts w:ascii="Times New Roman" w:hAnsi="Times New Roman"/>
      <w:lang w:val="en-GB" w:eastAsia="en-US"/>
    </w:rPr>
  </w:style>
  <w:style w:type="character" w:customStyle="1" w:styleId="77">
    <w:name w:val="CR Cover Page Zchn"/>
    <w:link w:val="67"/>
    <w:qFormat/>
    <w:uiPriority w:val="0"/>
    <w:rPr>
      <w:rFonts w:ascii="Arial" w:hAnsi="Arial" w:eastAsia="等线"/>
      <w:lang w:val="en-GB" w:eastAsia="en-US"/>
    </w:rPr>
  </w:style>
  <w:style w:type="paragraph" w:customStyle="1" w:styleId="78">
    <w:name w:val="TAN"/>
    <w:basedOn w:val="36"/>
    <w:link w:val="80"/>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9">
    <w:name w:val="B1+"/>
    <w:basedOn w:val="45"/>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80">
    <w:name w:val="TAN Char"/>
    <w:link w:val="78"/>
    <w:qFormat/>
    <w:uiPriority w:val="0"/>
    <w:rPr>
      <w:rFonts w:ascii="Arial" w:hAnsi="Arial" w:eastAsia="Times New Roman"/>
      <w:sz w:val="18"/>
      <w:lang w:val="en-GB" w:eastAsia="en-GB"/>
    </w:rPr>
  </w:style>
  <w:style w:type="paragraph" w:customStyle="1" w:styleId="81">
    <w:name w:val="B3+"/>
    <w:basedOn w:val="75"/>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2">
    <w:name w:val="Proposal"/>
    <w:basedOn w:val="3"/>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3">
    <w:name w:val="目录 41"/>
    <w:basedOn w:val="84"/>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4">
    <w:name w:val="目录 31"/>
    <w:basedOn w:val="1"/>
    <w:next w:val="1"/>
    <w:unhideWhenUsed/>
    <w:qFormat/>
    <w:uiPriority w:val="39"/>
    <w:pPr>
      <w:ind w:left="840" w:leftChars="400"/>
    </w:pPr>
  </w:style>
  <w:style w:type="paragraph" w:customStyle="1" w:styleId="85">
    <w:name w:val="Doc-text2"/>
    <w:basedOn w:val="1"/>
    <w:link w:val="86"/>
    <w:qFormat/>
    <w:uiPriority w:val="0"/>
    <w:pPr>
      <w:tabs>
        <w:tab w:val="left" w:pos="1622"/>
      </w:tabs>
      <w:ind w:left="1622" w:hanging="363"/>
    </w:pPr>
    <w:rPr>
      <w:rFonts w:ascii="Arial" w:hAnsi="Arial" w:eastAsia="MS Mincho"/>
      <w:lang w:val="en-GB" w:eastAsia="en-GB"/>
    </w:rPr>
  </w:style>
  <w:style w:type="character" w:customStyle="1" w:styleId="86">
    <w:name w:val="Doc-text2 Char"/>
    <w:link w:val="85"/>
    <w:qFormat/>
    <w:uiPriority w:val="0"/>
    <w:rPr>
      <w:rFonts w:ascii="Arial" w:hAnsi="Arial" w:eastAsia="MS Mincho"/>
      <w:szCs w:val="24"/>
      <w:lang w:val="en-GB" w:eastAsia="en-GB"/>
    </w:rPr>
  </w:style>
  <w:style w:type="character" w:customStyle="1" w:styleId="87">
    <w:name w:val="批注文字 字符"/>
    <w:qFormat/>
    <w:uiPriority w:val="99"/>
  </w:style>
  <w:style w:type="paragraph" w:customStyle="1" w:styleId="88">
    <w:name w:val="B2"/>
    <w:basedOn w:val="20"/>
    <w:link w:val="89"/>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9">
    <w:name w:val="B2 Char"/>
    <w:link w:val="88"/>
    <w:qFormat/>
    <w:locked/>
    <w:uiPriority w:val="0"/>
    <w:rPr>
      <w:rFonts w:ascii="Times New Roman" w:hAnsi="Times New Roman" w:eastAsia="Times New Roman"/>
      <w:lang w:val="en-GB" w:eastAsia="en-GB"/>
    </w:rPr>
  </w:style>
  <w:style w:type="paragraph" w:customStyle="1" w:styleId="90">
    <w:name w:val="b110"/>
    <w:basedOn w:val="1"/>
    <w:uiPriority w:val="0"/>
    <w:pPr>
      <w:spacing w:before="75" w:after="75"/>
    </w:pPr>
    <w:rPr>
      <w:sz w:val="24"/>
      <w:lang w:eastAsia="zh-CN"/>
    </w:rPr>
  </w:style>
  <w:style w:type="table" w:customStyle="1" w:styleId="91">
    <w:name w:val="网格表 5 深色 - 着色 61"/>
    <w:basedOn w:val="11"/>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2">
    <w:name w:val="网格表 4 - 着色 61"/>
    <w:basedOn w:val="11"/>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3">
    <w:name w:val="NO"/>
    <w:basedOn w:val="1"/>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94">
    <w:name w:val="List Paragraph"/>
    <w:basedOn w:val="1"/>
    <w:link w:val="95"/>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5">
    <w:name w:val="列表段落 字符1"/>
    <w:link w:val="94"/>
    <w:qFormat/>
    <w:locked/>
    <w:uiPriority w:val="34"/>
    <w:rPr>
      <w:rFonts w:ascii="Times New Roman" w:hAnsi="Times New Roman"/>
      <w:lang w:val="en-GB" w:eastAsia="ja-JP"/>
    </w:rPr>
  </w:style>
  <w:style w:type="character" w:customStyle="1" w:styleId="96">
    <w:name w:val="标题 7 字符"/>
    <w:basedOn w:val="10"/>
    <w:link w:val="8"/>
    <w:semiHidden/>
    <w:qFormat/>
    <w:uiPriority w:val="9"/>
    <w:rPr>
      <w:rFonts w:ascii="Times New Roman" w:hAnsi="Times New Roman" w:eastAsia="Times New Roman"/>
      <w:b/>
      <w:bCs/>
      <w:sz w:val="24"/>
      <w:szCs w:val="24"/>
      <w:lang w:eastAsia="en-US"/>
    </w:rPr>
  </w:style>
  <w:style w:type="paragraph" w:customStyle="1" w:styleId="97">
    <w:name w:val="DECISION"/>
    <w:basedOn w:val="1"/>
    <w:qFormat/>
    <w:uiPriority w:val="0"/>
    <w:pPr>
      <w:widowControl w:val="0"/>
      <w:numPr>
        <w:ilvl w:val="0"/>
        <w:numId w:val="7"/>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table" w:customStyle="1" w:styleId="98">
    <w:name w:val="网格型1"/>
    <w:basedOn w:val="11"/>
    <w:semiHidden/>
    <w:unhideWhenUsed/>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A9295-37C6-4F43-9A42-5BAB1238D0E2}">
  <ds:schemaRefs/>
</ds:datastoreItem>
</file>

<file path=customXml/itemProps2.xml><?xml version="1.0" encoding="utf-8"?>
<ds:datastoreItem xmlns:ds="http://schemas.openxmlformats.org/officeDocument/2006/customXml" ds:itemID="{C7A31C13-1E5F-4293-987E-C5317BC82A96}">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2</Pages>
  <Words>405</Words>
  <Characters>2314</Characters>
  <Lines>19</Lines>
  <Paragraphs>5</Paragraphs>
  <TotalTime>3144</TotalTime>
  <ScaleCrop>false</ScaleCrop>
  <LinksUpToDate>false</LinksUpToDate>
  <CharactersWithSpaces>2714</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OPPO</cp:lastModifiedBy>
  <dcterms:modified xsi:type="dcterms:W3CDTF">2023-05-12T13:32:56Z</dcterms:modified>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DB6C24840ADB4F6ABC5E74BFF9C0002B</vt:lpwstr>
  </property>
</Properties>
</file>