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ascii="Times New Roman" w:hAnsi="Times New Roman" w:cs="Times New Roman"/>
          <w:b/>
          <w:bCs/>
          <w:sz w:val="22"/>
          <w:szCs w:val="22"/>
          <w:lang w:val="en-US" w:eastAsia="zh-CN"/>
        </w:rPr>
        <w:t>3</w:t>
      </w:r>
      <w:r>
        <w:rPr>
          <w:rFonts w:hint="default" w:ascii="Times New Roman" w:hAnsi="Times New Roman" w:cs="Times New Roman"/>
          <w:b/>
          <w:bCs/>
          <w:sz w:val="22"/>
          <w:szCs w:val="22"/>
        </w:rPr>
        <w:t xml:space="preserve">                                                                          </w:t>
      </w:r>
      <w:r>
        <w:rPr>
          <w:rFonts w:hint="default" w:ascii="Times New Roman" w:hAnsi="Times New Roman"/>
          <w:b/>
          <w:bCs/>
          <w:sz w:val="22"/>
          <w:szCs w:val="22"/>
          <w:highlight w:val="none"/>
        </w:rPr>
        <w:t>R1-2305432</w:t>
      </w:r>
    </w:p>
    <w:p>
      <w:pPr>
        <w:tabs>
          <w:tab w:val="center" w:pos="4536"/>
          <w:tab w:val="right" w:pos="9072"/>
        </w:tabs>
        <w:rPr>
          <w:rFonts w:hint="default" w:ascii="Times New Roman" w:hAnsi="Times New Roman" w:cs="Times New Roman"/>
          <w:b/>
          <w:bCs/>
          <w:sz w:val="24"/>
          <w:lang w:val="en-US" w:eastAsia="en-US"/>
        </w:rPr>
      </w:pPr>
      <w:r>
        <w:rPr>
          <w:rFonts w:hint="eastAsia" w:ascii="Times New Roman" w:hAnsi="Times New Roman" w:eastAsia="宋体" w:cs="Times New Roman"/>
          <w:b/>
          <w:bCs/>
          <w:sz w:val="22"/>
          <w:szCs w:val="22"/>
          <w:lang w:val="en-US" w:eastAsia="zh-CN"/>
        </w:rPr>
        <w:t>Incheon,</w:t>
      </w:r>
      <w:r>
        <w:rPr>
          <w:rFonts w:hint="default" w:ascii="Times New Roman" w:hAnsi="Times New Roman" w:eastAsia="宋体" w:cs="Times New Roman"/>
          <w:b/>
          <w:bCs/>
          <w:sz w:val="22"/>
          <w:szCs w:val="22"/>
          <w:lang w:val="en-US" w:eastAsia="zh-CN"/>
        </w:rPr>
        <w:t xml:space="preserve"> </w:t>
      </w:r>
      <w:r>
        <w:rPr>
          <w:rFonts w:hint="eastAsia" w:ascii="Times New Roman" w:hAnsi="Times New Roman" w:eastAsia="宋体" w:cs="Times New Roman"/>
          <w:b/>
          <w:bCs/>
          <w:sz w:val="22"/>
          <w:szCs w:val="22"/>
          <w:lang w:val="en-US" w:eastAsia="zh-CN"/>
        </w:rPr>
        <w:t>Korea</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ascii="Times New Roman" w:hAnsi="Times New Roman" w:cs="Times New Roman"/>
          <w:b/>
          <w:bCs/>
          <w:sz w:val="22"/>
          <w:szCs w:val="22"/>
          <w:lang w:val="en-US" w:eastAsia="zh-CN"/>
        </w:rPr>
        <w:t>May</w:t>
      </w:r>
      <w:r>
        <w:rPr>
          <w:rFonts w:hint="default" w:ascii="Times New Roman" w:hAnsi="Times New Roman" w:eastAsia="宋体" w:cs="Times New Roman"/>
          <w:b/>
          <w:bCs/>
          <w:sz w:val="22"/>
          <w:szCs w:val="22"/>
          <w:lang w:val="en-US" w:eastAsia="ja-JP"/>
        </w:rPr>
        <w:t xml:space="preserve"> </w:t>
      </w:r>
      <w:r>
        <w:rPr>
          <w:rFonts w:hint="eastAsia" w:ascii="Times New Roman" w:hAnsi="Times New Roman" w:cs="Times New Roman"/>
          <w:b/>
          <w:bCs/>
          <w:sz w:val="22"/>
          <w:szCs w:val="22"/>
          <w:lang w:val="en-US" w:eastAsia="zh-CN"/>
        </w:rPr>
        <w:t>22</w:t>
      </w:r>
      <w:r>
        <w:rPr>
          <w:rFonts w:hint="default" w:ascii="Times New Roman" w:hAnsi="Times New Roman" w:eastAsia="宋体" w:cs="Times New Roman"/>
          <w:b/>
          <w:bCs/>
          <w:sz w:val="22"/>
          <w:szCs w:val="22"/>
          <w:lang w:val="en-US" w:eastAsia="zh-CN"/>
        </w:rPr>
        <w:t>-26</w:t>
      </w:r>
      <w:r>
        <w:rPr>
          <w:rFonts w:hint="default" w:ascii="Times New Roman" w:hAnsi="Times New Roman" w:eastAsia="宋体" w:cs="Times New Roman"/>
          <w:b/>
          <w:bCs/>
          <w:sz w:val="22"/>
          <w:szCs w:val="22"/>
          <w:lang w:val="en-US" w:eastAsia="ja-JP"/>
        </w:rPr>
        <w:t>, 2023</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bookmarkStart w:id="1" w:name="_GoBack"/>
      <w:bookmarkEnd w:id="1"/>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sz w:val="22"/>
          <w:szCs w:val="22"/>
        </w:rPr>
        <w:t>Discussion on techniques in spatial and power domains</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7</w:t>
      </w:r>
      <w:r>
        <w:rPr>
          <w:rFonts w:hint="default"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1</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rPr>
          <w:rFonts w:eastAsia="等线"/>
          <w:szCs w:val="20"/>
          <w:lang w:eastAsia="zh-CN"/>
        </w:rPr>
      </w:pPr>
      <w:r>
        <w:rPr>
          <w:rFonts w:hint="eastAsia" w:eastAsia="等线"/>
          <w:szCs w:val="20"/>
          <w:lang w:eastAsia="zh-CN"/>
        </w:rPr>
        <w:t>I</w:t>
      </w:r>
      <w:r>
        <w:rPr>
          <w:rFonts w:eastAsia="等线"/>
          <w:szCs w:val="20"/>
          <w:lang w:eastAsia="zh-CN"/>
        </w:rPr>
        <w:t>n RAN</w:t>
      </w:r>
      <w:r>
        <w:rPr>
          <w:rFonts w:hint="eastAsia" w:eastAsia="等线"/>
          <w:szCs w:val="20"/>
          <w:lang w:eastAsia="zh-CN"/>
        </w:rPr>
        <w:t>P</w:t>
      </w:r>
      <w:r>
        <w:rPr>
          <w:rFonts w:eastAsia="等线"/>
          <w:szCs w:val="20"/>
          <w:lang w:eastAsia="zh-CN"/>
        </w:rPr>
        <w:t>#98 meeting, a new work item of “network energy savings for NR” is approved [1]. One objective of the work item is the following:</w:t>
      </w:r>
    </w:p>
    <w:p>
      <w:pPr>
        <w:numPr>
          <w:ilvl w:val="0"/>
          <w:numId w:val="7"/>
        </w:numPr>
        <w:spacing w:before="240" w:after="0"/>
        <w:rPr>
          <w:bCs/>
        </w:rPr>
      </w:pPr>
      <w:r>
        <w:rPr>
          <w:bCs/>
        </w:rPr>
        <w:t>Specify the following techniques in spatial and power domains</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8"/>
        </w:numPr>
        <w:spacing w:before="120" w:beforeLines="50" w:after="120" w:afterLines="50"/>
        <w:ind w:left="1049" w:hanging="329"/>
        <w:jc w:val="both"/>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8"/>
        </w:numPr>
        <w:spacing w:before="120" w:beforeLines="50" w:after="120" w:afterLines="50"/>
        <w:ind w:left="1049" w:hanging="329"/>
        <w:jc w:val="both"/>
        <w:rPr>
          <w:bCs/>
          <w:lang w:val="en-US" w:eastAsia="zh-CN"/>
        </w:rPr>
      </w:pPr>
      <w:r>
        <w:rPr>
          <w:bCs/>
          <w:lang w:val="en-US" w:eastAsia="zh-CN"/>
        </w:rPr>
        <w:t>Note: Above objectives are only for UE specific channels/signals</w:t>
      </w:r>
    </w:p>
    <w:p>
      <w:pPr>
        <w:numPr>
          <w:ilvl w:val="0"/>
          <w:numId w:val="8"/>
        </w:numPr>
        <w:spacing w:before="120" w:beforeLines="50" w:after="120" w:afterLines="50"/>
        <w:ind w:left="1049" w:hanging="329"/>
        <w:jc w:val="both"/>
        <w:rPr>
          <w:rFonts w:hint="eastAsia"/>
          <w:bCs/>
          <w:lang w:val="en-US" w:eastAsia="zh-CN"/>
        </w:rPr>
      </w:pPr>
      <w:r>
        <w:rPr>
          <w:bCs/>
          <w:lang w:val="en-US" w:eastAsia="zh-CN"/>
        </w:rPr>
        <w:t>Note: Legacy UE CSI/CSI-RS capabilities applies when considering total number of CSI reports and requirements</w:t>
      </w:r>
    </w:p>
    <w:p>
      <w:pPr>
        <w:pStyle w:val="14"/>
        <w:rPr>
          <w:rFonts w:hint="default" w:eastAsia="等线"/>
          <w:szCs w:val="20"/>
          <w:lang w:val="en-US" w:eastAsia="zh-CN"/>
        </w:rPr>
      </w:pPr>
      <w:r>
        <w:rPr>
          <w:rFonts w:hint="eastAsia" w:eastAsia="等线"/>
          <w:szCs w:val="20"/>
          <w:lang w:eastAsia="zh-CN"/>
        </w:rPr>
        <w:t>I</w:t>
      </w:r>
      <w:r>
        <w:rPr>
          <w:rFonts w:eastAsia="等线"/>
          <w:szCs w:val="20"/>
          <w:lang w:eastAsia="zh-CN"/>
        </w:rPr>
        <w:t xml:space="preserve">n this contribution, we provide our views on the potential enhancements on </w:t>
      </w:r>
      <w:r>
        <w:rPr>
          <w:rFonts w:hint="eastAsia" w:eastAsia="等线"/>
          <w:szCs w:val="20"/>
          <w:lang w:val="en-US" w:eastAsia="zh-CN"/>
        </w:rPr>
        <w:t>CSI measurement and reporting</w:t>
      </w:r>
      <w:r>
        <w:rPr>
          <w:rFonts w:eastAsia="等线"/>
          <w:szCs w:val="20"/>
          <w:lang w:eastAsia="zh-CN"/>
        </w:rPr>
        <w:t xml:space="preserve"> for </w:t>
      </w:r>
      <w:r>
        <w:rPr>
          <w:rFonts w:hint="eastAsia" w:eastAsia="等线"/>
          <w:szCs w:val="20"/>
          <w:lang w:val="en-US" w:eastAsia="zh-CN"/>
        </w:rPr>
        <w:t>network dynamic adaptation of spatial elements.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CSI resource configuration</w:t>
      </w:r>
    </w:p>
    <w:p>
      <w:pPr>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In last meeting, the following agreement was made: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b/>
                <w:bCs/>
                <w:szCs w:val="20"/>
                <w:highlight w:val="green"/>
              </w:rPr>
            </w:pPr>
            <w:r>
              <w:rPr>
                <w:b/>
                <w:bCs/>
                <w:szCs w:val="20"/>
                <w:highlight w:val="green"/>
              </w:rPr>
              <w:t>Agreement</w:t>
            </w:r>
          </w:p>
          <w:p>
            <w:pPr>
              <w:jc w:val="both"/>
              <w:rPr>
                <w:szCs w:val="20"/>
              </w:rPr>
            </w:pPr>
            <w:r>
              <w:rPr>
                <w:szCs w:val="20"/>
              </w:rPr>
              <w:t>Support configurability of NZP CSI-RS resource(s) for channel measurement within one resource setting corresponding to more than one spatial adaptation patterns with at least one of the following</w:t>
            </w:r>
          </w:p>
          <w:p>
            <w:pPr>
              <w:numPr>
                <w:ilvl w:val="0"/>
                <w:numId w:val="9"/>
              </w:numPr>
              <w:rPr>
                <w:bCs/>
                <w:lang w:val="en-US"/>
              </w:rPr>
            </w:pPr>
            <w:r>
              <w:rPr>
                <w:bCs/>
                <w:lang w:val="en-US"/>
              </w:rPr>
              <w:t>A1-1-revised: a resource set with multiple resources is configured within a resource setting, where each resource is associated with only one spatial adaptation pattern</w:t>
            </w:r>
          </w:p>
          <w:p>
            <w:pPr>
              <w:numPr>
                <w:ilvl w:val="0"/>
                <w:numId w:val="9"/>
              </w:numPr>
              <w:rPr>
                <w:bCs/>
                <w:lang w:val="en-US"/>
              </w:rPr>
            </w:pPr>
            <w:r>
              <w:rPr>
                <w:bCs/>
                <w:lang w:val="en-US"/>
              </w:rPr>
              <w:t>A1-2-revised: For a resource configured in a resource set within a resource setting, the resource can be associated with more than one spatial adaptation patterns</w:t>
            </w:r>
          </w:p>
          <w:p>
            <w:pPr>
              <w:pStyle w:val="67"/>
              <w:numPr>
                <w:ilvl w:val="1"/>
                <w:numId w:val="10"/>
              </w:numPr>
              <w:ind w:leftChars="0"/>
              <w:jc w:val="both"/>
              <w:rPr>
                <w:rFonts w:hint="default" w:eastAsia="宋体" w:cs="Times New Roman"/>
                <w:sz w:val="20"/>
                <w:szCs w:val="20"/>
                <w:highlight w:val="none"/>
                <w:vertAlign w:val="baseline"/>
                <w:lang w:val="en-US" w:eastAsia="zh-CN"/>
              </w:rPr>
            </w:pPr>
            <w:r>
              <w:rPr>
                <w:szCs w:val="20"/>
              </w:rPr>
              <w:t>One or more resources can be configured in the resource set for channel measurement.</w:t>
            </w:r>
          </w:p>
        </w:tc>
      </w:tr>
    </w:tbl>
    <w:p>
      <w:pPr>
        <w:rPr>
          <w:rFonts w:hint="default" w:eastAsia="宋体" w:cs="Times New Roman"/>
          <w:sz w:val="20"/>
          <w:szCs w:val="20"/>
          <w:highlight w:val="none"/>
          <w:lang w:val="en-US" w:eastAsia="zh-CN"/>
        </w:rPr>
      </w:pP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A1-1-revised, as there are multiple resources in a resource set and each resource is associated with only one spatial adaptation pattern, in order to support multi-SD pattern configuration, it should remove the legacy restriction for the resource set on the number of antenna ports, etc.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A1-2-revised, it is possible for the network to configure multiple SD pattens in one NZP-CSI-RS resource. Thus, the legacy restriction does not prevent from performing multi-CSI reporting. However, taking out this restriction may provide further flexibility.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1: At least for A1-1-revised, legacy alignment restriction among different NZP-CSI-RS resources within the same resource set should be taken away.</w:t>
      </w:r>
    </w:p>
    <w:p>
      <w:pPr>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CSI report configuration</w:t>
      </w:r>
    </w:p>
    <w:p>
      <w:pPr>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In last meeting, RAN1 has reached consensus on SP/AP CSI reporting, while P-CSI reporting is still pending.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b/>
                <w:bCs/>
                <w:szCs w:val="20"/>
                <w:highlight w:val="green"/>
                <w:lang w:val="en-US"/>
              </w:rPr>
            </w:pPr>
            <w:r>
              <w:rPr>
                <w:b/>
                <w:bCs/>
                <w:szCs w:val="20"/>
                <w:highlight w:val="green"/>
                <w:lang w:val="en-US"/>
              </w:rPr>
              <w:t>Agreement</w:t>
            </w:r>
          </w:p>
          <w:p>
            <w:pPr>
              <w:rPr>
                <w:bCs/>
                <w:szCs w:val="20"/>
                <w:lang w:val="en-US" w:eastAsia="zh-CN"/>
              </w:rPr>
            </w:pPr>
            <w:r>
              <w:rPr>
                <w:bCs/>
                <w:szCs w:val="20"/>
                <w:lang w:val="en-US" w:eastAsia="zh-CN"/>
              </w:rPr>
              <w:t xml:space="preserve">For a CSI report config with </w:t>
            </w:r>
            <w:r>
              <w:rPr>
                <w:bCs/>
                <w:i/>
                <w:szCs w:val="20"/>
                <w:lang w:val="en-US" w:eastAsia="zh-CN"/>
              </w:rPr>
              <w:t>L</w:t>
            </w:r>
            <w:r>
              <w:rPr>
                <w:bCs/>
                <w:szCs w:val="20"/>
                <w:lang w:val="en-US" w:eastAsia="zh-CN"/>
              </w:rPr>
              <w:t xml:space="preserve"> </w:t>
            </w:r>
            <w:r>
              <w:rPr>
                <w:bCs/>
                <w:szCs w:val="20"/>
                <w:lang w:val="en-US"/>
              </w:rPr>
              <w:t>sub-configuration(s)</w:t>
            </w:r>
            <w:r>
              <w:rPr>
                <w:bCs/>
                <w:szCs w:val="20"/>
                <w:lang w:val="en-US" w:eastAsia="zh-CN"/>
              </w:rPr>
              <w:t>,</w:t>
            </w:r>
            <w:r>
              <w:rPr>
                <w:rFonts w:hint="eastAsia"/>
                <w:bCs/>
                <w:szCs w:val="20"/>
                <w:lang w:val="en-US" w:eastAsia="zh-CN"/>
              </w:rPr>
              <w:t xml:space="preserve"> </w:t>
            </w:r>
            <w:r>
              <w:rPr>
                <w:bCs/>
                <w:szCs w:val="20"/>
                <w:lang w:val="en-US" w:eastAsia="zh-CN"/>
              </w:rPr>
              <w:t xml:space="preserve">support a framework that enables a UE to report </w:t>
            </w:r>
            <w:r>
              <w:rPr>
                <w:bCs/>
                <w:i/>
                <w:szCs w:val="20"/>
                <w:lang w:val="en-US" w:eastAsia="zh-CN"/>
              </w:rPr>
              <w:t>N</w:t>
            </w:r>
            <w:r>
              <w:rPr>
                <w:bCs/>
                <w:szCs w:val="20"/>
                <w:lang w:val="en-US" w:eastAsia="zh-CN"/>
              </w:rPr>
              <w:t xml:space="preserve"> CSI(s) in one reporting instance where the </w:t>
            </w:r>
            <w:r>
              <w:rPr>
                <w:bCs/>
                <w:i/>
                <w:szCs w:val="20"/>
                <w:lang w:val="en-US" w:eastAsia="zh-CN"/>
              </w:rPr>
              <w:t>N</w:t>
            </w:r>
            <w:r>
              <w:rPr>
                <w:bCs/>
                <w:szCs w:val="20"/>
                <w:lang w:val="en-US" w:eastAsia="zh-CN"/>
              </w:rPr>
              <w:t xml:space="preserve"> CSI(s) are associated with </w:t>
            </w:r>
            <w:r>
              <w:rPr>
                <w:bCs/>
                <w:i/>
                <w:szCs w:val="20"/>
                <w:lang w:val="en-US" w:eastAsia="zh-CN"/>
              </w:rPr>
              <w:t>N</w:t>
            </w:r>
            <w:r>
              <w:rPr>
                <w:bCs/>
                <w:szCs w:val="20"/>
                <w:lang w:val="en-US" w:eastAsia="zh-CN"/>
              </w:rPr>
              <w:t xml:space="preserve"> </w:t>
            </w:r>
            <w:r>
              <w:rPr>
                <w:bCs/>
                <w:szCs w:val="20"/>
                <w:lang w:val="en-US"/>
              </w:rPr>
              <w:t>sub-configuration</w:t>
            </w:r>
            <w:r>
              <w:rPr>
                <w:bCs/>
                <w:szCs w:val="20"/>
                <w:lang w:val="en-US" w:eastAsia="zh-CN"/>
              </w:rPr>
              <w:t xml:space="preserve">(s) from </w:t>
            </w:r>
            <w:r>
              <w:rPr>
                <w:bCs/>
                <w:i/>
                <w:szCs w:val="20"/>
                <w:lang w:val="en-US" w:eastAsia="zh-CN"/>
              </w:rPr>
              <w:t>L</w:t>
            </w:r>
            <w:r>
              <w:rPr>
                <w:bCs/>
                <w:szCs w:val="20"/>
                <w:lang w:val="en-US" w:eastAsia="zh-CN"/>
              </w:rPr>
              <w:t xml:space="preserve"> (where </w:t>
            </w:r>
            <w:r>
              <w:rPr>
                <w:bCs/>
                <w:szCs w:val="20"/>
                <w:lang w:val="en-US" w:eastAsia="zh-CN"/>
              </w:rPr>
              <w:fldChar w:fldCharType="begin"/>
            </w:r>
            <w:r>
              <w:rPr>
                <w:bCs/>
                <w:szCs w:val="20"/>
                <w:lang w:val="en-US" w:eastAsia="zh-CN"/>
              </w:rPr>
              <w:instrText xml:space="preserve"> QUOTE </w:instrText>
            </w:r>
            <w:r>
              <w:rPr>
                <w:bCs/>
                <w:position w:val="-5"/>
                <w:szCs w:val="20"/>
              </w:rPr>
              <w:pict>
                <v:shape id="_x0000_i1025" o:spt="75" type="#_x0000_t75" style="height:12pt;width: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bCs/>
                <w:szCs w:val="20"/>
                <w:lang w:val="en-US" w:eastAsia="zh-CN"/>
              </w:rPr>
              <w:instrText xml:space="preserve"> </w:instrText>
            </w:r>
            <w:r>
              <w:rPr>
                <w:bCs/>
                <w:szCs w:val="20"/>
                <w:lang w:val="en-US" w:eastAsia="zh-CN"/>
              </w:rPr>
              <w:fldChar w:fldCharType="separate"/>
            </w:r>
            <w:r>
              <w:rPr>
                <w:bCs/>
                <w:position w:val="-5"/>
                <w:szCs w:val="20"/>
              </w:rPr>
              <w:pict>
                <v:shape id="_x0000_i1026" o:spt="75" type="#_x0000_t75" style="height:11.5pt;width:4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3FD&quot;/&gt;&lt;wsp:rsid wsp:val=&quot;000049DC&quot;/&gt;&lt;wsp:rsid wsp:val=&quot;00006E91&quot;/&gt;&lt;wsp:rsid wsp:val=&quot;00010987&quot;/&gt;&lt;wsp:rsid wsp:val=&quot;00013BF4&quot;/&gt;&lt;wsp:rsid wsp:val=&quot;0001459F&quot;/&gt;&lt;wsp:rsid wsp:val=&quot;00014CCC&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37D08&quot;/&gt;&lt;wsp:rsid wsp:val=&quot;00042A86&quot;/&gt;&lt;wsp:rsid wsp:val=&quot;0005168E&quot;/&gt;&lt;wsp:rsid wsp:val=&quot;00052672&quot;/&gt;&lt;wsp:rsid wsp:val=&quot;00053611&quot;/&gt;&lt;wsp:rsid wsp:val=&quot;00054572&quot;/&gt;&lt;wsp:rsid wsp:val=&quot;00054DD5&quot;/&gt;&lt;wsp:rsid wsp:val=&quot;0006046C&quot;/&gt;&lt;wsp:rsid wsp:val=&quot;00060542&quot;/&gt;&lt;wsp:rsid wsp:val=&quot;000605DA&quot;/&gt;&lt;wsp:rsid wsp:val=&quot;00060FB0&quot;/&gt;&lt;wsp:rsid wsp:val=&quot;00064DD5&quot;/&gt;&lt;wsp:rsid wsp:val=&quot;00066DDB&quot;/&gt;&lt;wsp:rsid wsp:val=&quot;00070E52&quot;/&gt;&lt;wsp:rsid wsp:val=&quot;00071377&quot;/&gt;&lt;wsp:rsid wsp:val=&quot;00073953&quot;/&gt;&lt;wsp:rsid wsp:val=&quot;00073C45&quot;/&gt;&lt;wsp:rsid wsp:val=&quot;00074A3E&quot;/&gt;&lt;wsp:rsid wsp:val=&quot;00075AA9&quot;/&gt;&lt;wsp:rsid wsp:val=&quot;000764B3&quot;/&gt;&lt;wsp:rsid wsp:val=&quot;00076C50&quot;/&gt;&lt;wsp:rsid wsp:val=&quot;000809D1&quot;/&gt;&lt;wsp:rsid wsp:val=&quot;00083D4D&quot;/&gt;&lt;wsp:rsid wsp:val=&quot;000845D8&quot;/&gt;&lt;wsp:rsid wsp:val=&quot;00084952&quot;/&gt;&lt;wsp:rsid wsp:val=&quot;00084FA0&quot;/&gt;&lt;wsp:rsid wsp:val=&quot;00085529&quot;/&gt;&lt;wsp:rsid wsp:val=&quot;00085894&quot;/&gt;&lt;wsp:rsid wsp:val=&quot;00091BCB&quot;/&gt;&lt;wsp:rsid wsp:val=&quot;00091EC7&quot;/&gt;&lt;wsp:rsid wsp:val=&quot;00092439&quot;/&gt;&lt;wsp:rsid wsp:val=&quot;000942B3&quot;/&gt;&lt;wsp:rsid wsp:val=&quot;0009453F&quot;/&gt;&lt;wsp:rsid wsp:val=&quot;000A0641&quot;/&gt;&lt;wsp:rsid wsp:val=&quot;000A3D2A&quot;/&gt;&lt;wsp:rsid wsp:val=&quot;000B020A&quot;/&gt;&lt;wsp:rsid wsp:val=&quot;000B11A6&quot;/&gt;&lt;wsp:rsid wsp:val=&quot;000B2B55&quot;/&gt;&lt;wsp:rsid wsp:val=&quot;000B3882&quot;/&gt;&lt;wsp:rsid wsp:val=&quot;000B47E4&quot;/&gt;&lt;wsp:rsid wsp:val=&quot;000C256E&quot;/&gt;&lt;wsp:rsid wsp:val=&quot;000C2728&quot;/&gt;&lt;wsp:rsid wsp:val=&quot;000C3A8C&quot;/&gt;&lt;wsp:rsid wsp:val=&quot;000C6CE5&quot;/&gt;&lt;wsp:rsid wsp:val=&quot;000C748B&quot;/&gt;&lt;wsp:rsid wsp:val=&quot;000C74E2&quot;/&gt;&lt;wsp:rsid wsp:val=&quot;000D242E&quot;/&gt;&lt;wsp:rsid wsp:val=&quot;000D38C6&quot;/&gt;&lt;wsp:rsid wsp:val=&quot;000E414B&quot;/&gt;&lt;wsp:rsid wsp:val=&quot;000E4369&quot;/&gt;&lt;wsp:rsid wsp:val=&quot;000E474A&quot;/&gt;&lt;wsp:rsid wsp:val=&quot;000E4775&quot;/&gt;&lt;wsp:rsid wsp:val=&quot;000E57D4&quot;/&gt;&lt;wsp:rsid wsp:val=&quot;000E5BCB&quot;/&gt;&lt;wsp:rsid wsp:val=&quot;000E60B1&quot;/&gt;&lt;wsp:rsid wsp:val=&quot;000E67A5&quot;/&gt;&lt;wsp:rsid wsp:val=&quot;000F0DE2&quot;/&gt;&lt;wsp:rsid wsp:val=&quot;000F59FD&quot;/&gt;&lt;wsp:rsid wsp:val=&quot;000F6297&quot;/&gt;&lt;wsp:rsid wsp:val=&quot;000F6E45&quot;/&gt;&lt;wsp:rsid wsp:val=&quot;000F7932&quot;/&gt;&lt;wsp:rsid wsp:val=&quot;0010230E&quot;/&gt;&lt;wsp:rsid wsp:val=&quot;00103337&quot;/&gt;&lt;wsp:rsid wsp:val=&quot;001048D3&quot;/&gt;&lt;wsp:rsid wsp:val=&quot;00110775&quot;/&gt;&lt;wsp:rsid wsp:val=&quot;00111908&quot;/&gt;&lt;wsp:rsid wsp:val=&quot;001123B2&quot;/&gt;&lt;wsp:rsid wsp:val=&quot;00114C35&quot;/&gt;&lt;wsp:rsid wsp:val=&quot;00115382&quot;/&gt;&lt;wsp:rsid wsp:val=&quot;00116BC8&quot;/&gt;&lt;wsp:rsid wsp:val=&quot;00122942&quot;/&gt;&lt;wsp:rsid wsp:val=&quot;00131CB0&quot;/&gt;&lt;wsp:rsid wsp:val=&quot;00132598&quot;/&gt;&lt;wsp:rsid wsp:val=&quot;00132CBE&quot;/&gt;&lt;wsp:rsid wsp:val=&quot;00136628&quot;/&gt;&lt;wsp:rsid wsp:val=&quot;001435E4&quot;/&gt;&lt;wsp:rsid wsp:val=&quot;001435F8&quot;/&gt;&lt;wsp:rsid wsp:val=&quot;0014584C&quot;/&gt;&lt;wsp:rsid wsp:val=&quot;001459ED&quot;/&gt;&lt;wsp:rsid wsp:val=&quot;001537CA&quot;/&gt;&lt;wsp:rsid wsp:val=&quot;00155F7B&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0E7&quot;/&gt;&lt;wsp:rsid wsp:val=&quot;0017210B&quot;/&gt;&lt;wsp:rsid wsp:val=&quot;001755A8&quot;/&gt;&lt;wsp:rsid wsp:val=&quot;001757F1&quot;/&gt;&lt;wsp:rsid wsp:val=&quot;001777C6&quot;/&gt;&lt;wsp:rsid wsp:val=&quot;0018004F&quot;/&gt;&lt;wsp:rsid wsp:val=&quot;00181906&quot;/&gt;&lt;wsp:rsid wsp:val=&quot;00182437&quot;/&gt;&lt;wsp:rsid wsp:val=&quot;001845FF&quot;/&gt;&lt;wsp:rsid wsp:val=&quot;00184862&quot;/&gt;&lt;wsp:rsid wsp:val=&quot;001853A8&quot;/&gt;&lt;wsp:rsid wsp:val=&quot;00185FC9&quot;/&gt;&lt;wsp:rsid wsp:val=&quot;00186520&quot;/&gt;&lt;wsp:rsid wsp:val=&quot;00191C04&quot;/&gt;&lt;wsp:rsid wsp:val=&quot;00191F6B&quot;/&gt;&lt;wsp:rsid wsp:val=&quot;0019426E&quot;/&gt;&lt;wsp:rsid wsp:val=&quot;0019484A&quot;/&gt;&lt;wsp:rsid wsp:val=&quot;001A1026&quot;/&gt;&lt;wsp:rsid wsp:val=&quot;001A235A&quot;/&gt;&lt;wsp:rsid wsp:val=&quot;001A2EC9&quot;/&gt;&lt;wsp:rsid wsp:val=&quot;001A35F9&quot;/&gt;&lt;wsp:rsid wsp:val=&quot;001A68A2&quot;/&gt;&lt;wsp:rsid wsp:val=&quot;001B054C&quot;/&gt;&lt;wsp:rsid wsp:val=&quot;001B141B&quot;/&gt;&lt;wsp:rsid wsp:val=&quot;001B51E8&quot;/&gt;&lt;wsp:rsid wsp:val=&quot;001B7772&quot;/&gt;&lt;wsp:rsid wsp:val=&quot;001C3414&quot;/&gt;&lt;wsp:rsid wsp:val=&quot;001C40D9&quot;/&gt;&lt;wsp:rsid wsp:val=&quot;001C4602&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1F2E61&quot;/&gt;&lt;wsp:rsid wsp:val=&quot;00200142&quot;/&gt;&lt;wsp:rsid wsp:val=&quot;002023F2&quot;/&gt;&lt;wsp:rsid wsp:val=&quot;00202C71&quot;/&gt;&lt;wsp:rsid wsp:val=&quot;00202F67&quot;/&gt;&lt;wsp:rsid wsp:val=&quot;00205A7D&quot;/&gt;&lt;wsp:rsid wsp:val=&quot;00205F24&quot;/&gt;&lt;wsp:rsid wsp:val=&quot;0020638C&quot;/&gt;&lt;wsp:rsid wsp:val=&quot;00207C8A&quot;/&gt;&lt;wsp:rsid wsp:val=&quot;00211448&quot;/&gt;&lt;wsp:rsid wsp:val=&quot;00211B26&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E37&quot;/&gt;&lt;wsp:rsid wsp:val=&quot;002318A4&quot;/&gt;&lt;wsp:rsid wsp:val=&quot;0023597B&quot;/&gt;&lt;wsp:rsid wsp:val=&quot;00237671&quot;/&gt;&lt;wsp:rsid wsp:val=&quot;002403C8&quot;/&gt;&lt;wsp:rsid wsp:val=&quot;002418CB&quot;/&gt;&lt;wsp:rsid wsp:val=&quot;00243608&quot;/&gt;&lt;wsp:rsid wsp:val=&quot;00244169&quot;/&gt;&lt;wsp:rsid wsp:val=&quot;00246843&quot;/&gt;&lt;wsp:rsid wsp:val=&quot;0025466B&quot;/&gt;&lt;wsp:rsid wsp:val=&quot;002547DD&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1848&quot;/&gt;&lt;wsp:rsid wsp:val=&quot;00282066&quot;/&gt;&lt;wsp:rsid wsp:val=&quot;00282E2C&quot;/&gt;&lt;wsp:rsid wsp:val=&quot;00284FE0&quot;/&gt;&lt;wsp:rsid wsp:val=&quot;00290918&quot;/&gt;&lt;wsp:rsid wsp:val=&quot;002915D2&quot;/&gt;&lt;wsp:rsid wsp:val=&quot;00293C36&quot;/&gt;&lt;wsp:rsid wsp:val=&quot;00293C9F&quot;/&gt;&lt;wsp:rsid wsp:val=&quot;00293DB3&quot;/&gt;&lt;wsp:rsid wsp:val=&quot;0029433B&quot;/&gt;&lt;wsp:rsid wsp:val=&quot;00296C4D&quot;/&gt;&lt;wsp:rsid wsp:val=&quot;0029757E&quot;/&gt;&lt;wsp:rsid wsp:val=&quot;002975B2&quot;/&gt;&lt;wsp:rsid wsp:val=&quot;00297D6C&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B7D10&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1759&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3A0&quot;/&gt;&lt;wsp:rsid wsp:val=&quot;00345EEA&quot;/&gt;&lt;wsp:rsid wsp:val=&quot;00346BCE&quot;/&gt;&lt;wsp:rsid wsp:val=&quot;003521DB&quot;/&gt;&lt;wsp:rsid wsp:val=&quot;003544C1&quot;/&gt;&lt;wsp:rsid wsp:val=&quot;0035508C&quot;/&gt;&lt;wsp:rsid wsp:val=&quot;0036084B&quot;/&gt;&lt;wsp:rsid wsp:val=&quot;00363209&quot;/&gt;&lt;wsp:rsid wsp:val=&quot;003633E8&quot;/&gt;&lt;wsp:rsid wsp:val=&quot;003635A0&quot;/&gt;&lt;wsp:rsid wsp:val=&quot;003641EE&quot;/&gt;&lt;wsp:rsid wsp:val=&quot;00364947&quot;/&gt;&lt;wsp:rsid wsp:val=&quot;00364AB0&quot;/&gt;&lt;wsp:rsid wsp:val=&quot;00365093&quot;/&gt;&lt;wsp:rsid wsp:val=&quot;003653F4&quot;/&gt;&lt;wsp:rsid wsp:val=&quot;00365442&quot;/&gt;&lt;wsp:rsid wsp:val=&quot;00365691&quot;/&gt;&lt;wsp:rsid wsp:val=&quot;003713F7&quot;/&gt;&lt;wsp:rsid wsp:val=&quot;0037212B&quot;/&gt;&lt;wsp:rsid wsp:val=&quot;00372172&quot;/&gt;&lt;wsp:rsid wsp:val=&quot;00373044&quot;/&gt;&lt;wsp:rsid wsp:val=&quot;00374BF0&quot;/&gt;&lt;wsp:rsid wsp:val=&quot;00382901&quot;/&gt;&lt;wsp:rsid wsp:val=&quot;0038337A&quot;/&gt;&lt;wsp:rsid wsp:val=&quot;00383CF0&quot;/&gt;&lt;wsp:rsid wsp:val=&quot;003865DE&quot;/&gt;&lt;wsp:rsid wsp:val=&quot;00387D1C&quot;/&gt;&lt;wsp:rsid wsp:val=&quot;00392A3A&quot;/&gt;&lt;wsp:rsid wsp:val=&quot;003A135F&quot;/&gt;&lt;wsp:rsid wsp:val=&quot;003A3D2B&quot;/&gt;&lt;wsp:rsid wsp:val=&quot;003A4607&quot;/&gt;&lt;wsp:rsid wsp:val=&quot;003B0BF8&quot;/&gt;&lt;wsp:rsid wsp:val=&quot;003B33A8&quot;/&gt;&lt;wsp:rsid wsp:val=&quot;003B3DC0&quot;/&gt;&lt;wsp:rsid wsp:val=&quot;003B4D6F&quot;/&gt;&lt;wsp:rsid wsp:val=&quot;003B55C9&quot;/&gt;&lt;wsp:rsid wsp:val=&quot;003B5963&quot;/&gt;&lt;wsp:rsid wsp:val=&quot;003B6548&quot;/&gt;&lt;wsp:rsid wsp:val=&quot;003C359D&quot;/&gt;&lt;wsp:rsid wsp:val=&quot;003D33A8&quot;/&gt;&lt;wsp:rsid wsp:val=&quot;003D495D&quot;/&gt;&lt;wsp:rsid wsp:val=&quot;003E0305&quot;/&gt;&lt;wsp:rsid wsp:val=&quot;003E0A71&quot;/&gt;&lt;wsp:rsid wsp:val=&quot;003E154A&quot;/&gt;&lt;wsp:rsid wsp:val=&quot;003E5F41&quot;/&gt;&lt;wsp:rsid wsp:val=&quot;003E7642&quot;/&gt;&lt;wsp:rsid wsp:val=&quot;003F2F39&quot;/&gt;&lt;wsp:rsid wsp:val=&quot;003F4797&quot;/&gt;&lt;wsp:rsid wsp:val=&quot;003F47B5&quot;/&gt;&lt;wsp:rsid wsp:val=&quot;00400D21&quot;/&gt;&lt;wsp:rsid wsp:val=&quot;00403265&quot;/&gt;&lt;wsp:rsid wsp:val=&quot;00406E00&quot;/&gt;&lt;wsp:rsid wsp:val=&quot;00406F57&quot;/&gt;&lt;wsp:rsid wsp:val=&quot;004070AA&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3B51&quot;/&gt;&lt;wsp:rsid wsp:val=&quot;00434A72&quot;/&gt;&lt;wsp:rsid wsp:val=&quot;00437B5E&quot;/&gt;&lt;wsp:rsid wsp:val=&quot;00437BCB&quot;/&gt;&lt;wsp:rsid wsp:val=&quot;00443F5D&quot;/&gt;&lt;wsp:rsid wsp:val=&quot;00444BF2&quot;/&gt;&lt;wsp:rsid wsp:val=&quot;00445273&quot;/&gt;&lt;wsp:rsid wsp:val=&quot;00455581&quot;/&gt;&lt;wsp:rsid wsp:val=&quot;004557E4&quot;/&gt;&lt;wsp:rsid wsp:val=&quot;004604FD&quot;/&gt;&lt;wsp:rsid wsp:val=&quot;00460DBF&quot;/&gt;&lt;wsp:rsid wsp:val=&quot;00461FEE&quot;/&gt;&lt;wsp:rsid wsp:val=&quot;00462878&quot;/&gt;&lt;wsp:rsid wsp:val=&quot;00462B81&quot;/&gt;&lt;wsp:rsid wsp:val=&quot;00462BD0&quot;/&gt;&lt;wsp:rsid wsp:val=&quot;0046375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1345&quot;/&gt;&lt;wsp:rsid wsp:val=&quot;004A3FB8&quot;/&gt;&lt;wsp:rsid wsp:val=&quot;004A5270&quot;/&gt;&lt;wsp:rsid wsp:val=&quot;004A7E9C&quot;/&gt;&lt;wsp:rsid wsp:val=&quot;004B58E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189&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F1ED3&quot;/&gt;&lt;wsp:rsid wsp:val=&quot;004F3692&quot;/&gt;&lt;wsp:rsid wsp:val=&quot;004F5694&quot;/&gt;&lt;wsp:rsid wsp:val=&quot;004F7BC8&quot;/&gt;&lt;wsp:rsid wsp:val=&quot;0050737A&quot;/&gt;&lt;wsp:rsid wsp:val=&quot;00510343&quot;/&gt;&lt;wsp:rsid wsp:val=&quot;005104F5&quot;/&gt;&lt;wsp:rsid wsp:val=&quot;005111BD&quot;/&gt;&lt;wsp:rsid wsp:val=&quot;005121D4&quot;/&gt;&lt;wsp:rsid wsp:val=&quot;005138CC&quot;/&gt;&lt;wsp:rsid wsp:val=&quot;00514701&quot;/&gt;&lt;wsp:rsid wsp:val=&quot;00516177&quot;/&gt;&lt;wsp:rsid wsp:val=&quot;00520449&quot;/&gt;&lt;wsp:rsid wsp:val=&quot;00521FA7&quot;/&gt;&lt;wsp:rsid wsp:val=&quot;0052275A&quot;/&gt;&lt;wsp:rsid wsp:val=&quot;00524E96&quot;/&gt;&lt;wsp:rsid wsp:val=&quot;005250D1&quot;/&gt;&lt;wsp:rsid wsp:val=&quot;00533CEF&quot;/&gt;&lt;wsp:rsid wsp:val=&quot;005352A6&quot;/&gt;&lt;wsp:rsid wsp:val=&quot;005412E7&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66ADF&quot;/&gt;&lt;wsp:rsid wsp:val=&quot;005704A1&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4C61&quot;/&gt;&lt;wsp:rsid wsp:val=&quot;005B206B&quot;/&gt;&lt;wsp:rsid wsp:val=&quot;005B25BC&quot;/&gt;&lt;wsp:rsid wsp:val=&quot;005B2EE8&quot;/&gt;&lt;wsp:rsid wsp:val=&quot;005B374C&quot;/&gt;&lt;wsp:rsid wsp:val=&quot;005B4975&quot;/&gt;&lt;wsp:rsid wsp:val=&quot;005C3943&quot;/&gt;&lt;wsp:rsid wsp:val=&quot;005D08B4&quot;/&gt;&lt;wsp:rsid wsp:val=&quot;005D15B1&quot;/&gt;&lt;wsp:rsid wsp:val=&quot;005D23FC&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F64&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1F7D&quot;/&gt;&lt;wsp:rsid wsp:val=&quot;0065303B&quot;/&gt;&lt;wsp:rsid wsp:val=&quot;00653C59&quot;/&gt;&lt;wsp:rsid wsp:val=&quot;0066136D&quot;/&gt;&lt;wsp:rsid wsp:val=&quot;00664087&quot;/&gt;&lt;wsp:rsid wsp:val=&quot;006656BB&quot;/&gt;&lt;wsp:rsid wsp:val=&quot;00666238&quot;/&gt;&lt;wsp:rsid wsp:val=&quot;006675DF&quot;/&gt;&lt;wsp:rsid wsp:val=&quot;006714BF&quot;/&gt;&lt;wsp:rsid wsp:val=&quot;00673FC7&quot;/&gt;&lt;wsp:rsid wsp:val=&quot;0067522E&quot;/&gt;&lt;wsp:rsid wsp:val=&quot;00677819&quot;/&gt;&lt;wsp:rsid wsp:val=&quot;00683F5D&quot;/&gt;&lt;wsp:rsid wsp:val=&quot;006849AE&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D40&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980&quot;/&gt;&lt;wsp:rsid wsp:val=&quot;00722DBD&quot;/&gt;&lt;wsp:rsid wsp:val=&quot;00726297&quot;/&gt;&lt;wsp:rsid wsp:val=&quot;007333B3&quot;/&gt;&lt;wsp:rsid wsp:val=&quot;00735851&quot;/&gt;&lt;wsp:rsid wsp:val=&quot;00737671&quot;/&gt;&lt;wsp:rsid wsp:val=&quot;007413AD&quot;/&gt;&lt;wsp:rsid wsp:val=&quot;007436B8&quot;/&gt;&lt;wsp:rsid wsp:val=&quot;007528E0&quot;/&gt;&lt;wsp:rsid wsp:val=&quot;0075540E&quot;/&gt;&lt;wsp:rsid wsp:val=&quot;00756874&quot;/&gt;&lt;wsp:rsid wsp:val=&quot;00757025&quot;/&gt;&lt;wsp:rsid wsp:val=&quot;0075736E&quot;/&gt;&lt;wsp:rsid wsp:val=&quot;00757FA9&quot;/&gt;&lt;wsp:rsid wsp:val=&quot;007632C8&quot;/&gt;&lt;wsp:rsid wsp:val=&quot;00763C91&quot;/&gt;&lt;wsp:rsid wsp:val=&quot;00767B47&quot;/&gt;&lt;wsp:rsid wsp:val=&quot;00770DAF&quot;/&gt;&lt;wsp:rsid wsp:val=&quot;00774529&quot;/&gt;&lt;wsp:rsid wsp:val=&quot;00774F27&quot;/&gt;&lt;wsp:rsid wsp:val=&quot;007771B0&quot;/&gt;&lt;wsp:rsid wsp:val=&quot;00777298&quot;/&gt;&lt;wsp:rsid wsp:val=&quot;0078005E&quot;/&gt;&lt;wsp:rsid wsp:val=&quot;0078042E&quot;/&gt;&lt;wsp:rsid wsp:val=&quot;007811D3&quot;/&gt;&lt;wsp:rsid wsp:val=&quot;007822BE&quot;/&gt;&lt;wsp:rsid wsp:val=&quot;007831B0&quot;/&gt;&lt;wsp:rsid wsp:val=&quot;00784592&quot;/&gt;&lt;wsp:rsid wsp:val=&quot;00785E7F&quot;/&gt;&lt;wsp:rsid wsp:val=&quot;007860DD&quot;/&gt;&lt;wsp:rsid wsp:val=&quot;007861D4&quot;/&gt;&lt;wsp:rsid wsp:val=&quot;007864FE&quot;/&gt;&lt;wsp:rsid wsp:val=&quot;007872E5&quot;/&gt;&lt;wsp:rsid wsp:val=&quot;00792320&quot;/&gt;&lt;wsp:rsid wsp:val=&quot;007A1D87&quot;/&gt;&lt;wsp:rsid wsp:val=&quot;007A24A4&quot;/&gt;&lt;wsp:rsid wsp:val=&quot;007A6225&quot;/&gt;&lt;wsp:rsid wsp:val=&quot;007A6E1F&quot;/&gt;&lt;wsp:rsid wsp:val=&quot;007B21CE&quot;/&gt;&lt;wsp:rsid wsp:val=&quot;007B25A3&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2445&quot;/&gt;&lt;wsp:rsid wsp:val=&quot;007F55C9&quot;/&gt;&lt;wsp:rsid wsp:val=&quot;007F5957&quot;/&gt;&lt;wsp:rsid wsp:val=&quot;00800C0C&quot;/&gt;&lt;wsp:rsid wsp:val=&quot;00807555&quot;/&gt;&lt;wsp:rsid wsp:val=&quot;008120B3&quot;/&gt;&lt;wsp:rsid wsp:val=&quot;00813F2B&quot;/&gt;&lt;wsp:rsid wsp:val=&quot;00814487&quot;/&gt;&lt;wsp:rsid wsp:val=&quot;008171D7&quot;/&gt;&lt;wsp:rsid wsp:val=&quot;00827074&quot;/&gt;&lt;wsp:rsid wsp:val=&quot;00830CB6&quot;/&gt;&lt;wsp:rsid wsp:val=&quot;00832EF8&quot;/&gt;&lt;wsp:rsid wsp:val=&quot;00836BDE&quot;/&gt;&lt;wsp:rsid wsp:val=&quot;00837944&quot;/&gt;&lt;wsp:rsid wsp:val=&quot;00842958&quot;/&gt;&lt;wsp:rsid wsp:val=&quot;00845785&quot;/&gt;&lt;wsp:rsid wsp:val=&quot;0084726A&quot;/&gt;&lt;wsp:rsid wsp:val=&quot;00854556&quot;/&gt;&lt;wsp:rsid wsp:val=&quot;00857AD8&quot;/&gt;&lt;wsp:rsid wsp:val=&quot;008618F4&quot;/&gt;&lt;wsp:rsid wsp:val=&quot;00864E0E&quot;/&gt;&lt;wsp:rsid wsp:val=&quot;00865124&quot;/&gt;&lt;wsp:rsid wsp:val=&quot;00866CB5&quot;/&gt;&lt;wsp:rsid wsp:val=&quot;008679A8&quot;/&gt;&lt;wsp:rsid wsp:val=&quot;00872180&quot;/&gt;&lt;wsp:rsid wsp:val=&quot;0087282C&quot;/&gt;&lt;wsp:rsid wsp:val=&quot;00875268&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33D&quot;/&gt;&lt;wsp:rsid wsp:val=&quot;008B2BFE&quot;/&gt;&lt;wsp:rsid wsp:val=&quot;008B3A24&quot;/&gt;&lt;wsp:rsid wsp:val=&quot;008B3E19&quot;/&gt;&lt;wsp:rsid wsp:val=&quot;008B4981&quot;/&gt;&lt;wsp:rsid wsp:val=&quot;008C64D5&quot;/&gt;&lt;wsp:rsid wsp:val=&quot;008C655F&quot;/&gt;&lt;wsp:rsid wsp:val=&quot;008C753E&quot;/&gt;&lt;wsp:rsid wsp:val=&quot;008C7C86&quot;/&gt;&lt;wsp:rsid wsp:val=&quot;008D2F4B&quot;/&gt;&lt;wsp:rsid wsp:val=&quot;008D31DC&quot;/&gt;&lt;wsp:rsid wsp:val=&quot;008D32AD&quot;/&gt;&lt;wsp:rsid wsp:val=&quot;008D34CA&quot;/&gt;&lt;wsp:rsid wsp:val=&quot;008D5C57&quot;/&gt;&lt;wsp:rsid wsp:val=&quot;008D6A6F&quot;/&gt;&lt;wsp:rsid wsp:val=&quot;008D7005&quot;/&gt;&lt;wsp:rsid wsp:val=&quot;008D7C21&quot;/&gt;&lt;wsp:rsid wsp:val=&quot;008E24CD&quot;/&gt;&lt;wsp:rsid wsp:val=&quot;008E2992&quot;/&gt;&lt;wsp:rsid wsp:val=&quot;008E3830&quot;/&gt;&lt;wsp:rsid wsp:val=&quot;008F0060&quot;/&gt;&lt;wsp:rsid wsp:val=&quot;008F04BE&quot;/&gt;&lt;wsp:rsid wsp:val=&quot;008F621B&quot;/&gt;&lt;wsp:rsid wsp:val=&quot;008F7720&quot;/&gt;&lt;wsp:rsid wsp:val=&quot;008F7C25&quot;/&gt;&lt;wsp:rsid wsp:val=&quot;0090119C&quot;/&gt;&lt;wsp:rsid wsp:val=&quot;00901955&quot;/&gt;&lt;wsp:rsid wsp:val=&quot;00901F80&quot;/&gt;&lt;wsp:rsid wsp:val=&quot;009117D5&quot;/&gt;&lt;wsp:rsid wsp:val=&quot;009121B0&quot;/&gt;&lt;wsp:rsid wsp:val=&quot;0091240F&quot;/&gt;&lt;wsp:rsid wsp:val=&quot;0091254E&quot;/&gt;&lt;wsp:rsid wsp:val=&quot;0091338B&quot;/&gt;&lt;wsp:rsid wsp:val=&quot;009134B7&quot;/&gt;&lt;wsp:rsid wsp:val=&quot;00913DC6&quot;/&gt;&lt;wsp:rsid wsp:val=&quot;00914CB7&quot;/&gt;&lt;wsp:rsid wsp:val=&quot;009170A8&quot;/&gt;&lt;wsp:rsid wsp:val=&quot;009219A7&quot;/&gt;&lt;wsp:rsid wsp:val=&quot;009241EA&quot;/&gt;&lt;wsp:rsid wsp:val=&quot;00924E2C&quot;/&gt;&lt;wsp:rsid wsp:val=&quot;00925B5B&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66BC1&quot;/&gt;&lt;wsp:rsid wsp:val=&quot;009708C6&quot;/&gt;&lt;wsp:rsid wsp:val=&quot;00973FA2&quot;/&gt;&lt;wsp:rsid wsp:val=&quot;00974FA5&quot;/&gt;&lt;wsp:rsid wsp:val=&quot;00975877&quot;/&gt;&lt;wsp:rsid wsp:val=&quot;00981741&quot;/&gt;&lt;wsp:rsid wsp:val=&quot;00981D9F&quot;/&gt;&lt;wsp:rsid wsp:val=&quot;00983F11&quot;/&gt;&lt;wsp:rsid wsp:val=&quot;00985935&quot;/&gt;&lt;wsp:rsid wsp:val=&quot;00986B2F&quot;/&gt;&lt;wsp:rsid wsp:val=&quot;00991E82&quot;/&gt;&lt;wsp:rsid wsp:val=&quot;0099725D&quot;/&gt;&lt;wsp:rsid wsp:val=&quot;00997A05&quot;/&gt;&lt;wsp:rsid wsp:val=&quot;009A02D8&quot;/&gt;&lt;wsp:rsid wsp:val=&quot;009A0C36&quot;/&gt;&lt;wsp:rsid wsp:val=&quot;009A10FC&quot;/&gt;&lt;wsp:rsid wsp:val=&quot;009A4ABB&quot;/&gt;&lt;wsp:rsid wsp:val=&quot;009A5A09&quot;/&gt;&lt;wsp:rsid wsp:val=&quot;009A6F45&quot;/&gt;&lt;wsp:rsid wsp:val=&quot;009B1D77&quot;/&gt;&lt;wsp:rsid wsp:val=&quot;009B3214&quot;/&gt;&lt;wsp:rsid wsp:val=&quot;009B40EB&quot;/&gt;&lt;wsp:rsid wsp:val=&quot;009B64D0&quot;/&gt;&lt;wsp:rsid wsp:val=&quot;009B6B8E&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D36F7&quot;/&gt;&lt;wsp:rsid wsp:val=&quot;009D62E8&quot;/&gt;&lt;wsp:rsid wsp:val=&quot;009E111F&quot;/&gt;&lt;wsp:rsid wsp:val=&quot;009E2F39&quot;/&gt;&lt;wsp:rsid wsp:val=&quot;009E4A2A&quot;/&gt;&lt;wsp:rsid wsp:val=&quot;009E55B6&quot;/&gt;&lt;wsp:rsid wsp:val=&quot;009E6556&quot;/&gt;&lt;wsp:rsid wsp:val=&quot;009F1E10&quot;/&gt;&lt;wsp:rsid wsp:val=&quot;009F4C92&quot;/&gt;&lt;wsp:rsid wsp:val=&quot;009F4DFA&quot;/&gt;&lt;wsp:rsid wsp:val=&quot;009F4E30&quot;/&gt;&lt;wsp:rsid wsp:val=&quot;009F69FB&quot;/&gt;&lt;wsp:rsid wsp:val=&quot;00A03A4F&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4792C&quot;/&gt;&lt;wsp:rsid wsp:val=&quot;00A50973&quot;/&gt;&lt;wsp:rsid wsp:val=&quot;00A54C47&quot;/&gt;&lt;wsp:rsid wsp:val=&quot;00A66C42&quot;/&gt;&lt;wsp:rsid wsp:val=&quot;00A71D04&quot;/&gt;&lt;wsp:rsid wsp:val=&quot;00A7250F&quot;/&gt;&lt;wsp:rsid wsp:val=&quot;00A750A4&quot;/&gt;&lt;wsp:rsid wsp:val=&quot;00A80D3B&quot;/&gt;&lt;wsp:rsid wsp:val=&quot;00A819A7&quot;/&gt;&lt;wsp:rsid wsp:val=&quot;00A82A6D&quot;/&gt;&lt;wsp:rsid wsp:val=&quot;00A8462F&quot;/&gt;&lt;wsp:rsid wsp:val=&quot;00A9178E&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A78&quot;/&gt;&lt;wsp:rsid wsp:val=&quot;00AB1B52&quot;/&gt;&lt;wsp:rsid wsp:val=&quot;00AB2570&quot;/&gt;&lt;wsp:rsid wsp:val=&quot;00AB4C96&quot;/&gt;&lt;wsp:rsid wsp:val=&quot;00AB5C38&quot;/&gt;&lt;wsp:rsid wsp:val=&quot;00AC0708&quot;/&gt;&lt;wsp:rsid wsp:val=&quot;00AC0E73&quot;/&gt;&lt;wsp:rsid wsp:val=&quot;00AC278D&quot;/&gt;&lt;wsp:rsid wsp:val=&quot;00AC559B&quot;/&gt;&lt;wsp:rsid wsp:val=&quot;00AC632F&quot;/&gt;&lt;wsp:rsid wsp:val=&quot;00AC7187&quot;/&gt;&lt;wsp:rsid wsp:val=&quot;00AD1C5F&quot;/&gt;&lt;wsp:rsid wsp:val=&quot;00AD2B73&quot;/&gt;&lt;wsp:rsid wsp:val=&quot;00AD2F16&quot;/&gt;&lt;wsp:rsid wsp:val=&quot;00AD700A&quot;/&gt;&lt;wsp:rsid wsp:val=&quot;00AD7C0A&quot;/&gt;&lt;wsp:rsid wsp:val=&quot;00AE034F&quot;/&gt;&lt;wsp:rsid wsp:val=&quot;00AE508A&quot;/&gt;&lt;wsp:rsid wsp:val=&quot;00AE554F&quot;/&gt;&lt;wsp:rsid wsp:val=&quot;00AE7351&quot;/&gt;&lt;wsp:rsid wsp:val=&quot;00AF04E2&quot;/&gt;&lt;wsp:rsid wsp:val=&quot;00AF676F&quot;/&gt;&lt;wsp:rsid wsp:val=&quot;00AF6EBE&quot;/&gt;&lt;wsp:rsid wsp:val=&quot;00B056F1&quot;/&gt;&lt;wsp:rsid wsp:val=&quot;00B057B7&quot;/&gt;&lt;wsp:rsid wsp:val=&quot;00B100FD&quot;/&gt;&lt;wsp:rsid wsp:val=&quot;00B112C6&quot;/&gt;&lt;wsp:rsid wsp:val=&quot;00B12D07&quot;/&gt;&lt;wsp:rsid wsp:val=&quot;00B14DA6&quot;/&gt;&lt;wsp:rsid wsp:val=&quot;00B20627&quot;/&gt;&lt;wsp:rsid wsp:val=&quot;00B210A5&quot;/&gt;&lt;wsp:rsid wsp:val=&quot;00B236CD&quot;/&gt;&lt;wsp:rsid wsp:val=&quot;00B23921&quot;/&gt;&lt;wsp:rsid wsp:val=&quot;00B261AA&quot;/&gt;&lt;wsp:rsid wsp:val=&quot;00B26221&quot;/&gt;&lt;wsp:rsid wsp:val=&quot;00B26C27&quot;/&gt;&lt;wsp:rsid wsp:val=&quot;00B32143&quot;/&gt;&lt;wsp:rsid wsp:val=&quot;00B32B26&quot;/&gt;&lt;wsp:rsid wsp:val=&quot;00B33182&quot;/&gt;&lt;wsp:rsid wsp:val=&quot;00B34F32&quot;/&gt;&lt;wsp:rsid wsp:val=&quot;00B40D93&quot;/&gt;&lt;wsp:rsid wsp:val=&quot;00B471ED&quot;/&gt;&lt;wsp:rsid wsp:val=&quot;00B51372&quot;/&gt;&lt;wsp:rsid wsp:val=&quot;00B53EB9&quot;/&gt;&lt;wsp:rsid wsp:val=&quot;00B56F65&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4FD4&quot;/&gt;&lt;wsp:rsid wsp:val=&quot;00B67102&quot;/&gt;&lt;wsp:rsid wsp:val=&quot;00B671A8&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97C4A&quot;/&gt;&lt;wsp:rsid wsp:val=&quot;00BA3C76&quot;/&gt;&lt;wsp:rsid wsp:val=&quot;00BA6926&quot;/&gt;&lt;wsp:rsid wsp:val=&quot;00BA74B0&quot;/&gt;&lt;wsp:rsid wsp:val=&quot;00BB0DD4&quot;/&gt;&lt;wsp:rsid wsp:val=&quot;00BB470F&quot;/&gt;&lt;wsp:rsid wsp:val=&quot;00BC0B79&quot;/&gt;&lt;wsp:rsid wsp:val=&quot;00BC1A78&quot;/&gt;&lt;wsp:rsid wsp:val=&quot;00BC3145&quot;/&gt;&lt;wsp:rsid wsp:val=&quot;00BC3D43&quot;/&gt;&lt;wsp:rsid wsp:val=&quot;00BC5D8B&quot;/&gt;&lt;wsp:rsid wsp:val=&quot;00BC6C62&quot;/&gt;&lt;wsp:rsid wsp:val=&quot;00BC75B5&quot;/&gt;&lt;wsp:rsid wsp:val=&quot;00BD15B5&quot;/&gt;&lt;wsp:rsid wsp:val=&quot;00BD4762&quot;/&gt;&lt;wsp:rsid wsp:val=&quot;00BD563B&quot;/&gt;&lt;wsp:rsid wsp:val=&quot;00BD5E6D&quot;/&gt;&lt;wsp:rsid wsp:val=&quot;00BE2C64&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3725D&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57C83&quot;/&gt;&lt;wsp:rsid wsp:val=&quot;00C603D9&quot;/&gt;&lt;wsp:rsid wsp:val=&quot;00C61CDC&quot;/&gt;&lt;wsp:rsid wsp:val=&quot;00C6529A&quot;/&gt;&lt;wsp:rsid wsp:val=&quot;00C654A4&quot;/&gt;&lt;wsp:rsid wsp:val=&quot;00C658C8&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6F4&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6AC&quot;/&gt;&lt;wsp:rsid wsp:val=&quot;00CC4FB3&quot;/&gt;&lt;wsp:rsid wsp:val=&quot;00CC5365&quot;/&gt;&lt;wsp:rsid wsp:val=&quot;00CC58B9&quot;/&gt;&lt;wsp:rsid wsp:val=&quot;00CD1153&quot;/&gt;&lt;wsp:rsid wsp:val=&quot;00CD1D60&quot;/&gt;&lt;wsp:rsid wsp:val=&quot;00CD660F&quot;/&gt;&lt;wsp:rsid wsp:val=&quot;00CE0AA2&quot;/&gt;&lt;wsp:rsid wsp:val=&quot;00CE35EA&quot;/&gt;&lt;wsp:rsid wsp:val=&quot;00CE4A18&quot;/&gt;&lt;wsp:rsid wsp:val=&quot;00CE5A2B&quot;/&gt;&lt;wsp:rsid wsp:val=&quot;00CE5A78&quot;/&gt;&lt;wsp:rsid wsp:val=&quot;00CF2307&quot;/&gt;&lt;wsp:rsid wsp:val=&quot;00CF43FB&quot;/&gt;&lt;wsp:rsid wsp:val=&quot;00CF5C56&quot;/&gt;&lt;wsp:rsid wsp:val=&quot;00CF6ADC&quot;/&gt;&lt;wsp:rsid wsp:val=&quot;00CF7E6B&quot;/&gt;&lt;wsp:rsid wsp:val=&quot;00D0102E&quot;/&gt;&lt;wsp:rsid wsp:val=&quot;00D0138D&quot;/&gt;&lt;wsp:rsid wsp:val=&quot;00D01AA8&quot;/&gt;&lt;wsp:rsid wsp:val=&quot;00D02D0D&quot;/&gt;&lt;wsp:rsid wsp:val=&quot;00D033F5&quot;/&gt;&lt;wsp:rsid wsp:val=&quot;00D03F12&quot;/&gt;&lt;wsp:rsid wsp:val=&quot;00D04DC8&quot;/&gt;&lt;wsp:rsid wsp:val=&quot;00D1164E&quot;/&gt;&lt;wsp:rsid wsp:val=&quot;00D1230E&quot;/&gt;&lt;wsp:rsid wsp:val=&quot;00D1420E&quot;/&gt;&lt;wsp:rsid wsp:val=&quot;00D15FAF&quot;/&gt;&lt;wsp:rsid wsp:val=&quot;00D20049&quot;/&gt;&lt;wsp:rsid wsp:val=&quot;00D26D98&quot;/&gt;&lt;wsp:rsid wsp:val=&quot;00D327B2&quot;/&gt;&lt;wsp:rsid wsp:val=&quot;00D33FC5&quot;/&gt;&lt;wsp:rsid wsp:val=&quot;00D344BC&quot;/&gt;&lt;wsp:rsid wsp:val=&quot;00D3573B&quot;/&gt;&lt;wsp:rsid wsp:val=&quot;00D42AEC&quot;/&gt;&lt;wsp:rsid wsp:val=&quot;00D43CBF&quot;/&gt;&lt;wsp:rsid wsp:val=&quot;00D5711F&quot;/&gt;&lt;wsp:rsid wsp:val=&quot;00D602A5&quot;/&gt;&lt;wsp:rsid wsp:val=&quot;00D60B06&quot;/&gt;&lt;wsp:rsid wsp:val=&quot;00D65E80&quot;/&gt;&lt;wsp:rsid wsp:val=&quot;00D66373&quot;/&gt;&lt;wsp:rsid wsp:val=&quot;00D6781B&quot;/&gt;&lt;wsp:rsid wsp:val=&quot;00D71069&quot;/&gt;&lt;wsp:rsid wsp:val=&quot;00D77C20&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370&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119C3&quot;/&gt;&lt;wsp:rsid wsp:val=&quot;00E12C21&quot;/&gt;&lt;wsp:rsid wsp:val=&quot;00E149B9&quot;/&gt;&lt;wsp:rsid wsp:val=&quot;00E20710&quot;/&gt;&lt;wsp:rsid wsp:val=&quot;00E20892&quot;/&gt;&lt;wsp:rsid wsp:val=&quot;00E229DC&quot;/&gt;&lt;wsp:rsid wsp:val=&quot;00E2627F&quot;/&gt;&lt;wsp:rsid wsp:val=&quot;00E27090&quot;/&gt;&lt;wsp:rsid wsp:val=&quot;00E27BB1&quot;/&gt;&lt;wsp:rsid wsp:val=&quot;00E32B54&quot;/&gt;&lt;wsp:rsid wsp:val=&quot;00E32BEE&quot;/&gt;&lt;wsp:rsid wsp:val=&quot;00E40238&quot;/&gt;&lt;wsp:rsid wsp:val=&quot;00E404E9&quot;/&gt;&lt;wsp:rsid wsp:val=&quot;00E41ED4&quot;/&gt;&lt;wsp:rsid wsp:val=&quot;00E435D3&quot;/&gt;&lt;wsp:rsid wsp:val=&quot;00E46490&quot;/&gt;&lt;wsp:rsid wsp:val=&quot;00E47AC8&quot;/&gt;&lt;wsp:rsid wsp:val=&quot;00E47BF3&quot;/&gt;&lt;wsp:rsid wsp:val=&quot;00E47C53&quot;/&gt;&lt;wsp:rsid wsp:val=&quot;00E524D0&quot;/&gt;&lt;wsp:rsid wsp:val=&quot;00E57A30&quot;/&gt;&lt;wsp:rsid wsp:val=&quot;00E64A49&quot;/&gt;&lt;wsp:rsid wsp:val=&quot;00E64CFA&quot;/&gt;&lt;wsp:rsid wsp:val=&quot;00E65AF3&quot;/&gt;&lt;wsp:rsid wsp:val=&quot;00E66D5D&quot;/&gt;&lt;wsp:rsid wsp:val=&quot;00E67062&quot;/&gt;&lt;wsp:rsid wsp:val=&quot;00E67715&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4609&quot;/&gt;&lt;wsp:rsid wsp:val=&quot;00EA5498&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1C7D&quot;/&gt;&lt;wsp:rsid wsp:val=&quot;00ED2DFB&quot;/&gt;&lt;wsp:rsid wsp:val=&quot;00ED2E01&quot;/&gt;&lt;wsp:rsid wsp:val=&quot;00ED55AE&quot;/&gt;&lt;wsp:rsid wsp:val=&quot;00ED5F21&quot;/&gt;&lt;wsp:rsid wsp:val=&quot;00EE172C&quot;/&gt;&lt;wsp:rsid wsp:val=&quot;00EE1DB6&quot;/&gt;&lt;wsp:rsid wsp:val=&quot;00EF1AAC&quot;/&gt;&lt;wsp:rsid wsp:val=&quot;00EF3910&quot;/&gt;&lt;wsp:rsid wsp:val=&quot;00EF4F07&quot;/&gt;&lt;wsp:rsid wsp:val=&quot;00EF5D6F&quot;/&gt;&lt;wsp:rsid wsp:val=&quot;00EF6036&quot;/&gt;&lt;wsp:rsid wsp:val=&quot;00EF6F11&quot;/&gt;&lt;wsp:rsid wsp:val=&quot;00EF78F6&quot;/&gt;&lt;wsp:rsid wsp:val=&quot;00F000D6&quot;/&gt;&lt;wsp:rsid wsp:val=&quot;00F0023E&quot;/&gt;&lt;wsp:rsid wsp:val=&quot;00F01CD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62CF&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6BBA&quot;/&gt;&lt;wsp:rsid wsp:val=&quot;00F76D70&quot;/&gt;&lt;wsp:rsid wsp:val=&quot;00F775DF&quot;/&gt;&lt;wsp:rsid wsp:val=&quot;00F82E18&quot;/&gt;&lt;wsp:rsid wsp:val=&quot;00F83F84&quot;/&gt;&lt;wsp:rsid wsp:val=&quot;00F84466&quot;/&gt;&lt;wsp:rsid wsp:val=&quot;00F85221&quot;/&gt;&lt;wsp:rsid wsp:val=&quot;00F8638F&quot;/&gt;&lt;wsp:rsid wsp:val=&quot;00F91B6E&quot;/&gt;&lt;wsp:rsid wsp:val=&quot;00F9253D&quot;/&gt;&lt;wsp:rsid wsp:val=&quot;00F92A66&quot;/&gt;&lt;wsp:rsid wsp:val=&quot;00F93A50&quot;/&gt;&lt;wsp:rsid wsp:val=&quot;00F95794&quot;/&gt;&lt;wsp:rsid wsp:val=&quot;00F962C8&quot;/&gt;&lt;wsp:rsid wsp:val=&quot;00F9692E&quot;/&gt;&lt;wsp:rsid wsp:val=&quot;00FA41C3&quot;/&gt;&lt;wsp:rsid wsp:val=&quot;00FB02B8&quot;/&gt;&lt;wsp:rsid wsp:val=&quot;00FB0F0E&quot;/&gt;&lt;wsp:rsid wsp:val=&quot;00FB1020&quot;/&gt;&lt;wsp:rsid wsp:val=&quot;00FB3626&quot;/&gt;&lt;wsp:rsid wsp:val=&quot;00FB3721&quot;/&gt;&lt;wsp:rsid wsp:val=&quot;00FB4A78&quot;/&gt;&lt;wsp:rsid wsp:val=&quot;00FB6A34&quot;/&gt;&lt;wsp:rsid wsp:val=&quot;00FC0178&quot;/&gt;&lt;wsp:rsid wsp:val=&quot;00FC5ED3&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881&quot;/&gt;&lt;wsp:rsid wsp:val=&quot;00FD4BCF&quot;/&gt;&lt;wsp:rsid wsp:val=&quot;00FE1FEE&quot;/&gt;&lt;wsp:rsid wsp:val=&quot;00FE6A52&quot;/&gt;&lt;wsp:rsid wsp:val=&quot;00FF45F8&quot;/&gt;&lt;wsp:rsid wsp:val=&quot;00FF4845&quot;/&gt;&lt;/wsp:rsids&gt;&lt;/w:docPr&gt;&lt;w:body&gt;&lt;wx:sect&gt;&lt;w:p wsp:rsidR=&quot;00000000&quot; wsp:rsidRDefault=&quot;00B26C27&quot; wsp:rsidP=&quot;00B26C27&quot;&gt;&lt;m:oMathPara&gt;&lt;m:oMath&gt;&lt;m:r&gt;&lt;m:rPr&gt;&lt;m:sty m:val=&quot;b&quot;/&gt;&lt;/m:rPr&gt;&lt;w:rPr&gt;&lt;w:rFonts w:ascii=&quot;Cambria Math&quot; w:h-ansi=&quot;Cambria Math&quot;/&gt;&lt;wx:font wx:val=&quot;Cambria Math&quot;/&gt;&lt;w:b/&gt;&lt;w:lang w:val=&quot;EN-US&quot; w:fareast=&quot;ZH-CN&quot;/&gt;&lt;/w:rPr&gt;&lt;m:t&gt;1≤&lt;/m:t&gt;&lt;/m:r&gt;&lt;m:r&gt;&lt;m:rPr&gt;&lt;m:sty m:val=&quot;bi&quot;/&gt;&lt;/m:rPr&gt;&lt;w:rPr&gt;&lt;w:rFonts w:ascii=&quot;Cambria Math&quot; w:h-ansi=&quot;Cambria Math&quot;/&gt;&lt;wx:font wx:val=&quot;Cambria Math&quot;/&gt;&lt;w:b/&gt;&lt;w:i/&gt;&lt;w:lang w:val=&quot;EN-US&quot; w:fareast=&quot;ZH-CN&quot;/&gt;&lt;/w:rPr&gt;&lt;m:t&gt;N&lt;/m:t&gt;&lt;/m:r&gt;&lt;m:r&gt;&lt;m:rPr&gt;&lt;m:sty m:val=&quot;b&quot;/&gt;&lt;/m:rPr&gt;&lt;w:rPr&gt;&lt;w:rFonts w:ascii=&quot;Cambria Math&quot; w:h-ansi=&quot;Cambria Math&quot;/&gt;&lt;wx:font wx:val=&quot;Cambria Math&quot;/&gt;&lt;w:b/&gt;&lt;w:lang w:val=&quot;EN-US&quot; w:fareast=&quot;ZH-CN&quot;/&gt;&lt;/w:rPr&gt;&lt;m:t&gt;≤&lt;/m:t&gt;&lt;/m:r&gt;&lt;m:r&gt;&lt;m:rPr&gt;&lt;m:sty m:val=&quot;bi&quot;/&gt;&lt;/m:rPr&gt;&lt;w:rPr&gt;&lt;w:rFonts w:ascii=&quot;Cambria Math&quot; w:h-ansi=&quot;Cambria Math&quot;/&gt;&lt;wx:font wx:val=&quot;Cambria Math&quot;/&gt;&lt;w:b/&gt;&lt;w:i/&gt;&lt;w:lang w:val=&quot;EN-US&quot; w:fareast=&quot;ZH-CN&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bCs/>
                <w:szCs w:val="20"/>
                <w:lang w:val="en-US" w:eastAsia="zh-CN"/>
              </w:rPr>
              <w:fldChar w:fldCharType="end"/>
            </w:r>
            <w:r>
              <w:rPr>
                <w:bCs/>
                <w:szCs w:val="20"/>
                <w:lang w:val="en-US" w:eastAsia="zh-CN"/>
              </w:rPr>
              <w:t xml:space="preserve">) and each CSI corresponds to one </w:t>
            </w:r>
            <w:r>
              <w:rPr>
                <w:bCs/>
                <w:szCs w:val="20"/>
                <w:lang w:val="en-US"/>
              </w:rPr>
              <w:t>sub-configuration</w:t>
            </w:r>
            <w:r>
              <w:rPr>
                <w:bCs/>
                <w:szCs w:val="20"/>
                <w:lang w:val="en-US" w:eastAsia="zh-CN"/>
              </w:rPr>
              <w:t>.</w:t>
            </w:r>
          </w:p>
          <w:p>
            <w:pPr>
              <w:pStyle w:val="67"/>
              <w:numPr>
                <w:ilvl w:val="0"/>
                <w:numId w:val="9"/>
              </w:numPr>
              <w:ind w:leftChars="0"/>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pPr>
              <w:pStyle w:val="67"/>
              <w:numPr>
                <w:ilvl w:val="0"/>
                <w:numId w:val="9"/>
              </w:numPr>
              <w:ind w:leftChars="0"/>
              <w:rPr>
                <w:bCs/>
                <w:lang w:val="en-US" w:eastAsia="zh-CN"/>
              </w:rPr>
            </w:pPr>
            <w:r>
              <w:rPr>
                <w:bCs/>
                <w:lang w:val="en-US" w:eastAsia="zh-CN"/>
              </w:rPr>
              <w:t>For Semi-persistent/Aperiodic CSI reporting, support gNB trigger/indicate/activate report of N≤L CSIs where N&gt;=1</w:t>
            </w:r>
          </w:p>
          <w:p>
            <w:pPr>
              <w:pStyle w:val="67"/>
              <w:numPr>
                <w:ilvl w:val="0"/>
                <w:numId w:val="9"/>
              </w:numPr>
              <w:ind w:leftChars="0"/>
              <w:rPr>
                <w:bCs/>
                <w:lang w:val="en-US" w:eastAsia="zh-CN"/>
              </w:rPr>
            </w:pPr>
            <w:r>
              <w:rPr>
                <w:bCs/>
                <w:lang w:val="en-US" w:eastAsia="zh-CN"/>
              </w:rPr>
              <w:t>The maximum value of N and L are subject to UE capability</w:t>
            </w:r>
          </w:p>
          <w:p>
            <w:pPr>
              <w:pStyle w:val="67"/>
              <w:numPr>
                <w:ilvl w:val="0"/>
                <w:numId w:val="9"/>
              </w:numPr>
              <w:ind w:leftChars="0"/>
              <w:rPr>
                <w:bCs/>
                <w:lang w:val="en-US" w:eastAsia="zh-CN"/>
              </w:rPr>
            </w:pPr>
            <w:r>
              <w:rPr>
                <w:bCs/>
                <w:lang w:val="en-US" w:eastAsia="zh-CN"/>
              </w:rPr>
              <w:t>Further study how to address/minimize additional UE complexity</w:t>
            </w:r>
          </w:p>
          <w:p>
            <w:pPr>
              <w:rPr>
                <w:bCs/>
                <w:szCs w:val="20"/>
                <w:lang w:val="en-US" w:eastAsia="zh-CN"/>
              </w:rPr>
            </w:pPr>
            <w:r>
              <w:rPr>
                <w:bCs/>
                <w:szCs w:val="20"/>
                <w:lang w:val="en-US" w:eastAsia="zh-CN"/>
              </w:rPr>
              <w:t>The following bullet was not agreed due to objection from Apple and vivo</w:t>
            </w:r>
          </w:p>
          <w:p>
            <w:pPr>
              <w:pStyle w:val="67"/>
              <w:numPr>
                <w:ilvl w:val="0"/>
                <w:numId w:val="9"/>
              </w:numPr>
              <w:ind w:leftChars="0"/>
              <w:rPr>
                <w:rFonts w:hint="eastAsia" w:eastAsia="宋体" w:cs="Times New Roman"/>
                <w:sz w:val="20"/>
                <w:szCs w:val="20"/>
                <w:highlight w:val="none"/>
                <w:vertAlign w:val="baseline"/>
                <w:lang w:val="en-US" w:eastAsia="zh-CN"/>
              </w:rPr>
            </w:pPr>
            <w:r>
              <w:rPr>
                <w:bCs/>
                <w:lang w:val="en-US" w:eastAsia="zh-CN"/>
              </w:rPr>
              <w:t>For Periodic CSI reporting, at least the case of N=L is supported where N&gt;=1</w:t>
            </w:r>
          </w:p>
        </w:tc>
      </w:tr>
    </w:tbl>
    <w:p>
      <w:pPr>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  </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For P-CSI reporting, the main concern from some companies is the UE complexity. It is true though by setting N=1, L&gt;1, can still allow the network collect multi-CSI information from single CSI report configuration. However, in order to support periodic multi-CSI reporting while still address the UE complexity issue and overhead issue (due to limited resource of PUCCH), we can limit the maximum number of N=2.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=2. </w:t>
      </w:r>
    </w:p>
    <w:p>
      <w:pPr>
        <w:jc w:val="both"/>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Moreover, for the report sub-configuration design, the following agreement was achieved in last meeting, i.e.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b/>
                <w:highlight w:val="green"/>
              </w:rPr>
            </w:pPr>
            <w:r>
              <w:rPr>
                <w:b/>
                <w:highlight w:val="green"/>
              </w:rPr>
              <w:t>Agreement</w:t>
            </w:r>
          </w:p>
          <w:p>
            <w:pPr>
              <w:rPr>
                <w:lang w:val="en-US" w:eastAsia="zh-CN"/>
              </w:rPr>
            </w:pPr>
            <w:r>
              <w:rPr>
                <w:rFonts w:hint="eastAsia"/>
                <w:lang w:val="en-US" w:eastAsia="zh-CN"/>
              </w:rPr>
              <w:t>For</w:t>
            </w:r>
            <w:r>
              <w:rPr>
                <w:lang w:val="en-US" w:eastAsia="zh-CN"/>
              </w:rPr>
              <w:t xml:space="preserve"> </w:t>
            </w:r>
            <w:r>
              <w:rPr>
                <w:rFonts w:hint="eastAsia"/>
                <w:lang w:val="en-US" w:eastAsia="zh-CN"/>
              </w:rPr>
              <w:t>CSI</w:t>
            </w:r>
            <w:r>
              <w:rPr>
                <w:lang w:val="en-US" w:eastAsia="zh-CN"/>
              </w:rPr>
              <w:t xml:space="preserve"> </w:t>
            </w:r>
            <w:r>
              <w:rPr>
                <w:rFonts w:hint="eastAsia"/>
                <w:lang w:val="en-US" w:eastAsia="zh-CN"/>
              </w:rPr>
              <w:t>report</w:t>
            </w:r>
            <w:r>
              <w:rPr>
                <w:lang w:val="en-US" w:eastAsia="zh-CN"/>
              </w:rPr>
              <w:t xml:space="preserve"> configuration, if L&gt;1 in a CSI report configuration, at least the following can be included for each sub-configuration for Type 1 SD adaptation</w:t>
            </w:r>
          </w:p>
          <w:p>
            <w:pPr>
              <w:pStyle w:val="67"/>
              <w:numPr>
                <w:ilvl w:val="0"/>
                <w:numId w:val="11"/>
              </w:numPr>
              <w:ind w:leftChars="0"/>
              <w:contextualSpacing/>
              <w:jc w:val="both"/>
              <w:rPr>
                <w:rFonts w:eastAsia="MS Mincho"/>
                <w:lang w:eastAsia="ja-JP"/>
              </w:rPr>
            </w:pPr>
            <w:r>
              <w:rPr>
                <w:rFonts w:hint="eastAsia" w:eastAsia="MS Mincho"/>
                <w:lang w:eastAsia="ja-JP"/>
              </w:rPr>
              <w:t>N</w:t>
            </w:r>
            <w:r>
              <w:rPr>
                <w:rFonts w:eastAsia="MS Mincho"/>
                <w:lang w:eastAsia="ja-JP"/>
              </w:rPr>
              <w:t>1, N2 for single-panel and N1, N2, N</w:t>
            </w:r>
            <w:r>
              <w:rPr>
                <w:rFonts w:hint="eastAsia" w:eastAsia="MS Mincho"/>
                <w:lang w:eastAsia="ja-JP"/>
              </w:rPr>
              <w:t>g</w:t>
            </w:r>
            <w:r>
              <w:rPr>
                <w:rFonts w:eastAsia="MS Mincho"/>
                <w:lang w:eastAsia="ja-JP"/>
              </w:rPr>
              <w:t xml:space="preserve"> for multi-panel</w:t>
            </w:r>
          </w:p>
          <w:p>
            <w:pPr>
              <w:pStyle w:val="67"/>
              <w:numPr>
                <w:ilvl w:val="1"/>
                <w:numId w:val="11"/>
              </w:numPr>
              <w:ind w:leftChars="0"/>
              <w:contextualSpacing/>
              <w:jc w:val="both"/>
              <w:rPr>
                <w:rFonts w:eastAsia="MS Mincho"/>
                <w:lang w:eastAsia="ja-JP"/>
              </w:rPr>
            </w:pPr>
            <w:r>
              <w:rPr>
                <w:lang w:eastAsia="zh-CN"/>
              </w:rPr>
              <w:t>FFS: details on explicit indication or implicit derivation</w:t>
            </w:r>
          </w:p>
          <w:p>
            <w:pPr>
              <w:pStyle w:val="67"/>
              <w:numPr>
                <w:ilvl w:val="0"/>
                <w:numId w:val="11"/>
              </w:numPr>
              <w:ind w:leftChars="0"/>
              <w:contextualSpacing/>
              <w:jc w:val="both"/>
              <w:rPr>
                <w:rFonts w:eastAsia="MS Mincho"/>
                <w:lang w:eastAsia="ja-JP"/>
              </w:rPr>
            </w:pPr>
            <w:r>
              <w:rPr>
                <w:rFonts w:eastAsia="MS Mincho"/>
                <w:lang w:eastAsia="ja-JP"/>
              </w:rPr>
              <w:t>Port subset indication when A1-2 is used (if A1-2 is supported)</w:t>
            </w:r>
          </w:p>
          <w:p>
            <w:pPr>
              <w:pStyle w:val="67"/>
              <w:numPr>
                <w:ilvl w:val="1"/>
                <w:numId w:val="11"/>
              </w:numPr>
              <w:ind w:leftChars="0"/>
              <w:contextualSpacing/>
              <w:jc w:val="both"/>
              <w:rPr>
                <w:rFonts w:eastAsia="MS Mincho"/>
                <w:lang w:eastAsia="ja-JP"/>
              </w:rPr>
            </w:pPr>
            <w:r>
              <w:rPr>
                <w:lang w:eastAsia="zh-CN"/>
              </w:rPr>
              <w:t xml:space="preserve">FFS: </w:t>
            </w:r>
            <w:r>
              <w:rPr>
                <w:rFonts w:eastAsia="MS Mincho"/>
                <w:lang w:eastAsia="ja-JP"/>
              </w:rPr>
              <w:t>details on explicit indication or implicit derivation</w:t>
            </w:r>
          </w:p>
          <w:p>
            <w:pPr>
              <w:pStyle w:val="67"/>
              <w:numPr>
                <w:ilvl w:val="0"/>
                <w:numId w:val="11"/>
              </w:numPr>
              <w:ind w:leftChars="0"/>
              <w:contextualSpacing/>
              <w:jc w:val="both"/>
              <w:rPr>
                <w:rFonts w:eastAsia="MS Mincho"/>
                <w:lang w:eastAsia="ja-JP"/>
              </w:rPr>
            </w:pPr>
            <w:r>
              <w:rPr>
                <w:rFonts w:eastAsia="MS Mincho"/>
                <w:lang w:eastAsia="ja-JP"/>
              </w:rPr>
              <w:t xml:space="preserve">FFS: </w:t>
            </w:r>
            <w:r>
              <w:rPr>
                <w:rFonts w:hint="eastAsia" w:eastAsia="MS Mincho"/>
                <w:lang w:eastAsia="ja-JP"/>
              </w:rPr>
              <w:t>r</w:t>
            </w:r>
            <w:r>
              <w:rPr>
                <w:rFonts w:eastAsia="MS Mincho"/>
                <w:lang w:eastAsia="ja-JP"/>
              </w:rPr>
              <w:t>ank restriction</w:t>
            </w:r>
          </w:p>
          <w:p>
            <w:pPr>
              <w:pStyle w:val="67"/>
              <w:numPr>
                <w:ilvl w:val="0"/>
                <w:numId w:val="11"/>
              </w:numPr>
              <w:ind w:leftChars="0"/>
              <w:contextualSpacing/>
              <w:jc w:val="both"/>
              <w:rPr>
                <w:rFonts w:eastAsia="MS Mincho"/>
                <w:lang w:eastAsia="ja-JP"/>
              </w:rPr>
            </w:pPr>
            <w:r>
              <w:rPr>
                <w:rFonts w:eastAsia="MS Mincho"/>
                <w:lang w:eastAsia="ja-JP"/>
              </w:rPr>
              <w:t>FFS: codebook subset restriction</w:t>
            </w:r>
          </w:p>
          <w:p>
            <w:pPr>
              <w:pStyle w:val="67"/>
              <w:numPr>
                <w:ilvl w:val="0"/>
                <w:numId w:val="11"/>
              </w:numPr>
              <w:ind w:leftChars="0"/>
              <w:contextualSpacing/>
              <w:jc w:val="both"/>
              <w:rPr>
                <w:rFonts w:eastAsia="MS Mincho"/>
                <w:lang w:eastAsia="ja-JP"/>
              </w:rPr>
            </w:pPr>
            <w:r>
              <w:rPr>
                <w:rFonts w:hint="eastAsia" w:eastAsia="MS Mincho"/>
                <w:lang w:eastAsia="ja-JP"/>
              </w:rPr>
              <w:t>F</w:t>
            </w:r>
            <w:r>
              <w:rPr>
                <w:rFonts w:eastAsia="MS Mincho"/>
                <w:lang w:eastAsia="ja-JP"/>
              </w:rPr>
              <w:t>FS: supported codebook types for PMI, e.g., Type-I or Type-II</w:t>
            </w:r>
          </w:p>
          <w:p>
            <w:pPr>
              <w:pStyle w:val="67"/>
              <w:numPr>
                <w:ilvl w:val="0"/>
                <w:numId w:val="11"/>
              </w:numPr>
              <w:ind w:leftChars="0"/>
              <w:contextualSpacing/>
              <w:jc w:val="both"/>
              <w:rPr>
                <w:rFonts w:eastAsia="MS Mincho"/>
                <w:lang w:eastAsia="ja-JP"/>
              </w:rPr>
            </w:pPr>
            <w:r>
              <w:rPr>
                <w:rFonts w:eastAsia="MS Mincho"/>
                <w:lang w:eastAsia="ja-JP"/>
              </w:rPr>
              <w:t>FFS: report quantity</w:t>
            </w:r>
          </w:p>
          <w:p>
            <w:pPr>
              <w:pStyle w:val="67"/>
              <w:numPr>
                <w:ilvl w:val="0"/>
                <w:numId w:val="11"/>
              </w:numPr>
              <w:ind w:leftChars="0"/>
              <w:contextualSpacing/>
              <w:jc w:val="both"/>
              <w:rPr>
                <w:rFonts w:eastAsia="MS Mincho"/>
                <w:lang w:eastAsia="ja-JP"/>
              </w:rPr>
            </w:pPr>
            <w:r>
              <w:rPr>
                <w:rFonts w:hint="eastAsia" w:eastAsia="MS Mincho"/>
                <w:lang w:eastAsia="ja-JP"/>
              </w:rPr>
              <w:t>F</w:t>
            </w:r>
            <w:r>
              <w:rPr>
                <w:rFonts w:eastAsia="MS Mincho"/>
                <w:lang w:eastAsia="ja-JP"/>
              </w:rPr>
              <w:t>FS: reportFreqConfiguration</w:t>
            </w:r>
          </w:p>
          <w:p>
            <w:pPr>
              <w:pStyle w:val="67"/>
              <w:numPr>
                <w:ilvl w:val="0"/>
                <w:numId w:val="11"/>
              </w:numPr>
              <w:ind w:leftChars="0"/>
              <w:contextualSpacing/>
              <w:jc w:val="both"/>
              <w:rPr>
                <w:rFonts w:eastAsia="MS Mincho"/>
                <w:lang w:eastAsia="ja-JP"/>
              </w:rPr>
            </w:pPr>
            <w:r>
              <w:rPr>
                <w:rFonts w:eastAsia="MS Mincho"/>
                <w:lang w:eastAsia="ja-JP"/>
              </w:rPr>
              <w:t>FFS: Group identity of NZP CSI-RS resource(s) in a resource set for channel measurement when A1-1 is used</w:t>
            </w:r>
          </w:p>
          <w:p>
            <w:pPr>
              <w:rPr>
                <w:rFonts w:hint="default" w:eastAsia="宋体" w:cs="Times New Roman"/>
                <w:b w:val="0"/>
                <w:bCs w:val="0"/>
                <w:sz w:val="20"/>
                <w:szCs w:val="20"/>
                <w:highlight w:val="none"/>
                <w:vertAlign w:val="baseline"/>
                <w:lang w:val="en-US" w:eastAsia="zh-CN"/>
              </w:rPr>
            </w:pPr>
            <w:r>
              <w:rPr>
                <w:rFonts w:hint="eastAsia"/>
                <w:lang w:val="en-US" w:eastAsia="zh-CN"/>
              </w:rPr>
              <w:t>For</w:t>
            </w:r>
            <w:r>
              <w:rPr>
                <w:lang w:val="en-US" w:eastAsia="zh-CN"/>
              </w:rPr>
              <w:t xml:space="preserve"> </w:t>
            </w:r>
            <w:r>
              <w:rPr>
                <w:rFonts w:hint="eastAsia"/>
                <w:lang w:val="en-US" w:eastAsia="zh-CN"/>
              </w:rPr>
              <w:t>CSI</w:t>
            </w:r>
            <w:r>
              <w:rPr>
                <w:lang w:val="en-US" w:eastAsia="zh-CN"/>
              </w:rPr>
              <w:t xml:space="preserve"> </w:t>
            </w:r>
            <w:r>
              <w:rPr>
                <w:rFonts w:hint="eastAsia"/>
                <w:lang w:val="en-US" w:eastAsia="zh-CN"/>
              </w:rPr>
              <w:t>report</w:t>
            </w:r>
            <w:r>
              <w:rPr>
                <w:lang w:val="en-US" w:eastAsia="zh-CN"/>
              </w:rPr>
              <w:t xml:space="preserve"> configuration for </w:t>
            </w:r>
            <w:r>
              <w:rPr>
                <w:rFonts w:eastAsia="MS Mincho"/>
                <w:lang w:eastAsia="ja-JP"/>
              </w:rPr>
              <w:t>type 2 SD adaptation</w:t>
            </w:r>
            <w:r>
              <w:rPr>
                <w:lang w:val="en-US" w:eastAsia="zh-CN"/>
              </w:rPr>
              <w:t>,</w:t>
            </w:r>
            <w:r>
              <w:t xml:space="preserve"> </w:t>
            </w:r>
            <w:r>
              <w:rPr>
                <w:rFonts w:eastAsia="MS Mincho"/>
                <w:lang w:eastAsia="ja-JP"/>
              </w:rPr>
              <w:t>further study under which cases sub-configurations may or may not be needed including sub-configuration content</w:t>
            </w:r>
          </w:p>
        </w:tc>
      </w:tr>
    </w:tbl>
    <w:p>
      <w:pPr>
        <w:jc w:val="both"/>
        <w:rPr>
          <w:rFonts w:hint="default" w:eastAsia="宋体" w:cs="Times New Roman"/>
          <w:b w:val="0"/>
          <w:bCs w:val="0"/>
          <w:sz w:val="20"/>
          <w:szCs w:val="20"/>
          <w:highlight w:val="none"/>
          <w:lang w:val="en-US" w:eastAsia="zh-CN"/>
        </w:rPr>
      </w:pPr>
    </w:p>
    <w:p>
      <w:pPr>
        <w:jc w:val="both"/>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The remaining FFS points are driven by the higher degree of flexibility. But we think at least the report quantity, codebook type for PMI, reportFreqConfiguration can be common for L sub-configurations. While the rest of the configuration can be dedicated to each sub-configuration.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for type 1 SD adaptation, at least the report quantity, codebook type for PMI, reportFreqConfiguration can be common for L sub-configurations.</w:t>
      </w:r>
    </w:p>
    <w:p>
      <w:pPr>
        <w:jc w:val="both"/>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CSI overhead reduction</w:t>
      </w: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It has been discussed the motivations for CSI overhead reduction. First of all, for AP-CSI, the CSI reporting is transmitted in PUSCH. Thus, the overhead issue can be relieved to some extent, by assuming that the N CSI can be affordable in PUSCH. For SP-CSI, the N CSI can be transmitted either in PUSCH or PUCCH. If the PUSCH is used to transmit N CSI (e.g. SP-CSI activated by DCI), the overhead issue can also be relieved to some extent. But if the SP-CSI is acitvated by MAC-CE, PUCCH will carry the N CSI, which causes the overhead issue. Given the limited time for the R18 WI, the reasonable way forward could be that let NES to at least support AP-CSI, SP-CSI with N CSI reported in PUSCH, and P-CSI with maximum number of N=2. Thus, all the three functions can be supported and the overhead issue is not severe. For the enhancement for CSI reduction in PUCCH can be further designed in next release.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4: In NES R18, RAN1 could prioritize AP-CSI, SP-CSI triggered by DCI, and P-CSI with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=1 or 2, so that the NES can have all these three feedback functions without having severe overhead issue. </w:t>
      </w:r>
    </w:p>
    <w:p>
      <w:pPr>
        <w:jc w:val="both"/>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Power domain adaptation</w:t>
      </w:r>
    </w:p>
    <w:p>
      <w:pPr>
        <w:jc w:val="both"/>
        <w:rPr>
          <w:rFonts w:hint="default" w:eastAsia="宋体" w:cs="Times New Roman"/>
          <w:b w:val="0"/>
          <w:bCs w:val="0"/>
          <w:sz w:val="20"/>
          <w:szCs w:val="20"/>
          <w:highlight w:val="none"/>
          <w:u w:val="single"/>
          <w:lang w:val="en-US" w:eastAsia="zh-CN"/>
        </w:rPr>
      </w:pPr>
      <w:r>
        <w:rPr>
          <w:rFonts w:hint="eastAsia" w:eastAsia="宋体" w:cs="Times New Roman"/>
          <w:b w:val="0"/>
          <w:bCs w:val="0"/>
          <w:sz w:val="20"/>
          <w:szCs w:val="20"/>
          <w:highlight w:val="none"/>
          <w:u w:val="single"/>
          <w:lang w:val="en-US" w:eastAsia="zh-CN"/>
        </w:rPr>
        <w:t>In last meeting, the power domain adaptation discussions reach the following agreements: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b/>
                <w:highlight w:val="green"/>
              </w:rPr>
            </w:pPr>
            <w:r>
              <w:rPr>
                <w:b/>
                <w:highlight w:val="green"/>
              </w:rPr>
              <w:t>Agreement</w:t>
            </w:r>
          </w:p>
          <w:p>
            <w:pPr>
              <w:rPr>
                <w:color w:val="000000"/>
              </w:rPr>
            </w:pPr>
            <w:r>
              <w:t>For power domain adaptation, suppo</w:t>
            </w:r>
            <w:r>
              <w:rPr>
                <w:color w:val="000000"/>
              </w:rPr>
              <w:t xml:space="preserve">rt the following configuration(s) for CSI-RS resource configuration, </w:t>
            </w:r>
          </w:p>
          <w:p>
            <w:pPr>
              <w:pStyle w:val="67"/>
              <w:numPr>
                <w:ilvl w:val="0"/>
                <w:numId w:val="12"/>
              </w:numPr>
              <w:ind w:leftChars="0"/>
              <w:jc w:val="both"/>
              <w:rPr>
                <w:szCs w:val="32"/>
              </w:rPr>
            </w:pPr>
            <w:r>
              <w:rPr>
                <w:szCs w:val="32"/>
              </w:rPr>
              <w:t>A1-2-power: one or more resources can be configured in a resource set within a resource setting and each resource can be associated with one or more power offset values</w:t>
            </w:r>
          </w:p>
          <w:p>
            <w:pPr>
              <w:pStyle w:val="67"/>
              <w:numPr>
                <w:ilvl w:val="0"/>
                <w:numId w:val="12"/>
              </w:numPr>
              <w:ind w:leftChars="0"/>
              <w:jc w:val="both"/>
              <w:rPr>
                <w:rFonts w:hint="default" w:eastAsia="宋体" w:cs="Times New Roman"/>
                <w:b/>
                <w:bCs/>
                <w:sz w:val="20"/>
                <w:szCs w:val="20"/>
                <w:highlight w:val="none"/>
                <w:u w:val="single"/>
                <w:vertAlign w:val="baseline"/>
                <w:lang w:val="en-US" w:eastAsia="zh-CN"/>
              </w:rPr>
            </w:pPr>
            <w:r>
              <w:rPr>
                <w:szCs w:val="32"/>
              </w:rPr>
              <w:t>FFS: A1-1-power: a resource set with multiple resources is configured within a resource setting, where resources can have different power offset values</w:t>
            </w:r>
          </w:p>
          <w:p>
            <w:pPr>
              <w:pStyle w:val="67"/>
              <w:numPr>
                <w:ilvl w:val="0"/>
                <w:numId w:val="12"/>
              </w:numPr>
              <w:ind w:leftChars="0"/>
              <w:jc w:val="both"/>
              <w:rPr>
                <w:rFonts w:hint="default" w:eastAsia="宋体" w:cs="Times New Roman"/>
                <w:b/>
                <w:bCs/>
                <w:sz w:val="20"/>
                <w:szCs w:val="20"/>
                <w:highlight w:val="none"/>
                <w:u w:val="single"/>
                <w:vertAlign w:val="baseline"/>
                <w:lang w:val="en-US" w:eastAsia="zh-CN"/>
              </w:rPr>
            </w:pPr>
            <w:r>
              <w:rPr>
                <w:szCs w:val="32"/>
              </w:rPr>
              <w:t>FFS: Details of how the different power offset values(s) are configured/ind</w:t>
            </w:r>
            <w:r>
              <w:rPr>
                <w:rFonts w:hint="eastAsia" w:eastAsia="宋体"/>
                <w:szCs w:val="32"/>
                <w:lang w:val="en-US" w:eastAsia="zh-CN"/>
              </w:rPr>
              <w:t>icated</w:t>
            </w:r>
          </w:p>
          <w:p>
            <w:pPr>
              <w:pStyle w:val="67"/>
              <w:numPr>
                <w:ilvl w:val="0"/>
                <w:numId w:val="0"/>
              </w:numPr>
              <w:jc w:val="both"/>
              <w:rPr>
                <w:rFonts w:hint="eastAsia" w:eastAsia="宋体"/>
                <w:szCs w:val="32"/>
                <w:lang w:val="en-US" w:eastAsia="zh-CN"/>
              </w:rPr>
            </w:pPr>
          </w:p>
          <w:p>
            <w:pPr>
              <w:rPr>
                <w:b/>
                <w:bCs/>
                <w:szCs w:val="20"/>
                <w:highlight w:val="green"/>
                <w:lang w:val="en-US"/>
              </w:rPr>
            </w:pPr>
            <w:r>
              <w:rPr>
                <w:b/>
                <w:bCs/>
                <w:szCs w:val="20"/>
                <w:highlight w:val="green"/>
                <w:lang w:val="en-US"/>
              </w:rPr>
              <w:t>Agreement</w:t>
            </w:r>
          </w:p>
          <w:p>
            <w:pPr>
              <w:jc w:val="both"/>
              <w:rPr>
                <w:rFonts w:eastAsia="等线"/>
                <w:bCs/>
              </w:rPr>
            </w:pPr>
            <w:r>
              <w:rPr>
                <w:rFonts w:eastAsia="等线"/>
                <w:bCs/>
              </w:rPr>
              <w:t xml:space="preserve">For power domain adaptation, </w:t>
            </w:r>
            <w:r>
              <w:rPr>
                <w:rFonts w:eastAsia="等线"/>
              </w:rPr>
              <w:t>for CSI(s) reporting</w:t>
            </w:r>
            <w:r>
              <w:rPr>
                <w:rFonts w:eastAsia="等线"/>
                <w:bCs/>
              </w:rPr>
              <w:t>, support configuration of more than one power offset values for PDSCH relative to CSI-RS</w:t>
            </w:r>
          </w:p>
          <w:p>
            <w:pPr>
              <w:pStyle w:val="67"/>
              <w:numPr>
                <w:ilvl w:val="0"/>
                <w:numId w:val="12"/>
              </w:numPr>
              <w:ind w:leftChars="0"/>
              <w:jc w:val="both"/>
              <w:rPr>
                <w:szCs w:val="32"/>
                <w:lang w:val="en-US" w:eastAsia="zh-CN"/>
              </w:rPr>
            </w:pPr>
            <w:r>
              <w:rPr>
                <w:szCs w:val="32"/>
                <w:lang w:val="en-US" w:eastAsia="zh-CN"/>
              </w:rPr>
              <w:t>FFS: impact on CSI processing requirement</w:t>
            </w:r>
          </w:p>
          <w:p>
            <w:pPr>
              <w:pStyle w:val="67"/>
              <w:numPr>
                <w:ilvl w:val="0"/>
                <w:numId w:val="12"/>
              </w:numPr>
              <w:ind w:leftChars="0"/>
              <w:jc w:val="both"/>
              <w:rPr>
                <w:szCs w:val="32"/>
                <w:lang w:val="en-US" w:eastAsia="zh-CN"/>
              </w:rPr>
            </w:pPr>
            <w:r>
              <w:rPr>
                <w:szCs w:val="32"/>
                <w:lang w:val="en-US" w:eastAsia="zh-TW"/>
              </w:rPr>
              <w:t>FFS: details on configuration/indication of the power offset values</w:t>
            </w:r>
          </w:p>
          <w:p>
            <w:pPr>
              <w:pStyle w:val="67"/>
              <w:numPr>
                <w:ilvl w:val="0"/>
                <w:numId w:val="12"/>
              </w:numPr>
              <w:ind w:leftChars="0"/>
              <w:jc w:val="both"/>
              <w:rPr>
                <w:rFonts w:hint="default" w:eastAsia="宋体"/>
                <w:szCs w:val="32"/>
                <w:lang w:val="en-US" w:eastAsia="zh-CN"/>
              </w:rPr>
            </w:pPr>
            <w:r>
              <w:rPr>
                <w:szCs w:val="32"/>
                <w:lang w:val="en-US" w:eastAsia="zh-TW"/>
              </w:rPr>
              <w:t>FFS: whether/how to additionally consider the case where CSI-RS power is changed</w:t>
            </w:r>
          </w:p>
        </w:tc>
      </w:tr>
    </w:tbl>
    <w:p>
      <w:pPr>
        <w:jc w:val="both"/>
        <w:rPr>
          <w:rFonts w:hint="default" w:eastAsia="宋体" w:cs="Times New Roman"/>
          <w:b/>
          <w:bCs/>
          <w:sz w:val="20"/>
          <w:szCs w:val="20"/>
          <w:highlight w:val="none"/>
          <w:u w:val="single"/>
          <w:lang w:val="en-US" w:eastAsia="zh-CN"/>
        </w:rPr>
      </w:pPr>
    </w:p>
    <w:p>
      <w:pPr>
        <w:jc w:val="both"/>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power offset values, as shown by our simulation results [3], if the power change is not significant, e.g. 1 dB, there is not much of difference in the CSI provided that the antenna port number and layout is not changed. Thus, it would be more meaningful to let the UE perform multi-CSI reporting if the power change step is big. We think that a step of 3dB or 5dB may be a good starting point. Moreover, for the configuration of power offset. It would be more efficient to configure a reference power offset and others are configured as differential power offset w.r.t. the reference power offset.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5: Consider 3dB or 5dB as the power offset change step size, e.g. -5dB, -3dB, 3dB, 5dB.</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6: Consider to define a reference power offset and configure others as differential offset w.r.t. the reference power offset. </w:t>
      </w:r>
    </w:p>
    <w:p>
      <w:pPr>
        <w:jc w:val="both"/>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Regarding the power change for CSI-RS, the motivation for the indication is relevant to beam management, in particular for receiver beam training. In our view, the A1-1-power can be a straightforward way for such use case. The advantage is that the legacy configuration can already configure different power offset value for CSI-RS, but the offset value range needs to be revisited to make the range wider.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7: For indicating CSI-RS power change, the A1-1-power can be considered as a straightforward solution, where the legacy power offset value range needs to be revisited.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 xml:space="preserve">discusses our considerations on </w:t>
      </w:r>
      <w:r>
        <w:rPr>
          <w:rFonts w:hint="eastAsia" w:eastAsia="宋体" w:cs="Times New Roman"/>
          <w:iCs/>
          <w:szCs w:val="20"/>
          <w:lang w:val="en-US" w:eastAsia="zh-CN"/>
        </w:rPr>
        <w:t xml:space="preserve">the </w:t>
      </w:r>
      <w:r>
        <w:rPr>
          <w:rFonts w:hint="default" w:ascii="Times New Roman" w:hAnsi="Times New Roman" w:eastAsia="宋体" w:cs="Times New Roman"/>
          <w:iCs/>
          <w:szCs w:val="20"/>
          <w:lang w:eastAsia="zh-CN"/>
        </w:rPr>
        <w:t>enhancements</w:t>
      </w:r>
      <w:r>
        <w:rPr>
          <w:rFonts w:hint="eastAsia" w:eastAsia="宋体" w:cs="Times New Roman"/>
          <w:iCs/>
          <w:szCs w:val="20"/>
          <w:lang w:val="en-US" w:eastAsia="zh-CN"/>
        </w:rPr>
        <w:t xml:space="preserve"> of spatial domain adaptation for NES</w:t>
      </w:r>
      <w:r>
        <w:rPr>
          <w:rFonts w:hint="default" w:ascii="Times New Roman" w:hAnsi="Times New Roman" w:eastAsia="宋体" w:cs="Times New Roman"/>
          <w:iCs/>
          <w:szCs w:val="20"/>
          <w:lang w:eastAsia="zh-CN"/>
        </w:rPr>
        <w:t xml:space="preserve"> and</w:t>
      </w:r>
      <w:r>
        <w:rPr>
          <w:rFonts w:hint="default" w:ascii="Times New Roman" w:hAnsi="Times New Roman" w:eastAsia="宋体" w:cs="Times New Roman"/>
          <w:lang w:eastAsia="zh-CN"/>
        </w:rPr>
        <w:t xml:space="preserve"> provides the following observations and proposals.</w:t>
      </w:r>
    </w:p>
    <w:p>
      <w:pPr>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1: At least for A1-1-revised, legacy alignment restriction among different NZP-CSI-RS resources within the same resource set should be taken away.</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=2. </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3: for type 1 SD adaptation, at least the report quantity, codebook type for PMI, reportFreqConfiguration can be common for L sub-configurations.</w:t>
      </w:r>
    </w:p>
    <w:p>
      <w:pPr>
        <w:jc w:val="both"/>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4: In NES R18, RAN1 could prioritize AP-CSI, SP-CSI triggered by DCI, and P-CSI with N</w:t>
      </w:r>
      <w:r>
        <w:rPr>
          <w:rFonts w:hint="eastAsia" w:eastAsia="宋体" w:cs="Times New Roman"/>
          <w:b/>
          <w:bCs/>
          <w:sz w:val="20"/>
          <w:szCs w:val="20"/>
          <w:highlight w:val="none"/>
          <w:vertAlign w:val="subscript"/>
          <w:lang w:val="en-US" w:eastAsia="zh-CN"/>
        </w:rPr>
        <w:t>max</w:t>
      </w:r>
      <w:r>
        <w:rPr>
          <w:rFonts w:hint="eastAsia" w:eastAsia="宋体" w:cs="Times New Roman"/>
          <w:b/>
          <w:bCs/>
          <w:sz w:val="20"/>
          <w:szCs w:val="20"/>
          <w:highlight w:val="none"/>
          <w:lang w:val="en-US" w:eastAsia="zh-CN"/>
        </w:rPr>
        <w:t xml:space="preserve">=1 or 2, so that the NES can have all these three feedback functions without having severe overhead issue.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5: Consider 3dB or 5dB as the power offset change step size, e.g. -5dB, -3dB, 3dB, 5dB.</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6: Consider to define a reference power offset and configure others as differential offset w.r.t. the reference power offset.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7: For indicating CSI-RS power change, the A1-1-power can be considered as a straightforward solution, where the legacy power offset value range needs to be revisited.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3"/>
        </w:numPr>
        <w:spacing w:after="120"/>
        <w:rPr>
          <w:rFonts w:eastAsia="宋体"/>
          <w:color w:val="000000"/>
          <w:szCs w:val="20"/>
          <w:lang w:eastAsia="zh-CN"/>
        </w:rPr>
      </w:pPr>
      <w:r>
        <w:rPr>
          <w:rFonts w:eastAsia="宋体"/>
          <w:color w:val="000000"/>
          <w:szCs w:val="20"/>
          <w:lang w:eastAsia="zh-CN"/>
        </w:rPr>
        <w:t>RP-223540, New WID: Network energy savings for NR, Huawei.</w:t>
      </w:r>
    </w:p>
    <w:p>
      <w:pPr>
        <w:numPr>
          <w:ilvl w:val="0"/>
          <w:numId w:val="13"/>
        </w:numPr>
        <w:spacing w:after="120"/>
        <w:rPr>
          <w:rFonts w:eastAsia="宋体"/>
          <w:color w:val="000000"/>
          <w:szCs w:val="20"/>
          <w:lang w:eastAsia="zh-CN"/>
        </w:rPr>
      </w:pPr>
      <w:r>
        <w:rPr>
          <w:rFonts w:hint="eastAsia" w:eastAsia="宋体"/>
          <w:color w:val="000000"/>
          <w:szCs w:val="20"/>
          <w:lang w:eastAsia="zh-CN"/>
        </w:rPr>
        <w:t>T</w:t>
      </w:r>
      <w:r>
        <w:rPr>
          <w:rFonts w:eastAsia="宋体"/>
          <w:color w:val="000000"/>
          <w:szCs w:val="20"/>
          <w:lang w:eastAsia="zh-CN"/>
        </w:rPr>
        <w:t>R38.864, Study on network energy savings for NR (Release 18)</w:t>
      </w:r>
    </w:p>
    <w:p>
      <w:pPr>
        <w:spacing w:after="120"/>
        <w:rPr>
          <w:rFonts w:hint="default" w:ascii="Times New Roman" w:hAnsi="Times New Roman" w:eastAsia="宋体" w:cs="Times New Roman"/>
          <w:color w:val="000000"/>
          <w:szCs w:val="20"/>
          <w:lang w:val="en-US" w:eastAsia="zh-CN"/>
        </w:rPr>
      </w:pPr>
      <w:r>
        <w:rPr>
          <w:rFonts w:hint="eastAsia" w:eastAsia="宋体" w:cs="Times New Roman"/>
          <w:color w:val="000000"/>
          <w:szCs w:val="20"/>
          <w:lang w:val="en-US" w:eastAsia="zh-CN"/>
        </w:rPr>
        <w:t xml:space="preserve">[3] </w:t>
      </w:r>
      <w:r>
        <w:rPr>
          <w:rFonts w:hint="eastAsia" w:eastAsia="宋体"/>
          <w:color w:val="000000"/>
          <w:szCs w:val="20"/>
          <w:lang w:eastAsia="zh-CN"/>
        </w:rPr>
        <w:fldChar w:fldCharType="begin"/>
      </w:r>
      <w:r>
        <w:rPr>
          <w:rFonts w:hint="eastAsia" w:eastAsia="宋体"/>
          <w:color w:val="000000"/>
          <w:szCs w:val="20"/>
          <w:lang w:eastAsia="zh-CN"/>
        </w:rPr>
        <w:instrText xml:space="preserve">HYPERLINK "../../../../../../../../../youns/OneDrive/Documents/3GPP/RAN1 tdocs/TSGR1_112b-e/Docs/R1-2302561.zip"</w:instrText>
      </w:r>
      <w:r>
        <w:rPr>
          <w:rFonts w:hint="eastAsia" w:eastAsia="宋体"/>
          <w:color w:val="000000"/>
          <w:szCs w:val="20"/>
          <w:lang w:eastAsia="zh-CN"/>
        </w:rPr>
        <w:fldChar w:fldCharType="separate"/>
      </w:r>
      <w:r>
        <w:rPr>
          <w:rFonts w:hint="eastAsia" w:eastAsia="宋体"/>
          <w:color w:val="000000"/>
          <w:szCs w:val="20"/>
          <w:lang w:eastAsia="zh-CN"/>
        </w:rPr>
        <w:t>R1-2302561</w:t>
      </w:r>
      <w:r>
        <w:rPr>
          <w:rFonts w:hint="eastAsia" w:eastAsia="宋体"/>
          <w:color w:val="000000"/>
          <w:szCs w:val="20"/>
          <w:lang w:eastAsia="zh-CN"/>
        </w:rPr>
        <w:fldChar w:fldCharType="end"/>
      </w:r>
      <w:r>
        <w:rPr>
          <w:rFonts w:hint="eastAsia" w:eastAsia="宋体"/>
          <w:color w:val="000000"/>
          <w:szCs w:val="20"/>
          <w:lang w:eastAsia="zh-CN"/>
        </w:rPr>
        <w:tab/>
      </w:r>
      <w:r>
        <w:rPr>
          <w:rFonts w:hint="eastAsia" w:eastAsia="宋体"/>
          <w:color w:val="000000"/>
          <w:szCs w:val="20"/>
          <w:lang w:eastAsia="zh-CN"/>
        </w:rPr>
        <w:t>Discussion on techniques in spatial and power domains</w:t>
      </w:r>
      <w:r>
        <w:rPr>
          <w:rFonts w:hint="eastAsia" w:eastAsia="宋体"/>
          <w:color w:val="000000"/>
          <w:szCs w:val="20"/>
          <w:lang w:eastAsia="zh-CN"/>
        </w:rPr>
        <w:tab/>
      </w:r>
      <w:r>
        <w:rPr>
          <w:rFonts w:hint="eastAsia" w:eastAsia="宋体"/>
          <w:color w:val="000000"/>
          <w:szCs w:val="20"/>
          <w:lang w:eastAsia="zh-CN"/>
        </w:rPr>
        <w:t>OPPO</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CB7F7"/>
    <w:multiLevelType w:val="singleLevel"/>
    <w:tmpl w:val="02ACB7F7"/>
    <w:lvl w:ilvl="0" w:tentative="0">
      <w:start w:val="1"/>
      <w:numFmt w:val="decimal"/>
      <w:suff w:val="space"/>
      <w:lvlText w:val="[%1]"/>
      <w:lvlJc w:val="left"/>
    </w:lvl>
  </w:abstractNum>
  <w:abstractNum w:abstractNumId="1">
    <w:nsid w:val="19DC1DF6"/>
    <w:multiLevelType w:val="singleLevel"/>
    <w:tmpl w:val="19DC1DF6"/>
    <w:lvl w:ilvl="0" w:tentative="0">
      <w:start w:val="3"/>
      <w:numFmt w:val="decimal"/>
      <w:suff w:val="space"/>
      <w:lvlText w:val="%1."/>
      <w:lvlJc w:val="left"/>
    </w:lvl>
  </w:abstractNum>
  <w:abstractNum w:abstractNumId="2">
    <w:nsid w:val="1DDC2545"/>
    <w:multiLevelType w:val="multilevel"/>
    <w:tmpl w:val="1DDC2545"/>
    <w:lvl w:ilvl="0" w:tentative="0">
      <w:start w:val="0"/>
      <w:numFmt w:val="bullet"/>
      <w:lvlText w:val="•"/>
      <w:lvlJc w:val="left"/>
      <w:rPr>
        <w:rFonts w:hint="default" w:ascii="Times New Roman" w:hAnsi="Times New Roman" w:eastAsia="Calibri"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5">
    <w:nsid w:val="6D0F203A"/>
    <w:multiLevelType w:val="multilevel"/>
    <w:tmpl w:val="6D0F203A"/>
    <w:lvl w:ilvl="0" w:tentative="0">
      <w:start w:val="1"/>
      <w:numFmt w:val="bullet"/>
      <w:lvlText w:val=""/>
      <w:lvlJc w:val="left"/>
      <w:pPr>
        <w:ind w:left="1051" w:hanging="420"/>
      </w:pPr>
      <w:rPr>
        <w:rFonts w:hint="default" w:ascii="Symbol" w:hAnsi="Symbol"/>
      </w:rPr>
    </w:lvl>
    <w:lvl w:ilvl="1" w:tentative="0">
      <w:start w:val="1"/>
      <w:numFmt w:val="bullet"/>
      <w:lvlText w:val="o"/>
      <w:lvlJc w:val="left"/>
      <w:pPr>
        <w:ind w:left="1471" w:hanging="420"/>
      </w:pPr>
      <w:rPr>
        <w:rFonts w:hint="default" w:ascii="Courier New" w:hAnsi="Courier New" w:cs="Courier New"/>
      </w:rPr>
    </w:lvl>
    <w:lvl w:ilvl="2" w:tentative="0">
      <w:start w:val="1"/>
      <w:numFmt w:val="bullet"/>
      <w:lvlText w:val=""/>
      <w:lvlJc w:val="left"/>
      <w:pPr>
        <w:ind w:left="1891" w:hanging="420"/>
      </w:pPr>
      <w:rPr>
        <w:rFonts w:hint="default" w:ascii="Wingdings" w:hAnsi="Wingdings"/>
      </w:rPr>
    </w:lvl>
    <w:lvl w:ilvl="3" w:tentative="0">
      <w:start w:val="1"/>
      <w:numFmt w:val="bullet"/>
      <w:lvlText w:val=""/>
      <w:lvlJc w:val="left"/>
      <w:pPr>
        <w:ind w:left="2311" w:hanging="420"/>
      </w:pPr>
      <w:rPr>
        <w:rFonts w:hint="default" w:ascii="Wingdings" w:hAnsi="Wingdings"/>
      </w:rPr>
    </w:lvl>
    <w:lvl w:ilvl="4" w:tentative="0">
      <w:start w:val="1"/>
      <w:numFmt w:val="bullet"/>
      <w:lvlText w:val=""/>
      <w:lvlJc w:val="left"/>
      <w:pPr>
        <w:ind w:left="2731" w:hanging="420"/>
      </w:pPr>
      <w:rPr>
        <w:rFonts w:hint="default" w:ascii="Wingdings" w:hAnsi="Wingdings"/>
      </w:rPr>
    </w:lvl>
    <w:lvl w:ilvl="5" w:tentative="0">
      <w:start w:val="1"/>
      <w:numFmt w:val="bullet"/>
      <w:lvlText w:val=""/>
      <w:lvlJc w:val="left"/>
      <w:pPr>
        <w:ind w:left="3151" w:hanging="420"/>
      </w:pPr>
      <w:rPr>
        <w:rFonts w:hint="default" w:ascii="Wingdings" w:hAnsi="Wingdings"/>
      </w:rPr>
    </w:lvl>
    <w:lvl w:ilvl="6" w:tentative="0">
      <w:start w:val="1"/>
      <w:numFmt w:val="bullet"/>
      <w:lvlText w:val=""/>
      <w:lvlJc w:val="left"/>
      <w:pPr>
        <w:ind w:left="3571" w:hanging="420"/>
      </w:pPr>
      <w:rPr>
        <w:rFonts w:hint="default" w:ascii="Wingdings" w:hAnsi="Wingdings"/>
      </w:rPr>
    </w:lvl>
    <w:lvl w:ilvl="7" w:tentative="0">
      <w:start w:val="1"/>
      <w:numFmt w:val="bullet"/>
      <w:lvlText w:val=""/>
      <w:lvlJc w:val="left"/>
      <w:pPr>
        <w:ind w:left="3991" w:hanging="420"/>
      </w:pPr>
      <w:rPr>
        <w:rFonts w:hint="default" w:ascii="Wingdings" w:hAnsi="Wingdings"/>
      </w:rPr>
    </w:lvl>
    <w:lvl w:ilvl="8" w:tentative="0">
      <w:start w:val="1"/>
      <w:numFmt w:val="bullet"/>
      <w:lvlText w:val=""/>
      <w:lvlJc w:val="left"/>
      <w:pPr>
        <w:ind w:left="4411" w:hanging="420"/>
      </w:pPr>
      <w:rPr>
        <w:rFonts w:hint="default" w:ascii="Wingdings" w:hAnsi="Wingdings"/>
      </w:rPr>
    </w:lvl>
  </w:abstractNum>
  <w:abstractNum w:abstractNumId="6">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616695C"/>
    <w:multiLevelType w:val="multilevel"/>
    <w:tmpl w:val="7616695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2">
    <w:nsid w:val="7FEA0D64"/>
    <w:multiLevelType w:val="multilevel"/>
    <w:tmpl w:val="7FEA0D6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8"/>
  </w:num>
  <w:num w:numId="3">
    <w:abstractNumId w:val="10"/>
  </w:num>
  <w:num w:numId="4">
    <w:abstractNumId w:val="6"/>
  </w:num>
  <w:num w:numId="5">
    <w:abstractNumId w:val="4"/>
  </w:num>
  <w:num w:numId="6">
    <w:abstractNumId w:val="7"/>
  </w:num>
  <w:num w:numId="7">
    <w:abstractNumId w:val="1"/>
  </w:num>
  <w:num w:numId="8">
    <w:abstractNumId w:val="5"/>
  </w:num>
  <w:num w:numId="9">
    <w:abstractNumId w:val="3"/>
  </w:num>
  <w:num w:numId="10">
    <w:abstractNumId w:val="2"/>
  </w:num>
  <w:num w:numId="11">
    <w:abstractNumId w:val="12"/>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2B60AF4"/>
    <w:rsid w:val="039E7CF7"/>
    <w:rsid w:val="040D24DD"/>
    <w:rsid w:val="089B4E78"/>
    <w:rsid w:val="09BF2351"/>
    <w:rsid w:val="0D2F1D92"/>
    <w:rsid w:val="110542CA"/>
    <w:rsid w:val="127756B4"/>
    <w:rsid w:val="135407C2"/>
    <w:rsid w:val="15FC5185"/>
    <w:rsid w:val="165D6AE1"/>
    <w:rsid w:val="183C17FF"/>
    <w:rsid w:val="186164A1"/>
    <w:rsid w:val="19A05834"/>
    <w:rsid w:val="19C04EC7"/>
    <w:rsid w:val="1A392C83"/>
    <w:rsid w:val="1A8F57CC"/>
    <w:rsid w:val="1BA77509"/>
    <w:rsid w:val="1D242ABF"/>
    <w:rsid w:val="1DF4614E"/>
    <w:rsid w:val="1ECA3368"/>
    <w:rsid w:val="1F065805"/>
    <w:rsid w:val="2165788F"/>
    <w:rsid w:val="25FB2D3D"/>
    <w:rsid w:val="27CD7733"/>
    <w:rsid w:val="28D14AB8"/>
    <w:rsid w:val="2A503CDA"/>
    <w:rsid w:val="2F102715"/>
    <w:rsid w:val="2FFFFE55"/>
    <w:rsid w:val="32BDCB28"/>
    <w:rsid w:val="33BD368B"/>
    <w:rsid w:val="353C442D"/>
    <w:rsid w:val="3788340A"/>
    <w:rsid w:val="3811540E"/>
    <w:rsid w:val="38E057E4"/>
    <w:rsid w:val="3C2D08A4"/>
    <w:rsid w:val="3CBF6E29"/>
    <w:rsid w:val="3D142025"/>
    <w:rsid w:val="3E602708"/>
    <w:rsid w:val="416E2F19"/>
    <w:rsid w:val="43D268A2"/>
    <w:rsid w:val="45913C96"/>
    <w:rsid w:val="462907DC"/>
    <w:rsid w:val="47A512D4"/>
    <w:rsid w:val="47A520E4"/>
    <w:rsid w:val="47B97AF3"/>
    <w:rsid w:val="48B50DB6"/>
    <w:rsid w:val="4B6906A1"/>
    <w:rsid w:val="4BBD7719"/>
    <w:rsid w:val="4C425EC7"/>
    <w:rsid w:val="4DDD3990"/>
    <w:rsid w:val="4DF97A10"/>
    <w:rsid w:val="4EED3F2E"/>
    <w:rsid w:val="51894824"/>
    <w:rsid w:val="51E84BF0"/>
    <w:rsid w:val="53A74A37"/>
    <w:rsid w:val="54A90F1A"/>
    <w:rsid w:val="56C80BD6"/>
    <w:rsid w:val="57CF050A"/>
    <w:rsid w:val="58312510"/>
    <w:rsid w:val="5891035B"/>
    <w:rsid w:val="58D01724"/>
    <w:rsid w:val="5B30018E"/>
    <w:rsid w:val="5F3E0043"/>
    <w:rsid w:val="5F7B894C"/>
    <w:rsid w:val="5FF3287E"/>
    <w:rsid w:val="608D7A77"/>
    <w:rsid w:val="612D2A31"/>
    <w:rsid w:val="61B76E93"/>
    <w:rsid w:val="63475D32"/>
    <w:rsid w:val="63753E2B"/>
    <w:rsid w:val="64231BC2"/>
    <w:rsid w:val="649A4750"/>
    <w:rsid w:val="664857EC"/>
    <w:rsid w:val="676AA382"/>
    <w:rsid w:val="69BE3E37"/>
    <w:rsid w:val="6AA51EE2"/>
    <w:rsid w:val="6B77066F"/>
    <w:rsid w:val="6BCB0C8C"/>
    <w:rsid w:val="6C165B49"/>
    <w:rsid w:val="6D333A80"/>
    <w:rsid w:val="6DB444C7"/>
    <w:rsid w:val="6F7E4B22"/>
    <w:rsid w:val="70393FEB"/>
    <w:rsid w:val="704D7DC3"/>
    <w:rsid w:val="711041C2"/>
    <w:rsid w:val="723B73D2"/>
    <w:rsid w:val="73A45645"/>
    <w:rsid w:val="75B83CCF"/>
    <w:rsid w:val="75CD4430"/>
    <w:rsid w:val="76B06C46"/>
    <w:rsid w:val="76D44AC9"/>
    <w:rsid w:val="7725122B"/>
    <w:rsid w:val="77D5EBDD"/>
    <w:rsid w:val="77FF31C3"/>
    <w:rsid w:val="7B1F107C"/>
    <w:rsid w:val="7C8823A9"/>
    <w:rsid w:val="7CA7723F"/>
    <w:rsid w:val="7D3568AE"/>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3</TotalTime>
  <ScaleCrop>false</ScaleCrop>
  <LinksUpToDate>false</LinksUpToDate>
  <CharactersWithSpaces>6599</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OPPO</cp:lastModifiedBy>
  <cp:lastPrinted>2019-08-11T16:10:00Z</cp:lastPrinted>
  <dcterms:modified xsi:type="dcterms:W3CDTF">2023-05-12T06:59:36Z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0D0148CF1BF44B949F97012A60F0F3C4</vt:lpwstr>
  </property>
</Properties>
</file>