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9B4A" w14:textId="26FD0056"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w:t>
      </w:r>
      <w:r w:rsidR="00D1319F">
        <w:rPr>
          <w:rFonts w:eastAsia="宋体" w:cs="Times New Roman"/>
          <w:b/>
        </w:rPr>
        <w:t xml:space="preserve"> </w:t>
      </w:r>
      <w:r w:rsidR="007C45B5" w:rsidRPr="008708F6">
        <w:rPr>
          <w:rFonts w:eastAsia="宋体" w:cs="Times New Roman"/>
          <w:b/>
        </w:rPr>
        <w:t>TSG</w:t>
      </w:r>
      <w:r w:rsidR="00011A01">
        <w:rPr>
          <w:rFonts w:eastAsia="宋体" w:cs="Times New Roman"/>
          <w:b/>
        </w:rPr>
        <w:t>-</w:t>
      </w:r>
      <w:r w:rsidR="007C45B5" w:rsidRPr="008708F6">
        <w:rPr>
          <w:rFonts w:eastAsia="宋体" w:cs="Times New Roman"/>
          <w:b/>
        </w:rPr>
        <w:t>RAN</w:t>
      </w:r>
      <w:r w:rsidR="00D1319F">
        <w:rPr>
          <w:rFonts w:eastAsia="宋体" w:cs="Times New Roman"/>
          <w:b/>
        </w:rPr>
        <w:t xml:space="preserve"> </w:t>
      </w:r>
      <w:r w:rsidR="007C45B5" w:rsidRPr="008708F6">
        <w:rPr>
          <w:rFonts w:eastAsia="宋体" w:cs="Times New Roman"/>
          <w:b/>
        </w:rPr>
        <w:t>WG1</w:t>
      </w:r>
      <w:r w:rsidR="00D1319F">
        <w:rPr>
          <w:rFonts w:eastAsia="宋体" w:cs="Times New Roman"/>
          <w:b/>
        </w:rPr>
        <w:t xml:space="preserve"> </w:t>
      </w:r>
      <w:r w:rsidR="00D56100">
        <w:rPr>
          <w:rFonts w:eastAsia="宋体" w:cs="Times New Roman"/>
          <w:b/>
        </w:rPr>
        <w:t>Meeting</w:t>
      </w:r>
      <w:r w:rsidR="00D1319F">
        <w:rPr>
          <w:rFonts w:eastAsia="宋体" w:cs="Times New Roman"/>
          <w:b/>
        </w:rPr>
        <w:t xml:space="preserve"> </w:t>
      </w:r>
      <w:r w:rsidR="009640D3">
        <w:rPr>
          <w:rFonts w:eastAsia="宋体" w:cs="Times New Roman"/>
          <w:b/>
        </w:rPr>
        <w:t>#11</w:t>
      </w:r>
      <w:r w:rsidR="00A92464">
        <w:rPr>
          <w:rFonts w:eastAsia="宋体" w:cs="Times New Roman"/>
          <w:b/>
        </w:rPr>
        <w:t>3</w:t>
      </w:r>
      <w:r w:rsidRPr="002B0BF3">
        <w:rPr>
          <w:rFonts w:eastAsia="宋体" w:cs="Times New Roman"/>
          <w:b/>
        </w:rPr>
        <w:tab/>
      </w:r>
      <w:r w:rsidR="00B93C5C" w:rsidRPr="00B93C5C">
        <w:rPr>
          <w:rFonts w:eastAsia="宋体" w:cs="Times New Roman"/>
          <w:b/>
        </w:rPr>
        <w:t>R1-2304647</w:t>
      </w:r>
    </w:p>
    <w:p w14:paraId="76D73D53" w14:textId="22316D24" w:rsidR="00A955EB" w:rsidRPr="00FC656F" w:rsidRDefault="001069A4" w:rsidP="00A955EB">
      <w:pPr>
        <w:widowControl/>
        <w:tabs>
          <w:tab w:val="right" w:pos="9216"/>
        </w:tabs>
        <w:autoSpaceDE w:val="0"/>
        <w:autoSpaceDN w:val="0"/>
        <w:spacing w:beforeLines="0" w:before="0" w:afterLines="50" w:after="156" w:line="240" w:lineRule="auto"/>
        <w:rPr>
          <w:rFonts w:eastAsia="宋体" w:cs="Times New Roman"/>
          <w:b/>
        </w:rPr>
      </w:pPr>
      <w:r>
        <w:rPr>
          <w:rFonts w:eastAsia="宋体" w:cs="Times New Roman"/>
          <w:b/>
        </w:rPr>
        <w:t xml:space="preserve">Incheon, </w:t>
      </w:r>
      <w:bookmarkStart w:id="0" w:name="_GoBack"/>
      <w:bookmarkEnd w:id="0"/>
      <w:r>
        <w:rPr>
          <w:rFonts w:eastAsia="宋体" w:cs="Times New Roman"/>
          <w:b/>
        </w:rPr>
        <w:t>Korea</w:t>
      </w:r>
      <w:r w:rsidR="00A955EB" w:rsidRPr="00FC656F">
        <w:rPr>
          <w:rFonts w:eastAsia="宋体" w:cs="Times New Roman"/>
          <w:b/>
        </w:rPr>
        <w:t xml:space="preserve">, </w:t>
      </w:r>
      <w:r w:rsidR="00DF47E4">
        <w:rPr>
          <w:rFonts w:eastAsia="宋体" w:cs="Times New Roman"/>
          <w:b/>
        </w:rPr>
        <w:t>May</w:t>
      </w:r>
      <w:r w:rsidR="00EB60BA">
        <w:rPr>
          <w:rFonts w:eastAsia="宋体" w:cs="Times New Roman"/>
          <w:b/>
        </w:rPr>
        <w:t xml:space="preserve"> 22</w:t>
      </w:r>
      <w:r w:rsidR="00A955EB" w:rsidRPr="00FC656F">
        <w:rPr>
          <w:rFonts w:eastAsia="宋体" w:cs="Times New Roman"/>
          <w:b/>
        </w:rPr>
        <w:t xml:space="preserve"> –</w:t>
      </w:r>
      <w:r w:rsidR="005C3494">
        <w:rPr>
          <w:rFonts w:eastAsia="宋体" w:cs="Times New Roman"/>
          <w:b/>
        </w:rPr>
        <w:t xml:space="preserve"> </w:t>
      </w:r>
      <w:r w:rsidR="00DF47E4">
        <w:rPr>
          <w:rFonts w:eastAsia="宋体" w:cs="Times New Roman"/>
          <w:b/>
        </w:rPr>
        <w:t>May</w:t>
      </w:r>
      <w:r w:rsidR="00A955EB">
        <w:rPr>
          <w:rFonts w:eastAsia="宋体" w:cs="Times New Roman"/>
          <w:b/>
        </w:rPr>
        <w:t xml:space="preserve"> 26, 2023</w:t>
      </w:r>
    </w:p>
    <w:p w14:paraId="717C7C79" w14:textId="77777777" w:rsidR="002B0BF3" w:rsidRPr="00A955EB"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4346153D"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w:t>
      </w:r>
      <w:r w:rsidR="00D1319F">
        <w:rPr>
          <w:rFonts w:eastAsia="宋体" w:cs="Times New Roman"/>
          <w:b/>
        </w:rPr>
        <w:t xml:space="preserve"> </w:t>
      </w:r>
      <w:r w:rsidRPr="002B0BF3">
        <w:rPr>
          <w:rFonts w:eastAsia="宋体" w:cs="Times New Roman"/>
          <w:b/>
        </w:rPr>
        <w:t>Item:</w:t>
      </w:r>
      <w:r w:rsidRPr="002B0BF3">
        <w:rPr>
          <w:rFonts w:eastAsia="宋体" w:cs="Times New Roman"/>
          <w:b/>
        </w:rPr>
        <w:tab/>
      </w:r>
      <w:r w:rsidR="00BA4C19">
        <w:rPr>
          <w:rFonts w:eastAsia="宋体" w:cs="Times New Roman"/>
          <w:b/>
        </w:rPr>
        <w:t>9</w:t>
      </w:r>
      <w:r w:rsidR="00CD4CDF" w:rsidRPr="00CD4CDF">
        <w:rPr>
          <w:rFonts w:eastAsia="宋体" w:cs="Times New Roman"/>
          <w:b/>
        </w:rPr>
        <w:t>.</w:t>
      </w:r>
      <w:r w:rsidR="00BA4C19">
        <w:rPr>
          <w:rFonts w:eastAsia="宋体" w:cs="Times New Roman"/>
          <w:b/>
        </w:rPr>
        <w:t>3.2</w:t>
      </w:r>
    </w:p>
    <w:p w14:paraId="1A72AFBF" w14:textId="34D086D2"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w:t>
      </w:r>
      <w:r w:rsidR="00D1319F">
        <w:rPr>
          <w:rFonts w:eastAsia="宋体" w:cs="Times New Roman" w:hint="eastAsia"/>
          <w:b/>
        </w:rPr>
        <w:t xml:space="preserve"> </w:t>
      </w:r>
      <w:r w:rsidRPr="002B0BF3">
        <w:rPr>
          <w:rFonts w:eastAsia="宋体" w:cs="Times New Roman" w:hint="eastAsia"/>
          <w:b/>
        </w:rPr>
        <w:t>HiSilicon</w:t>
      </w:r>
    </w:p>
    <w:p w14:paraId="3CCD028F" w14:textId="7A7F87FC"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3F2E65">
        <w:rPr>
          <w:rFonts w:eastAsia="宋体" w:cs="Times New Roman"/>
          <w:b/>
        </w:rPr>
        <w:t>Discussion on</w:t>
      </w:r>
      <w:r w:rsidR="00C814DC">
        <w:rPr>
          <w:rFonts w:eastAsia="宋体" w:cs="Times New Roman"/>
          <w:b/>
        </w:rPr>
        <w:t xml:space="preserve"> potential enhancement on</w:t>
      </w:r>
      <w:r w:rsidR="003F2E65">
        <w:rPr>
          <w:rFonts w:eastAsia="宋体" w:cs="Times New Roman"/>
          <w:b/>
        </w:rPr>
        <w:t xml:space="preserve"> subband non-overlapping full duplex</w:t>
      </w:r>
    </w:p>
    <w:p w14:paraId="1FE80F6D" w14:textId="02E60392"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w:t>
      </w:r>
      <w:r w:rsidR="00D1319F">
        <w:rPr>
          <w:rFonts w:eastAsia="宋体" w:cs="Times New Roman"/>
          <w:b/>
        </w:rPr>
        <w:t xml:space="preserve"> </w:t>
      </w:r>
      <w:r w:rsidRPr="00E46C72">
        <w:rPr>
          <w:rFonts w:eastAsia="宋体" w:cs="Times New Roman"/>
          <w:b/>
        </w:rPr>
        <w:t>for:</w:t>
      </w:r>
      <w:r w:rsidRPr="00E46C72">
        <w:rPr>
          <w:rFonts w:eastAsia="宋体" w:cs="Times New Roman"/>
          <w:b/>
        </w:rPr>
        <w:tab/>
        <w:t>Discussion</w:t>
      </w:r>
      <w:r w:rsidR="00D1319F">
        <w:rPr>
          <w:rFonts w:eastAsia="宋体" w:cs="Times New Roman"/>
          <w:b/>
        </w:rPr>
        <w:t xml:space="preserve"> </w:t>
      </w:r>
      <w:r w:rsidRPr="00E46C72">
        <w:rPr>
          <w:rFonts w:eastAsia="宋体" w:cs="Times New Roman"/>
          <w:b/>
        </w:rPr>
        <w:t>and</w:t>
      </w:r>
      <w:r w:rsidR="00D1319F">
        <w:rPr>
          <w:rFonts w:eastAsia="宋体" w:cs="Times New Roman"/>
          <w:b/>
        </w:rPr>
        <w:t xml:space="preserve"> </w:t>
      </w:r>
      <w:r w:rsidRPr="00E46C72">
        <w:rPr>
          <w:rFonts w:eastAsia="宋体"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4589705"/>
      <w:bookmarkStart w:id="2" w:name="_Ref129681862"/>
      <w:r w:rsidRPr="00FC6888">
        <w:rPr>
          <w:rFonts w:eastAsia="宋体" w:cs="Times New Roman"/>
          <w:b/>
          <w:bCs/>
          <w:kern w:val="0"/>
          <w:sz w:val="28"/>
          <w:szCs w:val="28"/>
          <w:lang w:eastAsia="en-US"/>
        </w:rPr>
        <w:t>Introduction</w:t>
      </w:r>
      <w:bookmarkEnd w:id="1"/>
      <w:bookmarkEnd w:id="2"/>
    </w:p>
    <w:p w14:paraId="06A94CA2" w14:textId="7469CD25" w:rsidR="00E303F9" w:rsidRDefault="00773F3B" w:rsidP="00166BB7">
      <w:pPr>
        <w:spacing w:before="93"/>
      </w:pPr>
      <w:r>
        <w:t>Over</w:t>
      </w:r>
      <w:r w:rsidR="000A21BA">
        <w:t xml:space="preserve"> the past several meetings</w:t>
      </w:r>
      <w:r w:rsidR="006C6C63">
        <w:t xml:space="preserve"> [1-4]</w:t>
      </w:r>
      <w:r w:rsidR="00BD43D5" w:rsidRPr="00A6534C">
        <w:t>,</w:t>
      </w:r>
      <w:r w:rsidR="006339A2">
        <w:t xml:space="preserve"> </w:t>
      </w:r>
      <w:r w:rsidR="0002324C">
        <w:t>some</w:t>
      </w:r>
      <w:r w:rsidR="000A21BA">
        <w:t xml:space="preserve"> </w:t>
      </w:r>
      <w:r w:rsidR="00205533">
        <w:t xml:space="preserve">progress </w:t>
      </w:r>
      <w:r w:rsidR="000A21BA">
        <w:t>h</w:t>
      </w:r>
      <w:r w:rsidR="00205533">
        <w:t>as</w:t>
      </w:r>
      <w:r w:rsidR="000A21BA">
        <w:t xml:space="preserve"> been</w:t>
      </w:r>
      <w:r w:rsidR="00205533">
        <w:t xml:space="preserve"> made </w:t>
      </w:r>
      <w:r w:rsidR="000A21BA">
        <w:t>on</w:t>
      </w:r>
      <w:r w:rsidR="00650929">
        <w:t xml:space="preserve"> </w:t>
      </w:r>
      <w:r w:rsidR="0043168D">
        <w:t xml:space="preserve">the </w:t>
      </w:r>
      <w:r w:rsidR="0014009C">
        <w:t xml:space="preserve">study of </w:t>
      </w:r>
      <w:r w:rsidR="000A21BA">
        <w:t>SBFD</w:t>
      </w:r>
      <w:r w:rsidR="00205533">
        <w:t xml:space="preserve"> </w:t>
      </w:r>
      <w:r w:rsidR="000A21BA">
        <w:t>operation</w:t>
      </w:r>
      <w:r w:rsidR="002B705D">
        <w:t xml:space="preserve"> within a carrier</w:t>
      </w:r>
      <w:r w:rsidR="000A21BA">
        <w:t xml:space="preserve"> </w:t>
      </w:r>
      <w:r w:rsidR="009010A8">
        <w:t xml:space="preserve">including </w:t>
      </w:r>
      <w:r w:rsidR="0081455A">
        <w:t xml:space="preserve">the </w:t>
      </w:r>
      <w:r w:rsidR="00205533">
        <w:t>potential enhancement</w:t>
      </w:r>
      <w:r w:rsidR="00917858">
        <w:t>s</w:t>
      </w:r>
      <w:r w:rsidR="00205533">
        <w:t xml:space="preserve"> </w:t>
      </w:r>
      <w:r w:rsidR="00B33F6E">
        <w:t>on</w:t>
      </w:r>
      <w:r w:rsidR="00205533">
        <w:t xml:space="preserve"> </w:t>
      </w:r>
      <w:r w:rsidR="00F21EED">
        <w:t xml:space="preserve">physical layer </w:t>
      </w:r>
      <w:r w:rsidR="00B038EF">
        <w:t>procedure</w:t>
      </w:r>
      <w:r w:rsidR="00CC23EB">
        <w:t>s</w:t>
      </w:r>
      <w:r w:rsidR="00B038EF">
        <w:t xml:space="preserve"> </w:t>
      </w:r>
      <w:r w:rsidR="00B33F6E">
        <w:t>o</w:t>
      </w:r>
      <w:r w:rsidR="003E0D01">
        <w:t xml:space="preserve">f </w:t>
      </w:r>
      <w:r w:rsidR="00B038EF">
        <w:t>UL transmission and DL recep</w:t>
      </w:r>
      <w:r w:rsidR="00DD7A20">
        <w:t>tion</w:t>
      </w:r>
      <w:r w:rsidR="00205533">
        <w:t>.</w:t>
      </w:r>
      <w:r w:rsidR="00E708B2">
        <w:t xml:space="preserve"> </w:t>
      </w:r>
      <w:r w:rsidR="009724AA">
        <w:t>T</w:t>
      </w:r>
      <w:r w:rsidR="00E45C10">
        <w:t>his</w:t>
      </w:r>
      <w:r w:rsidR="00D1319F">
        <w:t xml:space="preserve"> </w:t>
      </w:r>
      <w:r w:rsidR="00E45C10">
        <w:t>contribution</w:t>
      </w:r>
      <w:r w:rsidR="009724AA">
        <w:t xml:space="preserve"> </w:t>
      </w:r>
      <w:r w:rsidR="00E95966">
        <w:t>presents our views on</w:t>
      </w:r>
      <w:r w:rsidR="00300824">
        <w:t xml:space="preserve"> </w:t>
      </w:r>
      <w:r w:rsidR="00E95966">
        <w:t>some of the</w:t>
      </w:r>
      <w:r w:rsidR="00B87156">
        <w:t xml:space="preserve"> </w:t>
      </w:r>
      <w:r w:rsidR="002B705D">
        <w:t>remaining issues</w:t>
      </w:r>
      <w:r w:rsidR="00A3430A">
        <w:t xml:space="preserve"> </w:t>
      </w:r>
      <w:r w:rsidR="0014009C">
        <w:t>for</w:t>
      </w:r>
      <w:r w:rsidR="00A3430A">
        <w:t xml:space="preserve"> SBFD</w:t>
      </w:r>
      <w:r w:rsidR="00E95966">
        <w:t xml:space="preserve"> </w:t>
      </w:r>
      <w:r w:rsidR="00E303F9">
        <w:t>including</w:t>
      </w:r>
      <w:r w:rsidR="0001136C">
        <w:t xml:space="preserve"> </w:t>
      </w:r>
      <w:r w:rsidR="000A21BA">
        <w:t>SBFD operation across carriers, dynamic SBFD</w:t>
      </w:r>
      <w:r w:rsidR="00D53230">
        <w:t xml:space="preserve"> operation</w:t>
      </w:r>
      <w:r w:rsidR="00E303F9">
        <w:t xml:space="preserve">, </w:t>
      </w:r>
      <w:r w:rsidR="002B705D">
        <w:t>potential enhancement</w:t>
      </w:r>
      <w:r w:rsidR="003A1255">
        <w:t>s</w:t>
      </w:r>
      <w:r w:rsidR="002B705D">
        <w:t xml:space="preserve"> </w:t>
      </w:r>
      <w:r w:rsidR="00F308EE">
        <w:t>of</w:t>
      </w:r>
      <w:r w:rsidR="002B705D">
        <w:t xml:space="preserve"> </w:t>
      </w:r>
      <w:r w:rsidR="002B705D" w:rsidRPr="002B705D">
        <w:t>physical layer signals</w:t>
      </w:r>
      <w:r w:rsidR="00E95966">
        <w:t xml:space="preserve"> and </w:t>
      </w:r>
      <w:r w:rsidR="0014009C">
        <w:t>channels</w:t>
      </w:r>
      <w:r w:rsidR="002B705D" w:rsidRPr="002B705D">
        <w:t xml:space="preserve"> </w:t>
      </w:r>
      <w:r w:rsidR="00833273">
        <w:t>and</w:t>
      </w:r>
      <w:r w:rsidR="00E303F9">
        <w:t xml:space="preserve"> </w:t>
      </w:r>
      <w:r w:rsidR="007A3BDE">
        <w:rPr>
          <w:rFonts w:hint="eastAsia"/>
        </w:rPr>
        <w:t>CLI</w:t>
      </w:r>
      <w:r w:rsidR="007A3BDE">
        <w:t xml:space="preserve"> </w:t>
      </w:r>
      <w:r w:rsidR="00CA49DD">
        <w:t>handling</w:t>
      </w:r>
      <w:r w:rsidR="00D53230">
        <w:t xml:space="preserve"> specific to SBFD</w:t>
      </w:r>
      <w:r w:rsidR="0001136C">
        <w:t>, etc.</w:t>
      </w:r>
    </w:p>
    <w:p w14:paraId="303A42DA" w14:textId="77777777" w:rsidR="005527C7" w:rsidRPr="001B1A1D" w:rsidRDefault="005527C7" w:rsidP="00E54D69">
      <w:pPr>
        <w:spacing w:before="93"/>
      </w:pPr>
    </w:p>
    <w:p w14:paraId="74F5419A" w14:textId="0B875222" w:rsidR="00D44E3C" w:rsidRDefault="00F1309C" w:rsidP="00F3160D">
      <w:pPr>
        <w:pStyle w:val="a8"/>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p>
    <w:p w14:paraId="3FDF3C6E" w14:textId="141073C8" w:rsidR="009C5E8E" w:rsidRPr="0040782E" w:rsidRDefault="009C5E8E" w:rsidP="00195777">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hint="eastAsia"/>
          <w:b/>
          <w:bCs/>
          <w:kern w:val="0"/>
          <w:sz w:val="28"/>
          <w:szCs w:val="28"/>
        </w:rPr>
        <w:t>S</w:t>
      </w:r>
      <w:r>
        <w:rPr>
          <w:rFonts w:eastAsia="宋体" w:cs="Times New Roman"/>
          <w:b/>
          <w:bCs/>
          <w:kern w:val="0"/>
          <w:sz w:val="28"/>
          <w:szCs w:val="28"/>
        </w:rPr>
        <w:t>BFD operation across carriers</w:t>
      </w:r>
    </w:p>
    <w:p w14:paraId="69F07CA6" w14:textId="0D0D2DB5" w:rsidR="00186D28" w:rsidRDefault="00AF1B69" w:rsidP="00FA4FCE">
      <w:pPr>
        <w:widowControl/>
        <w:autoSpaceDE w:val="0"/>
        <w:autoSpaceDN w:val="0"/>
        <w:spacing w:before="93" w:after="93" w:line="240" w:lineRule="auto"/>
      </w:pPr>
      <w:r>
        <w:t>In RAN1#109-e</w:t>
      </w:r>
      <w:r w:rsidR="00A100E6">
        <w:t xml:space="preserve"> [2]</w:t>
      </w:r>
      <w:r>
        <w:t>, i</w:t>
      </w:r>
      <w:r w:rsidR="000A5673">
        <w:t xml:space="preserve">t was agreed to at least study SBFD operation within a carrier. </w:t>
      </w:r>
      <w:r w:rsidR="00B664B9">
        <w:t>There was not much discussion on SBFD operation across carriers</w:t>
      </w:r>
      <w:r w:rsidR="00E31650">
        <w:t xml:space="preserve"> ever since</w:t>
      </w:r>
      <w:r w:rsidR="00B664B9">
        <w:t xml:space="preserve">. </w:t>
      </w:r>
      <w:r w:rsidR="00C527D1">
        <w:t xml:space="preserve">Given the progress of SBFD operation within a carrier, it is time to study </w:t>
      </w:r>
      <w:r w:rsidR="001E6413">
        <w:t xml:space="preserve">the </w:t>
      </w:r>
      <w:r w:rsidR="00C527D1">
        <w:t xml:space="preserve">SBFD operation across carriers especially </w:t>
      </w:r>
      <w:r w:rsidR="00286153">
        <w:t>the specification impact</w:t>
      </w:r>
      <w:r w:rsidR="006336F0">
        <w:t xml:space="preserve"> in addition to th</w:t>
      </w:r>
      <w:r w:rsidR="001E6413">
        <w:t>ose required to</w:t>
      </w:r>
      <w:r w:rsidR="006336F0">
        <w:t xml:space="preserve"> support of SBFD operation with a carrier</w:t>
      </w:r>
      <w:r w:rsidR="00286153" w:rsidRPr="00286153">
        <w:t>.</w:t>
      </w:r>
      <w:r w:rsidR="0009209D">
        <w:t xml:space="preserve"> </w:t>
      </w:r>
    </w:p>
    <w:p w14:paraId="4FB6086D" w14:textId="0B88C676" w:rsidR="006336F0" w:rsidRDefault="00AC6322" w:rsidP="00A04F19">
      <w:pPr>
        <w:widowControl/>
        <w:autoSpaceDE w:val="0"/>
        <w:autoSpaceDN w:val="0"/>
        <w:spacing w:before="93" w:after="93" w:line="240" w:lineRule="auto"/>
      </w:pPr>
      <w:r>
        <w:t>For SBFD operation across carriers</w:t>
      </w:r>
      <w:r>
        <w:rPr>
          <w:rFonts w:hint="eastAsia"/>
        </w:rPr>
        <w:t>,</w:t>
      </w:r>
      <w:r>
        <w:t xml:space="preserve"> simultaneous </w:t>
      </w:r>
      <w:r>
        <w:rPr>
          <w:rFonts w:hint="eastAsia"/>
        </w:rPr>
        <w:t>DL</w:t>
      </w:r>
      <w:r>
        <w:t xml:space="preserve"> transmission and </w:t>
      </w:r>
      <w:r>
        <w:rPr>
          <w:rFonts w:hint="eastAsia"/>
        </w:rPr>
        <w:t>UL</w:t>
      </w:r>
      <w:r>
        <w:t xml:space="preserve"> reception are </w:t>
      </w:r>
      <w:r w:rsidR="00B549EB">
        <w:t>allowed</w:t>
      </w:r>
      <w:r>
        <w:t xml:space="preserve"> </w:t>
      </w:r>
      <w:r w:rsidR="00B549EB">
        <w:t xml:space="preserve">across different </w:t>
      </w:r>
      <w:r>
        <w:t xml:space="preserve">carriers within the same </w:t>
      </w:r>
      <w:r w:rsidR="009B6D7B">
        <w:t xml:space="preserve">frequency </w:t>
      </w:r>
      <w:r>
        <w:t xml:space="preserve">band from </w:t>
      </w:r>
      <w:r w:rsidR="00220505">
        <w:t xml:space="preserve">a </w:t>
      </w:r>
      <w:r>
        <w:t>gNB point of view. For a given UE, it is still half duplex within the</w:t>
      </w:r>
      <w:r w:rsidR="006336F0">
        <w:t xml:space="preserve"> </w:t>
      </w:r>
      <w:r>
        <w:t>band, i.e. either transmit or receive</w:t>
      </w:r>
      <w:r w:rsidR="006336F0">
        <w:t xml:space="preserve"> at the same time</w:t>
      </w:r>
      <w:r>
        <w:t xml:space="preserve">. </w:t>
      </w:r>
      <w:r w:rsidR="006336F0">
        <w:rPr>
          <w:rFonts w:hint="eastAsia"/>
        </w:rPr>
        <w:t>T</w:t>
      </w:r>
      <w:r w:rsidR="006336F0">
        <w:t xml:space="preserve">herefore, SBFD operation across different carriers is </w:t>
      </w:r>
      <w:r w:rsidR="00B549EB">
        <w:t>equivalent to support half duplex for UEs configured with intra-band TDD CA.</w:t>
      </w:r>
      <w:r w:rsidR="00220505">
        <w:t xml:space="preserve"> </w:t>
      </w:r>
    </w:p>
    <w:p w14:paraId="61297719" w14:textId="335BA81B" w:rsidR="00583A75" w:rsidRDefault="00B549EB" w:rsidP="00FA4FCE">
      <w:pPr>
        <w:widowControl/>
        <w:autoSpaceDE w:val="0"/>
        <w:autoSpaceDN w:val="0"/>
        <w:spacing w:before="93" w:after="93" w:line="240" w:lineRule="auto"/>
      </w:pPr>
      <w:r>
        <w:t xml:space="preserve">From </w:t>
      </w:r>
      <w:r w:rsidR="0012437E">
        <w:t xml:space="preserve">resource </w:t>
      </w:r>
      <w:r>
        <w:t>configuration point of view, t</w:t>
      </w:r>
      <w:r w:rsidR="003774F8">
        <w:rPr>
          <w:rFonts w:hint="eastAsia"/>
        </w:rPr>
        <w:t>here</w:t>
      </w:r>
      <w:r w:rsidR="003774F8">
        <w:t xml:space="preserve"> </w:t>
      </w:r>
      <w:r w:rsidR="003774F8">
        <w:rPr>
          <w:rFonts w:hint="eastAsia"/>
        </w:rPr>
        <w:t>are</w:t>
      </w:r>
      <w:r w:rsidR="003774F8">
        <w:t xml:space="preserve"> </w:t>
      </w:r>
      <w:r w:rsidR="00D01BE9">
        <w:t xml:space="preserve">three </w:t>
      </w:r>
      <w:r w:rsidR="003774F8">
        <w:t>possible ways</w:t>
      </w:r>
      <w:r w:rsidR="003F77AE">
        <w:t xml:space="preserve"> to achieve th</w:t>
      </w:r>
      <w:r w:rsidR="003F2240">
        <w:t>e above</w:t>
      </w:r>
      <w:r w:rsidR="006572E1">
        <w:t xml:space="preserve"> operation</w:t>
      </w:r>
    </w:p>
    <w:p w14:paraId="7B6BD1BF" w14:textId="5E4CD166" w:rsidR="00583A75" w:rsidRDefault="003774F8" w:rsidP="00195777">
      <w:pPr>
        <w:pStyle w:val="a8"/>
        <w:widowControl/>
        <w:numPr>
          <w:ilvl w:val="0"/>
          <w:numId w:val="61"/>
        </w:numPr>
        <w:autoSpaceDE w:val="0"/>
        <w:autoSpaceDN w:val="0"/>
        <w:spacing w:before="93" w:after="93" w:line="240" w:lineRule="auto"/>
        <w:ind w:firstLineChars="0"/>
      </w:pPr>
      <w:r>
        <w:t xml:space="preserve">The first </w:t>
      </w:r>
      <w:r w:rsidR="003F77AE">
        <w:t>way</w:t>
      </w:r>
      <w:r>
        <w:t xml:space="preserve"> is to configure </w:t>
      </w:r>
      <w:r w:rsidR="001B008A">
        <w:t>all</w:t>
      </w:r>
      <w:r>
        <w:t xml:space="preserve"> symbols</w:t>
      </w:r>
      <w:r w:rsidR="001B008A">
        <w:t xml:space="preserve"> as flexible</w:t>
      </w:r>
      <w:r>
        <w:t xml:space="preserve"> in </w:t>
      </w:r>
      <w:r w:rsidR="003F77AE">
        <w:t>all</w:t>
      </w:r>
      <w:r>
        <w:t xml:space="preserve"> carriers</w:t>
      </w:r>
      <w:r w:rsidR="009D1D5B">
        <w:t xml:space="preserve"> within the</w:t>
      </w:r>
      <w:r w:rsidR="00B0398B">
        <w:t xml:space="preserve"> same frequency</w:t>
      </w:r>
      <w:r w:rsidR="009D1D5B">
        <w:t xml:space="preserve"> band</w:t>
      </w:r>
      <w:r w:rsidR="004E68E2">
        <w:t xml:space="preserve"> similar to </w:t>
      </w:r>
      <w:r w:rsidR="0099207E">
        <w:t xml:space="preserve">the </w:t>
      </w:r>
      <w:r w:rsidR="00685D1C">
        <w:t xml:space="preserve">UE-transparent </w:t>
      </w:r>
      <w:r w:rsidR="004E68E2">
        <w:t>SBFD operation within a carrier</w:t>
      </w:r>
      <w:r w:rsidR="00EF50E0">
        <w:t>.</w:t>
      </w:r>
      <w:r w:rsidR="003F77AE">
        <w:t xml:space="preserve"> </w:t>
      </w:r>
      <w:r w:rsidR="00B0398B">
        <w:t>As a result</w:t>
      </w:r>
      <w:r w:rsidR="00EF50E0">
        <w:t>,</w:t>
      </w:r>
      <w:r w:rsidR="003F77AE">
        <w:t xml:space="preserve"> the gNB can </w:t>
      </w:r>
      <w:r w:rsidR="0093079B">
        <w:t xml:space="preserve">schedule DL </w:t>
      </w:r>
      <w:r w:rsidR="00220505">
        <w:t xml:space="preserve">reception </w:t>
      </w:r>
      <w:r w:rsidR="003F77AE">
        <w:rPr>
          <w:rFonts w:hint="eastAsia"/>
        </w:rPr>
        <w:t>in</w:t>
      </w:r>
      <w:r w:rsidR="003F77AE">
        <w:t xml:space="preserve"> one carrier</w:t>
      </w:r>
      <w:r w:rsidR="00EF50E0">
        <w:t xml:space="preserve"> for one UE</w:t>
      </w:r>
      <w:r w:rsidR="003F77AE">
        <w:t xml:space="preserve"> and UL </w:t>
      </w:r>
      <w:r w:rsidR="00220505">
        <w:t xml:space="preserve">transmission </w:t>
      </w:r>
      <w:r w:rsidR="003F77AE">
        <w:t xml:space="preserve">in another carrier </w:t>
      </w:r>
      <w:r w:rsidR="00EF50E0">
        <w:t xml:space="preserve">for another UE </w:t>
      </w:r>
      <w:r w:rsidR="003F77AE">
        <w:t xml:space="preserve">at the same time. </w:t>
      </w:r>
      <w:r w:rsidR="00D5665E">
        <w:t xml:space="preserve">In this alternative, SBFD operation across carriers </w:t>
      </w:r>
      <w:r w:rsidR="00344C8E">
        <w:t>can be supported in a UE</w:t>
      </w:r>
      <w:r w:rsidR="005129C9">
        <w:t>-</w:t>
      </w:r>
      <w:r w:rsidR="00344C8E">
        <w:t xml:space="preserve">transparent way. </w:t>
      </w:r>
    </w:p>
    <w:p w14:paraId="156C8E4F" w14:textId="77777777" w:rsidR="00D01BE9" w:rsidRDefault="003F77AE">
      <w:pPr>
        <w:pStyle w:val="a8"/>
        <w:widowControl/>
        <w:numPr>
          <w:ilvl w:val="0"/>
          <w:numId w:val="61"/>
        </w:numPr>
        <w:autoSpaceDE w:val="0"/>
        <w:autoSpaceDN w:val="0"/>
        <w:spacing w:before="93" w:after="93" w:line="240" w:lineRule="auto"/>
        <w:ind w:firstLineChars="0"/>
      </w:pPr>
      <w:r>
        <w:t>The second way is to configure</w:t>
      </w:r>
      <w:r w:rsidR="00D87AFC">
        <w:t xml:space="preserve"> intra-band TDD CA with different TDD configurations</w:t>
      </w:r>
      <w:r w:rsidR="00C55ECF">
        <w:t xml:space="preserve"> as</w:t>
      </w:r>
      <w:r w:rsidR="00593D08">
        <w:t xml:space="preserve"> shown in Fig.</w:t>
      </w:r>
      <w:r w:rsidR="00912EAD">
        <w:t xml:space="preserve"> 1.</w:t>
      </w:r>
      <w:r w:rsidR="000566D3">
        <w:t xml:space="preserve"> </w:t>
      </w:r>
      <w:r w:rsidR="00583A75">
        <w:t xml:space="preserve">Note that this </w:t>
      </w:r>
      <w:r w:rsidR="00D11962">
        <w:t xml:space="preserve">is </w:t>
      </w:r>
      <w:r w:rsidR="00583A75">
        <w:t>also supported by current specification, e.</w:t>
      </w:r>
      <w:r w:rsidR="006964EE">
        <w:t>g.</w:t>
      </w:r>
      <w:r w:rsidR="00583A75">
        <w:t xml:space="preserve"> each </w:t>
      </w:r>
      <w:r w:rsidR="006964EE">
        <w:t xml:space="preserve">serving </w:t>
      </w:r>
      <w:r w:rsidR="00583A75">
        <w:t xml:space="preserve">cell can be configured with </w:t>
      </w:r>
      <w:r w:rsidR="006964EE">
        <w:t xml:space="preserve">a </w:t>
      </w:r>
      <w:r w:rsidR="00583A75">
        <w:t xml:space="preserve">different </w:t>
      </w:r>
      <w:r w:rsidR="006964EE">
        <w:t>TDD UL/DL configuration.</w:t>
      </w:r>
      <w:r w:rsidR="00D01BE9">
        <w:t xml:space="preserve"> </w:t>
      </w:r>
    </w:p>
    <w:p w14:paraId="0A9AA03E" w14:textId="12B88121" w:rsidR="00583A75" w:rsidRDefault="00D01BE9" w:rsidP="00195777">
      <w:pPr>
        <w:pStyle w:val="a8"/>
        <w:widowControl/>
        <w:numPr>
          <w:ilvl w:val="0"/>
          <w:numId w:val="61"/>
        </w:numPr>
        <w:autoSpaceDE w:val="0"/>
        <w:autoSpaceDN w:val="0"/>
        <w:spacing w:before="93" w:after="93" w:line="240" w:lineRule="auto"/>
        <w:ind w:firstLineChars="0"/>
      </w:pPr>
      <w:r>
        <w:t xml:space="preserve">The third way is to configure </w:t>
      </w:r>
      <w:r w:rsidR="00D91B21">
        <w:t xml:space="preserve">a slot offset between </w:t>
      </w:r>
      <w:r>
        <w:t xml:space="preserve">different CCs. </w:t>
      </w:r>
      <w:r w:rsidR="00B87159">
        <w:t>E</w:t>
      </w:r>
      <w:r>
        <w:t xml:space="preserve">ven though the intended scenario is for </w:t>
      </w:r>
      <w:r w:rsidR="000B199D">
        <w:t xml:space="preserve">Rel-16 </w:t>
      </w:r>
      <w:r>
        <w:t>inter-band CA but the signaling can be extended to intra-band CA without any change.</w:t>
      </w:r>
    </w:p>
    <w:p w14:paraId="04C0A37A" w14:textId="18B3D0AE" w:rsidR="00E0424E" w:rsidRDefault="00A41EAF" w:rsidP="00195777">
      <w:pPr>
        <w:widowControl/>
        <w:autoSpaceDE w:val="0"/>
        <w:autoSpaceDN w:val="0"/>
        <w:spacing w:before="93" w:after="93" w:line="240" w:lineRule="auto"/>
      </w:pPr>
      <w:r>
        <w:t>I</w:t>
      </w:r>
      <w:r w:rsidR="009D1D5B">
        <w:t xml:space="preserve">n </w:t>
      </w:r>
      <w:r w:rsidR="00D01BE9">
        <w:t>the above three</w:t>
      </w:r>
      <w:r w:rsidR="009D1D5B">
        <w:t xml:space="preserve"> alternatives</w:t>
      </w:r>
      <w:r>
        <w:t>,</w:t>
      </w:r>
      <w:r w:rsidR="009D1D5B">
        <w:t xml:space="preserve"> </w:t>
      </w:r>
      <w:r w:rsidR="00304B49">
        <w:rPr>
          <w:rFonts w:hint="eastAsia"/>
        </w:rPr>
        <w:t>t</w:t>
      </w:r>
      <w:r w:rsidR="00BA6852">
        <w:t>here is no need</w:t>
      </w:r>
      <w:r w:rsidR="00636F79">
        <w:t xml:space="preserve"> to </w:t>
      </w:r>
      <w:r w:rsidR="003521D6">
        <w:t>configure</w:t>
      </w:r>
      <w:r w:rsidR="00636F79">
        <w:t xml:space="preserve"> </w:t>
      </w:r>
      <w:r w:rsidR="00BA6852">
        <w:t>subband</w:t>
      </w:r>
      <w:r w:rsidR="003521D6">
        <w:t>(s)</w:t>
      </w:r>
      <w:r w:rsidR="00B07DFD">
        <w:t xml:space="preserve"> and </w:t>
      </w:r>
      <w:r w:rsidR="00D01BE9">
        <w:t>all</w:t>
      </w:r>
      <w:r w:rsidR="009B6D7B">
        <w:t xml:space="preserve"> of them</w:t>
      </w:r>
      <w:r w:rsidR="00B07DFD">
        <w:t xml:space="preserve"> </w:t>
      </w:r>
      <w:r w:rsidR="003521D6">
        <w:t xml:space="preserve">are </w:t>
      </w:r>
      <w:r w:rsidR="00B07DFD">
        <w:t>supported by</w:t>
      </w:r>
      <w:r w:rsidR="00636F79">
        <w:t xml:space="preserve"> </w:t>
      </w:r>
      <w:r w:rsidR="00B07DFD">
        <w:t xml:space="preserve">current specification. Therefore, there is </w:t>
      </w:r>
      <w:r w:rsidR="00D11962">
        <w:t>no</w:t>
      </w:r>
      <w:r w:rsidR="003E5446">
        <w:t xml:space="preserve"> specification impact </w:t>
      </w:r>
      <w:r w:rsidR="00CC6ED7">
        <w:t xml:space="preserve">with respect to </w:t>
      </w:r>
      <w:r w:rsidR="00D11962">
        <w:t xml:space="preserve">resource </w:t>
      </w:r>
      <w:r w:rsidR="00CC6ED7">
        <w:t xml:space="preserve">configuration </w:t>
      </w:r>
      <w:r w:rsidR="00636F79">
        <w:t>for the</w:t>
      </w:r>
      <w:r w:rsidR="00DE6E50">
        <w:t xml:space="preserve"> </w:t>
      </w:r>
      <w:r w:rsidR="00CC6ED7">
        <w:t xml:space="preserve">support of SBFD operation </w:t>
      </w:r>
      <w:r w:rsidR="00D11962">
        <w:t>across</w:t>
      </w:r>
      <w:r w:rsidR="00CC6ED7">
        <w:t xml:space="preserve"> carrier</w:t>
      </w:r>
      <w:r w:rsidR="00D11962">
        <w:t>s</w:t>
      </w:r>
      <w:r w:rsidR="00CC6ED7">
        <w:t>.</w:t>
      </w:r>
    </w:p>
    <w:p w14:paraId="0C805FDB" w14:textId="3886309D" w:rsidR="00BF2434" w:rsidRDefault="00120402" w:rsidP="00C55ECF">
      <w:pPr>
        <w:widowControl/>
        <w:autoSpaceDE w:val="0"/>
        <w:autoSpaceDN w:val="0"/>
        <w:spacing w:before="93" w:after="93" w:line="240" w:lineRule="auto"/>
        <w:jc w:val="center"/>
      </w:pPr>
      <w:r>
        <w:rPr>
          <w:noProof/>
        </w:rPr>
        <w:drawing>
          <wp:inline distT="0" distB="0" distL="0" distR="0" wp14:anchorId="5B50B7E4" wp14:editId="633ECBCF">
            <wp:extent cx="3394800" cy="123120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t="4187"/>
                    <a:stretch/>
                  </pic:blipFill>
                  <pic:spPr bwMode="auto">
                    <a:xfrm>
                      <a:off x="0" y="0"/>
                      <a:ext cx="3394800" cy="1231200"/>
                    </a:xfrm>
                    <a:prstGeom prst="rect">
                      <a:avLst/>
                    </a:prstGeom>
                    <a:noFill/>
                    <a:ln>
                      <a:noFill/>
                    </a:ln>
                    <a:extLst>
                      <a:ext uri="{53640926-AAD7-44D8-BBD7-CCE9431645EC}">
                        <a14:shadowObscured xmlns:a14="http://schemas.microsoft.com/office/drawing/2010/main"/>
                      </a:ext>
                    </a:extLst>
                  </pic:spPr>
                </pic:pic>
              </a:graphicData>
            </a:graphic>
          </wp:inline>
        </w:drawing>
      </w:r>
    </w:p>
    <w:p w14:paraId="372E6BC4" w14:textId="7B401E1E" w:rsidR="00B87159" w:rsidRPr="00862A39" w:rsidRDefault="00C37790" w:rsidP="00ED3547">
      <w:pPr>
        <w:pStyle w:val="ae"/>
        <w:spacing w:before="93"/>
        <w:rPr>
          <w:b w:val="0"/>
          <w:lang w:eastAsia="zh-CN"/>
        </w:rPr>
      </w:pPr>
      <w:r w:rsidRPr="00C37790">
        <w:rPr>
          <w:b w:val="0"/>
        </w:rPr>
        <w:t>Fig.</w:t>
      </w:r>
      <w:r w:rsidR="00912EAD" w:rsidRPr="00C37790">
        <w:rPr>
          <w:b w:val="0"/>
        </w:rPr>
        <w:t xml:space="preserve"> </w:t>
      </w:r>
      <w:r w:rsidR="00D105A5">
        <w:rPr>
          <w:b w:val="0"/>
        </w:rPr>
        <w:t>1</w:t>
      </w:r>
      <w:r w:rsidR="00912EAD" w:rsidRPr="00C37790">
        <w:rPr>
          <w:b w:val="0"/>
        </w:rPr>
        <w:t xml:space="preserve"> </w:t>
      </w:r>
      <w:r w:rsidR="00912EAD" w:rsidRPr="00C37790">
        <w:rPr>
          <w:rFonts w:hint="eastAsia"/>
          <w:b w:val="0"/>
          <w:lang w:eastAsia="zh-CN"/>
        </w:rPr>
        <w:t>SBFD</w:t>
      </w:r>
      <w:r w:rsidR="00912EAD" w:rsidRPr="00C37790">
        <w:rPr>
          <w:b w:val="0"/>
        </w:rPr>
        <w:t xml:space="preserve"> </w:t>
      </w:r>
      <w:r w:rsidR="00912EAD" w:rsidRPr="00C37790">
        <w:rPr>
          <w:rFonts w:hint="eastAsia"/>
          <w:b w:val="0"/>
          <w:lang w:eastAsia="zh-CN"/>
        </w:rPr>
        <w:t>operation</w:t>
      </w:r>
      <w:r w:rsidR="00912EAD" w:rsidRPr="00C37790">
        <w:rPr>
          <w:b w:val="0"/>
        </w:rPr>
        <w:t xml:space="preserve"> </w:t>
      </w:r>
      <w:r w:rsidR="00912EAD" w:rsidRPr="00C37790">
        <w:rPr>
          <w:rFonts w:hint="eastAsia"/>
          <w:b w:val="0"/>
          <w:lang w:eastAsia="zh-CN"/>
        </w:rPr>
        <w:t>across</w:t>
      </w:r>
      <w:r w:rsidR="00912EAD" w:rsidRPr="00C37790">
        <w:rPr>
          <w:b w:val="0"/>
        </w:rPr>
        <w:t xml:space="preserve"> </w:t>
      </w:r>
      <w:r w:rsidR="00912EAD" w:rsidRPr="00C37790">
        <w:rPr>
          <w:rFonts w:hint="eastAsia"/>
          <w:b w:val="0"/>
          <w:lang w:eastAsia="zh-CN"/>
        </w:rPr>
        <w:t>carriers</w:t>
      </w:r>
      <w:r w:rsidR="00F41159">
        <w:rPr>
          <w:b w:val="0"/>
          <w:lang w:eastAsia="zh-CN"/>
        </w:rPr>
        <w:t>.</w:t>
      </w:r>
    </w:p>
    <w:p w14:paraId="79D9AB90" w14:textId="1FC1C688" w:rsidR="006823A8" w:rsidRDefault="003B467D" w:rsidP="00891ABD">
      <w:pPr>
        <w:widowControl/>
        <w:autoSpaceDE w:val="0"/>
        <w:autoSpaceDN w:val="0"/>
        <w:spacing w:before="93" w:after="93" w:line="240" w:lineRule="auto"/>
      </w:pPr>
      <w:r w:rsidRPr="003B467D">
        <w:lastRenderedPageBreak/>
        <w:t xml:space="preserve">From deployment perspective, intra-band TDD CA is </w:t>
      </w:r>
      <w:r w:rsidR="009E6D7D">
        <w:t>best suited</w:t>
      </w:r>
      <w:r w:rsidRPr="003B467D">
        <w:t xml:space="preserve"> </w:t>
      </w:r>
      <w:r w:rsidR="00DD47B2">
        <w:t>for</w:t>
      </w:r>
      <w:r w:rsidRPr="003B467D">
        <w:t xml:space="preserve"> large bandwidth within one band, e.g. 200MHz in FR1</w:t>
      </w:r>
      <w:r w:rsidR="00DD47B2">
        <w:t>, 800MHz in FR2</w:t>
      </w:r>
      <w:r w:rsidRPr="003B467D">
        <w:t>. Th</w:t>
      </w:r>
      <w:r w:rsidR="00DD47B2">
        <w:t>is</w:t>
      </w:r>
      <w:r w:rsidRPr="003B467D">
        <w:t xml:space="preserve"> </w:t>
      </w:r>
      <w:r w:rsidR="00DD47B2">
        <w:t>approach</w:t>
      </w:r>
      <w:r w:rsidRPr="003B467D">
        <w:t xml:space="preserve"> </w:t>
      </w:r>
      <w:r w:rsidR="00DD47B2">
        <w:t>is particularly useful for</w:t>
      </w:r>
      <w:r w:rsidR="009E6D7D">
        <w:t xml:space="preserve"> </w:t>
      </w:r>
      <w:r w:rsidR="00DD47B2">
        <w:t>scenarios</w:t>
      </w:r>
      <w:r w:rsidR="009E6D7D">
        <w:t xml:space="preserve"> with high</w:t>
      </w:r>
      <w:r w:rsidRPr="003B467D">
        <w:t xml:space="preserve"> </w:t>
      </w:r>
      <w:r w:rsidR="009E6D7D" w:rsidRPr="003B467D">
        <w:t xml:space="preserve">demand </w:t>
      </w:r>
      <w:r w:rsidR="00DD47B2">
        <w:t>for</w:t>
      </w:r>
      <w:r w:rsidR="009E6D7D">
        <w:t xml:space="preserve"> </w:t>
      </w:r>
      <w:r w:rsidRPr="003B467D">
        <w:t>UL capacity</w:t>
      </w:r>
      <w:r w:rsidR="00DD47B2">
        <w:t>,</w:t>
      </w:r>
      <w:r w:rsidRPr="003B467D">
        <w:t xml:space="preserve"> such as smart factories. One use case is machine vision, where high-definition cameras are deployed with high UL data rate requirement for the purpose of remote monitoring. In this case, one can configure legacy TDD configuration in one carrier to serve eMBB traffic and UL</w:t>
      </w:r>
      <w:r w:rsidR="00CF05E5">
        <w:t>-</w:t>
      </w:r>
      <w:r w:rsidRPr="003B467D">
        <w:t xml:space="preserve">heavy TDD configuration in another carrier to serve </w:t>
      </w:r>
      <w:r w:rsidR="002C235F">
        <w:t xml:space="preserve">the </w:t>
      </w:r>
      <w:r w:rsidRPr="003B467D">
        <w:t>UL demanding traffic. Another use case is real time remote control in manufactur</w:t>
      </w:r>
      <w:r w:rsidR="009E6D7D">
        <w:t>ing</w:t>
      </w:r>
      <w:r w:rsidRPr="003B467D">
        <w:t>, which requires low end-to-end latency. In this case, one can configure complimentary TDD configurations in different carriers so that there are both UL and DL transmission opportunities all the time. For industrial applications, the complexity to support carrier aggregation at the UE may be less of a concern.</w:t>
      </w:r>
    </w:p>
    <w:p w14:paraId="5B14DE56" w14:textId="6C27F6C4" w:rsidR="00891ABD" w:rsidRDefault="00891ABD" w:rsidP="00891ABD">
      <w:pPr>
        <w:widowControl/>
        <w:autoSpaceDE w:val="0"/>
        <w:autoSpaceDN w:val="0"/>
        <w:spacing w:before="93" w:after="93" w:line="240" w:lineRule="auto"/>
      </w:pPr>
      <w:r>
        <w:t>In Rel-16 half-duplex CA TEI, the UE behavior was specified for UEs not capable of simultaneous UL transmission and DL reception on the same symbol on different TDD carriers in the same band. According to the half-duplex rule, the UE can determine the link direction of the OFDM symbol with different UL/DL direction indications on different carriers</w:t>
      </w:r>
      <w:r w:rsidR="002C235F">
        <w:t xml:space="preserve">. </w:t>
      </w:r>
      <w:r>
        <w:t xml:space="preserve">For SBFD operation, a semi-static rule is not proper </w:t>
      </w:r>
      <w:r w:rsidR="002C235F">
        <w:t>since</w:t>
      </w:r>
      <w:r>
        <w:t xml:space="preserve"> the gNB is </w:t>
      </w:r>
      <w:r w:rsidR="002C235F">
        <w:t xml:space="preserve">scheduling </w:t>
      </w:r>
      <w:r>
        <w:t xml:space="preserve">UL and DL on different carriers simultaneously. Therefore, </w:t>
      </w:r>
      <w:r w:rsidR="002C235F">
        <w:t>an</w:t>
      </w:r>
      <w:r>
        <w:t xml:space="preserve"> </w:t>
      </w:r>
      <w:r w:rsidR="002C235F">
        <w:t xml:space="preserve">SBFD-aware </w:t>
      </w:r>
      <w:r>
        <w:t xml:space="preserve">UE </w:t>
      </w:r>
      <w:r w:rsidR="002C235F">
        <w:t xml:space="preserve">should be allowed to </w:t>
      </w:r>
      <w:r>
        <w:t xml:space="preserve">be scheduled with either DL or UL on different carriers. This potential enhancement to </w:t>
      </w:r>
      <w:r w:rsidR="002C235F">
        <w:t xml:space="preserve">the </w:t>
      </w:r>
      <w:r>
        <w:t xml:space="preserve">collision handling is similar for SBFD operation within a carrier as discussed in section 2.4. The potential collision handling rules </w:t>
      </w:r>
      <w:r w:rsidR="002C235F">
        <w:t xml:space="preserve">which </w:t>
      </w:r>
      <w:r>
        <w:t xml:space="preserve">need to be updated are listed in Table 1, where the main </w:t>
      </w:r>
      <w:r w:rsidR="006A20B3">
        <w:t>speciation</w:t>
      </w:r>
      <w:r>
        <w:t xml:space="preserve"> impact is to remove the restriction that is applied for half-duplex CA UE. </w:t>
      </w:r>
    </w:p>
    <w:p w14:paraId="5A8D148F" w14:textId="77777777" w:rsidR="00E0424E" w:rsidRDefault="00E0424E" w:rsidP="00195777">
      <w:pPr>
        <w:spacing w:before="93"/>
        <w:jc w:val="center"/>
      </w:pPr>
    </w:p>
    <w:p w14:paraId="2FFF8686" w14:textId="4685D4A4" w:rsidR="00330007" w:rsidRDefault="00330007" w:rsidP="00195777">
      <w:pPr>
        <w:spacing w:before="93"/>
        <w:jc w:val="center"/>
      </w:pPr>
      <w:r>
        <w:t>Table 1</w:t>
      </w:r>
      <w:r w:rsidR="00076C87">
        <w:t xml:space="preserve"> </w:t>
      </w:r>
      <w:r w:rsidR="00E74462">
        <w:t>UE</w:t>
      </w:r>
      <w:r w:rsidR="00076C87">
        <w:t xml:space="preserve"> collision handling rules for </w:t>
      </w:r>
      <w:r w:rsidR="00103A23">
        <w:t>SBFD operation across carriers</w:t>
      </w:r>
    </w:p>
    <w:tbl>
      <w:tblPr>
        <w:tblW w:w="5000" w:type="pct"/>
        <w:tblCellMar>
          <w:left w:w="0" w:type="dxa"/>
          <w:right w:w="0" w:type="dxa"/>
        </w:tblCellMar>
        <w:tblLook w:val="04A0" w:firstRow="1" w:lastRow="0" w:firstColumn="1" w:lastColumn="0" w:noHBand="0" w:noVBand="1"/>
      </w:tblPr>
      <w:tblGrid>
        <w:gridCol w:w="251"/>
        <w:gridCol w:w="1144"/>
        <w:gridCol w:w="976"/>
        <w:gridCol w:w="1597"/>
        <w:gridCol w:w="1420"/>
        <w:gridCol w:w="3927"/>
      </w:tblGrid>
      <w:tr w:rsidR="00330007" w:rsidRPr="006F2BDD" w14:paraId="55DC1BBF" w14:textId="77777777" w:rsidTr="00195777">
        <w:trPr>
          <w:trHeight w:val="57"/>
        </w:trPr>
        <w:tc>
          <w:tcPr>
            <w:tcW w:w="135" w:type="pct"/>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797E680"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No</w:t>
            </w:r>
          </w:p>
        </w:tc>
        <w:tc>
          <w:tcPr>
            <w:tcW w:w="614" w:type="pct"/>
            <w:tcBorders>
              <w:top w:val="single" w:sz="8" w:space="0" w:color="1D1D1A"/>
              <w:left w:val="nil"/>
              <w:bottom w:val="single" w:sz="8" w:space="0" w:color="1D1D1A"/>
              <w:right w:val="nil"/>
            </w:tcBorders>
            <w:shd w:val="clear" w:color="auto" w:fill="auto"/>
            <w:tcMar>
              <w:top w:w="15" w:type="dxa"/>
              <w:left w:w="108" w:type="dxa"/>
              <w:bottom w:w="0" w:type="dxa"/>
              <w:right w:w="108" w:type="dxa"/>
            </w:tcMar>
            <w:vAlign w:val="center"/>
            <w:hideMark/>
          </w:tcPr>
          <w:p w14:paraId="7972A685"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Reference cell</w:t>
            </w:r>
          </w:p>
        </w:tc>
        <w:tc>
          <w:tcPr>
            <w:tcW w:w="524" w:type="pct"/>
            <w:tcBorders>
              <w:top w:val="single" w:sz="8" w:space="0" w:color="1D1D1A"/>
              <w:left w:val="nil"/>
              <w:bottom w:val="single" w:sz="8" w:space="0" w:color="1D1D1A"/>
              <w:right w:val="nil"/>
            </w:tcBorders>
            <w:shd w:val="clear" w:color="auto" w:fill="auto"/>
            <w:tcMar>
              <w:top w:w="15" w:type="dxa"/>
              <w:left w:w="108" w:type="dxa"/>
              <w:bottom w:w="0" w:type="dxa"/>
              <w:right w:w="108" w:type="dxa"/>
            </w:tcMar>
            <w:vAlign w:val="center"/>
            <w:hideMark/>
          </w:tcPr>
          <w:p w14:paraId="3E6B3D58"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Other cell</w:t>
            </w:r>
          </w:p>
        </w:tc>
        <w:tc>
          <w:tcPr>
            <w:tcW w:w="857" w:type="pct"/>
            <w:tcBorders>
              <w:top w:val="single" w:sz="8" w:space="0" w:color="1D1D1A"/>
              <w:left w:val="nil"/>
              <w:bottom w:val="single" w:sz="8" w:space="0" w:color="1D1D1A"/>
              <w:right w:val="nil"/>
            </w:tcBorders>
            <w:shd w:val="clear" w:color="auto" w:fill="auto"/>
            <w:tcMar>
              <w:top w:w="15" w:type="dxa"/>
              <w:left w:w="108" w:type="dxa"/>
              <w:bottom w:w="0" w:type="dxa"/>
              <w:right w:w="108" w:type="dxa"/>
            </w:tcMar>
            <w:vAlign w:val="center"/>
            <w:hideMark/>
          </w:tcPr>
          <w:p w14:paraId="331D2AB7"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 xml:space="preserve">Rel-16 UE behaviour of half duplex CA </w:t>
            </w:r>
          </w:p>
        </w:tc>
        <w:tc>
          <w:tcPr>
            <w:tcW w:w="762" w:type="pct"/>
            <w:tcBorders>
              <w:top w:val="single" w:sz="8" w:space="0" w:color="1D1D1A"/>
              <w:left w:val="nil"/>
              <w:bottom w:val="single" w:sz="8" w:space="0" w:color="1D1D1A"/>
              <w:right w:val="nil"/>
            </w:tcBorders>
            <w:shd w:val="clear" w:color="auto" w:fill="auto"/>
            <w:tcMar>
              <w:top w:w="15" w:type="dxa"/>
              <w:left w:w="108" w:type="dxa"/>
              <w:bottom w:w="0" w:type="dxa"/>
              <w:right w:w="108" w:type="dxa"/>
            </w:tcMar>
            <w:vAlign w:val="center"/>
            <w:hideMark/>
          </w:tcPr>
          <w:p w14:paraId="00FC8ED8" w14:textId="77777777" w:rsidR="00330007" w:rsidRPr="00195777" w:rsidRDefault="00330007" w:rsidP="00195777">
            <w:pPr>
              <w:spacing w:beforeLines="0" w:before="0"/>
              <w:rPr>
                <w:rFonts w:cs="Times New Roman"/>
                <w:sz w:val="14"/>
                <w:szCs w:val="14"/>
              </w:rPr>
            </w:pPr>
            <w:r w:rsidRPr="00195777">
              <w:rPr>
                <w:rFonts w:cs="Times New Roman"/>
                <w:b/>
                <w:bCs/>
                <w:sz w:val="14"/>
                <w:szCs w:val="14"/>
              </w:rPr>
              <w:t>Update needed for SBFD-aware UEs?</w:t>
            </w:r>
          </w:p>
        </w:tc>
        <w:tc>
          <w:tcPr>
            <w:tcW w:w="2108" w:type="pct"/>
            <w:tcBorders>
              <w:top w:val="single" w:sz="8" w:space="0" w:color="1D1D1A"/>
              <w:left w:val="nil"/>
              <w:bottom w:val="single" w:sz="8" w:space="0" w:color="1D1D1A"/>
              <w:right w:val="nil"/>
            </w:tcBorders>
            <w:shd w:val="clear" w:color="auto" w:fill="auto"/>
            <w:tcMar>
              <w:top w:w="15" w:type="dxa"/>
              <w:left w:w="108" w:type="dxa"/>
              <w:bottom w:w="0" w:type="dxa"/>
              <w:right w:w="108" w:type="dxa"/>
            </w:tcMar>
            <w:vAlign w:val="center"/>
            <w:hideMark/>
          </w:tcPr>
          <w:p w14:paraId="74009835" w14:textId="77777777" w:rsidR="00330007" w:rsidRPr="00195777" w:rsidRDefault="00330007" w:rsidP="00195777">
            <w:pPr>
              <w:spacing w:beforeLines="0" w:before="0"/>
              <w:rPr>
                <w:rFonts w:cs="Times New Roman"/>
                <w:sz w:val="14"/>
                <w:szCs w:val="14"/>
              </w:rPr>
            </w:pPr>
            <w:r w:rsidRPr="00195777">
              <w:rPr>
                <w:rFonts w:cs="Times New Roman"/>
                <w:b/>
                <w:bCs/>
                <w:sz w:val="14"/>
                <w:szCs w:val="14"/>
              </w:rPr>
              <w:t>Note</w:t>
            </w:r>
          </w:p>
        </w:tc>
      </w:tr>
      <w:tr w:rsidR="00330007" w:rsidRPr="006F2BDD" w14:paraId="2F9489BC" w14:textId="77777777" w:rsidTr="00195777">
        <w:trPr>
          <w:trHeight w:val="57"/>
        </w:trPr>
        <w:tc>
          <w:tcPr>
            <w:tcW w:w="135" w:type="pct"/>
            <w:tcBorders>
              <w:top w:val="single" w:sz="8" w:space="0" w:color="1D1D1A"/>
              <w:left w:val="nil"/>
              <w:bottom w:val="nil"/>
              <w:right w:val="nil"/>
            </w:tcBorders>
            <w:shd w:val="clear" w:color="auto" w:fill="E7E7E7"/>
            <w:tcMar>
              <w:top w:w="15" w:type="dxa"/>
              <w:left w:w="15" w:type="dxa"/>
              <w:bottom w:w="0" w:type="dxa"/>
              <w:right w:w="15" w:type="dxa"/>
            </w:tcMar>
            <w:vAlign w:val="center"/>
            <w:hideMark/>
          </w:tcPr>
          <w:p w14:paraId="78214261"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1</w:t>
            </w:r>
          </w:p>
        </w:tc>
        <w:tc>
          <w:tcPr>
            <w:tcW w:w="614" w:type="pct"/>
            <w:tcBorders>
              <w:top w:val="single" w:sz="8" w:space="0" w:color="1D1D1A"/>
              <w:left w:val="nil"/>
              <w:bottom w:val="nil"/>
              <w:right w:val="nil"/>
            </w:tcBorders>
            <w:shd w:val="clear" w:color="auto" w:fill="E7E7E7"/>
            <w:tcMar>
              <w:top w:w="15" w:type="dxa"/>
              <w:left w:w="108" w:type="dxa"/>
              <w:bottom w:w="0" w:type="dxa"/>
              <w:right w:w="108" w:type="dxa"/>
            </w:tcMar>
            <w:vAlign w:val="center"/>
            <w:hideMark/>
          </w:tcPr>
          <w:p w14:paraId="2EFC74D5"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Semi SFI D</w:t>
            </w:r>
          </w:p>
        </w:tc>
        <w:tc>
          <w:tcPr>
            <w:tcW w:w="524" w:type="pct"/>
            <w:tcBorders>
              <w:top w:val="single" w:sz="8" w:space="0" w:color="1D1D1A"/>
              <w:left w:val="nil"/>
              <w:bottom w:val="nil"/>
              <w:right w:val="nil"/>
            </w:tcBorders>
            <w:shd w:val="clear" w:color="auto" w:fill="E7E7E7"/>
            <w:tcMar>
              <w:top w:w="15" w:type="dxa"/>
              <w:left w:w="108" w:type="dxa"/>
              <w:bottom w:w="0" w:type="dxa"/>
              <w:right w:w="108" w:type="dxa"/>
            </w:tcMar>
            <w:vAlign w:val="center"/>
            <w:hideMark/>
          </w:tcPr>
          <w:p w14:paraId="261AD0F1"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Semi SFI U</w:t>
            </w:r>
          </w:p>
        </w:tc>
        <w:tc>
          <w:tcPr>
            <w:tcW w:w="857" w:type="pct"/>
            <w:tcBorders>
              <w:top w:val="single" w:sz="8" w:space="0" w:color="1D1D1A"/>
              <w:left w:val="nil"/>
              <w:bottom w:val="nil"/>
              <w:right w:val="nil"/>
            </w:tcBorders>
            <w:shd w:val="clear" w:color="auto" w:fill="E7E7E7"/>
            <w:tcMar>
              <w:top w:w="15" w:type="dxa"/>
              <w:left w:w="108" w:type="dxa"/>
              <w:bottom w:w="0" w:type="dxa"/>
              <w:right w:w="108" w:type="dxa"/>
            </w:tcMar>
            <w:vAlign w:val="center"/>
            <w:hideMark/>
          </w:tcPr>
          <w:p w14:paraId="6DCE84EA"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Error case</w:t>
            </w:r>
          </w:p>
        </w:tc>
        <w:tc>
          <w:tcPr>
            <w:tcW w:w="762" w:type="pct"/>
            <w:tcBorders>
              <w:top w:val="single" w:sz="8" w:space="0" w:color="1D1D1A"/>
              <w:left w:val="nil"/>
              <w:bottom w:val="nil"/>
              <w:right w:val="nil"/>
            </w:tcBorders>
            <w:shd w:val="clear" w:color="auto" w:fill="E7E7E7"/>
            <w:tcMar>
              <w:top w:w="15" w:type="dxa"/>
              <w:left w:w="108" w:type="dxa"/>
              <w:bottom w:w="0" w:type="dxa"/>
              <w:right w:w="108" w:type="dxa"/>
            </w:tcMar>
            <w:vAlign w:val="center"/>
            <w:hideMark/>
          </w:tcPr>
          <w:p w14:paraId="26CDFD45"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Yes</w:t>
            </w:r>
          </w:p>
        </w:tc>
        <w:tc>
          <w:tcPr>
            <w:tcW w:w="2108" w:type="pct"/>
            <w:tcBorders>
              <w:top w:val="single" w:sz="8" w:space="0" w:color="1D1D1A"/>
              <w:left w:val="nil"/>
              <w:bottom w:val="nil"/>
              <w:right w:val="nil"/>
            </w:tcBorders>
            <w:shd w:val="clear" w:color="auto" w:fill="E7E7E7"/>
            <w:tcMar>
              <w:top w:w="15" w:type="dxa"/>
              <w:left w:w="108" w:type="dxa"/>
              <w:bottom w:w="0" w:type="dxa"/>
              <w:right w:w="108" w:type="dxa"/>
            </w:tcMar>
            <w:vAlign w:val="center"/>
            <w:hideMark/>
          </w:tcPr>
          <w:p w14:paraId="477A0813"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Allowed to configure D and U in different CCs</w:t>
            </w:r>
          </w:p>
        </w:tc>
      </w:tr>
      <w:tr w:rsidR="00330007" w:rsidRPr="006F2BDD" w14:paraId="683CDA2F" w14:textId="77777777" w:rsidTr="00195777">
        <w:trPr>
          <w:trHeight w:val="57"/>
        </w:trPr>
        <w:tc>
          <w:tcPr>
            <w:tcW w:w="135" w:type="pct"/>
            <w:tcBorders>
              <w:top w:val="nil"/>
              <w:left w:val="nil"/>
              <w:bottom w:val="nil"/>
              <w:right w:val="nil"/>
            </w:tcBorders>
            <w:shd w:val="clear" w:color="auto" w:fill="auto"/>
            <w:tcMar>
              <w:top w:w="15" w:type="dxa"/>
              <w:left w:w="15" w:type="dxa"/>
              <w:bottom w:w="0" w:type="dxa"/>
              <w:right w:w="15" w:type="dxa"/>
            </w:tcMar>
            <w:vAlign w:val="center"/>
            <w:hideMark/>
          </w:tcPr>
          <w:p w14:paraId="7074BA0D"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2</w:t>
            </w:r>
          </w:p>
        </w:tc>
        <w:tc>
          <w:tcPr>
            <w:tcW w:w="614" w:type="pct"/>
            <w:tcBorders>
              <w:top w:val="nil"/>
              <w:left w:val="nil"/>
              <w:bottom w:val="nil"/>
              <w:right w:val="nil"/>
            </w:tcBorders>
            <w:shd w:val="clear" w:color="auto" w:fill="auto"/>
            <w:tcMar>
              <w:top w:w="15" w:type="dxa"/>
              <w:left w:w="108" w:type="dxa"/>
              <w:bottom w:w="0" w:type="dxa"/>
              <w:right w:w="108" w:type="dxa"/>
            </w:tcMar>
            <w:vAlign w:val="center"/>
            <w:hideMark/>
          </w:tcPr>
          <w:p w14:paraId="49126CDF"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Semi SFI D</w:t>
            </w:r>
          </w:p>
        </w:tc>
        <w:tc>
          <w:tcPr>
            <w:tcW w:w="524" w:type="pct"/>
            <w:tcBorders>
              <w:top w:val="nil"/>
              <w:left w:val="nil"/>
              <w:bottom w:val="nil"/>
              <w:right w:val="nil"/>
            </w:tcBorders>
            <w:shd w:val="clear" w:color="auto" w:fill="auto"/>
            <w:tcMar>
              <w:top w:w="15" w:type="dxa"/>
              <w:left w:w="108" w:type="dxa"/>
              <w:bottom w:w="0" w:type="dxa"/>
              <w:right w:w="108" w:type="dxa"/>
            </w:tcMar>
            <w:vAlign w:val="center"/>
            <w:hideMark/>
          </w:tcPr>
          <w:p w14:paraId="62E7936E"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RRC U</w:t>
            </w:r>
          </w:p>
        </w:tc>
        <w:tc>
          <w:tcPr>
            <w:tcW w:w="857" w:type="pct"/>
            <w:tcBorders>
              <w:top w:val="nil"/>
              <w:left w:val="nil"/>
              <w:bottom w:val="nil"/>
              <w:right w:val="nil"/>
            </w:tcBorders>
            <w:shd w:val="clear" w:color="auto" w:fill="auto"/>
            <w:tcMar>
              <w:top w:w="15" w:type="dxa"/>
              <w:left w:w="108" w:type="dxa"/>
              <w:bottom w:w="0" w:type="dxa"/>
              <w:right w:w="108" w:type="dxa"/>
            </w:tcMar>
            <w:vAlign w:val="center"/>
            <w:hideMark/>
          </w:tcPr>
          <w:p w14:paraId="690FDCCB"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 xml:space="preserve">Allowed to drop U </w:t>
            </w:r>
          </w:p>
        </w:tc>
        <w:tc>
          <w:tcPr>
            <w:tcW w:w="762" w:type="pct"/>
            <w:tcBorders>
              <w:top w:val="nil"/>
              <w:left w:val="nil"/>
              <w:bottom w:val="nil"/>
              <w:right w:val="nil"/>
            </w:tcBorders>
            <w:shd w:val="clear" w:color="auto" w:fill="auto"/>
            <w:tcMar>
              <w:top w:w="15" w:type="dxa"/>
              <w:left w:w="108" w:type="dxa"/>
              <w:bottom w:w="0" w:type="dxa"/>
              <w:right w:w="108" w:type="dxa"/>
            </w:tcMar>
            <w:vAlign w:val="center"/>
            <w:hideMark/>
          </w:tcPr>
          <w:p w14:paraId="20963EED"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Yes</w:t>
            </w:r>
          </w:p>
        </w:tc>
        <w:tc>
          <w:tcPr>
            <w:tcW w:w="2108" w:type="pct"/>
            <w:tcBorders>
              <w:top w:val="nil"/>
              <w:left w:val="nil"/>
              <w:bottom w:val="nil"/>
              <w:right w:val="nil"/>
            </w:tcBorders>
            <w:shd w:val="clear" w:color="auto" w:fill="auto"/>
            <w:tcMar>
              <w:top w:w="15" w:type="dxa"/>
              <w:left w:w="108" w:type="dxa"/>
              <w:bottom w:w="0" w:type="dxa"/>
              <w:right w:w="108" w:type="dxa"/>
            </w:tcMar>
            <w:vAlign w:val="center"/>
            <w:hideMark/>
          </w:tcPr>
          <w:p w14:paraId="3EF8C225"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Allow D for one UE in CC1 and U for another UE in CC2</w:t>
            </w:r>
          </w:p>
        </w:tc>
      </w:tr>
      <w:tr w:rsidR="00330007" w:rsidRPr="006F2BDD" w14:paraId="6447B690" w14:textId="77777777" w:rsidTr="00195777">
        <w:trPr>
          <w:trHeight w:val="57"/>
        </w:trPr>
        <w:tc>
          <w:tcPr>
            <w:tcW w:w="135" w:type="pct"/>
            <w:tcBorders>
              <w:top w:val="nil"/>
              <w:left w:val="nil"/>
              <w:bottom w:val="nil"/>
              <w:right w:val="nil"/>
            </w:tcBorders>
            <w:shd w:val="clear" w:color="auto" w:fill="E7E7E7"/>
            <w:tcMar>
              <w:top w:w="15" w:type="dxa"/>
              <w:left w:w="15" w:type="dxa"/>
              <w:bottom w:w="0" w:type="dxa"/>
              <w:right w:w="15" w:type="dxa"/>
            </w:tcMar>
            <w:vAlign w:val="center"/>
            <w:hideMark/>
          </w:tcPr>
          <w:p w14:paraId="018B27A0"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3</w:t>
            </w:r>
          </w:p>
        </w:tc>
        <w:tc>
          <w:tcPr>
            <w:tcW w:w="614" w:type="pct"/>
            <w:tcBorders>
              <w:top w:val="nil"/>
              <w:left w:val="nil"/>
              <w:bottom w:val="nil"/>
              <w:right w:val="nil"/>
            </w:tcBorders>
            <w:shd w:val="clear" w:color="auto" w:fill="E7E7E7"/>
            <w:tcMar>
              <w:top w:w="15" w:type="dxa"/>
              <w:left w:w="108" w:type="dxa"/>
              <w:bottom w:w="0" w:type="dxa"/>
              <w:right w:w="108" w:type="dxa"/>
            </w:tcMar>
            <w:vAlign w:val="center"/>
            <w:hideMark/>
          </w:tcPr>
          <w:p w14:paraId="527BE3D7"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Semi SFI D</w:t>
            </w:r>
          </w:p>
        </w:tc>
        <w:tc>
          <w:tcPr>
            <w:tcW w:w="524" w:type="pct"/>
            <w:tcBorders>
              <w:top w:val="nil"/>
              <w:left w:val="nil"/>
              <w:bottom w:val="nil"/>
              <w:right w:val="nil"/>
            </w:tcBorders>
            <w:shd w:val="clear" w:color="auto" w:fill="E7E7E7"/>
            <w:tcMar>
              <w:top w:w="15" w:type="dxa"/>
              <w:left w:w="108" w:type="dxa"/>
              <w:bottom w:w="0" w:type="dxa"/>
              <w:right w:w="108" w:type="dxa"/>
            </w:tcMar>
            <w:vAlign w:val="center"/>
            <w:hideMark/>
          </w:tcPr>
          <w:p w14:paraId="75E08A37"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Dynamic U</w:t>
            </w:r>
          </w:p>
        </w:tc>
        <w:tc>
          <w:tcPr>
            <w:tcW w:w="857" w:type="pct"/>
            <w:tcBorders>
              <w:top w:val="nil"/>
              <w:left w:val="nil"/>
              <w:bottom w:val="nil"/>
              <w:right w:val="nil"/>
            </w:tcBorders>
            <w:shd w:val="clear" w:color="auto" w:fill="E7E7E7"/>
            <w:tcMar>
              <w:top w:w="15" w:type="dxa"/>
              <w:left w:w="108" w:type="dxa"/>
              <w:bottom w:w="0" w:type="dxa"/>
              <w:right w:w="108" w:type="dxa"/>
            </w:tcMar>
            <w:vAlign w:val="center"/>
            <w:hideMark/>
          </w:tcPr>
          <w:p w14:paraId="422366DA"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Error case</w:t>
            </w:r>
          </w:p>
        </w:tc>
        <w:tc>
          <w:tcPr>
            <w:tcW w:w="762" w:type="pct"/>
            <w:tcBorders>
              <w:top w:val="nil"/>
              <w:left w:val="nil"/>
              <w:bottom w:val="nil"/>
              <w:right w:val="nil"/>
            </w:tcBorders>
            <w:shd w:val="clear" w:color="auto" w:fill="E7E7E7"/>
            <w:tcMar>
              <w:top w:w="15" w:type="dxa"/>
              <w:left w:w="108" w:type="dxa"/>
              <w:bottom w:w="0" w:type="dxa"/>
              <w:right w:w="108" w:type="dxa"/>
            </w:tcMar>
            <w:vAlign w:val="center"/>
            <w:hideMark/>
          </w:tcPr>
          <w:p w14:paraId="632D913C"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Yes</w:t>
            </w:r>
          </w:p>
        </w:tc>
        <w:tc>
          <w:tcPr>
            <w:tcW w:w="2108" w:type="pct"/>
            <w:tcBorders>
              <w:top w:val="nil"/>
              <w:left w:val="nil"/>
              <w:bottom w:val="nil"/>
              <w:right w:val="nil"/>
            </w:tcBorders>
            <w:shd w:val="clear" w:color="auto" w:fill="E7E7E7"/>
            <w:tcMar>
              <w:top w:w="15" w:type="dxa"/>
              <w:left w:w="108" w:type="dxa"/>
              <w:bottom w:w="0" w:type="dxa"/>
              <w:right w:w="108" w:type="dxa"/>
            </w:tcMar>
            <w:vAlign w:val="center"/>
            <w:hideMark/>
          </w:tcPr>
          <w:p w14:paraId="6629950B"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Allow D for one UE in CC1 and U for another UE in CC2</w:t>
            </w:r>
          </w:p>
        </w:tc>
      </w:tr>
      <w:tr w:rsidR="00330007" w:rsidRPr="006F2BDD" w14:paraId="67344CBC" w14:textId="77777777" w:rsidTr="00195777">
        <w:trPr>
          <w:trHeight w:val="57"/>
        </w:trPr>
        <w:tc>
          <w:tcPr>
            <w:tcW w:w="135" w:type="pct"/>
            <w:tcBorders>
              <w:top w:val="nil"/>
              <w:left w:val="nil"/>
              <w:bottom w:val="nil"/>
              <w:right w:val="nil"/>
            </w:tcBorders>
            <w:shd w:val="clear" w:color="auto" w:fill="auto"/>
            <w:tcMar>
              <w:top w:w="15" w:type="dxa"/>
              <w:left w:w="15" w:type="dxa"/>
              <w:bottom w:w="0" w:type="dxa"/>
              <w:right w:w="15" w:type="dxa"/>
            </w:tcMar>
            <w:vAlign w:val="center"/>
            <w:hideMark/>
          </w:tcPr>
          <w:p w14:paraId="2E339DE9"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4</w:t>
            </w:r>
          </w:p>
        </w:tc>
        <w:tc>
          <w:tcPr>
            <w:tcW w:w="614" w:type="pct"/>
            <w:tcBorders>
              <w:top w:val="nil"/>
              <w:left w:val="nil"/>
              <w:bottom w:val="nil"/>
              <w:right w:val="nil"/>
            </w:tcBorders>
            <w:shd w:val="clear" w:color="auto" w:fill="auto"/>
            <w:tcMar>
              <w:top w:w="15" w:type="dxa"/>
              <w:left w:w="108" w:type="dxa"/>
              <w:bottom w:w="0" w:type="dxa"/>
              <w:right w:w="108" w:type="dxa"/>
            </w:tcMar>
            <w:vAlign w:val="center"/>
            <w:hideMark/>
          </w:tcPr>
          <w:p w14:paraId="0D3DC731"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Semi SFI U</w:t>
            </w:r>
          </w:p>
        </w:tc>
        <w:tc>
          <w:tcPr>
            <w:tcW w:w="524" w:type="pct"/>
            <w:tcBorders>
              <w:top w:val="nil"/>
              <w:left w:val="nil"/>
              <w:bottom w:val="nil"/>
              <w:right w:val="nil"/>
            </w:tcBorders>
            <w:shd w:val="clear" w:color="auto" w:fill="auto"/>
            <w:tcMar>
              <w:top w:w="15" w:type="dxa"/>
              <w:left w:w="108" w:type="dxa"/>
              <w:bottom w:w="0" w:type="dxa"/>
              <w:right w:w="108" w:type="dxa"/>
            </w:tcMar>
            <w:vAlign w:val="center"/>
            <w:hideMark/>
          </w:tcPr>
          <w:p w14:paraId="160F6A96"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Semi SFI D</w:t>
            </w:r>
          </w:p>
        </w:tc>
        <w:tc>
          <w:tcPr>
            <w:tcW w:w="857" w:type="pct"/>
            <w:tcBorders>
              <w:top w:val="nil"/>
              <w:left w:val="nil"/>
              <w:bottom w:val="nil"/>
              <w:right w:val="nil"/>
            </w:tcBorders>
            <w:shd w:val="clear" w:color="auto" w:fill="auto"/>
            <w:tcMar>
              <w:top w:w="15" w:type="dxa"/>
              <w:left w:w="108" w:type="dxa"/>
              <w:bottom w:w="0" w:type="dxa"/>
              <w:right w:w="108" w:type="dxa"/>
            </w:tcMar>
            <w:vAlign w:val="center"/>
            <w:hideMark/>
          </w:tcPr>
          <w:p w14:paraId="6878B06A"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Error case</w:t>
            </w:r>
          </w:p>
        </w:tc>
        <w:tc>
          <w:tcPr>
            <w:tcW w:w="762" w:type="pct"/>
            <w:tcBorders>
              <w:top w:val="nil"/>
              <w:left w:val="nil"/>
              <w:bottom w:val="nil"/>
              <w:right w:val="nil"/>
            </w:tcBorders>
            <w:shd w:val="clear" w:color="auto" w:fill="auto"/>
            <w:tcMar>
              <w:top w:w="15" w:type="dxa"/>
              <w:left w:w="108" w:type="dxa"/>
              <w:bottom w:w="0" w:type="dxa"/>
              <w:right w:w="108" w:type="dxa"/>
            </w:tcMar>
            <w:vAlign w:val="center"/>
            <w:hideMark/>
          </w:tcPr>
          <w:p w14:paraId="7914CDFD"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Yes</w:t>
            </w:r>
          </w:p>
        </w:tc>
        <w:tc>
          <w:tcPr>
            <w:tcW w:w="2108" w:type="pct"/>
            <w:tcBorders>
              <w:top w:val="nil"/>
              <w:left w:val="nil"/>
              <w:bottom w:val="nil"/>
              <w:right w:val="nil"/>
            </w:tcBorders>
            <w:shd w:val="clear" w:color="auto" w:fill="auto"/>
            <w:tcMar>
              <w:top w:w="15" w:type="dxa"/>
              <w:left w:w="108" w:type="dxa"/>
              <w:bottom w:w="0" w:type="dxa"/>
              <w:right w:w="108" w:type="dxa"/>
            </w:tcMar>
            <w:vAlign w:val="center"/>
            <w:hideMark/>
          </w:tcPr>
          <w:p w14:paraId="2E2F49F0"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Allowed to configure D and U in different CCs</w:t>
            </w:r>
          </w:p>
        </w:tc>
      </w:tr>
      <w:tr w:rsidR="00330007" w:rsidRPr="006F2BDD" w14:paraId="3EAFA284" w14:textId="77777777" w:rsidTr="00195777">
        <w:trPr>
          <w:trHeight w:val="57"/>
        </w:trPr>
        <w:tc>
          <w:tcPr>
            <w:tcW w:w="135" w:type="pct"/>
            <w:tcBorders>
              <w:top w:val="nil"/>
              <w:left w:val="nil"/>
              <w:bottom w:val="nil"/>
              <w:right w:val="nil"/>
            </w:tcBorders>
            <w:shd w:val="clear" w:color="auto" w:fill="E7E7E7"/>
            <w:tcMar>
              <w:top w:w="15" w:type="dxa"/>
              <w:left w:w="15" w:type="dxa"/>
              <w:bottom w:w="0" w:type="dxa"/>
              <w:right w:w="15" w:type="dxa"/>
            </w:tcMar>
            <w:vAlign w:val="center"/>
            <w:hideMark/>
          </w:tcPr>
          <w:p w14:paraId="5C70AC40"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5</w:t>
            </w:r>
          </w:p>
        </w:tc>
        <w:tc>
          <w:tcPr>
            <w:tcW w:w="614" w:type="pct"/>
            <w:tcBorders>
              <w:top w:val="nil"/>
              <w:left w:val="nil"/>
              <w:bottom w:val="nil"/>
              <w:right w:val="nil"/>
            </w:tcBorders>
            <w:shd w:val="clear" w:color="auto" w:fill="E7E7E7"/>
            <w:tcMar>
              <w:top w:w="15" w:type="dxa"/>
              <w:left w:w="108" w:type="dxa"/>
              <w:bottom w:w="0" w:type="dxa"/>
              <w:right w:w="108" w:type="dxa"/>
            </w:tcMar>
            <w:vAlign w:val="center"/>
            <w:hideMark/>
          </w:tcPr>
          <w:p w14:paraId="698CF8ED"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Semi SFI U</w:t>
            </w:r>
          </w:p>
        </w:tc>
        <w:tc>
          <w:tcPr>
            <w:tcW w:w="524" w:type="pct"/>
            <w:tcBorders>
              <w:top w:val="nil"/>
              <w:left w:val="nil"/>
              <w:bottom w:val="nil"/>
              <w:right w:val="nil"/>
            </w:tcBorders>
            <w:shd w:val="clear" w:color="auto" w:fill="E7E7E7"/>
            <w:tcMar>
              <w:top w:w="15" w:type="dxa"/>
              <w:left w:w="108" w:type="dxa"/>
              <w:bottom w:w="0" w:type="dxa"/>
              <w:right w:w="108" w:type="dxa"/>
            </w:tcMar>
            <w:vAlign w:val="center"/>
            <w:hideMark/>
          </w:tcPr>
          <w:p w14:paraId="60368898"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RRC D</w:t>
            </w:r>
          </w:p>
        </w:tc>
        <w:tc>
          <w:tcPr>
            <w:tcW w:w="857" w:type="pct"/>
            <w:tcBorders>
              <w:top w:val="nil"/>
              <w:left w:val="nil"/>
              <w:bottom w:val="nil"/>
              <w:right w:val="nil"/>
            </w:tcBorders>
            <w:shd w:val="clear" w:color="auto" w:fill="E7E7E7"/>
            <w:tcMar>
              <w:top w:w="15" w:type="dxa"/>
              <w:left w:w="108" w:type="dxa"/>
              <w:bottom w:w="0" w:type="dxa"/>
              <w:right w:w="108" w:type="dxa"/>
            </w:tcMar>
            <w:vAlign w:val="center"/>
            <w:hideMark/>
          </w:tcPr>
          <w:p w14:paraId="272309A9"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 xml:space="preserve">Allowed to drop D </w:t>
            </w:r>
          </w:p>
        </w:tc>
        <w:tc>
          <w:tcPr>
            <w:tcW w:w="762" w:type="pct"/>
            <w:tcBorders>
              <w:top w:val="nil"/>
              <w:left w:val="nil"/>
              <w:bottom w:val="nil"/>
              <w:right w:val="nil"/>
            </w:tcBorders>
            <w:shd w:val="clear" w:color="auto" w:fill="E7E7E7"/>
            <w:tcMar>
              <w:top w:w="15" w:type="dxa"/>
              <w:left w:w="108" w:type="dxa"/>
              <w:bottom w:w="0" w:type="dxa"/>
              <w:right w:w="108" w:type="dxa"/>
            </w:tcMar>
            <w:vAlign w:val="center"/>
            <w:hideMark/>
          </w:tcPr>
          <w:p w14:paraId="06365517"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Yes</w:t>
            </w:r>
          </w:p>
        </w:tc>
        <w:tc>
          <w:tcPr>
            <w:tcW w:w="2108" w:type="pct"/>
            <w:tcBorders>
              <w:top w:val="nil"/>
              <w:left w:val="nil"/>
              <w:bottom w:val="nil"/>
              <w:right w:val="nil"/>
            </w:tcBorders>
            <w:shd w:val="clear" w:color="auto" w:fill="E7E7E7"/>
            <w:tcMar>
              <w:top w:w="15" w:type="dxa"/>
              <w:left w:w="108" w:type="dxa"/>
              <w:bottom w:w="0" w:type="dxa"/>
              <w:right w:w="108" w:type="dxa"/>
            </w:tcMar>
            <w:vAlign w:val="center"/>
            <w:hideMark/>
          </w:tcPr>
          <w:p w14:paraId="6D6B0BC6"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Allow U for one UE in CC1 and D for another UE in CC2</w:t>
            </w:r>
          </w:p>
        </w:tc>
      </w:tr>
      <w:tr w:rsidR="00330007" w:rsidRPr="006F2BDD" w14:paraId="68EC898E" w14:textId="77777777" w:rsidTr="00195777">
        <w:trPr>
          <w:trHeight w:val="57"/>
        </w:trPr>
        <w:tc>
          <w:tcPr>
            <w:tcW w:w="135" w:type="pct"/>
            <w:tcBorders>
              <w:top w:val="nil"/>
              <w:left w:val="nil"/>
              <w:bottom w:val="nil"/>
              <w:right w:val="nil"/>
            </w:tcBorders>
            <w:shd w:val="clear" w:color="auto" w:fill="auto"/>
            <w:tcMar>
              <w:top w:w="15" w:type="dxa"/>
              <w:left w:w="15" w:type="dxa"/>
              <w:bottom w:w="0" w:type="dxa"/>
              <w:right w:w="15" w:type="dxa"/>
            </w:tcMar>
            <w:vAlign w:val="center"/>
            <w:hideMark/>
          </w:tcPr>
          <w:p w14:paraId="72FA77E5"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6</w:t>
            </w:r>
          </w:p>
        </w:tc>
        <w:tc>
          <w:tcPr>
            <w:tcW w:w="614" w:type="pct"/>
            <w:tcBorders>
              <w:top w:val="nil"/>
              <w:left w:val="nil"/>
              <w:bottom w:val="nil"/>
              <w:right w:val="nil"/>
            </w:tcBorders>
            <w:shd w:val="clear" w:color="auto" w:fill="auto"/>
            <w:tcMar>
              <w:top w:w="15" w:type="dxa"/>
              <w:left w:w="108" w:type="dxa"/>
              <w:bottom w:w="0" w:type="dxa"/>
              <w:right w:w="108" w:type="dxa"/>
            </w:tcMar>
            <w:vAlign w:val="center"/>
            <w:hideMark/>
          </w:tcPr>
          <w:p w14:paraId="0DD67325"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Semi SFI U</w:t>
            </w:r>
          </w:p>
        </w:tc>
        <w:tc>
          <w:tcPr>
            <w:tcW w:w="524" w:type="pct"/>
            <w:tcBorders>
              <w:top w:val="nil"/>
              <w:left w:val="nil"/>
              <w:bottom w:val="nil"/>
              <w:right w:val="nil"/>
            </w:tcBorders>
            <w:shd w:val="clear" w:color="auto" w:fill="auto"/>
            <w:tcMar>
              <w:top w:w="15" w:type="dxa"/>
              <w:left w:w="108" w:type="dxa"/>
              <w:bottom w:w="0" w:type="dxa"/>
              <w:right w:w="108" w:type="dxa"/>
            </w:tcMar>
            <w:vAlign w:val="center"/>
            <w:hideMark/>
          </w:tcPr>
          <w:p w14:paraId="770C1C18"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Dynamic D</w:t>
            </w:r>
          </w:p>
        </w:tc>
        <w:tc>
          <w:tcPr>
            <w:tcW w:w="857" w:type="pct"/>
            <w:tcBorders>
              <w:top w:val="nil"/>
              <w:left w:val="nil"/>
              <w:bottom w:val="nil"/>
              <w:right w:val="nil"/>
            </w:tcBorders>
            <w:shd w:val="clear" w:color="auto" w:fill="auto"/>
            <w:tcMar>
              <w:top w:w="15" w:type="dxa"/>
              <w:left w:w="108" w:type="dxa"/>
              <w:bottom w:w="0" w:type="dxa"/>
              <w:right w:w="108" w:type="dxa"/>
            </w:tcMar>
            <w:vAlign w:val="center"/>
            <w:hideMark/>
          </w:tcPr>
          <w:p w14:paraId="269EB3C4"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Error case</w:t>
            </w:r>
          </w:p>
        </w:tc>
        <w:tc>
          <w:tcPr>
            <w:tcW w:w="762" w:type="pct"/>
            <w:tcBorders>
              <w:top w:val="nil"/>
              <w:left w:val="nil"/>
              <w:bottom w:val="nil"/>
              <w:right w:val="nil"/>
            </w:tcBorders>
            <w:shd w:val="clear" w:color="auto" w:fill="auto"/>
            <w:tcMar>
              <w:top w:w="15" w:type="dxa"/>
              <w:left w:w="108" w:type="dxa"/>
              <w:bottom w:w="0" w:type="dxa"/>
              <w:right w:w="108" w:type="dxa"/>
            </w:tcMar>
            <w:vAlign w:val="center"/>
            <w:hideMark/>
          </w:tcPr>
          <w:p w14:paraId="3163212C" w14:textId="6C0FC643"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Yes</w:t>
            </w:r>
          </w:p>
        </w:tc>
        <w:tc>
          <w:tcPr>
            <w:tcW w:w="2108" w:type="pct"/>
            <w:tcBorders>
              <w:top w:val="nil"/>
              <w:left w:val="nil"/>
              <w:bottom w:val="nil"/>
              <w:right w:val="nil"/>
            </w:tcBorders>
            <w:shd w:val="clear" w:color="auto" w:fill="auto"/>
            <w:tcMar>
              <w:top w:w="15" w:type="dxa"/>
              <w:left w:w="108" w:type="dxa"/>
              <w:bottom w:w="0" w:type="dxa"/>
              <w:right w:w="108" w:type="dxa"/>
            </w:tcMar>
            <w:vAlign w:val="center"/>
            <w:hideMark/>
          </w:tcPr>
          <w:p w14:paraId="42FC6CF3"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Allow U for one UE in CC1 and D for another UE in CC2</w:t>
            </w:r>
          </w:p>
        </w:tc>
      </w:tr>
      <w:tr w:rsidR="00330007" w:rsidRPr="006F2BDD" w14:paraId="3F970E2E" w14:textId="77777777" w:rsidTr="00195777">
        <w:trPr>
          <w:trHeight w:val="57"/>
        </w:trPr>
        <w:tc>
          <w:tcPr>
            <w:tcW w:w="135" w:type="pct"/>
            <w:tcBorders>
              <w:top w:val="nil"/>
              <w:left w:val="nil"/>
              <w:bottom w:val="nil"/>
              <w:right w:val="nil"/>
            </w:tcBorders>
            <w:shd w:val="clear" w:color="auto" w:fill="E7E7E7"/>
            <w:tcMar>
              <w:top w:w="15" w:type="dxa"/>
              <w:left w:w="15" w:type="dxa"/>
              <w:bottom w:w="0" w:type="dxa"/>
              <w:right w:w="15" w:type="dxa"/>
            </w:tcMar>
            <w:vAlign w:val="center"/>
            <w:hideMark/>
          </w:tcPr>
          <w:p w14:paraId="55660046"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7</w:t>
            </w:r>
          </w:p>
        </w:tc>
        <w:tc>
          <w:tcPr>
            <w:tcW w:w="614" w:type="pct"/>
            <w:tcBorders>
              <w:top w:val="nil"/>
              <w:left w:val="nil"/>
              <w:bottom w:val="nil"/>
              <w:right w:val="nil"/>
            </w:tcBorders>
            <w:shd w:val="clear" w:color="auto" w:fill="E7E7E7"/>
            <w:tcMar>
              <w:top w:w="15" w:type="dxa"/>
              <w:left w:w="108" w:type="dxa"/>
              <w:bottom w:w="0" w:type="dxa"/>
              <w:right w:w="108" w:type="dxa"/>
            </w:tcMar>
            <w:vAlign w:val="center"/>
            <w:hideMark/>
          </w:tcPr>
          <w:p w14:paraId="452568A7"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RRC D</w:t>
            </w:r>
          </w:p>
        </w:tc>
        <w:tc>
          <w:tcPr>
            <w:tcW w:w="524" w:type="pct"/>
            <w:tcBorders>
              <w:top w:val="nil"/>
              <w:left w:val="nil"/>
              <w:bottom w:val="nil"/>
              <w:right w:val="nil"/>
            </w:tcBorders>
            <w:shd w:val="clear" w:color="auto" w:fill="E7E7E7"/>
            <w:tcMar>
              <w:top w:w="15" w:type="dxa"/>
              <w:left w:w="108" w:type="dxa"/>
              <w:bottom w:w="0" w:type="dxa"/>
              <w:right w:w="108" w:type="dxa"/>
            </w:tcMar>
            <w:vAlign w:val="center"/>
            <w:hideMark/>
          </w:tcPr>
          <w:p w14:paraId="472CA5BC"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RRC U</w:t>
            </w:r>
          </w:p>
        </w:tc>
        <w:tc>
          <w:tcPr>
            <w:tcW w:w="857" w:type="pct"/>
            <w:tcBorders>
              <w:top w:val="nil"/>
              <w:left w:val="nil"/>
              <w:bottom w:val="nil"/>
              <w:right w:val="nil"/>
            </w:tcBorders>
            <w:shd w:val="clear" w:color="auto" w:fill="E7E7E7"/>
            <w:tcMar>
              <w:top w:w="15" w:type="dxa"/>
              <w:left w:w="108" w:type="dxa"/>
              <w:bottom w:w="0" w:type="dxa"/>
              <w:right w:w="108" w:type="dxa"/>
            </w:tcMar>
            <w:vAlign w:val="center"/>
            <w:hideMark/>
          </w:tcPr>
          <w:p w14:paraId="16DEF9B0"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 xml:space="preserve">Allowed to drop U </w:t>
            </w:r>
          </w:p>
        </w:tc>
        <w:tc>
          <w:tcPr>
            <w:tcW w:w="762" w:type="pct"/>
            <w:tcBorders>
              <w:top w:val="nil"/>
              <w:left w:val="nil"/>
              <w:bottom w:val="nil"/>
              <w:right w:val="nil"/>
            </w:tcBorders>
            <w:shd w:val="clear" w:color="auto" w:fill="E7E7E7"/>
            <w:tcMar>
              <w:top w:w="15" w:type="dxa"/>
              <w:left w:w="108" w:type="dxa"/>
              <w:bottom w:w="0" w:type="dxa"/>
              <w:right w:w="108" w:type="dxa"/>
            </w:tcMar>
            <w:vAlign w:val="center"/>
            <w:hideMark/>
          </w:tcPr>
          <w:p w14:paraId="031D86FE" w14:textId="77777777" w:rsidR="00330007" w:rsidRPr="00195777" w:rsidRDefault="00330007" w:rsidP="00195777">
            <w:pPr>
              <w:spacing w:beforeLines="0" w:before="0"/>
              <w:rPr>
                <w:rFonts w:cs="Times New Roman"/>
                <w:sz w:val="14"/>
                <w:szCs w:val="14"/>
              </w:rPr>
            </w:pPr>
            <w:r w:rsidRPr="00195777">
              <w:rPr>
                <w:rFonts w:cs="Times New Roman"/>
                <w:sz w:val="14"/>
                <w:szCs w:val="14"/>
              </w:rPr>
              <w:t>No</w:t>
            </w:r>
          </w:p>
        </w:tc>
        <w:tc>
          <w:tcPr>
            <w:tcW w:w="2108" w:type="pct"/>
            <w:tcBorders>
              <w:top w:val="nil"/>
              <w:left w:val="nil"/>
              <w:bottom w:val="nil"/>
              <w:right w:val="nil"/>
            </w:tcBorders>
            <w:shd w:val="clear" w:color="auto" w:fill="E7E7E7"/>
            <w:tcMar>
              <w:top w:w="15" w:type="dxa"/>
              <w:left w:w="108" w:type="dxa"/>
              <w:bottom w:w="0" w:type="dxa"/>
              <w:right w:w="108" w:type="dxa"/>
            </w:tcMar>
            <w:vAlign w:val="center"/>
            <w:hideMark/>
          </w:tcPr>
          <w:p w14:paraId="1ED07EA4" w14:textId="77777777" w:rsidR="00330007" w:rsidRPr="00195777" w:rsidRDefault="00330007" w:rsidP="00195777">
            <w:pPr>
              <w:spacing w:beforeLines="0" w:before="0"/>
              <w:rPr>
                <w:rFonts w:cs="Times New Roman"/>
                <w:sz w:val="14"/>
                <w:szCs w:val="14"/>
              </w:rPr>
            </w:pPr>
          </w:p>
        </w:tc>
      </w:tr>
      <w:tr w:rsidR="00330007" w:rsidRPr="006F2BDD" w14:paraId="616F8CB5" w14:textId="77777777" w:rsidTr="00195777">
        <w:trPr>
          <w:trHeight w:val="57"/>
        </w:trPr>
        <w:tc>
          <w:tcPr>
            <w:tcW w:w="135" w:type="pct"/>
            <w:tcBorders>
              <w:top w:val="nil"/>
              <w:left w:val="nil"/>
              <w:bottom w:val="nil"/>
              <w:right w:val="nil"/>
            </w:tcBorders>
            <w:shd w:val="clear" w:color="auto" w:fill="auto"/>
            <w:tcMar>
              <w:top w:w="15" w:type="dxa"/>
              <w:left w:w="15" w:type="dxa"/>
              <w:bottom w:w="0" w:type="dxa"/>
              <w:right w:w="15" w:type="dxa"/>
            </w:tcMar>
            <w:vAlign w:val="center"/>
            <w:hideMark/>
          </w:tcPr>
          <w:p w14:paraId="2107D8D3"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8</w:t>
            </w:r>
          </w:p>
        </w:tc>
        <w:tc>
          <w:tcPr>
            <w:tcW w:w="614" w:type="pct"/>
            <w:tcBorders>
              <w:top w:val="nil"/>
              <w:left w:val="nil"/>
              <w:bottom w:val="nil"/>
              <w:right w:val="nil"/>
            </w:tcBorders>
            <w:shd w:val="clear" w:color="auto" w:fill="auto"/>
            <w:tcMar>
              <w:top w:w="15" w:type="dxa"/>
              <w:left w:w="108" w:type="dxa"/>
              <w:bottom w:w="0" w:type="dxa"/>
              <w:right w:w="108" w:type="dxa"/>
            </w:tcMar>
            <w:vAlign w:val="center"/>
            <w:hideMark/>
          </w:tcPr>
          <w:p w14:paraId="4515CF86"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RRC U</w:t>
            </w:r>
          </w:p>
        </w:tc>
        <w:tc>
          <w:tcPr>
            <w:tcW w:w="524" w:type="pct"/>
            <w:tcBorders>
              <w:top w:val="nil"/>
              <w:left w:val="nil"/>
              <w:bottom w:val="nil"/>
              <w:right w:val="nil"/>
            </w:tcBorders>
            <w:shd w:val="clear" w:color="auto" w:fill="auto"/>
            <w:tcMar>
              <w:top w:w="15" w:type="dxa"/>
              <w:left w:w="108" w:type="dxa"/>
              <w:bottom w:w="0" w:type="dxa"/>
              <w:right w:w="108" w:type="dxa"/>
            </w:tcMar>
            <w:vAlign w:val="center"/>
            <w:hideMark/>
          </w:tcPr>
          <w:p w14:paraId="70C71C59"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RRC D</w:t>
            </w:r>
          </w:p>
        </w:tc>
        <w:tc>
          <w:tcPr>
            <w:tcW w:w="857" w:type="pct"/>
            <w:tcBorders>
              <w:top w:val="nil"/>
              <w:left w:val="nil"/>
              <w:bottom w:val="nil"/>
              <w:right w:val="nil"/>
            </w:tcBorders>
            <w:shd w:val="clear" w:color="auto" w:fill="auto"/>
            <w:tcMar>
              <w:top w:w="15" w:type="dxa"/>
              <w:left w:w="108" w:type="dxa"/>
              <w:bottom w:w="0" w:type="dxa"/>
              <w:right w:w="108" w:type="dxa"/>
            </w:tcMar>
            <w:vAlign w:val="center"/>
            <w:hideMark/>
          </w:tcPr>
          <w:p w14:paraId="219765EA"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Allowed to drop D</w:t>
            </w:r>
          </w:p>
        </w:tc>
        <w:tc>
          <w:tcPr>
            <w:tcW w:w="762" w:type="pct"/>
            <w:tcBorders>
              <w:top w:val="nil"/>
              <w:left w:val="nil"/>
              <w:bottom w:val="nil"/>
              <w:right w:val="nil"/>
            </w:tcBorders>
            <w:shd w:val="clear" w:color="auto" w:fill="auto"/>
            <w:tcMar>
              <w:top w:w="15" w:type="dxa"/>
              <w:left w:w="108" w:type="dxa"/>
              <w:bottom w:w="0" w:type="dxa"/>
              <w:right w:w="108" w:type="dxa"/>
            </w:tcMar>
            <w:vAlign w:val="center"/>
            <w:hideMark/>
          </w:tcPr>
          <w:p w14:paraId="482D84EB" w14:textId="77777777" w:rsidR="00330007" w:rsidRPr="00195777" w:rsidRDefault="00330007" w:rsidP="00195777">
            <w:pPr>
              <w:spacing w:beforeLines="0" w:before="0"/>
              <w:rPr>
                <w:rFonts w:cs="Times New Roman"/>
                <w:sz w:val="14"/>
                <w:szCs w:val="14"/>
              </w:rPr>
            </w:pPr>
            <w:r w:rsidRPr="00195777">
              <w:rPr>
                <w:rFonts w:cs="Times New Roman"/>
                <w:sz w:val="14"/>
                <w:szCs w:val="14"/>
              </w:rPr>
              <w:t>No</w:t>
            </w:r>
          </w:p>
        </w:tc>
        <w:tc>
          <w:tcPr>
            <w:tcW w:w="2108" w:type="pct"/>
            <w:tcBorders>
              <w:top w:val="nil"/>
              <w:left w:val="nil"/>
              <w:bottom w:val="nil"/>
              <w:right w:val="nil"/>
            </w:tcBorders>
            <w:shd w:val="clear" w:color="auto" w:fill="auto"/>
            <w:tcMar>
              <w:top w:w="15" w:type="dxa"/>
              <w:left w:w="108" w:type="dxa"/>
              <w:bottom w:w="0" w:type="dxa"/>
              <w:right w:w="108" w:type="dxa"/>
            </w:tcMar>
            <w:vAlign w:val="center"/>
            <w:hideMark/>
          </w:tcPr>
          <w:p w14:paraId="15510D15" w14:textId="77777777" w:rsidR="00330007" w:rsidRPr="00195777" w:rsidRDefault="00330007" w:rsidP="00195777">
            <w:pPr>
              <w:spacing w:beforeLines="0" w:before="0"/>
              <w:rPr>
                <w:rFonts w:cs="Times New Roman"/>
                <w:sz w:val="14"/>
                <w:szCs w:val="14"/>
              </w:rPr>
            </w:pPr>
          </w:p>
        </w:tc>
      </w:tr>
      <w:tr w:rsidR="00330007" w:rsidRPr="006F2BDD" w14:paraId="0A44DC29" w14:textId="77777777" w:rsidTr="00195777">
        <w:trPr>
          <w:trHeight w:val="57"/>
        </w:trPr>
        <w:tc>
          <w:tcPr>
            <w:tcW w:w="135" w:type="pct"/>
            <w:tcBorders>
              <w:top w:val="nil"/>
              <w:left w:val="nil"/>
              <w:bottom w:val="nil"/>
              <w:right w:val="nil"/>
            </w:tcBorders>
            <w:shd w:val="clear" w:color="auto" w:fill="E7E7E7"/>
            <w:tcMar>
              <w:top w:w="15" w:type="dxa"/>
              <w:left w:w="15" w:type="dxa"/>
              <w:bottom w:w="0" w:type="dxa"/>
              <w:right w:w="15" w:type="dxa"/>
            </w:tcMar>
            <w:vAlign w:val="center"/>
            <w:hideMark/>
          </w:tcPr>
          <w:p w14:paraId="0F75F0CC"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9</w:t>
            </w:r>
          </w:p>
        </w:tc>
        <w:tc>
          <w:tcPr>
            <w:tcW w:w="614" w:type="pct"/>
            <w:tcBorders>
              <w:top w:val="nil"/>
              <w:left w:val="nil"/>
              <w:bottom w:val="nil"/>
              <w:right w:val="nil"/>
            </w:tcBorders>
            <w:shd w:val="clear" w:color="auto" w:fill="E7E7E7"/>
            <w:tcMar>
              <w:top w:w="15" w:type="dxa"/>
              <w:left w:w="108" w:type="dxa"/>
              <w:bottom w:w="0" w:type="dxa"/>
              <w:right w:w="108" w:type="dxa"/>
            </w:tcMar>
            <w:vAlign w:val="center"/>
            <w:hideMark/>
          </w:tcPr>
          <w:p w14:paraId="3AA36AF2"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Dynamic D</w:t>
            </w:r>
          </w:p>
        </w:tc>
        <w:tc>
          <w:tcPr>
            <w:tcW w:w="524" w:type="pct"/>
            <w:tcBorders>
              <w:top w:val="nil"/>
              <w:left w:val="nil"/>
              <w:bottom w:val="nil"/>
              <w:right w:val="nil"/>
            </w:tcBorders>
            <w:shd w:val="clear" w:color="auto" w:fill="E7E7E7"/>
            <w:tcMar>
              <w:top w:w="15" w:type="dxa"/>
              <w:left w:w="108" w:type="dxa"/>
              <w:bottom w:w="0" w:type="dxa"/>
              <w:right w:w="108" w:type="dxa"/>
            </w:tcMar>
            <w:vAlign w:val="center"/>
            <w:hideMark/>
          </w:tcPr>
          <w:p w14:paraId="2A4A9F88"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Dynamic U</w:t>
            </w:r>
          </w:p>
        </w:tc>
        <w:tc>
          <w:tcPr>
            <w:tcW w:w="857" w:type="pct"/>
            <w:tcBorders>
              <w:top w:val="nil"/>
              <w:left w:val="nil"/>
              <w:bottom w:val="nil"/>
              <w:right w:val="nil"/>
            </w:tcBorders>
            <w:shd w:val="clear" w:color="auto" w:fill="E7E7E7"/>
            <w:tcMar>
              <w:top w:w="15" w:type="dxa"/>
              <w:left w:w="108" w:type="dxa"/>
              <w:bottom w:w="0" w:type="dxa"/>
              <w:right w:w="108" w:type="dxa"/>
            </w:tcMar>
            <w:vAlign w:val="center"/>
            <w:hideMark/>
          </w:tcPr>
          <w:p w14:paraId="0BD6E12D"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Error case</w:t>
            </w:r>
          </w:p>
        </w:tc>
        <w:tc>
          <w:tcPr>
            <w:tcW w:w="762" w:type="pct"/>
            <w:tcBorders>
              <w:top w:val="nil"/>
              <w:left w:val="nil"/>
              <w:bottom w:val="nil"/>
              <w:right w:val="nil"/>
            </w:tcBorders>
            <w:shd w:val="clear" w:color="auto" w:fill="E7E7E7"/>
            <w:tcMar>
              <w:top w:w="15" w:type="dxa"/>
              <w:left w:w="108" w:type="dxa"/>
              <w:bottom w:w="0" w:type="dxa"/>
              <w:right w:w="108" w:type="dxa"/>
            </w:tcMar>
            <w:vAlign w:val="center"/>
            <w:hideMark/>
          </w:tcPr>
          <w:p w14:paraId="4D893ABD" w14:textId="77777777" w:rsidR="00330007" w:rsidRPr="00195777" w:rsidRDefault="00330007" w:rsidP="00195777">
            <w:pPr>
              <w:spacing w:beforeLines="0" w:before="0"/>
              <w:rPr>
                <w:rFonts w:cs="Times New Roman"/>
                <w:sz w:val="14"/>
                <w:szCs w:val="14"/>
              </w:rPr>
            </w:pPr>
            <w:r w:rsidRPr="00195777">
              <w:rPr>
                <w:rFonts w:cs="Times New Roman"/>
                <w:sz w:val="14"/>
                <w:szCs w:val="14"/>
              </w:rPr>
              <w:t>No</w:t>
            </w:r>
          </w:p>
        </w:tc>
        <w:tc>
          <w:tcPr>
            <w:tcW w:w="2108" w:type="pct"/>
            <w:tcBorders>
              <w:top w:val="nil"/>
              <w:left w:val="nil"/>
              <w:bottom w:val="nil"/>
              <w:right w:val="nil"/>
            </w:tcBorders>
            <w:shd w:val="clear" w:color="auto" w:fill="E7E7E7"/>
            <w:tcMar>
              <w:top w:w="15" w:type="dxa"/>
              <w:left w:w="108" w:type="dxa"/>
              <w:bottom w:w="0" w:type="dxa"/>
              <w:right w:w="108" w:type="dxa"/>
            </w:tcMar>
            <w:vAlign w:val="center"/>
            <w:hideMark/>
          </w:tcPr>
          <w:p w14:paraId="249F31C3" w14:textId="77777777" w:rsidR="00330007" w:rsidRPr="00195777" w:rsidRDefault="00330007" w:rsidP="00195777">
            <w:pPr>
              <w:spacing w:beforeLines="0" w:before="0"/>
              <w:rPr>
                <w:rFonts w:cs="Times New Roman"/>
                <w:sz w:val="14"/>
                <w:szCs w:val="14"/>
              </w:rPr>
            </w:pPr>
          </w:p>
        </w:tc>
      </w:tr>
      <w:tr w:rsidR="00330007" w:rsidRPr="006F2BDD" w14:paraId="5FBC794B" w14:textId="77777777" w:rsidTr="00195777">
        <w:trPr>
          <w:trHeight w:val="57"/>
        </w:trPr>
        <w:tc>
          <w:tcPr>
            <w:tcW w:w="135" w:type="pct"/>
            <w:tcBorders>
              <w:top w:val="nil"/>
              <w:left w:val="nil"/>
              <w:bottom w:val="nil"/>
              <w:right w:val="nil"/>
            </w:tcBorders>
            <w:shd w:val="clear" w:color="auto" w:fill="auto"/>
            <w:tcMar>
              <w:top w:w="15" w:type="dxa"/>
              <w:left w:w="15" w:type="dxa"/>
              <w:bottom w:w="0" w:type="dxa"/>
              <w:right w:w="15" w:type="dxa"/>
            </w:tcMar>
            <w:vAlign w:val="center"/>
            <w:hideMark/>
          </w:tcPr>
          <w:p w14:paraId="0EBECDF7"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10</w:t>
            </w:r>
          </w:p>
        </w:tc>
        <w:tc>
          <w:tcPr>
            <w:tcW w:w="614" w:type="pct"/>
            <w:tcBorders>
              <w:top w:val="nil"/>
              <w:left w:val="nil"/>
              <w:bottom w:val="nil"/>
              <w:right w:val="nil"/>
            </w:tcBorders>
            <w:shd w:val="clear" w:color="auto" w:fill="auto"/>
            <w:tcMar>
              <w:top w:w="15" w:type="dxa"/>
              <w:left w:w="108" w:type="dxa"/>
              <w:bottom w:w="0" w:type="dxa"/>
              <w:right w:w="108" w:type="dxa"/>
            </w:tcMar>
            <w:vAlign w:val="center"/>
            <w:hideMark/>
          </w:tcPr>
          <w:p w14:paraId="48F031A1"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Dynamic U</w:t>
            </w:r>
          </w:p>
        </w:tc>
        <w:tc>
          <w:tcPr>
            <w:tcW w:w="524" w:type="pct"/>
            <w:tcBorders>
              <w:top w:val="nil"/>
              <w:left w:val="nil"/>
              <w:bottom w:val="nil"/>
              <w:right w:val="nil"/>
            </w:tcBorders>
            <w:shd w:val="clear" w:color="auto" w:fill="auto"/>
            <w:tcMar>
              <w:top w:w="15" w:type="dxa"/>
              <w:left w:w="108" w:type="dxa"/>
              <w:bottom w:w="0" w:type="dxa"/>
              <w:right w:w="108" w:type="dxa"/>
            </w:tcMar>
            <w:vAlign w:val="center"/>
            <w:hideMark/>
          </w:tcPr>
          <w:p w14:paraId="41ACD078"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Dynamic D</w:t>
            </w:r>
          </w:p>
        </w:tc>
        <w:tc>
          <w:tcPr>
            <w:tcW w:w="857" w:type="pct"/>
            <w:tcBorders>
              <w:top w:val="nil"/>
              <w:left w:val="nil"/>
              <w:bottom w:val="nil"/>
              <w:right w:val="nil"/>
            </w:tcBorders>
            <w:shd w:val="clear" w:color="auto" w:fill="auto"/>
            <w:tcMar>
              <w:top w:w="15" w:type="dxa"/>
              <w:left w:w="108" w:type="dxa"/>
              <w:bottom w:w="0" w:type="dxa"/>
              <w:right w:w="108" w:type="dxa"/>
            </w:tcMar>
            <w:vAlign w:val="center"/>
            <w:hideMark/>
          </w:tcPr>
          <w:p w14:paraId="1DC6636A"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Error case</w:t>
            </w:r>
          </w:p>
        </w:tc>
        <w:tc>
          <w:tcPr>
            <w:tcW w:w="762" w:type="pct"/>
            <w:tcBorders>
              <w:top w:val="nil"/>
              <w:left w:val="nil"/>
              <w:bottom w:val="nil"/>
              <w:right w:val="nil"/>
            </w:tcBorders>
            <w:shd w:val="clear" w:color="auto" w:fill="auto"/>
            <w:tcMar>
              <w:top w:w="15" w:type="dxa"/>
              <w:left w:w="108" w:type="dxa"/>
              <w:bottom w:w="0" w:type="dxa"/>
              <w:right w:w="108" w:type="dxa"/>
            </w:tcMar>
            <w:vAlign w:val="center"/>
            <w:hideMark/>
          </w:tcPr>
          <w:p w14:paraId="5EE0887C" w14:textId="77777777" w:rsidR="00330007" w:rsidRPr="00195777" w:rsidRDefault="00330007" w:rsidP="00195777">
            <w:pPr>
              <w:spacing w:beforeLines="0" w:before="0"/>
              <w:rPr>
                <w:rFonts w:cs="Times New Roman"/>
                <w:sz w:val="14"/>
                <w:szCs w:val="14"/>
              </w:rPr>
            </w:pPr>
            <w:r w:rsidRPr="00195777">
              <w:rPr>
                <w:rFonts w:cs="Times New Roman"/>
                <w:sz w:val="14"/>
                <w:szCs w:val="14"/>
              </w:rPr>
              <w:t>No</w:t>
            </w:r>
          </w:p>
        </w:tc>
        <w:tc>
          <w:tcPr>
            <w:tcW w:w="2108" w:type="pct"/>
            <w:tcBorders>
              <w:top w:val="nil"/>
              <w:left w:val="nil"/>
              <w:bottom w:val="nil"/>
              <w:right w:val="nil"/>
            </w:tcBorders>
            <w:shd w:val="clear" w:color="auto" w:fill="auto"/>
            <w:tcMar>
              <w:top w:w="15" w:type="dxa"/>
              <w:left w:w="108" w:type="dxa"/>
              <w:bottom w:w="0" w:type="dxa"/>
              <w:right w:w="108" w:type="dxa"/>
            </w:tcMar>
            <w:vAlign w:val="center"/>
            <w:hideMark/>
          </w:tcPr>
          <w:p w14:paraId="66E0F8FA" w14:textId="77777777" w:rsidR="00330007" w:rsidRPr="00195777" w:rsidRDefault="00330007" w:rsidP="00195777">
            <w:pPr>
              <w:spacing w:beforeLines="0" w:before="0"/>
              <w:rPr>
                <w:rFonts w:cs="Times New Roman"/>
                <w:sz w:val="14"/>
                <w:szCs w:val="14"/>
              </w:rPr>
            </w:pPr>
          </w:p>
        </w:tc>
      </w:tr>
      <w:tr w:rsidR="00330007" w:rsidRPr="006F2BDD" w14:paraId="440F4917" w14:textId="77777777" w:rsidTr="00195777">
        <w:trPr>
          <w:trHeight w:val="57"/>
        </w:trPr>
        <w:tc>
          <w:tcPr>
            <w:tcW w:w="135" w:type="pct"/>
            <w:tcBorders>
              <w:top w:val="nil"/>
              <w:left w:val="nil"/>
              <w:bottom w:val="nil"/>
              <w:right w:val="nil"/>
            </w:tcBorders>
            <w:shd w:val="clear" w:color="auto" w:fill="E7E7E7"/>
            <w:tcMar>
              <w:top w:w="15" w:type="dxa"/>
              <w:left w:w="15" w:type="dxa"/>
              <w:bottom w:w="0" w:type="dxa"/>
              <w:right w:w="15" w:type="dxa"/>
            </w:tcMar>
            <w:vAlign w:val="center"/>
            <w:hideMark/>
          </w:tcPr>
          <w:p w14:paraId="5C86105B" w14:textId="77777777" w:rsidR="00330007" w:rsidRPr="00195777" w:rsidRDefault="00330007" w:rsidP="00195777">
            <w:pPr>
              <w:spacing w:beforeLines="0" w:before="0"/>
              <w:rPr>
                <w:rFonts w:cs="Times New Roman"/>
                <w:sz w:val="14"/>
                <w:szCs w:val="14"/>
              </w:rPr>
            </w:pPr>
            <w:r w:rsidRPr="00195777">
              <w:rPr>
                <w:rFonts w:cs="Times New Roman"/>
                <w:b/>
                <w:bCs/>
                <w:sz w:val="14"/>
                <w:szCs w:val="14"/>
              </w:rPr>
              <w:t>11</w:t>
            </w:r>
          </w:p>
        </w:tc>
        <w:tc>
          <w:tcPr>
            <w:tcW w:w="614" w:type="pct"/>
            <w:tcBorders>
              <w:top w:val="nil"/>
              <w:left w:val="nil"/>
              <w:bottom w:val="nil"/>
              <w:right w:val="nil"/>
            </w:tcBorders>
            <w:shd w:val="clear" w:color="auto" w:fill="E7E7E7"/>
            <w:tcMar>
              <w:top w:w="15" w:type="dxa"/>
              <w:left w:w="108" w:type="dxa"/>
              <w:bottom w:w="0" w:type="dxa"/>
              <w:right w:w="108" w:type="dxa"/>
            </w:tcMar>
            <w:vAlign w:val="center"/>
            <w:hideMark/>
          </w:tcPr>
          <w:p w14:paraId="1E2E524B" w14:textId="77777777" w:rsidR="00330007" w:rsidRPr="00195777" w:rsidRDefault="00330007" w:rsidP="00195777">
            <w:pPr>
              <w:spacing w:beforeLines="0" w:before="0"/>
              <w:rPr>
                <w:rFonts w:cs="Times New Roman"/>
                <w:sz w:val="14"/>
                <w:szCs w:val="14"/>
              </w:rPr>
            </w:pPr>
            <w:r w:rsidRPr="00195777">
              <w:rPr>
                <w:rFonts w:cs="Times New Roman"/>
                <w:sz w:val="14"/>
                <w:szCs w:val="14"/>
              </w:rPr>
              <w:t>RRC U</w:t>
            </w:r>
          </w:p>
        </w:tc>
        <w:tc>
          <w:tcPr>
            <w:tcW w:w="524" w:type="pct"/>
            <w:tcBorders>
              <w:top w:val="nil"/>
              <w:left w:val="nil"/>
              <w:bottom w:val="nil"/>
              <w:right w:val="nil"/>
            </w:tcBorders>
            <w:shd w:val="clear" w:color="auto" w:fill="E7E7E7"/>
            <w:tcMar>
              <w:top w:w="15" w:type="dxa"/>
              <w:left w:w="108" w:type="dxa"/>
              <w:bottom w:w="0" w:type="dxa"/>
              <w:right w:w="108" w:type="dxa"/>
            </w:tcMar>
            <w:vAlign w:val="center"/>
            <w:hideMark/>
          </w:tcPr>
          <w:p w14:paraId="7217DBEA" w14:textId="77777777" w:rsidR="00330007" w:rsidRPr="00195777" w:rsidRDefault="00330007" w:rsidP="00195777">
            <w:pPr>
              <w:spacing w:beforeLines="0" w:before="0"/>
              <w:rPr>
                <w:rFonts w:cs="Times New Roman"/>
                <w:sz w:val="14"/>
                <w:szCs w:val="14"/>
              </w:rPr>
            </w:pPr>
            <w:r w:rsidRPr="00195777">
              <w:rPr>
                <w:rFonts w:cs="Times New Roman"/>
                <w:sz w:val="14"/>
                <w:szCs w:val="14"/>
              </w:rPr>
              <w:t>Semi SFI D</w:t>
            </w:r>
          </w:p>
        </w:tc>
        <w:tc>
          <w:tcPr>
            <w:tcW w:w="857" w:type="pct"/>
            <w:tcBorders>
              <w:top w:val="nil"/>
              <w:left w:val="nil"/>
              <w:bottom w:val="nil"/>
              <w:right w:val="nil"/>
            </w:tcBorders>
            <w:shd w:val="clear" w:color="auto" w:fill="E7E7E7"/>
            <w:tcMar>
              <w:top w:w="15" w:type="dxa"/>
              <w:left w:w="108" w:type="dxa"/>
              <w:bottom w:w="0" w:type="dxa"/>
              <w:right w:w="108" w:type="dxa"/>
            </w:tcMar>
            <w:vAlign w:val="center"/>
            <w:hideMark/>
          </w:tcPr>
          <w:p w14:paraId="185C8397" w14:textId="77777777" w:rsidR="00330007" w:rsidRPr="00195777" w:rsidRDefault="00330007" w:rsidP="00195777">
            <w:pPr>
              <w:spacing w:beforeLines="0" w:before="0"/>
              <w:rPr>
                <w:rFonts w:cs="Times New Roman"/>
                <w:sz w:val="14"/>
                <w:szCs w:val="14"/>
              </w:rPr>
            </w:pPr>
            <w:r w:rsidRPr="00195777">
              <w:rPr>
                <w:rFonts w:cs="Times New Roman"/>
                <w:sz w:val="14"/>
                <w:szCs w:val="14"/>
              </w:rPr>
              <w:t>Allowed to drop D</w:t>
            </w:r>
          </w:p>
        </w:tc>
        <w:tc>
          <w:tcPr>
            <w:tcW w:w="762" w:type="pct"/>
            <w:tcBorders>
              <w:top w:val="nil"/>
              <w:left w:val="nil"/>
              <w:bottom w:val="nil"/>
              <w:right w:val="nil"/>
            </w:tcBorders>
            <w:shd w:val="clear" w:color="auto" w:fill="E7E7E7"/>
            <w:tcMar>
              <w:top w:w="15" w:type="dxa"/>
              <w:left w:w="108" w:type="dxa"/>
              <w:bottom w:w="0" w:type="dxa"/>
              <w:right w:w="108" w:type="dxa"/>
            </w:tcMar>
            <w:vAlign w:val="center"/>
            <w:hideMark/>
          </w:tcPr>
          <w:p w14:paraId="3030FAC5"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Yes</w:t>
            </w:r>
          </w:p>
        </w:tc>
        <w:tc>
          <w:tcPr>
            <w:tcW w:w="2108" w:type="pct"/>
            <w:tcBorders>
              <w:top w:val="nil"/>
              <w:left w:val="nil"/>
              <w:bottom w:val="nil"/>
              <w:right w:val="nil"/>
            </w:tcBorders>
            <w:shd w:val="clear" w:color="auto" w:fill="E7E7E7"/>
            <w:tcMar>
              <w:top w:w="15" w:type="dxa"/>
              <w:left w:w="108" w:type="dxa"/>
              <w:bottom w:w="0" w:type="dxa"/>
              <w:right w:w="108" w:type="dxa"/>
            </w:tcMar>
            <w:vAlign w:val="center"/>
            <w:hideMark/>
          </w:tcPr>
          <w:p w14:paraId="621112E8"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Allow U for one UE in CC1 and D for another UE in CC2</w:t>
            </w:r>
          </w:p>
        </w:tc>
      </w:tr>
      <w:tr w:rsidR="00330007" w:rsidRPr="006F2BDD" w14:paraId="26013F1E" w14:textId="77777777" w:rsidTr="00195777">
        <w:trPr>
          <w:trHeight w:val="57"/>
        </w:trPr>
        <w:tc>
          <w:tcPr>
            <w:tcW w:w="135" w:type="pct"/>
            <w:tcBorders>
              <w:top w:val="nil"/>
              <w:left w:val="nil"/>
              <w:bottom w:val="nil"/>
              <w:right w:val="nil"/>
            </w:tcBorders>
            <w:shd w:val="clear" w:color="auto" w:fill="auto"/>
            <w:tcMar>
              <w:top w:w="15" w:type="dxa"/>
              <w:left w:w="15" w:type="dxa"/>
              <w:bottom w:w="0" w:type="dxa"/>
              <w:right w:w="15" w:type="dxa"/>
            </w:tcMar>
            <w:vAlign w:val="center"/>
            <w:hideMark/>
          </w:tcPr>
          <w:p w14:paraId="1973C608" w14:textId="77777777" w:rsidR="00330007" w:rsidRPr="00195777" w:rsidRDefault="00330007" w:rsidP="00195777">
            <w:pPr>
              <w:spacing w:beforeLines="0" w:before="0"/>
              <w:rPr>
                <w:rFonts w:cs="Times New Roman"/>
                <w:sz w:val="14"/>
                <w:szCs w:val="14"/>
              </w:rPr>
            </w:pPr>
            <w:r w:rsidRPr="00195777">
              <w:rPr>
                <w:rFonts w:cs="Times New Roman"/>
                <w:b/>
                <w:bCs/>
                <w:sz w:val="14"/>
                <w:szCs w:val="14"/>
              </w:rPr>
              <w:t>12</w:t>
            </w:r>
          </w:p>
        </w:tc>
        <w:tc>
          <w:tcPr>
            <w:tcW w:w="614" w:type="pct"/>
            <w:tcBorders>
              <w:top w:val="nil"/>
              <w:left w:val="nil"/>
              <w:bottom w:val="nil"/>
              <w:right w:val="nil"/>
            </w:tcBorders>
            <w:shd w:val="clear" w:color="auto" w:fill="auto"/>
            <w:tcMar>
              <w:top w:w="15" w:type="dxa"/>
              <w:left w:w="108" w:type="dxa"/>
              <w:bottom w:w="0" w:type="dxa"/>
              <w:right w:w="108" w:type="dxa"/>
            </w:tcMar>
            <w:vAlign w:val="center"/>
            <w:hideMark/>
          </w:tcPr>
          <w:p w14:paraId="0980F01C" w14:textId="77777777" w:rsidR="00330007" w:rsidRPr="00195777" w:rsidRDefault="00330007" w:rsidP="00195777">
            <w:pPr>
              <w:spacing w:beforeLines="0" w:before="0"/>
              <w:rPr>
                <w:rFonts w:cs="Times New Roman"/>
                <w:sz w:val="14"/>
                <w:szCs w:val="14"/>
              </w:rPr>
            </w:pPr>
            <w:r w:rsidRPr="00195777">
              <w:rPr>
                <w:rFonts w:cs="Times New Roman"/>
                <w:sz w:val="14"/>
                <w:szCs w:val="14"/>
              </w:rPr>
              <w:t>RRC D</w:t>
            </w:r>
          </w:p>
        </w:tc>
        <w:tc>
          <w:tcPr>
            <w:tcW w:w="524" w:type="pct"/>
            <w:tcBorders>
              <w:top w:val="nil"/>
              <w:left w:val="nil"/>
              <w:bottom w:val="nil"/>
              <w:right w:val="nil"/>
            </w:tcBorders>
            <w:shd w:val="clear" w:color="auto" w:fill="auto"/>
            <w:tcMar>
              <w:top w:w="15" w:type="dxa"/>
              <w:left w:w="108" w:type="dxa"/>
              <w:bottom w:w="0" w:type="dxa"/>
              <w:right w:w="108" w:type="dxa"/>
            </w:tcMar>
            <w:vAlign w:val="center"/>
            <w:hideMark/>
          </w:tcPr>
          <w:p w14:paraId="3288156D" w14:textId="77777777" w:rsidR="00330007" w:rsidRPr="00195777" w:rsidRDefault="00330007" w:rsidP="00195777">
            <w:pPr>
              <w:spacing w:beforeLines="0" w:before="0"/>
              <w:rPr>
                <w:rFonts w:cs="Times New Roman"/>
                <w:sz w:val="14"/>
                <w:szCs w:val="14"/>
              </w:rPr>
            </w:pPr>
            <w:r w:rsidRPr="00195777">
              <w:rPr>
                <w:rFonts w:cs="Times New Roman"/>
                <w:sz w:val="14"/>
                <w:szCs w:val="14"/>
              </w:rPr>
              <w:t>Semi SFI U</w:t>
            </w:r>
          </w:p>
        </w:tc>
        <w:tc>
          <w:tcPr>
            <w:tcW w:w="857" w:type="pct"/>
            <w:tcBorders>
              <w:top w:val="nil"/>
              <w:left w:val="nil"/>
              <w:bottom w:val="nil"/>
              <w:right w:val="nil"/>
            </w:tcBorders>
            <w:shd w:val="clear" w:color="auto" w:fill="auto"/>
            <w:tcMar>
              <w:top w:w="15" w:type="dxa"/>
              <w:left w:w="108" w:type="dxa"/>
              <w:bottom w:w="0" w:type="dxa"/>
              <w:right w:w="108" w:type="dxa"/>
            </w:tcMar>
            <w:vAlign w:val="center"/>
            <w:hideMark/>
          </w:tcPr>
          <w:p w14:paraId="29AAB35E" w14:textId="77777777" w:rsidR="00330007" w:rsidRPr="00195777" w:rsidRDefault="00330007" w:rsidP="00195777">
            <w:pPr>
              <w:spacing w:beforeLines="0" w:before="0"/>
              <w:rPr>
                <w:rFonts w:cs="Times New Roman"/>
                <w:sz w:val="14"/>
                <w:szCs w:val="14"/>
              </w:rPr>
            </w:pPr>
            <w:r w:rsidRPr="00195777">
              <w:rPr>
                <w:rFonts w:cs="Times New Roman"/>
                <w:sz w:val="14"/>
                <w:szCs w:val="14"/>
              </w:rPr>
              <w:t>Allowed to drop U</w:t>
            </w:r>
          </w:p>
        </w:tc>
        <w:tc>
          <w:tcPr>
            <w:tcW w:w="762" w:type="pct"/>
            <w:tcBorders>
              <w:top w:val="nil"/>
              <w:left w:val="nil"/>
              <w:bottom w:val="nil"/>
              <w:right w:val="nil"/>
            </w:tcBorders>
            <w:shd w:val="clear" w:color="auto" w:fill="auto"/>
            <w:tcMar>
              <w:top w:w="15" w:type="dxa"/>
              <w:left w:w="108" w:type="dxa"/>
              <w:bottom w:w="0" w:type="dxa"/>
              <w:right w:w="108" w:type="dxa"/>
            </w:tcMar>
            <w:vAlign w:val="center"/>
            <w:hideMark/>
          </w:tcPr>
          <w:p w14:paraId="14AFDC8A"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Yes</w:t>
            </w:r>
          </w:p>
        </w:tc>
        <w:tc>
          <w:tcPr>
            <w:tcW w:w="2108" w:type="pct"/>
            <w:tcBorders>
              <w:top w:val="nil"/>
              <w:left w:val="nil"/>
              <w:bottom w:val="nil"/>
              <w:right w:val="nil"/>
            </w:tcBorders>
            <w:shd w:val="clear" w:color="auto" w:fill="auto"/>
            <w:tcMar>
              <w:top w:w="15" w:type="dxa"/>
              <w:left w:w="108" w:type="dxa"/>
              <w:bottom w:w="0" w:type="dxa"/>
              <w:right w:w="108" w:type="dxa"/>
            </w:tcMar>
            <w:vAlign w:val="center"/>
            <w:hideMark/>
          </w:tcPr>
          <w:p w14:paraId="39AC673C"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Allow D for one UE in CC1 and U for another UE in CC2</w:t>
            </w:r>
          </w:p>
        </w:tc>
      </w:tr>
      <w:tr w:rsidR="00330007" w:rsidRPr="006F2BDD" w14:paraId="003A3265" w14:textId="77777777" w:rsidTr="00195777">
        <w:trPr>
          <w:trHeight w:val="57"/>
        </w:trPr>
        <w:tc>
          <w:tcPr>
            <w:tcW w:w="135" w:type="pct"/>
            <w:tcBorders>
              <w:top w:val="nil"/>
              <w:left w:val="nil"/>
              <w:bottom w:val="nil"/>
              <w:right w:val="nil"/>
            </w:tcBorders>
            <w:shd w:val="clear" w:color="auto" w:fill="E7E7E7"/>
            <w:tcMar>
              <w:top w:w="15" w:type="dxa"/>
              <w:left w:w="15" w:type="dxa"/>
              <w:bottom w:w="0" w:type="dxa"/>
              <w:right w:w="15" w:type="dxa"/>
            </w:tcMar>
            <w:vAlign w:val="center"/>
            <w:hideMark/>
          </w:tcPr>
          <w:p w14:paraId="18DF1EF8" w14:textId="77777777" w:rsidR="00330007" w:rsidRPr="00195777" w:rsidRDefault="00330007" w:rsidP="00195777">
            <w:pPr>
              <w:spacing w:beforeLines="0" w:before="0"/>
              <w:rPr>
                <w:rFonts w:cs="Times New Roman"/>
                <w:sz w:val="14"/>
                <w:szCs w:val="14"/>
              </w:rPr>
            </w:pPr>
            <w:r w:rsidRPr="00195777">
              <w:rPr>
                <w:rFonts w:cs="Times New Roman"/>
                <w:b/>
                <w:bCs/>
                <w:sz w:val="14"/>
                <w:szCs w:val="14"/>
              </w:rPr>
              <w:t>13</w:t>
            </w:r>
          </w:p>
        </w:tc>
        <w:tc>
          <w:tcPr>
            <w:tcW w:w="614" w:type="pct"/>
            <w:tcBorders>
              <w:top w:val="nil"/>
              <w:left w:val="nil"/>
              <w:bottom w:val="nil"/>
              <w:right w:val="nil"/>
            </w:tcBorders>
            <w:shd w:val="clear" w:color="auto" w:fill="E7E7E7"/>
            <w:tcMar>
              <w:top w:w="15" w:type="dxa"/>
              <w:left w:w="108" w:type="dxa"/>
              <w:bottom w:w="0" w:type="dxa"/>
              <w:right w:w="108" w:type="dxa"/>
            </w:tcMar>
            <w:vAlign w:val="center"/>
            <w:hideMark/>
          </w:tcPr>
          <w:p w14:paraId="42B3C4FE" w14:textId="77777777" w:rsidR="00330007" w:rsidRPr="00195777" w:rsidRDefault="00330007" w:rsidP="00195777">
            <w:pPr>
              <w:spacing w:beforeLines="0" w:before="0"/>
              <w:rPr>
                <w:rFonts w:cs="Times New Roman"/>
                <w:sz w:val="14"/>
                <w:szCs w:val="14"/>
              </w:rPr>
            </w:pPr>
            <w:r w:rsidRPr="00195777">
              <w:rPr>
                <w:rFonts w:cs="Times New Roman"/>
                <w:sz w:val="14"/>
                <w:szCs w:val="14"/>
              </w:rPr>
              <w:t>RRC U</w:t>
            </w:r>
          </w:p>
        </w:tc>
        <w:tc>
          <w:tcPr>
            <w:tcW w:w="524" w:type="pct"/>
            <w:tcBorders>
              <w:top w:val="nil"/>
              <w:left w:val="nil"/>
              <w:bottom w:val="nil"/>
              <w:right w:val="nil"/>
            </w:tcBorders>
            <w:shd w:val="clear" w:color="auto" w:fill="E7E7E7"/>
            <w:tcMar>
              <w:top w:w="15" w:type="dxa"/>
              <w:left w:w="108" w:type="dxa"/>
              <w:bottom w:w="0" w:type="dxa"/>
              <w:right w:w="108" w:type="dxa"/>
            </w:tcMar>
            <w:vAlign w:val="center"/>
            <w:hideMark/>
          </w:tcPr>
          <w:p w14:paraId="05992742" w14:textId="77777777" w:rsidR="00330007" w:rsidRPr="00195777" w:rsidRDefault="00330007" w:rsidP="00195777">
            <w:pPr>
              <w:spacing w:beforeLines="0" w:before="0"/>
              <w:rPr>
                <w:rFonts w:cs="Times New Roman"/>
                <w:sz w:val="14"/>
                <w:szCs w:val="14"/>
              </w:rPr>
            </w:pPr>
            <w:r w:rsidRPr="00195777">
              <w:rPr>
                <w:rFonts w:cs="Times New Roman"/>
                <w:sz w:val="14"/>
                <w:szCs w:val="14"/>
              </w:rPr>
              <w:t>Dynamic D</w:t>
            </w:r>
          </w:p>
        </w:tc>
        <w:tc>
          <w:tcPr>
            <w:tcW w:w="857" w:type="pct"/>
            <w:tcBorders>
              <w:top w:val="nil"/>
              <w:left w:val="nil"/>
              <w:bottom w:val="nil"/>
              <w:right w:val="nil"/>
            </w:tcBorders>
            <w:shd w:val="clear" w:color="auto" w:fill="E7E7E7"/>
            <w:tcMar>
              <w:top w:w="15" w:type="dxa"/>
              <w:left w:w="108" w:type="dxa"/>
              <w:bottom w:w="0" w:type="dxa"/>
              <w:right w:w="108" w:type="dxa"/>
            </w:tcMar>
            <w:vAlign w:val="center"/>
            <w:hideMark/>
          </w:tcPr>
          <w:p w14:paraId="5F83C06D" w14:textId="77777777" w:rsidR="00330007" w:rsidRPr="00195777" w:rsidRDefault="00330007" w:rsidP="00195777">
            <w:pPr>
              <w:spacing w:beforeLines="0" w:before="0"/>
              <w:rPr>
                <w:rFonts w:cs="Times New Roman"/>
                <w:sz w:val="14"/>
                <w:szCs w:val="14"/>
              </w:rPr>
            </w:pPr>
            <w:r w:rsidRPr="00195777">
              <w:rPr>
                <w:rFonts w:cs="Times New Roman"/>
                <w:sz w:val="14"/>
                <w:szCs w:val="14"/>
              </w:rPr>
              <w:t>Error case</w:t>
            </w:r>
          </w:p>
        </w:tc>
        <w:tc>
          <w:tcPr>
            <w:tcW w:w="762" w:type="pct"/>
            <w:tcBorders>
              <w:top w:val="nil"/>
              <w:left w:val="nil"/>
              <w:bottom w:val="nil"/>
              <w:right w:val="nil"/>
            </w:tcBorders>
            <w:shd w:val="clear" w:color="auto" w:fill="E7E7E7"/>
            <w:tcMar>
              <w:top w:w="15" w:type="dxa"/>
              <w:left w:w="108" w:type="dxa"/>
              <w:bottom w:w="0" w:type="dxa"/>
              <w:right w:w="108" w:type="dxa"/>
            </w:tcMar>
            <w:vAlign w:val="center"/>
            <w:hideMark/>
          </w:tcPr>
          <w:p w14:paraId="5C7A114E" w14:textId="77777777" w:rsidR="00330007" w:rsidRPr="00195777" w:rsidRDefault="00330007" w:rsidP="00195777">
            <w:pPr>
              <w:spacing w:beforeLines="0" w:before="0"/>
              <w:rPr>
                <w:rFonts w:cs="Times New Roman"/>
                <w:sz w:val="14"/>
                <w:szCs w:val="14"/>
              </w:rPr>
            </w:pPr>
            <w:r w:rsidRPr="00195777">
              <w:rPr>
                <w:rFonts w:cs="Times New Roman"/>
                <w:sz w:val="14"/>
                <w:szCs w:val="14"/>
              </w:rPr>
              <w:t>No</w:t>
            </w:r>
          </w:p>
        </w:tc>
        <w:tc>
          <w:tcPr>
            <w:tcW w:w="2108" w:type="pct"/>
            <w:tcBorders>
              <w:top w:val="nil"/>
              <w:left w:val="nil"/>
              <w:bottom w:val="nil"/>
              <w:right w:val="nil"/>
            </w:tcBorders>
            <w:shd w:val="clear" w:color="auto" w:fill="E7E7E7"/>
            <w:tcMar>
              <w:top w:w="15" w:type="dxa"/>
              <w:left w:w="108" w:type="dxa"/>
              <w:bottom w:w="0" w:type="dxa"/>
              <w:right w:w="108" w:type="dxa"/>
            </w:tcMar>
            <w:vAlign w:val="center"/>
            <w:hideMark/>
          </w:tcPr>
          <w:p w14:paraId="51F6B2E7" w14:textId="77777777" w:rsidR="00330007" w:rsidRPr="00195777" w:rsidRDefault="00330007" w:rsidP="00195777">
            <w:pPr>
              <w:spacing w:beforeLines="0" w:before="0"/>
              <w:rPr>
                <w:rFonts w:cs="Times New Roman"/>
                <w:sz w:val="14"/>
                <w:szCs w:val="14"/>
              </w:rPr>
            </w:pPr>
          </w:p>
        </w:tc>
      </w:tr>
      <w:tr w:rsidR="00330007" w:rsidRPr="006F2BDD" w14:paraId="52594C2C" w14:textId="77777777" w:rsidTr="00195777">
        <w:trPr>
          <w:trHeight w:val="57"/>
        </w:trPr>
        <w:tc>
          <w:tcPr>
            <w:tcW w:w="135" w:type="pct"/>
            <w:tcBorders>
              <w:top w:val="nil"/>
              <w:left w:val="nil"/>
              <w:bottom w:val="single" w:sz="8" w:space="0" w:color="1D1D1A"/>
              <w:right w:val="nil"/>
            </w:tcBorders>
            <w:shd w:val="clear" w:color="auto" w:fill="auto"/>
            <w:tcMar>
              <w:top w:w="15" w:type="dxa"/>
              <w:left w:w="15" w:type="dxa"/>
              <w:bottom w:w="0" w:type="dxa"/>
              <w:right w:w="15" w:type="dxa"/>
            </w:tcMar>
            <w:vAlign w:val="center"/>
            <w:hideMark/>
          </w:tcPr>
          <w:p w14:paraId="53AC0470" w14:textId="77777777" w:rsidR="00330007" w:rsidRPr="00195777" w:rsidRDefault="00330007" w:rsidP="00195777">
            <w:pPr>
              <w:spacing w:beforeLines="0" w:before="0"/>
              <w:rPr>
                <w:rFonts w:cs="Times New Roman"/>
                <w:sz w:val="14"/>
                <w:szCs w:val="14"/>
              </w:rPr>
            </w:pPr>
            <w:r w:rsidRPr="00195777">
              <w:rPr>
                <w:rFonts w:cs="Times New Roman"/>
                <w:b/>
                <w:bCs/>
                <w:sz w:val="14"/>
                <w:szCs w:val="14"/>
              </w:rPr>
              <w:t>14</w:t>
            </w:r>
          </w:p>
        </w:tc>
        <w:tc>
          <w:tcPr>
            <w:tcW w:w="614" w:type="pct"/>
            <w:tcBorders>
              <w:top w:val="nil"/>
              <w:left w:val="nil"/>
              <w:bottom w:val="single" w:sz="8" w:space="0" w:color="1D1D1A"/>
              <w:right w:val="nil"/>
            </w:tcBorders>
            <w:shd w:val="clear" w:color="auto" w:fill="auto"/>
            <w:tcMar>
              <w:top w:w="15" w:type="dxa"/>
              <w:left w:w="108" w:type="dxa"/>
              <w:bottom w:w="0" w:type="dxa"/>
              <w:right w:w="108" w:type="dxa"/>
            </w:tcMar>
            <w:vAlign w:val="center"/>
            <w:hideMark/>
          </w:tcPr>
          <w:p w14:paraId="09331BED" w14:textId="77777777" w:rsidR="00330007" w:rsidRPr="00195777" w:rsidRDefault="00330007" w:rsidP="00195777">
            <w:pPr>
              <w:spacing w:beforeLines="0" w:before="0"/>
              <w:rPr>
                <w:rFonts w:cs="Times New Roman"/>
                <w:sz w:val="14"/>
                <w:szCs w:val="14"/>
              </w:rPr>
            </w:pPr>
            <w:r w:rsidRPr="00195777">
              <w:rPr>
                <w:rFonts w:cs="Times New Roman"/>
                <w:sz w:val="14"/>
                <w:szCs w:val="14"/>
              </w:rPr>
              <w:t>RRC D</w:t>
            </w:r>
          </w:p>
        </w:tc>
        <w:tc>
          <w:tcPr>
            <w:tcW w:w="524" w:type="pct"/>
            <w:tcBorders>
              <w:top w:val="nil"/>
              <w:left w:val="nil"/>
              <w:bottom w:val="single" w:sz="8" w:space="0" w:color="1D1D1A"/>
              <w:right w:val="nil"/>
            </w:tcBorders>
            <w:shd w:val="clear" w:color="auto" w:fill="auto"/>
            <w:tcMar>
              <w:top w:w="15" w:type="dxa"/>
              <w:left w:w="108" w:type="dxa"/>
              <w:bottom w:w="0" w:type="dxa"/>
              <w:right w:w="108" w:type="dxa"/>
            </w:tcMar>
            <w:vAlign w:val="center"/>
            <w:hideMark/>
          </w:tcPr>
          <w:p w14:paraId="08C30FCB" w14:textId="77777777" w:rsidR="00330007" w:rsidRPr="00195777" w:rsidRDefault="00330007" w:rsidP="00195777">
            <w:pPr>
              <w:spacing w:beforeLines="0" w:before="0"/>
              <w:rPr>
                <w:rFonts w:cs="Times New Roman"/>
                <w:sz w:val="14"/>
                <w:szCs w:val="14"/>
              </w:rPr>
            </w:pPr>
            <w:r w:rsidRPr="00195777">
              <w:rPr>
                <w:rFonts w:cs="Times New Roman"/>
                <w:sz w:val="14"/>
                <w:szCs w:val="14"/>
              </w:rPr>
              <w:t>Dynamic U</w:t>
            </w:r>
          </w:p>
        </w:tc>
        <w:tc>
          <w:tcPr>
            <w:tcW w:w="857" w:type="pct"/>
            <w:tcBorders>
              <w:top w:val="nil"/>
              <w:left w:val="nil"/>
              <w:bottom w:val="single" w:sz="8" w:space="0" w:color="1D1D1A"/>
              <w:right w:val="nil"/>
            </w:tcBorders>
            <w:shd w:val="clear" w:color="auto" w:fill="auto"/>
            <w:tcMar>
              <w:top w:w="15" w:type="dxa"/>
              <w:left w:w="108" w:type="dxa"/>
              <w:bottom w:w="0" w:type="dxa"/>
              <w:right w:w="108" w:type="dxa"/>
            </w:tcMar>
            <w:vAlign w:val="center"/>
            <w:hideMark/>
          </w:tcPr>
          <w:p w14:paraId="3E41972B" w14:textId="77777777" w:rsidR="00330007" w:rsidRPr="00195777" w:rsidRDefault="00330007" w:rsidP="00195777">
            <w:pPr>
              <w:spacing w:beforeLines="0" w:before="0"/>
              <w:rPr>
                <w:rFonts w:cs="Times New Roman"/>
                <w:sz w:val="14"/>
                <w:szCs w:val="14"/>
              </w:rPr>
            </w:pPr>
            <w:r w:rsidRPr="00195777">
              <w:rPr>
                <w:rFonts w:cs="Times New Roman"/>
                <w:sz w:val="14"/>
                <w:szCs w:val="14"/>
              </w:rPr>
              <w:t>Error case</w:t>
            </w:r>
          </w:p>
        </w:tc>
        <w:tc>
          <w:tcPr>
            <w:tcW w:w="762" w:type="pct"/>
            <w:tcBorders>
              <w:top w:val="nil"/>
              <w:left w:val="nil"/>
              <w:bottom w:val="single" w:sz="8" w:space="0" w:color="1D1D1A"/>
              <w:right w:val="nil"/>
            </w:tcBorders>
            <w:shd w:val="clear" w:color="auto" w:fill="auto"/>
            <w:tcMar>
              <w:top w:w="15" w:type="dxa"/>
              <w:left w:w="108" w:type="dxa"/>
              <w:bottom w:w="0" w:type="dxa"/>
              <w:right w:w="108" w:type="dxa"/>
            </w:tcMar>
            <w:vAlign w:val="center"/>
            <w:hideMark/>
          </w:tcPr>
          <w:p w14:paraId="75511DD7" w14:textId="77777777" w:rsidR="00330007" w:rsidRPr="00195777" w:rsidRDefault="00330007" w:rsidP="00195777">
            <w:pPr>
              <w:spacing w:beforeLines="0" w:before="0"/>
              <w:rPr>
                <w:rFonts w:cs="Times New Roman"/>
                <w:sz w:val="14"/>
                <w:szCs w:val="14"/>
              </w:rPr>
            </w:pPr>
            <w:r w:rsidRPr="00195777">
              <w:rPr>
                <w:rFonts w:cs="Times New Roman"/>
                <w:sz w:val="14"/>
                <w:szCs w:val="14"/>
              </w:rPr>
              <w:t>No</w:t>
            </w:r>
          </w:p>
        </w:tc>
        <w:tc>
          <w:tcPr>
            <w:tcW w:w="2108" w:type="pct"/>
            <w:tcBorders>
              <w:top w:val="nil"/>
              <w:left w:val="nil"/>
              <w:bottom w:val="single" w:sz="8" w:space="0" w:color="1D1D1A"/>
              <w:right w:val="nil"/>
            </w:tcBorders>
            <w:shd w:val="clear" w:color="auto" w:fill="auto"/>
            <w:tcMar>
              <w:top w:w="15" w:type="dxa"/>
              <w:left w:w="108" w:type="dxa"/>
              <w:bottom w:w="0" w:type="dxa"/>
              <w:right w:w="108" w:type="dxa"/>
            </w:tcMar>
            <w:vAlign w:val="center"/>
            <w:hideMark/>
          </w:tcPr>
          <w:p w14:paraId="43F2BD69" w14:textId="77777777" w:rsidR="00330007" w:rsidRPr="00195777" w:rsidRDefault="00330007" w:rsidP="00195777">
            <w:pPr>
              <w:spacing w:beforeLines="0" w:before="0"/>
              <w:rPr>
                <w:rFonts w:cs="Times New Roman"/>
                <w:sz w:val="14"/>
                <w:szCs w:val="14"/>
              </w:rPr>
            </w:pPr>
          </w:p>
        </w:tc>
      </w:tr>
    </w:tbl>
    <w:p w14:paraId="1F8A1BF3" w14:textId="77777777" w:rsidR="00330007" w:rsidRPr="00195777" w:rsidRDefault="00330007" w:rsidP="00195777">
      <w:pPr>
        <w:pStyle w:val="a8"/>
        <w:numPr>
          <w:ilvl w:val="0"/>
          <w:numId w:val="59"/>
        </w:numPr>
        <w:spacing w:beforeLines="0" w:before="0"/>
        <w:ind w:firstLineChars="0"/>
        <w:rPr>
          <w:sz w:val="14"/>
          <w:szCs w:val="14"/>
        </w:rPr>
      </w:pPr>
      <w:r w:rsidRPr="00195777">
        <w:rPr>
          <w:b/>
          <w:bCs/>
          <w:sz w:val="14"/>
          <w:szCs w:val="14"/>
        </w:rPr>
        <w:t>Reference cell</w:t>
      </w:r>
      <w:r w:rsidRPr="00195777">
        <w:rPr>
          <w:sz w:val="14"/>
          <w:szCs w:val="14"/>
        </w:rPr>
        <w:t xml:space="preserve">: Reference cell is determined per symbol as a cell with the lowest cell ID among multiple serving cells in a band having direction determined by RRC D/U or semi SFI D/U </w:t>
      </w:r>
    </w:p>
    <w:p w14:paraId="105F0927" w14:textId="77777777" w:rsidR="00C5760D" w:rsidRPr="00195777" w:rsidRDefault="00C5760D" w:rsidP="00195777">
      <w:pPr>
        <w:pStyle w:val="a8"/>
        <w:numPr>
          <w:ilvl w:val="0"/>
          <w:numId w:val="59"/>
        </w:numPr>
        <w:spacing w:beforeLines="0" w:before="0"/>
        <w:ind w:firstLineChars="0"/>
        <w:rPr>
          <w:sz w:val="14"/>
          <w:szCs w:val="14"/>
        </w:rPr>
      </w:pPr>
      <w:r w:rsidRPr="00195777">
        <w:rPr>
          <w:b/>
          <w:bCs/>
          <w:sz w:val="14"/>
          <w:szCs w:val="14"/>
        </w:rPr>
        <w:t>Semi SFI D and U</w:t>
      </w:r>
      <w:r w:rsidRPr="00195777">
        <w:rPr>
          <w:sz w:val="14"/>
          <w:szCs w:val="14"/>
        </w:rPr>
        <w:t>: D and U symbols configured by TDD-UL-DL-</w:t>
      </w:r>
      <w:proofErr w:type="spellStart"/>
      <w:r w:rsidRPr="00195777">
        <w:rPr>
          <w:sz w:val="14"/>
          <w:szCs w:val="14"/>
        </w:rPr>
        <w:t>ConfigurationCommon</w:t>
      </w:r>
      <w:proofErr w:type="spellEnd"/>
      <w:r w:rsidRPr="00195777">
        <w:rPr>
          <w:sz w:val="14"/>
          <w:szCs w:val="14"/>
        </w:rPr>
        <w:t>, or TDD-UL-DL-</w:t>
      </w:r>
      <w:proofErr w:type="spellStart"/>
      <w:r w:rsidRPr="00195777">
        <w:rPr>
          <w:sz w:val="14"/>
          <w:szCs w:val="14"/>
        </w:rPr>
        <w:t>ConfigurationDedicated</w:t>
      </w:r>
      <w:proofErr w:type="spellEnd"/>
    </w:p>
    <w:p w14:paraId="28EEE8C6" w14:textId="5432B0AB" w:rsidR="00C5760D" w:rsidRPr="00195777" w:rsidRDefault="00C5760D" w:rsidP="00195777">
      <w:pPr>
        <w:pStyle w:val="a8"/>
        <w:numPr>
          <w:ilvl w:val="0"/>
          <w:numId w:val="59"/>
        </w:numPr>
        <w:spacing w:beforeLines="0" w:before="0"/>
        <w:ind w:firstLineChars="0"/>
        <w:rPr>
          <w:sz w:val="14"/>
          <w:szCs w:val="14"/>
        </w:rPr>
      </w:pPr>
      <w:r w:rsidRPr="00195777">
        <w:rPr>
          <w:b/>
          <w:bCs/>
          <w:sz w:val="14"/>
          <w:szCs w:val="14"/>
        </w:rPr>
        <w:t>RRC D</w:t>
      </w:r>
      <w:r w:rsidRPr="00195777">
        <w:rPr>
          <w:sz w:val="14"/>
          <w:szCs w:val="14"/>
        </w:rPr>
        <w:t>: symbols corresponding to a higher-layer configured PDCCH, or a PDSCH, or a CSI-RS on semi SFI F of the same cell</w:t>
      </w:r>
    </w:p>
    <w:p w14:paraId="7064B1F8" w14:textId="37B06684" w:rsidR="00C5760D" w:rsidRPr="00195777" w:rsidRDefault="00C5760D" w:rsidP="00195777">
      <w:pPr>
        <w:pStyle w:val="a8"/>
        <w:numPr>
          <w:ilvl w:val="0"/>
          <w:numId w:val="59"/>
        </w:numPr>
        <w:spacing w:beforeLines="0" w:before="0"/>
        <w:ind w:firstLineChars="0"/>
        <w:rPr>
          <w:sz w:val="14"/>
          <w:szCs w:val="14"/>
        </w:rPr>
      </w:pPr>
      <w:r w:rsidRPr="00195777">
        <w:rPr>
          <w:b/>
          <w:bCs/>
          <w:sz w:val="14"/>
          <w:szCs w:val="14"/>
        </w:rPr>
        <w:t>RRC U</w:t>
      </w:r>
      <w:r w:rsidRPr="00195777">
        <w:rPr>
          <w:sz w:val="14"/>
          <w:szCs w:val="14"/>
        </w:rPr>
        <w:t>: symbols corresponding to a higher-layer configured SRS, or PUCCH, or PUSCH, or PRACH on semi SFI F of the same cell</w:t>
      </w:r>
    </w:p>
    <w:p w14:paraId="620C6037" w14:textId="77777777" w:rsidR="00C5760D" w:rsidRPr="00195777" w:rsidRDefault="00C5760D" w:rsidP="00195777">
      <w:pPr>
        <w:pStyle w:val="a8"/>
        <w:numPr>
          <w:ilvl w:val="0"/>
          <w:numId w:val="59"/>
        </w:numPr>
        <w:spacing w:beforeLines="0" w:before="0"/>
        <w:ind w:firstLineChars="0"/>
        <w:rPr>
          <w:sz w:val="14"/>
          <w:szCs w:val="14"/>
        </w:rPr>
      </w:pPr>
      <w:r w:rsidRPr="00195777">
        <w:rPr>
          <w:b/>
          <w:bCs/>
          <w:sz w:val="14"/>
          <w:szCs w:val="14"/>
        </w:rPr>
        <w:t>Dynamic D and U</w:t>
      </w:r>
      <w:r w:rsidRPr="00195777">
        <w:rPr>
          <w:sz w:val="14"/>
          <w:szCs w:val="14"/>
        </w:rPr>
        <w:t>: symbols scheduled as D and U by DCI formats other than DCI format 2_0 on semi SFI F of the same cell</w:t>
      </w:r>
    </w:p>
    <w:p w14:paraId="715AAA48" w14:textId="77777777" w:rsidR="00E0424E" w:rsidRDefault="00E0424E" w:rsidP="00195777">
      <w:pPr>
        <w:spacing w:before="93"/>
        <w:jc w:val="center"/>
      </w:pPr>
    </w:p>
    <w:p w14:paraId="3E950C4D" w14:textId="16835521" w:rsidR="00804999" w:rsidRDefault="00804999" w:rsidP="00804999">
      <w:pPr>
        <w:spacing w:before="93"/>
      </w:pPr>
      <w:r>
        <w:t xml:space="preserve">In terms of </w:t>
      </w:r>
      <w:r w:rsidR="00EC1681">
        <w:t xml:space="preserve">cross-link </w:t>
      </w:r>
      <w:r>
        <w:t>interference</w:t>
      </w:r>
      <w:r w:rsidR="00EC1681">
        <w:t xml:space="preserve"> management</w:t>
      </w:r>
      <w:r>
        <w:t xml:space="preserve">, there is no fundamental difference for SBFD operation across carriers compared to SBFD operation within a carrier. The interference types are illustrated in </w:t>
      </w:r>
      <w:r>
        <w:fldChar w:fldCharType="begin"/>
      </w:r>
      <w:r>
        <w:instrText xml:space="preserve"> REF _Ref110087121 \h </w:instrText>
      </w:r>
      <w:r>
        <w:fldChar w:fldCharType="separate"/>
      </w:r>
      <w:r>
        <w:t xml:space="preserve">Fig. </w:t>
      </w:r>
      <w:r>
        <w:rPr>
          <w:noProof/>
        </w:rPr>
        <w:t>2</w:t>
      </w:r>
      <w:r>
        <w:fldChar w:fldCharType="end"/>
      </w:r>
      <w:r>
        <w:t>. The potential solutions to mitigate the gNB-gNB interference and UE-UE interference are common for SBFD operation within a carrier and across carriers.</w:t>
      </w:r>
    </w:p>
    <w:p w14:paraId="3E43816B" w14:textId="77777777" w:rsidR="00E0424E" w:rsidRDefault="00E0424E" w:rsidP="00804999">
      <w:pPr>
        <w:spacing w:before="93"/>
        <w:jc w:val="center"/>
      </w:pPr>
    </w:p>
    <w:p w14:paraId="7705B446" w14:textId="77777777" w:rsidR="00804999" w:rsidRDefault="00804999" w:rsidP="00804999">
      <w:pPr>
        <w:spacing w:before="93"/>
        <w:jc w:val="center"/>
      </w:pPr>
      <w:r>
        <w:rPr>
          <w:noProof/>
        </w:rPr>
        <w:drawing>
          <wp:inline distT="0" distB="0" distL="0" distR="0" wp14:anchorId="613B7C65" wp14:editId="7D3FE113">
            <wp:extent cx="5950800" cy="1432800"/>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t="6219"/>
                    <a:stretch/>
                  </pic:blipFill>
                  <pic:spPr bwMode="auto">
                    <a:xfrm>
                      <a:off x="0" y="0"/>
                      <a:ext cx="5950800" cy="1432800"/>
                    </a:xfrm>
                    <a:prstGeom prst="rect">
                      <a:avLst/>
                    </a:prstGeom>
                    <a:noFill/>
                    <a:ln>
                      <a:noFill/>
                    </a:ln>
                    <a:extLst>
                      <a:ext uri="{53640926-AAD7-44D8-BBD7-CCE9431645EC}">
                        <a14:shadowObscured xmlns:a14="http://schemas.microsoft.com/office/drawing/2010/main"/>
                      </a:ext>
                    </a:extLst>
                  </pic:spPr>
                </pic:pic>
              </a:graphicData>
            </a:graphic>
          </wp:inline>
        </w:drawing>
      </w:r>
    </w:p>
    <w:p w14:paraId="30E1CB28" w14:textId="77777777" w:rsidR="00804999" w:rsidRDefault="00804999" w:rsidP="00804999">
      <w:pPr>
        <w:pStyle w:val="ae"/>
        <w:spacing w:before="93"/>
        <w:rPr>
          <w:b w:val="0"/>
        </w:rPr>
      </w:pPr>
      <w:bookmarkStart w:id="3" w:name="_Ref110087121"/>
      <w:r w:rsidRPr="00C37790">
        <w:rPr>
          <w:b w:val="0"/>
        </w:rPr>
        <w:t xml:space="preserve">Fig. </w:t>
      </w:r>
      <w:bookmarkEnd w:id="3"/>
      <w:r>
        <w:rPr>
          <w:b w:val="0"/>
        </w:rPr>
        <w:t>2</w:t>
      </w:r>
      <w:r w:rsidRPr="00C37790">
        <w:rPr>
          <w:b w:val="0"/>
        </w:rPr>
        <w:t xml:space="preserve"> Interference types for intra-band TDD CA with different TDD configurations</w:t>
      </w:r>
      <w:r>
        <w:rPr>
          <w:b w:val="0"/>
        </w:rPr>
        <w:t>.</w:t>
      </w:r>
    </w:p>
    <w:p w14:paraId="3541A4BA" w14:textId="6938BA29" w:rsidR="00891ABD" w:rsidRDefault="00891ABD" w:rsidP="00891ABD">
      <w:pPr>
        <w:spacing w:before="93"/>
      </w:pPr>
      <w:r>
        <w:rPr>
          <w:rFonts w:hint="eastAsia"/>
        </w:rPr>
        <w:lastRenderedPageBreak/>
        <w:t>O</w:t>
      </w:r>
      <w:r>
        <w:t xml:space="preserve">verall, the support of </w:t>
      </w:r>
      <w:r w:rsidRPr="00165A55">
        <w:t>SBFD operation across carriers</w:t>
      </w:r>
      <w:r>
        <w:t xml:space="preserve"> require less specific standardization effort compared to the support of SBFD operation within a carrier. What </w:t>
      </w:r>
      <w:r w:rsidR="00532B80">
        <w:t>is</w:t>
      </w:r>
      <w:r>
        <w:t xml:space="preserve"> required is to apply the similar collision handling rule from single carrier to carrier aggregation.</w:t>
      </w:r>
    </w:p>
    <w:p w14:paraId="27A42FAE" w14:textId="404AB633" w:rsidR="00103A23" w:rsidRDefault="005F1D58" w:rsidP="005F1D58">
      <w:pPr>
        <w:spacing w:before="93"/>
        <w:rPr>
          <w:i/>
        </w:rPr>
      </w:pPr>
      <w:r w:rsidRPr="007D1D89">
        <w:rPr>
          <w:b/>
          <w:i/>
        </w:rPr>
        <w:t>Observation 1:</w:t>
      </w:r>
      <w:r w:rsidRPr="007D1D89">
        <w:rPr>
          <w:i/>
        </w:rPr>
        <w:t xml:space="preserve"> SBFD operation across carriers require </w:t>
      </w:r>
      <w:r w:rsidR="00103A23">
        <w:rPr>
          <w:i/>
        </w:rPr>
        <w:t xml:space="preserve">less </w:t>
      </w:r>
      <w:r>
        <w:rPr>
          <w:i/>
        </w:rPr>
        <w:t xml:space="preserve">specific </w:t>
      </w:r>
      <w:r w:rsidR="00103A23">
        <w:rPr>
          <w:i/>
        </w:rPr>
        <w:t>standardization effort compared to the support of SBFD operation within a carrier.</w:t>
      </w:r>
    </w:p>
    <w:p w14:paraId="4748371F" w14:textId="72D19CEC" w:rsidR="00103A23" w:rsidRPr="00195777" w:rsidRDefault="00103A23" w:rsidP="00195777">
      <w:pPr>
        <w:pStyle w:val="a8"/>
        <w:numPr>
          <w:ilvl w:val="0"/>
          <w:numId w:val="50"/>
        </w:numPr>
        <w:spacing w:before="93"/>
        <w:ind w:firstLineChars="0"/>
        <w:rPr>
          <w:i/>
        </w:rPr>
      </w:pPr>
      <w:r>
        <w:rPr>
          <w:rFonts w:hint="eastAsia"/>
          <w:i/>
        </w:rPr>
        <w:t>T</w:t>
      </w:r>
      <w:r>
        <w:rPr>
          <w:i/>
        </w:rPr>
        <w:t>he potential spec impact is</w:t>
      </w:r>
      <w:r w:rsidR="001B0A36">
        <w:rPr>
          <w:i/>
        </w:rPr>
        <w:t xml:space="preserve"> that the</w:t>
      </w:r>
      <w:r>
        <w:rPr>
          <w:i/>
        </w:rPr>
        <w:t xml:space="preserve"> collision handling rule</w:t>
      </w:r>
      <w:r w:rsidR="001B0A36">
        <w:rPr>
          <w:i/>
        </w:rPr>
        <w:t>s</w:t>
      </w:r>
      <w:r>
        <w:rPr>
          <w:i/>
        </w:rPr>
        <w:t xml:space="preserve"> for Rel-16</w:t>
      </w:r>
      <w:r w:rsidR="0038206E">
        <w:rPr>
          <w:i/>
        </w:rPr>
        <w:t xml:space="preserve"> half-duplex CA</w:t>
      </w:r>
      <w:r>
        <w:rPr>
          <w:i/>
        </w:rPr>
        <w:t xml:space="preserve"> need</w:t>
      </w:r>
      <w:r w:rsidR="0038206E">
        <w:rPr>
          <w:i/>
        </w:rPr>
        <w:t>s</w:t>
      </w:r>
      <w:r>
        <w:rPr>
          <w:i/>
        </w:rPr>
        <w:t xml:space="preserve"> to be updated for SBFD operation across carriers, as listed in Table 1.</w:t>
      </w:r>
    </w:p>
    <w:p w14:paraId="7B093FBD" w14:textId="6EE737D5" w:rsidR="004304CB" w:rsidRPr="00662846" w:rsidRDefault="005F1D58" w:rsidP="00662846">
      <w:pPr>
        <w:spacing w:before="93"/>
        <w:rPr>
          <w:i/>
        </w:rPr>
      </w:pPr>
      <w:r w:rsidRPr="007462EC">
        <w:rPr>
          <w:b/>
          <w:i/>
        </w:rPr>
        <w:t>Proposal</w:t>
      </w:r>
      <w:r>
        <w:rPr>
          <w:b/>
          <w:i/>
        </w:rPr>
        <w:t xml:space="preserve"> 1</w:t>
      </w:r>
      <w:r w:rsidRPr="007462EC">
        <w:rPr>
          <w:b/>
          <w:i/>
        </w:rPr>
        <w:t>:</w:t>
      </w:r>
      <w:r>
        <w:rPr>
          <w:i/>
        </w:rPr>
        <w:t xml:space="preserve"> </w:t>
      </w:r>
      <w:r w:rsidR="002C71AF">
        <w:rPr>
          <w:i/>
        </w:rPr>
        <w:t xml:space="preserve">SBFD operation across carriers </w:t>
      </w:r>
      <w:r w:rsidR="003C1979">
        <w:rPr>
          <w:i/>
        </w:rPr>
        <w:t>is</w:t>
      </w:r>
      <w:r w:rsidR="002C71AF">
        <w:rPr>
          <w:i/>
        </w:rPr>
        <w:t xml:space="preserve"> supported by enhancing the UE</w:t>
      </w:r>
      <w:r w:rsidR="00D73974">
        <w:rPr>
          <w:i/>
        </w:rPr>
        <w:t xml:space="preserve"> collision handling for intra </w:t>
      </w:r>
      <w:r w:rsidR="00D73974" w:rsidRPr="00D73974">
        <w:rPr>
          <w:i/>
        </w:rPr>
        <w:t>intra-band TDD CA with different TDD configurations</w:t>
      </w:r>
      <w:r>
        <w:rPr>
          <w:i/>
        </w:rPr>
        <w:t>.</w:t>
      </w:r>
    </w:p>
    <w:p w14:paraId="08B53192" w14:textId="77777777" w:rsidR="00EC624A" w:rsidRPr="00EC624A" w:rsidRDefault="00EC624A" w:rsidP="00891ABD">
      <w:pPr>
        <w:spacing w:before="93"/>
        <w:rPr>
          <w:lang w:eastAsia="en-US"/>
        </w:rPr>
      </w:pPr>
    </w:p>
    <w:p w14:paraId="247FBD01" w14:textId="1F21BA04" w:rsidR="004D7118" w:rsidRPr="0040782E" w:rsidRDefault="004D7118" w:rsidP="004D7118">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hint="eastAsia"/>
          <w:b/>
          <w:bCs/>
          <w:kern w:val="0"/>
          <w:sz w:val="28"/>
          <w:szCs w:val="28"/>
        </w:rPr>
        <w:t>S</w:t>
      </w:r>
      <w:r>
        <w:rPr>
          <w:rFonts w:eastAsia="宋体" w:cs="Times New Roman"/>
          <w:b/>
          <w:bCs/>
          <w:kern w:val="0"/>
          <w:sz w:val="28"/>
          <w:szCs w:val="28"/>
        </w:rPr>
        <w:t>BFD operation within a carrier</w:t>
      </w:r>
    </w:p>
    <w:p w14:paraId="37A743FC" w14:textId="6684F32A" w:rsidR="009C5E8E" w:rsidRPr="0040782E" w:rsidRDefault="000A21BA" w:rsidP="009C5E8E">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Dynamic SBFD operation</w:t>
      </w:r>
    </w:p>
    <w:p w14:paraId="38DC43CB" w14:textId="772E9616" w:rsidR="00647CC1" w:rsidRDefault="00647CC1" w:rsidP="00647CC1">
      <w:pPr>
        <w:spacing w:before="93"/>
        <w:rPr>
          <w:szCs w:val="20"/>
        </w:rPr>
      </w:pPr>
      <w:r>
        <w:rPr>
          <w:rFonts w:eastAsia="微软雅黑"/>
        </w:rPr>
        <w:t xml:space="preserve">In our </w:t>
      </w:r>
      <w:r w:rsidR="008228C3">
        <w:rPr>
          <w:rFonts w:eastAsia="微软雅黑"/>
        </w:rPr>
        <w:t>understanding</w:t>
      </w:r>
      <w:r>
        <w:rPr>
          <w:rFonts w:eastAsia="微软雅黑"/>
        </w:rPr>
        <w:t xml:space="preserve">, </w:t>
      </w:r>
      <w:r>
        <w:rPr>
          <w:szCs w:val="20"/>
        </w:rPr>
        <w:t>dynamic SBFD operation at least ha</w:t>
      </w:r>
      <w:r w:rsidR="00A94128">
        <w:rPr>
          <w:szCs w:val="20"/>
        </w:rPr>
        <w:t>s</w:t>
      </w:r>
      <w:r>
        <w:rPr>
          <w:szCs w:val="20"/>
        </w:rPr>
        <w:t xml:space="preserve"> the following benefits:</w:t>
      </w:r>
    </w:p>
    <w:p w14:paraId="752189ED" w14:textId="1F2DAEBF" w:rsidR="00647CC1" w:rsidRPr="00C0314C" w:rsidRDefault="00FD6614" w:rsidP="00647CC1">
      <w:pPr>
        <w:pStyle w:val="a8"/>
        <w:numPr>
          <w:ilvl w:val="0"/>
          <w:numId w:val="22"/>
        </w:numPr>
        <w:spacing w:before="93"/>
        <w:ind w:firstLineChars="0"/>
        <w:rPr>
          <w:szCs w:val="20"/>
        </w:rPr>
      </w:pPr>
      <w:r>
        <w:rPr>
          <w:szCs w:val="20"/>
        </w:rPr>
        <w:t>Dynamic SBFD</w:t>
      </w:r>
      <w:r w:rsidR="00647CC1" w:rsidRPr="004F427D">
        <w:rPr>
          <w:szCs w:val="20"/>
        </w:rPr>
        <w:t xml:space="preserve"> offers </w:t>
      </w:r>
      <w:r w:rsidR="009B7478">
        <w:rPr>
          <w:szCs w:val="20"/>
        </w:rPr>
        <w:t>better</w:t>
      </w:r>
      <w:r w:rsidR="00647CC1" w:rsidRPr="004F427D">
        <w:rPr>
          <w:szCs w:val="20"/>
        </w:rPr>
        <w:t xml:space="preserve"> flexibility in utilizing </w:t>
      </w:r>
      <w:r w:rsidR="009B7478">
        <w:rPr>
          <w:szCs w:val="20"/>
        </w:rPr>
        <w:t xml:space="preserve">the </w:t>
      </w:r>
      <w:r w:rsidR="00647CC1" w:rsidRPr="004F427D">
        <w:rPr>
          <w:szCs w:val="20"/>
        </w:rPr>
        <w:t>frequency-domain resources. Depending on the UL/DL traffic</w:t>
      </w:r>
      <w:r w:rsidR="009B7478">
        <w:rPr>
          <w:szCs w:val="20"/>
        </w:rPr>
        <w:t xml:space="preserve"> ratio</w:t>
      </w:r>
      <w:r w:rsidR="00647CC1" w:rsidRPr="004F427D">
        <w:rPr>
          <w:szCs w:val="20"/>
        </w:rPr>
        <w:t xml:space="preserve">, </w:t>
      </w:r>
      <w:r w:rsidR="00647CC1">
        <w:rPr>
          <w:szCs w:val="20"/>
        </w:rPr>
        <w:t xml:space="preserve">the </w:t>
      </w:r>
      <w:r w:rsidR="00647CC1" w:rsidRPr="004F427D">
        <w:rPr>
          <w:szCs w:val="20"/>
        </w:rPr>
        <w:t xml:space="preserve">gNB can allocate either partial or </w:t>
      </w:r>
      <w:r w:rsidR="00647CC1">
        <w:rPr>
          <w:szCs w:val="20"/>
        </w:rPr>
        <w:t>full</w:t>
      </w:r>
      <w:r w:rsidR="00647CC1" w:rsidRPr="004F427D">
        <w:rPr>
          <w:szCs w:val="20"/>
        </w:rPr>
        <w:t xml:space="preserve"> frequency-domain resources in either the UL or DL subbands for UL or DL tra</w:t>
      </w:r>
      <w:r w:rsidR="00647CC1" w:rsidRPr="00C0314C">
        <w:rPr>
          <w:szCs w:val="20"/>
        </w:rPr>
        <w:t>nsmissions, respectively.</w:t>
      </w:r>
      <w:r w:rsidR="009B7478">
        <w:rPr>
          <w:szCs w:val="20"/>
        </w:rPr>
        <w:t xml:space="preserve"> </w:t>
      </w:r>
      <w:r w:rsidR="005A0294">
        <w:rPr>
          <w:szCs w:val="20"/>
        </w:rPr>
        <w:t xml:space="preserve">Compared to dynamic TDD, </w:t>
      </w:r>
      <w:r w:rsidR="00B6476F">
        <w:rPr>
          <w:szCs w:val="20"/>
        </w:rPr>
        <w:t xml:space="preserve">dynamic SBFD allows simultaneous DL and UL which can </w:t>
      </w:r>
      <w:r w:rsidR="00C401AC">
        <w:rPr>
          <w:szCs w:val="20"/>
        </w:rPr>
        <w:t xml:space="preserve">potentially </w:t>
      </w:r>
      <w:r w:rsidR="00B6476F">
        <w:rPr>
          <w:szCs w:val="20"/>
        </w:rPr>
        <w:t xml:space="preserve">reduce </w:t>
      </w:r>
      <w:r w:rsidR="00C401AC">
        <w:rPr>
          <w:szCs w:val="20"/>
        </w:rPr>
        <w:t xml:space="preserve">the </w:t>
      </w:r>
      <w:r w:rsidR="00B6476F">
        <w:rPr>
          <w:szCs w:val="20"/>
        </w:rPr>
        <w:t>packet latency</w:t>
      </w:r>
      <w:r w:rsidR="00C401AC">
        <w:rPr>
          <w:szCs w:val="20"/>
        </w:rPr>
        <w:t>. One may anticipate that performance benefit may depend on traffic load and whether the co-channel CLI can be handled properly.</w:t>
      </w:r>
    </w:p>
    <w:p w14:paraId="449557E9" w14:textId="751518AB" w:rsidR="00647CC1" w:rsidRDefault="001D0FA5" w:rsidP="00647CC1">
      <w:pPr>
        <w:pStyle w:val="a8"/>
        <w:numPr>
          <w:ilvl w:val="0"/>
          <w:numId w:val="22"/>
        </w:numPr>
        <w:spacing w:before="93"/>
        <w:ind w:firstLineChars="0"/>
        <w:rPr>
          <w:szCs w:val="20"/>
        </w:rPr>
      </w:pPr>
      <w:r>
        <w:rPr>
          <w:szCs w:val="20"/>
        </w:rPr>
        <w:t>Allowing</w:t>
      </w:r>
      <w:r w:rsidR="00647CC1" w:rsidRPr="00D467FD">
        <w:rPr>
          <w:szCs w:val="20"/>
        </w:rPr>
        <w:t xml:space="preserve"> UL and DL transmissions outside of </w:t>
      </w:r>
      <w:r w:rsidR="00D605FF">
        <w:rPr>
          <w:szCs w:val="20"/>
        </w:rPr>
        <w:t xml:space="preserve">UL and DL </w:t>
      </w:r>
      <w:r w:rsidR="00647CC1" w:rsidRPr="00D467FD">
        <w:rPr>
          <w:szCs w:val="20"/>
        </w:rPr>
        <w:t>subbands</w:t>
      </w:r>
      <w:r w:rsidR="00D605FF">
        <w:rPr>
          <w:szCs w:val="20"/>
        </w:rPr>
        <w:t xml:space="preserve"> provides </w:t>
      </w:r>
      <w:r w:rsidR="00647CC1">
        <w:rPr>
          <w:szCs w:val="20"/>
        </w:rPr>
        <w:t xml:space="preserve">forward </w:t>
      </w:r>
      <w:r w:rsidR="00647CC1" w:rsidRPr="00D467FD">
        <w:rPr>
          <w:szCs w:val="20"/>
        </w:rPr>
        <w:t>compatibility with subband overlapping full-duplex systems.</w:t>
      </w:r>
      <w:r>
        <w:rPr>
          <w:szCs w:val="20"/>
        </w:rPr>
        <w:t xml:space="preserve"> </w:t>
      </w:r>
    </w:p>
    <w:p w14:paraId="23B1342F" w14:textId="5C20A9EB" w:rsidR="004F427D" w:rsidRDefault="00647CC1" w:rsidP="00195777">
      <w:pPr>
        <w:widowControl/>
        <w:autoSpaceDE w:val="0"/>
        <w:autoSpaceDN w:val="0"/>
        <w:spacing w:before="93" w:after="93" w:line="240" w:lineRule="auto"/>
        <w:rPr>
          <w:szCs w:val="20"/>
        </w:rPr>
      </w:pPr>
      <w:r>
        <w:rPr>
          <w:szCs w:val="20"/>
        </w:rPr>
        <w:t xml:space="preserve">In RAN1#112bis-e, </w:t>
      </w:r>
      <w:r w:rsidR="00167605">
        <w:rPr>
          <w:szCs w:val="20"/>
        </w:rPr>
        <w:t xml:space="preserve">the signaling </w:t>
      </w:r>
      <w:r w:rsidR="002A78CB">
        <w:rPr>
          <w:szCs w:val="20"/>
        </w:rPr>
        <w:t xml:space="preserve">design </w:t>
      </w:r>
      <w:r w:rsidR="00167605">
        <w:rPr>
          <w:szCs w:val="20"/>
        </w:rPr>
        <w:t xml:space="preserve">to enable </w:t>
      </w:r>
      <w:r>
        <w:rPr>
          <w:szCs w:val="20"/>
        </w:rPr>
        <w:t>dynamic SBFD was discussed</w:t>
      </w:r>
      <w:r w:rsidR="00E40DC9">
        <w:rPr>
          <w:szCs w:val="20"/>
        </w:rPr>
        <w:t xml:space="preserve"> and</w:t>
      </w:r>
      <w:r>
        <w:rPr>
          <w:szCs w:val="20"/>
        </w:rPr>
        <w:t xml:space="preserve"> </w:t>
      </w:r>
      <w:r w:rsidR="00E40DC9">
        <w:rPr>
          <w:szCs w:val="20"/>
        </w:rPr>
        <w:t>t</w:t>
      </w:r>
      <w:r w:rsidR="00F0466F">
        <w:rPr>
          <w:szCs w:val="20"/>
        </w:rPr>
        <w:t>he</w:t>
      </w:r>
      <w:r w:rsidR="006309E0">
        <w:rPr>
          <w:szCs w:val="20"/>
        </w:rPr>
        <w:t xml:space="preserve"> following options </w:t>
      </w:r>
      <w:r w:rsidR="00E40DC9">
        <w:rPr>
          <w:szCs w:val="20"/>
        </w:rPr>
        <w:t>are proposed</w:t>
      </w:r>
      <w:r w:rsidR="00F75212">
        <w:rPr>
          <w:szCs w:val="20"/>
        </w:rPr>
        <w:t>.</w:t>
      </w:r>
      <w:r w:rsidR="00BD5CC1">
        <w:rPr>
          <w:szCs w:val="20"/>
        </w:rPr>
        <w:t xml:space="preserve"> </w:t>
      </w:r>
      <w:r w:rsidR="00FD79AF">
        <w:rPr>
          <w:szCs w:val="20"/>
        </w:rPr>
        <w:t xml:space="preserve">Companies have different views on the pros and cons of the three options. </w:t>
      </w:r>
      <w:r w:rsidR="00CE0F58">
        <w:rPr>
          <w:szCs w:val="20"/>
        </w:rPr>
        <w:t>In the following, w</w:t>
      </w:r>
      <w:r w:rsidR="00FD79AF">
        <w:rPr>
          <w:szCs w:val="20"/>
        </w:rPr>
        <w:t xml:space="preserve">e </w:t>
      </w:r>
      <w:r w:rsidR="00CE0F58">
        <w:rPr>
          <w:szCs w:val="20"/>
        </w:rPr>
        <w:t>provide some further discussion.</w:t>
      </w:r>
    </w:p>
    <w:tbl>
      <w:tblPr>
        <w:tblStyle w:val="a7"/>
        <w:tblW w:w="0" w:type="auto"/>
        <w:tblLook w:val="04A0" w:firstRow="1" w:lastRow="0" w:firstColumn="1" w:lastColumn="0" w:noHBand="0" w:noVBand="1"/>
      </w:tblPr>
      <w:tblGrid>
        <w:gridCol w:w="9305"/>
      </w:tblGrid>
      <w:tr w:rsidR="006D74A3" w:rsidRPr="00F0466F" w14:paraId="05679EC5" w14:textId="77777777" w:rsidTr="006D74A3">
        <w:tc>
          <w:tcPr>
            <w:tcW w:w="9305" w:type="dxa"/>
          </w:tcPr>
          <w:p w14:paraId="10853DDF" w14:textId="77777777" w:rsidR="00F0466F" w:rsidRPr="00E92361" w:rsidRDefault="00F0466F" w:rsidP="00195777">
            <w:pPr>
              <w:spacing w:before="93" w:line="240" w:lineRule="auto"/>
              <w:rPr>
                <w:b/>
                <w:bCs/>
                <w:sz w:val="20"/>
              </w:rPr>
            </w:pPr>
            <w:r w:rsidRPr="00195777">
              <w:rPr>
                <w:b/>
                <w:bCs/>
                <w:sz w:val="20"/>
                <w:highlight w:val="yellow"/>
              </w:rPr>
              <w:t>Proposed Agreement:</w:t>
            </w:r>
          </w:p>
          <w:p w14:paraId="62A34B9B" w14:textId="77777777" w:rsidR="00F0466F" w:rsidRPr="006F2BDD" w:rsidRDefault="00F0466F" w:rsidP="00195777">
            <w:pPr>
              <w:spacing w:before="93" w:line="240" w:lineRule="auto"/>
              <w:rPr>
                <w:sz w:val="20"/>
              </w:rPr>
            </w:pPr>
            <w:r w:rsidRPr="009B7376">
              <w:rPr>
                <w:sz w:val="20"/>
              </w:rPr>
              <w:t xml:space="preserve">Study </w:t>
            </w:r>
            <w:r w:rsidRPr="009B7376">
              <w:rPr>
                <w:color w:val="FF0000"/>
                <w:sz w:val="20"/>
              </w:rPr>
              <w:t>at least</w:t>
            </w:r>
            <w:r w:rsidRPr="006F2BDD">
              <w:rPr>
                <w:sz w:val="20"/>
              </w:rPr>
              <w:t xml:space="preserve"> the following options for dynamic SBFD.</w:t>
            </w:r>
          </w:p>
          <w:p w14:paraId="2D9870F8" w14:textId="35DD33DA" w:rsidR="00F0466F" w:rsidRPr="006F2BDD" w:rsidRDefault="00F0466F" w:rsidP="00195777">
            <w:pPr>
              <w:pStyle w:val="a8"/>
              <w:numPr>
                <w:ilvl w:val="0"/>
                <w:numId w:val="50"/>
              </w:numPr>
              <w:spacing w:before="93" w:line="240" w:lineRule="auto"/>
              <w:ind w:firstLineChars="0"/>
              <w:rPr>
                <w:sz w:val="20"/>
              </w:rPr>
            </w:pPr>
            <w:r w:rsidRPr="006F2BDD">
              <w:rPr>
                <w:sz w:val="20"/>
              </w:rPr>
              <w:t xml:space="preserve">Option 1: </w:t>
            </w:r>
            <w:bookmarkStart w:id="4" w:name="_Hlk134793496"/>
            <w:r w:rsidRPr="006F2BDD">
              <w:rPr>
                <w:sz w:val="20"/>
              </w:rPr>
              <w:t xml:space="preserve">Dynamic SBFD is achieved by </w:t>
            </w:r>
            <w:r w:rsidRPr="006F2BDD">
              <w:rPr>
                <w:color w:val="FF0000"/>
                <w:sz w:val="20"/>
              </w:rPr>
              <w:t>scheduling DCI which is used to indicate whether the RBs in</w:t>
            </w:r>
            <w:r w:rsidRPr="006F2BDD">
              <w:rPr>
                <w:sz w:val="20"/>
              </w:rPr>
              <w:t xml:space="preserve"> flexible subband </w:t>
            </w:r>
            <w:r w:rsidRPr="006F2BDD">
              <w:rPr>
                <w:strike/>
                <w:color w:val="FF0000"/>
                <w:sz w:val="20"/>
              </w:rPr>
              <w:t>where RBs in flexible subband</w:t>
            </w:r>
            <w:r w:rsidRPr="006F2BDD">
              <w:rPr>
                <w:rFonts w:ascii="Cambria" w:hAnsi="Cambria"/>
                <w:strike/>
                <w:color w:val="FF0000"/>
                <w:sz w:val="20"/>
                <w:lang w:eastAsia="en-US"/>
              </w:rPr>
              <w:t xml:space="preserve"> </w:t>
            </w:r>
            <w:r w:rsidRPr="006F2BDD">
              <w:rPr>
                <w:strike/>
                <w:color w:val="FF0000"/>
                <w:sz w:val="20"/>
              </w:rPr>
              <w:t>can be dynamically</w:t>
            </w:r>
            <w:r w:rsidRPr="006F2BDD">
              <w:rPr>
                <w:color w:val="FF0000"/>
                <w:sz w:val="20"/>
              </w:rPr>
              <w:t xml:space="preserve"> are</w:t>
            </w:r>
            <w:r w:rsidRPr="006F2BDD">
              <w:rPr>
                <w:sz w:val="20"/>
              </w:rPr>
              <w:t xml:space="preserve"> used for UL transmission </w:t>
            </w:r>
            <w:r w:rsidRPr="006F2BDD">
              <w:rPr>
                <w:strike/>
                <w:color w:val="00B0F0"/>
                <w:sz w:val="20"/>
              </w:rPr>
              <w:t xml:space="preserve">and </w:t>
            </w:r>
            <w:r w:rsidRPr="006F2BDD">
              <w:rPr>
                <w:color w:val="00B0F0"/>
                <w:sz w:val="20"/>
              </w:rPr>
              <w:t>or</w:t>
            </w:r>
            <w:r w:rsidRPr="006F2BDD">
              <w:rPr>
                <w:sz w:val="20"/>
              </w:rPr>
              <w:t xml:space="preserve"> DL transmission. </w:t>
            </w:r>
            <w:bookmarkEnd w:id="4"/>
          </w:p>
          <w:p w14:paraId="4C32B701" w14:textId="77777777" w:rsidR="00F0466F" w:rsidRPr="006F2BDD" w:rsidRDefault="00F0466F" w:rsidP="00195777">
            <w:pPr>
              <w:pStyle w:val="23"/>
              <w:numPr>
                <w:ilvl w:val="1"/>
                <w:numId w:val="60"/>
              </w:numPr>
              <w:suppressAutoHyphens w:val="0"/>
              <w:adjustRightInd w:val="0"/>
              <w:snapToGrid w:val="0"/>
              <w:spacing w:beforeLines="30" w:before="93" w:after="0"/>
              <w:jc w:val="both"/>
              <w:rPr>
                <w:rFonts w:ascii="Times New Roman" w:hAnsi="Times New Roman" w:cs="Times New Roman"/>
                <w:lang w:eastAsia="zh-CN"/>
              </w:rPr>
            </w:pPr>
            <w:r w:rsidRPr="006F2BDD">
              <w:rPr>
                <w:rFonts w:ascii="Times New Roman" w:hAnsi="Times New Roman" w:cs="Times New Roman"/>
                <w:lang w:eastAsia="zh-CN"/>
              </w:rPr>
              <w:t>FFS definition of flexible subband</w:t>
            </w:r>
            <w:r w:rsidRPr="006F2BDD">
              <w:rPr>
                <w:rFonts w:ascii="Times New Roman" w:hAnsi="Times New Roman" w:cs="Times New Roman"/>
                <w:color w:val="FF0000"/>
                <w:lang w:eastAsia="zh-CN"/>
              </w:rPr>
              <w:t>, e.g. flexible subband is defined as 1 RB or a set of consecutive flexible RBs, which can be used for UL transmission, DL transmission, and guard band</w:t>
            </w:r>
            <w:r w:rsidRPr="006F2BDD">
              <w:rPr>
                <w:rFonts w:ascii="Times New Roman" w:hAnsi="Times New Roman" w:cs="Times New Roman"/>
                <w:lang w:eastAsia="zh-CN"/>
              </w:rPr>
              <w:t xml:space="preserve"> </w:t>
            </w:r>
          </w:p>
          <w:p w14:paraId="50A38431" w14:textId="77777777" w:rsidR="00F0466F" w:rsidRPr="006F2BDD" w:rsidRDefault="00F0466F" w:rsidP="00195777">
            <w:pPr>
              <w:pStyle w:val="23"/>
              <w:numPr>
                <w:ilvl w:val="1"/>
                <w:numId w:val="60"/>
              </w:numPr>
              <w:suppressAutoHyphens w:val="0"/>
              <w:adjustRightInd w:val="0"/>
              <w:snapToGrid w:val="0"/>
              <w:spacing w:beforeLines="30" w:before="93" w:after="0"/>
              <w:jc w:val="both"/>
              <w:rPr>
                <w:rFonts w:ascii="Times New Roman" w:hAnsi="Times New Roman" w:cs="Times New Roman"/>
                <w:color w:val="00B0F0"/>
                <w:lang w:eastAsia="zh-CN"/>
              </w:rPr>
            </w:pPr>
            <w:r w:rsidRPr="006F2BDD">
              <w:rPr>
                <w:rFonts w:ascii="Times New Roman" w:hAnsi="Times New Roman" w:cs="Times New Roman"/>
                <w:color w:val="00B0F0"/>
                <w:lang w:eastAsia="zh-CN"/>
              </w:rPr>
              <w:t>FFS benefit of introducing flexible subband in addition to UL/DL subbands</w:t>
            </w:r>
          </w:p>
          <w:p w14:paraId="2C133C0B" w14:textId="0D6D41FD" w:rsidR="00F0466F" w:rsidRPr="006F2BDD" w:rsidRDefault="00F0466F" w:rsidP="00195777">
            <w:pPr>
              <w:pStyle w:val="a8"/>
              <w:numPr>
                <w:ilvl w:val="0"/>
                <w:numId w:val="50"/>
              </w:numPr>
              <w:spacing w:before="93" w:line="240" w:lineRule="auto"/>
              <w:ind w:firstLineChars="0"/>
              <w:rPr>
                <w:sz w:val="20"/>
              </w:rPr>
            </w:pPr>
            <w:r w:rsidRPr="006F2BDD">
              <w:rPr>
                <w:sz w:val="20"/>
              </w:rPr>
              <w:t>Option 2: Dynamic SBFD is achieved by scheduling DCI which is used to determine whether DL receptions outside</w:t>
            </w:r>
            <w:r w:rsidRPr="006F2BDD">
              <w:rPr>
                <w:rFonts w:ascii="Cambria" w:hAnsi="Cambria"/>
                <w:sz w:val="20"/>
                <w:lang w:eastAsia="en-US"/>
              </w:rPr>
              <w:t xml:space="preserve"> </w:t>
            </w:r>
            <w:r w:rsidRPr="006F2BDD">
              <w:rPr>
                <w:sz w:val="20"/>
              </w:rPr>
              <w:t>semi-statically configured DL subband and/or UL transmission outside</w:t>
            </w:r>
            <w:r w:rsidRPr="006F2BDD">
              <w:rPr>
                <w:rFonts w:ascii="Cambria" w:hAnsi="Cambria"/>
                <w:sz w:val="20"/>
                <w:lang w:eastAsia="en-US"/>
              </w:rPr>
              <w:t xml:space="preserve"> </w:t>
            </w:r>
            <w:r w:rsidRPr="006F2BDD">
              <w:rPr>
                <w:sz w:val="20"/>
              </w:rPr>
              <w:t>semi-statically configured UL subband</w:t>
            </w:r>
            <w:r w:rsidRPr="006F2BDD">
              <w:rPr>
                <w:rFonts w:ascii="Cambria" w:hAnsi="Cambria"/>
                <w:sz w:val="20"/>
                <w:lang w:eastAsia="en-US"/>
              </w:rPr>
              <w:t xml:space="preserve"> </w:t>
            </w:r>
            <w:r w:rsidRPr="006F2BDD">
              <w:rPr>
                <w:sz w:val="20"/>
              </w:rPr>
              <w:t>are allowed.</w:t>
            </w:r>
          </w:p>
          <w:p w14:paraId="78F34F94" w14:textId="31A3245F" w:rsidR="00F0466F" w:rsidRPr="006F2BDD" w:rsidRDefault="00F0466F" w:rsidP="00195777">
            <w:pPr>
              <w:pStyle w:val="a8"/>
              <w:numPr>
                <w:ilvl w:val="0"/>
                <w:numId w:val="50"/>
              </w:numPr>
              <w:spacing w:before="93" w:line="240" w:lineRule="auto"/>
              <w:ind w:firstLineChars="0"/>
              <w:rPr>
                <w:sz w:val="20"/>
              </w:rPr>
            </w:pPr>
            <w:r w:rsidRPr="006F2BDD">
              <w:rPr>
                <w:sz w:val="20"/>
              </w:rPr>
              <w:t>Option 3: Dynamic SBFD is achieved by non-scheduling DCI which indicates whether a symbol is SBFD symbol or not.</w:t>
            </w:r>
          </w:p>
          <w:p w14:paraId="38D95A3D" w14:textId="41BA9B30" w:rsidR="006D74A3" w:rsidRPr="00195777" w:rsidRDefault="00F0466F" w:rsidP="00195777">
            <w:pPr>
              <w:spacing w:before="93" w:line="240" w:lineRule="auto"/>
              <w:rPr>
                <w:rFonts w:ascii="Times" w:eastAsia="Malgun Gothic" w:hAnsi="Times" w:cs="Times"/>
                <w:sz w:val="20"/>
              </w:rPr>
            </w:pPr>
            <w:r w:rsidRPr="006F2BDD">
              <w:rPr>
                <w:rFonts w:ascii="Times" w:hAnsi="Times" w:cs="Times"/>
                <w:sz w:val="20"/>
              </w:rPr>
              <w:t xml:space="preserve">Note: </w:t>
            </w:r>
            <w:r w:rsidRPr="006F2BDD">
              <w:rPr>
                <w:rFonts w:ascii="Times" w:hAnsi="Times" w:cs="Times"/>
                <w:sz w:val="20"/>
                <w:lang w:val="en-GB"/>
              </w:rPr>
              <w:t xml:space="preserve">whether or not dynamic SBFD is beneficial from a performance perspective is a separate discussion </w:t>
            </w:r>
          </w:p>
        </w:tc>
      </w:tr>
    </w:tbl>
    <w:p w14:paraId="4825AC64" w14:textId="77777777" w:rsidR="00C25B8C" w:rsidRDefault="00C25B8C" w:rsidP="00E40DC9">
      <w:pPr>
        <w:spacing w:before="93"/>
        <w:rPr>
          <w:szCs w:val="20"/>
        </w:rPr>
      </w:pPr>
    </w:p>
    <w:p w14:paraId="3BCC847D" w14:textId="2EE05927" w:rsidR="00E40DC9" w:rsidRDefault="00E40DC9" w:rsidP="00E40DC9">
      <w:pPr>
        <w:spacing w:before="93"/>
        <w:rPr>
          <w:szCs w:val="20"/>
        </w:rPr>
      </w:pPr>
      <w:r>
        <w:rPr>
          <w:rFonts w:hint="eastAsia"/>
          <w:szCs w:val="20"/>
        </w:rPr>
        <w:t>I</w:t>
      </w:r>
      <w:r>
        <w:rPr>
          <w:szCs w:val="20"/>
        </w:rPr>
        <w:t>n current specification</w:t>
      </w:r>
      <w:r w:rsidR="003635FC">
        <w:rPr>
          <w:szCs w:val="20"/>
        </w:rPr>
        <w:t xml:space="preserve">, the </w:t>
      </w:r>
      <w:r>
        <w:rPr>
          <w:szCs w:val="20"/>
        </w:rPr>
        <w:t>UL</w:t>
      </w:r>
      <w:r w:rsidR="003635FC">
        <w:rPr>
          <w:szCs w:val="20"/>
        </w:rPr>
        <w:t>/</w:t>
      </w:r>
      <w:r>
        <w:rPr>
          <w:szCs w:val="20"/>
        </w:rPr>
        <w:t>DL symbol</w:t>
      </w:r>
      <w:r w:rsidR="003635FC">
        <w:rPr>
          <w:szCs w:val="20"/>
        </w:rPr>
        <w:t>s</w:t>
      </w:r>
      <w:r>
        <w:rPr>
          <w:szCs w:val="20"/>
        </w:rPr>
        <w:t xml:space="preserve"> which are configured by </w:t>
      </w:r>
      <w:r w:rsidRPr="004470F2">
        <w:rPr>
          <w:i/>
          <w:iCs/>
        </w:rPr>
        <w:t>TDD-UL-DL-</w:t>
      </w:r>
      <w:proofErr w:type="spellStart"/>
      <w:r w:rsidRPr="004470F2">
        <w:rPr>
          <w:i/>
          <w:iCs/>
        </w:rPr>
        <w:t>ConfigCommon</w:t>
      </w:r>
      <w:proofErr w:type="spellEnd"/>
      <w:r w:rsidDel="002D14CE">
        <w:rPr>
          <w:szCs w:val="20"/>
        </w:rPr>
        <w:t xml:space="preserve"> </w:t>
      </w:r>
      <w:r>
        <w:rPr>
          <w:szCs w:val="20"/>
        </w:rPr>
        <w:t xml:space="preserve">and </w:t>
      </w:r>
      <w:r w:rsidRPr="004470F2">
        <w:rPr>
          <w:i/>
          <w:iCs/>
        </w:rPr>
        <w:t>TDD-UL-DL-</w:t>
      </w:r>
      <w:r>
        <w:rPr>
          <w:i/>
          <w:iCs/>
        </w:rPr>
        <w:t>Dedicated</w:t>
      </w:r>
      <w:r>
        <w:rPr>
          <w:szCs w:val="20"/>
        </w:rPr>
        <w:t xml:space="preserve"> cannot be </w:t>
      </w:r>
      <w:r w:rsidR="002172B1">
        <w:rPr>
          <w:rFonts w:hint="eastAsia"/>
          <w:szCs w:val="20"/>
        </w:rPr>
        <w:t>sch</w:t>
      </w:r>
      <w:r w:rsidR="002172B1">
        <w:rPr>
          <w:szCs w:val="20"/>
        </w:rPr>
        <w:t>e</w:t>
      </w:r>
      <w:r w:rsidR="002172B1">
        <w:rPr>
          <w:rFonts w:hint="eastAsia"/>
          <w:szCs w:val="20"/>
        </w:rPr>
        <w:t>duled</w:t>
      </w:r>
      <w:r>
        <w:rPr>
          <w:szCs w:val="20"/>
        </w:rPr>
        <w:t xml:space="preserve"> for DL reception</w:t>
      </w:r>
      <w:r w:rsidR="00B97AE1">
        <w:rPr>
          <w:szCs w:val="20"/>
        </w:rPr>
        <w:t>s</w:t>
      </w:r>
      <w:r w:rsidR="003635FC">
        <w:rPr>
          <w:szCs w:val="20"/>
        </w:rPr>
        <w:t>/</w:t>
      </w:r>
      <w:r>
        <w:rPr>
          <w:szCs w:val="20"/>
        </w:rPr>
        <w:t>UL transmission</w:t>
      </w:r>
      <w:r w:rsidR="00B97AE1">
        <w:rPr>
          <w:szCs w:val="20"/>
        </w:rPr>
        <w:t>s</w:t>
      </w:r>
      <w:r w:rsidR="00945941">
        <w:rPr>
          <w:szCs w:val="20"/>
        </w:rPr>
        <w:t>, neither</w:t>
      </w:r>
      <w:r w:rsidR="001F4480">
        <w:rPr>
          <w:szCs w:val="20"/>
        </w:rPr>
        <w:t xml:space="preserve"> </w:t>
      </w:r>
      <w:r w:rsidR="003635FC">
        <w:rPr>
          <w:szCs w:val="20"/>
        </w:rPr>
        <w:t xml:space="preserve">by </w:t>
      </w:r>
      <w:r w:rsidR="00945941">
        <w:rPr>
          <w:szCs w:val="20"/>
        </w:rPr>
        <w:t xml:space="preserve">a </w:t>
      </w:r>
      <w:r w:rsidR="001F4480">
        <w:rPr>
          <w:szCs w:val="20"/>
        </w:rPr>
        <w:t xml:space="preserve">scheduling DCI </w:t>
      </w:r>
      <w:r w:rsidR="00945941">
        <w:rPr>
          <w:szCs w:val="20"/>
        </w:rPr>
        <w:t>n</w:t>
      </w:r>
      <w:r w:rsidR="001F4480">
        <w:rPr>
          <w:szCs w:val="20"/>
        </w:rPr>
        <w:t xml:space="preserve">or </w:t>
      </w:r>
      <w:r w:rsidR="00945941">
        <w:rPr>
          <w:szCs w:val="20"/>
        </w:rPr>
        <w:t xml:space="preserve">a </w:t>
      </w:r>
      <w:r w:rsidR="001F4480">
        <w:rPr>
          <w:szCs w:val="20"/>
        </w:rPr>
        <w:t>non-scheduling DCI</w:t>
      </w:r>
      <w:r w:rsidR="003635FC">
        <w:rPr>
          <w:szCs w:val="20"/>
        </w:rPr>
        <w:t>, i.e. DCI format 2</w:t>
      </w:r>
      <w:r w:rsidR="00755CE8" w:rsidRPr="001A5DC5">
        <w:rPr>
          <w:szCs w:val="20"/>
        </w:rPr>
        <w:t>_</w:t>
      </w:r>
      <w:r w:rsidR="003635FC">
        <w:rPr>
          <w:szCs w:val="20"/>
        </w:rPr>
        <w:t>0</w:t>
      </w:r>
      <w:r>
        <w:rPr>
          <w:szCs w:val="20"/>
        </w:rPr>
        <w:t xml:space="preserve">. In contrast, the flexible symbols </w:t>
      </w:r>
      <w:r w:rsidR="001F4480">
        <w:rPr>
          <w:szCs w:val="20"/>
        </w:rPr>
        <w:t xml:space="preserve">which are </w:t>
      </w:r>
      <w:r>
        <w:rPr>
          <w:szCs w:val="20"/>
        </w:rPr>
        <w:t xml:space="preserve">configured by </w:t>
      </w:r>
      <w:r w:rsidR="002172B1" w:rsidRPr="004470F2">
        <w:rPr>
          <w:i/>
          <w:iCs/>
        </w:rPr>
        <w:t>TDD-UL-DL-</w:t>
      </w:r>
      <w:proofErr w:type="spellStart"/>
      <w:r w:rsidR="002172B1" w:rsidRPr="004470F2">
        <w:rPr>
          <w:i/>
          <w:iCs/>
        </w:rPr>
        <w:t>ConfigCommon</w:t>
      </w:r>
      <w:proofErr w:type="spellEnd"/>
      <w:r w:rsidR="002172B1" w:rsidDel="002D14CE">
        <w:rPr>
          <w:szCs w:val="20"/>
        </w:rPr>
        <w:t xml:space="preserve"> </w:t>
      </w:r>
      <w:r w:rsidR="002172B1">
        <w:rPr>
          <w:szCs w:val="20"/>
        </w:rPr>
        <w:t xml:space="preserve">and </w:t>
      </w:r>
      <w:r w:rsidR="002172B1" w:rsidRPr="004470F2">
        <w:rPr>
          <w:i/>
          <w:iCs/>
        </w:rPr>
        <w:t>TDD-UL-DL-</w:t>
      </w:r>
      <w:r w:rsidR="002172B1">
        <w:rPr>
          <w:i/>
          <w:iCs/>
        </w:rPr>
        <w:t>Dedicated</w:t>
      </w:r>
      <w:r>
        <w:rPr>
          <w:szCs w:val="20"/>
        </w:rPr>
        <w:t xml:space="preserve"> can be </w:t>
      </w:r>
      <w:r w:rsidR="00E74286">
        <w:rPr>
          <w:szCs w:val="20"/>
        </w:rPr>
        <w:t>scheduled for DL reception</w:t>
      </w:r>
      <w:r w:rsidR="00B97AE1">
        <w:rPr>
          <w:szCs w:val="20"/>
        </w:rPr>
        <w:t>s</w:t>
      </w:r>
      <w:r w:rsidR="00E74286">
        <w:rPr>
          <w:szCs w:val="20"/>
        </w:rPr>
        <w:t>/UL transmission</w:t>
      </w:r>
      <w:r w:rsidR="00B97AE1">
        <w:rPr>
          <w:szCs w:val="20"/>
        </w:rPr>
        <w:t>s</w:t>
      </w:r>
      <w:r w:rsidR="00E74286">
        <w:rPr>
          <w:szCs w:val="20"/>
        </w:rPr>
        <w:t xml:space="preserve"> </w:t>
      </w:r>
      <w:r>
        <w:rPr>
          <w:szCs w:val="20"/>
        </w:rPr>
        <w:t>by</w:t>
      </w:r>
      <w:r w:rsidR="00945941">
        <w:rPr>
          <w:szCs w:val="20"/>
        </w:rPr>
        <w:t xml:space="preserve"> </w:t>
      </w:r>
      <w:r w:rsidR="001F4480">
        <w:rPr>
          <w:szCs w:val="20"/>
        </w:rPr>
        <w:t>either a scheduling DCI or DCI format 2_0</w:t>
      </w:r>
      <w:r>
        <w:rPr>
          <w:szCs w:val="20"/>
        </w:rPr>
        <w:t xml:space="preserve">. </w:t>
      </w:r>
      <w:r w:rsidR="00B97AE1">
        <w:rPr>
          <w:szCs w:val="20"/>
        </w:rPr>
        <w:t xml:space="preserve">This is the basic principles in NR slot format configurations. </w:t>
      </w:r>
      <w:r w:rsidR="001F4480">
        <w:rPr>
          <w:szCs w:val="20"/>
        </w:rPr>
        <w:t>To keep consistent with the current specification, t</w:t>
      </w:r>
      <w:r>
        <w:rPr>
          <w:szCs w:val="20"/>
        </w:rPr>
        <w:t xml:space="preserve">he same principles should be followed for </w:t>
      </w:r>
      <w:r w:rsidR="00B97AE1">
        <w:rPr>
          <w:szCs w:val="20"/>
        </w:rPr>
        <w:t xml:space="preserve">the support of </w:t>
      </w:r>
      <w:r>
        <w:rPr>
          <w:szCs w:val="20"/>
        </w:rPr>
        <w:t>dynamic SBFD operation.</w:t>
      </w:r>
      <w:r w:rsidR="00B97AE1">
        <w:rPr>
          <w:szCs w:val="20"/>
        </w:rPr>
        <w:t xml:space="preserve"> </w:t>
      </w:r>
    </w:p>
    <w:p w14:paraId="29C05662" w14:textId="77777777" w:rsidR="00BC32DB" w:rsidRDefault="00BC32DB" w:rsidP="00392019">
      <w:pPr>
        <w:spacing w:before="93"/>
        <w:rPr>
          <w:szCs w:val="20"/>
        </w:rPr>
      </w:pPr>
    </w:p>
    <w:p w14:paraId="74BE0C36" w14:textId="1583295A" w:rsidR="00392019" w:rsidRPr="00392019" w:rsidRDefault="003635FC" w:rsidP="00392019">
      <w:pPr>
        <w:spacing w:before="93"/>
        <w:rPr>
          <w:szCs w:val="20"/>
        </w:rPr>
      </w:pPr>
      <w:r>
        <w:rPr>
          <w:szCs w:val="20"/>
        </w:rPr>
        <w:lastRenderedPageBreak/>
        <w:t>O</w:t>
      </w:r>
      <w:r w:rsidR="00E40DC9">
        <w:rPr>
          <w:szCs w:val="20"/>
        </w:rPr>
        <w:t>ption 1</w:t>
      </w:r>
      <w:r>
        <w:rPr>
          <w:szCs w:val="20"/>
        </w:rPr>
        <w:t xml:space="preserve"> follows the</w:t>
      </w:r>
      <w:r w:rsidR="00E40DC9">
        <w:rPr>
          <w:szCs w:val="20"/>
        </w:rPr>
        <w:t xml:space="preserve"> legacy design logic, i.e., the flexible subbands configured by </w:t>
      </w:r>
      <w:r>
        <w:rPr>
          <w:szCs w:val="20"/>
        </w:rPr>
        <w:t>RRC</w:t>
      </w:r>
      <w:r w:rsidR="00E40DC9">
        <w:rPr>
          <w:szCs w:val="20"/>
        </w:rPr>
        <w:t xml:space="preserve"> can be override by dynamic signaling </w:t>
      </w:r>
      <w:r w:rsidR="00333665">
        <w:rPr>
          <w:szCs w:val="20"/>
        </w:rPr>
        <w:t>for</w:t>
      </w:r>
      <w:r w:rsidR="00E40DC9">
        <w:rPr>
          <w:szCs w:val="20"/>
        </w:rPr>
        <w:t xml:space="preserve"> DL </w:t>
      </w:r>
      <w:r w:rsidR="00333665">
        <w:rPr>
          <w:szCs w:val="20"/>
        </w:rPr>
        <w:t xml:space="preserve">reception </w:t>
      </w:r>
      <w:r w:rsidR="00E40DC9">
        <w:rPr>
          <w:szCs w:val="20"/>
        </w:rPr>
        <w:t xml:space="preserve">or UL </w:t>
      </w:r>
      <w:r w:rsidR="00333665">
        <w:rPr>
          <w:szCs w:val="20"/>
        </w:rPr>
        <w:t>transmission</w:t>
      </w:r>
      <w:r w:rsidR="00E40DC9">
        <w:rPr>
          <w:szCs w:val="20"/>
        </w:rPr>
        <w:t>.</w:t>
      </w:r>
      <w:r w:rsidR="001F4480">
        <w:rPr>
          <w:szCs w:val="20"/>
        </w:rPr>
        <w:t xml:space="preserve"> </w:t>
      </w:r>
      <w:r>
        <w:rPr>
          <w:szCs w:val="20"/>
        </w:rPr>
        <w:t>For</w:t>
      </w:r>
      <w:r w:rsidR="00392019" w:rsidRPr="00392019">
        <w:rPr>
          <w:szCs w:val="20"/>
        </w:rPr>
        <w:t xml:space="preserve"> option 2 or 3, a</w:t>
      </w:r>
      <w:r w:rsidR="00D7114A">
        <w:rPr>
          <w:szCs w:val="20"/>
        </w:rPr>
        <w:t>n</w:t>
      </w:r>
      <w:r w:rsidR="00392019" w:rsidRPr="00392019">
        <w:rPr>
          <w:szCs w:val="20"/>
        </w:rPr>
        <w:t xml:space="preserve"> UL</w:t>
      </w:r>
      <w:r>
        <w:rPr>
          <w:szCs w:val="20"/>
        </w:rPr>
        <w:t>/DL</w:t>
      </w:r>
      <w:r w:rsidR="00392019" w:rsidRPr="00392019">
        <w:rPr>
          <w:szCs w:val="20"/>
        </w:rPr>
        <w:t xml:space="preserve"> subband </w:t>
      </w:r>
      <w:r>
        <w:rPr>
          <w:szCs w:val="20"/>
        </w:rPr>
        <w:t>is</w:t>
      </w:r>
      <w:r w:rsidR="00392019" w:rsidRPr="00392019">
        <w:rPr>
          <w:szCs w:val="20"/>
        </w:rPr>
        <w:t xml:space="preserve"> configured by </w:t>
      </w:r>
      <w:r>
        <w:rPr>
          <w:szCs w:val="20"/>
        </w:rPr>
        <w:t>RRC</w:t>
      </w:r>
      <w:r w:rsidR="00392019" w:rsidRPr="00392019">
        <w:rPr>
          <w:szCs w:val="20"/>
        </w:rPr>
        <w:t xml:space="preserve">, and the </w:t>
      </w:r>
      <w:r>
        <w:rPr>
          <w:szCs w:val="20"/>
        </w:rPr>
        <w:t xml:space="preserve">RRC </w:t>
      </w:r>
      <w:r w:rsidR="00392019" w:rsidRPr="00392019">
        <w:rPr>
          <w:szCs w:val="20"/>
        </w:rPr>
        <w:t>configured UL</w:t>
      </w:r>
      <w:r>
        <w:rPr>
          <w:szCs w:val="20"/>
        </w:rPr>
        <w:t>/DL</w:t>
      </w:r>
      <w:r w:rsidR="00392019" w:rsidRPr="00392019">
        <w:rPr>
          <w:szCs w:val="20"/>
        </w:rPr>
        <w:t xml:space="preserve"> subband </w:t>
      </w:r>
      <w:r>
        <w:rPr>
          <w:szCs w:val="20"/>
        </w:rPr>
        <w:t>is</w:t>
      </w:r>
      <w:r w:rsidR="00392019" w:rsidRPr="00392019">
        <w:rPr>
          <w:szCs w:val="20"/>
        </w:rPr>
        <w:t xml:space="preserve"> indicated as DL reception </w:t>
      </w:r>
      <w:r>
        <w:rPr>
          <w:szCs w:val="20"/>
        </w:rPr>
        <w:t xml:space="preserve">or UL transmission </w:t>
      </w:r>
      <w:r w:rsidR="00392019" w:rsidRPr="00392019">
        <w:rPr>
          <w:szCs w:val="20"/>
        </w:rPr>
        <w:t>by dynamic signaling</w:t>
      </w:r>
      <w:r w:rsidR="00E56190">
        <w:rPr>
          <w:szCs w:val="20"/>
        </w:rPr>
        <w:t>. Therefore, it is inconsistent with the</w:t>
      </w:r>
      <w:r w:rsidR="006B6E02">
        <w:rPr>
          <w:szCs w:val="20"/>
        </w:rPr>
        <w:t xml:space="preserve"> principle of</w:t>
      </w:r>
      <w:r w:rsidR="00E56190">
        <w:rPr>
          <w:szCs w:val="20"/>
        </w:rPr>
        <w:t xml:space="preserve"> current specification.</w:t>
      </w:r>
      <w:r w:rsidR="00392019" w:rsidRPr="00392019">
        <w:rPr>
          <w:szCs w:val="20"/>
        </w:rPr>
        <w:t xml:space="preserve"> </w:t>
      </w:r>
      <w:r w:rsidR="006B6E02">
        <w:rPr>
          <w:szCs w:val="20"/>
        </w:rPr>
        <w:t>As a matter of fact</w:t>
      </w:r>
      <w:r w:rsidR="00392019" w:rsidRPr="00392019">
        <w:rPr>
          <w:szCs w:val="20"/>
        </w:rPr>
        <w:t xml:space="preserve">, the </w:t>
      </w:r>
      <w:r w:rsidR="00E56190">
        <w:rPr>
          <w:szCs w:val="20"/>
        </w:rPr>
        <w:t xml:space="preserve">semi-statically </w:t>
      </w:r>
      <w:r w:rsidR="00392019" w:rsidRPr="00392019">
        <w:rPr>
          <w:szCs w:val="20"/>
        </w:rPr>
        <w:t xml:space="preserve">configured UL/DL subband in option 2 or 3 are </w:t>
      </w:r>
      <w:r w:rsidR="00E56190">
        <w:rPr>
          <w:szCs w:val="20"/>
        </w:rPr>
        <w:t xml:space="preserve">essentially a </w:t>
      </w:r>
      <w:r w:rsidR="00392019" w:rsidRPr="00392019">
        <w:rPr>
          <w:szCs w:val="20"/>
        </w:rPr>
        <w:t>flexible subband</w:t>
      </w:r>
      <w:r>
        <w:rPr>
          <w:szCs w:val="20"/>
        </w:rPr>
        <w:t xml:space="preserve">, i.e. </w:t>
      </w:r>
      <w:r w:rsidR="00392019" w:rsidRPr="00392019">
        <w:rPr>
          <w:szCs w:val="20"/>
        </w:rPr>
        <w:t xml:space="preserve">a RRC configured </w:t>
      </w:r>
      <w:r w:rsidR="00B931F5">
        <w:rPr>
          <w:szCs w:val="20"/>
        </w:rPr>
        <w:t xml:space="preserve">UL/DL </w:t>
      </w:r>
      <w:r w:rsidR="00392019" w:rsidRPr="00392019">
        <w:rPr>
          <w:szCs w:val="20"/>
        </w:rPr>
        <w:t xml:space="preserve">subband can be </w:t>
      </w:r>
      <w:r>
        <w:rPr>
          <w:szCs w:val="20"/>
        </w:rPr>
        <w:t>used for</w:t>
      </w:r>
      <w:r w:rsidR="00392019" w:rsidRPr="00392019">
        <w:rPr>
          <w:szCs w:val="20"/>
        </w:rPr>
        <w:t xml:space="preserve"> </w:t>
      </w:r>
      <w:r>
        <w:rPr>
          <w:szCs w:val="20"/>
        </w:rPr>
        <w:t>DL</w:t>
      </w:r>
      <w:r w:rsidR="00392019" w:rsidRPr="00392019">
        <w:rPr>
          <w:szCs w:val="20"/>
        </w:rPr>
        <w:t xml:space="preserve"> </w:t>
      </w:r>
      <w:r>
        <w:rPr>
          <w:szCs w:val="20"/>
        </w:rPr>
        <w:t xml:space="preserve">reception </w:t>
      </w:r>
      <w:r w:rsidR="00392019" w:rsidRPr="00392019">
        <w:rPr>
          <w:szCs w:val="20"/>
        </w:rPr>
        <w:t xml:space="preserve">or </w:t>
      </w:r>
      <w:r>
        <w:rPr>
          <w:szCs w:val="20"/>
        </w:rPr>
        <w:t>UL</w:t>
      </w:r>
      <w:r w:rsidR="00B97096">
        <w:rPr>
          <w:szCs w:val="20"/>
        </w:rPr>
        <w:t xml:space="preserve"> </w:t>
      </w:r>
      <w:r>
        <w:rPr>
          <w:szCs w:val="20"/>
        </w:rPr>
        <w:t>transmission</w:t>
      </w:r>
      <w:r w:rsidR="00392019" w:rsidRPr="00392019">
        <w:rPr>
          <w:szCs w:val="20"/>
        </w:rPr>
        <w:t xml:space="preserve">. </w:t>
      </w:r>
    </w:p>
    <w:p w14:paraId="5816FD41" w14:textId="484751CB" w:rsidR="002B2111" w:rsidRDefault="002B2111" w:rsidP="002B2111">
      <w:pPr>
        <w:spacing w:before="93"/>
        <w:rPr>
          <w:i/>
        </w:rPr>
      </w:pPr>
      <w:r w:rsidRPr="002A5425">
        <w:rPr>
          <w:b/>
          <w:i/>
        </w:rPr>
        <w:t xml:space="preserve">Observation </w:t>
      </w:r>
      <w:r w:rsidR="007120C2">
        <w:rPr>
          <w:b/>
          <w:i/>
        </w:rPr>
        <w:t>2</w:t>
      </w:r>
      <w:r w:rsidRPr="002A5425">
        <w:rPr>
          <w:b/>
          <w:i/>
        </w:rPr>
        <w:t>:</w:t>
      </w:r>
      <w:r w:rsidRPr="0032313A">
        <w:rPr>
          <w:i/>
        </w:rPr>
        <w:t xml:space="preserve"> Option 1</w:t>
      </w:r>
      <w:r>
        <w:rPr>
          <w:i/>
        </w:rPr>
        <w:t xml:space="preserve"> follows the legacy design logic that the flexible subbands configured by RRC can be override by dynamic signaling as DL </w:t>
      </w:r>
      <w:r w:rsidR="00C30355">
        <w:rPr>
          <w:i/>
        </w:rPr>
        <w:t>reception</w:t>
      </w:r>
      <w:r w:rsidR="00C30355" w:rsidRPr="00C30355">
        <w:rPr>
          <w:i/>
        </w:rPr>
        <w:t xml:space="preserve"> </w:t>
      </w:r>
      <w:r>
        <w:rPr>
          <w:i/>
        </w:rPr>
        <w:t xml:space="preserve">or UL </w:t>
      </w:r>
      <w:r w:rsidR="00C30355">
        <w:rPr>
          <w:i/>
        </w:rPr>
        <w:t>transmission</w:t>
      </w:r>
      <w:r w:rsidRPr="002A5425">
        <w:rPr>
          <w:i/>
        </w:rPr>
        <w:t>.</w:t>
      </w:r>
    </w:p>
    <w:p w14:paraId="04FE8BB2" w14:textId="4DD02822" w:rsidR="002B2111" w:rsidRDefault="002B2111" w:rsidP="002B2111">
      <w:pPr>
        <w:spacing w:before="93"/>
        <w:rPr>
          <w:i/>
        </w:rPr>
      </w:pPr>
      <w:r w:rsidRPr="002A5425">
        <w:rPr>
          <w:b/>
          <w:i/>
        </w:rPr>
        <w:t xml:space="preserve">Observation </w:t>
      </w:r>
      <w:r w:rsidR="007120C2">
        <w:rPr>
          <w:b/>
          <w:i/>
        </w:rPr>
        <w:t>3</w:t>
      </w:r>
      <w:r w:rsidRPr="002A5425">
        <w:rPr>
          <w:b/>
          <w:i/>
        </w:rPr>
        <w:t>:</w:t>
      </w:r>
      <w:r w:rsidRPr="00313EC5">
        <w:rPr>
          <w:i/>
        </w:rPr>
        <w:t xml:space="preserve"> </w:t>
      </w:r>
      <w:r>
        <w:rPr>
          <w:i/>
        </w:rPr>
        <w:t xml:space="preserve">Option 2 and 3 contradict with the legacy design logic since UL/DL subbands configured by RRC are override by dynamic signaling as DL </w:t>
      </w:r>
      <w:r w:rsidR="00ED4874">
        <w:rPr>
          <w:i/>
        </w:rPr>
        <w:t>reception</w:t>
      </w:r>
      <w:r w:rsidR="00ED4874" w:rsidRPr="00ED4874">
        <w:rPr>
          <w:i/>
        </w:rPr>
        <w:t xml:space="preserve"> </w:t>
      </w:r>
      <w:r>
        <w:rPr>
          <w:i/>
        </w:rPr>
        <w:t xml:space="preserve">or UL </w:t>
      </w:r>
      <w:r w:rsidR="00ED4874">
        <w:rPr>
          <w:i/>
        </w:rPr>
        <w:t>transmission</w:t>
      </w:r>
      <w:r w:rsidRPr="002A5425">
        <w:rPr>
          <w:i/>
        </w:rPr>
        <w:t>.</w:t>
      </w:r>
    </w:p>
    <w:p w14:paraId="6D10F509" w14:textId="77777777" w:rsidR="00083366" w:rsidRDefault="00083366" w:rsidP="009B5B9D">
      <w:pPr>
        <w:spacing w:before="93"/>
      </w:pPr>
    </w:p>
    <w:p w14:paraId="69C405D0" w14:textId="5FF39DBD" w:rsidR="00FE0409" w:rsidRPr="00195777" w:rsidRDefault="00EC04CE" w:rsidP="009B5B9D">
      <w:pPr>
        <w:spacing w:before="93"/>
      </w:pPr>
      <w:r>
        <w:rPr>
          <w:rFonts w:hint="eastAsia"/>
        </w:rPr>
        <w:t>I</w:t>
      </w:r>
      <w:r>
        <w:t xml:space="preserve">n term of specification complexity, given that option 1 is more aligned with the existing design logic, it will be much easier to introduce dynamic SBFD operation based on flexible subband compare to </w:t>
      </w:r>
      <w:r w:rsidR="00B931F5">
        <w:t xml:space="preserve">Option 2 and Option 3. </w:t>
      </w:r>
    </w:p>
    <w:p w14:paraId="5B9AE9DC" w14:textId="15D2FB73" w:rsidR="00C93AC6" w:rsidRDefault="002F7EA8" w:rsidP="009B5B9D">
      <w:pPr>
        <w:spacing w:before="93"/>
        <w:rPr>
          <w:szCs w:val="20"/>
        </w:rPr>
      </w:pPr>
      <w:r>
        <w:t>I</w:t>
      </w:r>
      <w:r w:rsidR="00853F99">
        <w:t>t is also worth noting that the introduction of flexible subband is future-proof considering the potential support of subband over-lapping full duplex in the future</w:t>
      </w:r>
      <w:r>
        <w:t xml:space="preserve">. </w:t>
      </w:r>
      <w:r w:rsidR="00C1091B">
        <w:t>The higher layer configured flexible subband can be used as DL reception for one UE and UL transmission for another UE.</w:t>
      </w:r>
    </w:p>
    <w:p w14:paraId="39EE15B7" w14:textId="77777777" w:rsidR="00545A3A" w:rsidRDefault="00313EC5" w:rsidP="00C1091B">
      <w:pPr>
        <w:spacing w:before="93"/>
        <w:rPr>
          <w:i/>
        </w:rPr>
      </w:pPr>
      <w:r w:rsidRPr="00971B58">
        <w:rPr>
          <w:rFonts w:hint="eastAsia"/>
          <w:b/>
          <w:i/>
        </w:rPr>
        <w:t>P</w:t>
      </w:r>
      <w:r w:rsidRPr="00971B58">
        <w:rPr>
          <w:b/>
          <w:i/>
        </w:rPr>
        <w:t xml:space="preserve">roposal </w:t>
      </w:r>
      <w:r w:rsidR="00927067">
        <w:rPr>
          <w:b/>
          <w:i/>
        </w:rPr>
        <w:t>2</w:t>
      </w:r>
      <w:r w:rsidRPr="00971B58">
        <w:rPr>
          <w:i/>
        </w:rPr>
        <w:t>:</w:t>
      </w:r>
      <w:r>
        <w:rPr>
          <w:i/>
        </w:rPr>
        <w:t xml:space="preserve"> </w:t>
      </w:r>
      <w:r w:rsidR="00C1091B" w:rsidRPr="00195777">
        <w:rPr>
          <w:i/>
        </w:rPr>
        <w:t xml:space="preserve">Dynamic SBFD is achieved by scheduling DCI which is used to indicate whether the RBs in flexible subband used for UL transmission or DL reception. </w:t>
      </w:r>
    </w:p>
    <w:p w14:paraId="71AF07D0" w14:textId="77777777" w:rsidR="00E21334" w:rsidRPr="00E21334" w:rsidRDefault="00E21334" w:rsidP="00C1091B">
      <w:pPr>
        <w:spacing w:before="93"/>
        <w:rPr>
          <w:szCs w:val="20"/>
        </w:rPr>
      </w:pPr>
    </w:p>
    <w:p w14:paraId="24EFC468" w14:textId="17EB0E9F" w:rsidR="00DD3598" w:rsidRDefault="003079A2" w:rsidP="00BC51D9">
      <w:pPr>
        <w:pStyle w:val="a8"/>
        <w:numPr>
          <w:ilvl w:val="0"/>
          <w:numId w:val="13"/>
        </w:numPr>
        <w:spacing w:before="93"/>
        <w:ind w:firstLineChars="0"/>
        <w:rPr>
          <w:b/>
          <w:u w:val="single"/>
        </w:rPr>
      </w:pPr>
      <w:r>
        <w:rPr>
          <w:b/>
          <w:u w:val="single"/>
        </w:rPr>
        <w:t>Flexible subband</w:t>
      </w:r>
      <w:r w:rsidR="0044270D">
        <w:rPr>
          <w:b/>
          <w:u w:val="single"/>
        </w:rPr>
        <w:t xml:space="preserve"> definition</w:t>
      </w:r>
    </w:p>
    <w:p w14:paraId="3F95425E" w14:textId="4AB0CA6E" w:rsidR="00474DA4" w:rsidRPr="00ED3547" w:rsidRDefault="00C9783B" w:rsidP="00474DA4">
      <w:pPr>
        <w:spacing w:before="93"/>
        <w:rPr>
          <w:szCs w:val="20"/>
        </w:rPr>
      </w:pPr>
      <w:r>
        <w:rPr>
          <w:szCs w:val="20"/>
        </w:rPr>
        <w:t xml:space="preserve">In </w:t>
      </w:r>
      <w:r w:rsidR="00474DA4">
        <w:rPr>
          <w:szCs w:val="20"/>
        </w:rPr>
        <w:t>RAN1#112bis-e</w:t>
      </w:r>
      <w:r>
        <w:rPr>
          <w:szCs w:val="20"/>
        </w:rPr>
        <w:t xml:space="preserve">, companies have questions on the definition of flexible subband. </w:t>
      </w:r>
      <w:r w:rsidR="00474DA4">
        <w:rPr>
          <w:szCs w:val="20"/>
        </w:rPr>
        <w:t>Note that we made a conclusion on SBFD subband in RAN1#109, where the link direction is</w:t>
      </w:r>
      <w:r w:rsidR="00EC1681">
        <w:rPr>
          <w:szCs w:val="20"/>
        </w:rPr>
        <w:t xml:space="preserve"> unspecified</w:t>
      </w:r>
      <w:r w:rsidR="00474DA4">
        <w:rPr>
          <w:szCs w:val="20"/>
        </w:rPr>
        <w:t>. Hence it can be applied to flexible subband.</w:t>
      </w:r>
      <w:r w:rsidR="00566399">
        <w:rPr>
          <w:szCs w:val="20"/>
        </w:rPr>
        <w:t xml:space="preserve"> </w:t>
      </w:r>
    </w:p>
    <w:p w14:paraId="205AAEC8" w14:textId="36320016" w:rsidR="00474DA4" w:rsidRDefault="00474DA4" w:rsidP="00474DA4">
      <w:pPr>
        <w:spacing w:before="93"/>
        <w:rPr>
          <w:szCs w:val="20"/>
        </w:rPr>
      </w:pPr>
      <w:r w:rsidRPr="00474DA4">
        <w:rPr>
          <w:noProof/>
          <w:szCs w:val="20"/>
        </w:rPr>
        <mc:AlternateContent>
          <mc:Choice Requires="wps">
            <w:drawing>
              <wp:inline distT="0" distB="0" distL="0" distR="0" wp14:anchorId="373A2E39" wp14:editId="52CF8BED">
                <wp:extent cx="5918200" cy="1404620"/>
                <wp:effectExtent l="0" t="0" r="2540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404620"/>
                        </a:xfrm>
                        <a:prstGeom prst="rect">
                          <a:avLst/>
                        </a:prstGeom>
                        <a:solidFill>
                          <a:srgbClr val="FFFFFF"/>
                        </a:solidFill>
                        <a:ln w="9525">
                          <a:solidFill>
                            <a:srgbClr val="000000"/>
                          </a:solidFill>
                          <a:miter lim="800000"/>
                          <a:headEnd/>
                          <a:tailEnd/>
                        </a:ln>
                      </wps:spPr>
                      <wps:txbx>
                        <w:txbxContent>
                          <w:p w14:paraId="7057FAA2" w14:textId="7540F01E" w:rsidR="00C2769F" w:rsidRPr="00DD7AAA" w:rsidRDefault="00C2769F" w:rsidP="00195777">
                            <w:pPr>
                              <w:spacing w:beforeLines="0" w:before="0" w:line="240" w:lineRule="auto"/>
                              <w:rPr>
                                <w:rFonts w:cs="Times New Roman"/>
                                <w:b/>
                                <w:color w:val="000000"/>
                              </w:rPr>
                            </w:pPr>
                            <w:r>
                              <w:rPr>
                                <w:rFonts w:cs="Times New Roman" w:hint="eastAsia"/>
                                <w:b/>
                                <w:color w:val="000000"/>
                              </w:rPr>
                              <w:t>C</w:t>
                            </w:r>
                            <w:r>
                              <w:rPr>
                                <w:rFonts w:cs="Times New Roman"/>
                                <w:b/>
                                <w:color w:val="000000"/>
                              </w:rPr>
                              <w:t>onclusion</w:t>
                            </w:r>
                          </w:p>
                          <w:p w14:paraId="4FB1C6D7" w14:textId="7F37F476" w:rsidR="00C2769F" w:rsidRPr="00ED3547" w:rsidRDefault="00C2769F" w:rsidP="00195777">
                            <w:pPr>
                              <w:spacing w:beforeLines="0" w:before="0" w:line="240" w:lineRule="auto"/>
                            </w:pPr>
                            <w:r w:rsidRPr="00DD7AAA">
                              <w:rPr>
                                <w:rFonts w:eastAsia="Malgun Gothic" w:cs="Times New Roman"/>
                              </w:rPr>
                              <w:t>For discussion purpose, for SBFD operation within a TDD carrier, a SBFD subband consists of 1 RB or a set of consecutive RBs for the same transmission direction.</w:t>
                            </w:r>
                          </w:p>
                        </w:txbxContent>
                      </wps:txbx>
                      <wps:bodyPr rot="0" vert="horz" wrap="square" lIns="91440" tIns="45720" rIns="91440" bIns="45720" anchor="t" anchorCtr="0">
                        <a:spAutoFit/>
                      </wps:bodyPr>
                    </wps:wsp>
                  </a:graphicData>
                </a:graphic>
              </wp:inline>
            </w:drawing>
          </mc:Choice>
          <mc:Fallback>
            <w:pict>
              <v:shapetype w14:anchorId="373A2E39" id="_x0000_t202" coordsize="21600,21600" o:spt="202" path="m,l,21600r21600,l21600,xe">
                <v:stroke joinstyle="miter"/>
                <v:path gradientshapeok="t" o:connecttype="rect"/>
              </v:shapetype>
              <v:shape id="文本框 2" o:spid="_x0000_s1026" type="#_x0000_t202" style="width:46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">
                <v:textbox style="mso-fit-shape-to-text:t">
                  <w:txbxContent>
                    <w:p w14:paraId="7057FAA2" w14:textId="7540F01E" w:rsidR="00C2769F" w:rsidRPr="00DD7AAA" w:rsidRDefault="00C2769F" w:rsidP="00195777">
                      <w:pPr>
                        <w:spacing w:beforeLines="0" w:before="0" w:line="240" w:lineRule="auto"/>
                        <w:rPr>
                          <w:rFonts w:cs="Times New Roman"/>
                          <w:b/>
                          <w:color w:val="000000"/>
                        </w:rPr>
                      </w:pPr>
                      <w:r>
                        <w:rPr>
                          <w:rFonts w:cs="Times New Roman" w:hint="eastAsia"/>
                          <w:b/>
                          <w:color w:val="000000"/>
                        </w:rPr>
                        <w:t>C</w:t>
                      </w:r>
                      <w:r>
                        <w:rPr>
                          <w:rFonts w:cs="Times New Roman"/>
                          <w:b/>
                          <w:color w:val="000000"/>
                        </w:rPr>
                        <w:t>onclusion</w:t>
                      </w:r>
                    </w:p>
                    <w:p w14:paraId="4FB1C6D7" w14:textId="7F37F476" w:rsidR="00C2769F" w:rsidRPr="00ED3547" w:rsidRDefault="00C2769F" w:rsidP="00195777">
                      <w:pPr>
                        <w:spacing w:beforeLines="0" w:before="0" w:line="240" w:lineRule="auto"/>
                      </w:pPr>
                      <w:r w:rsidRPr="00DD7AAA">
                        <w:rPr>
                          <w:rFonts w:eastAsia="Malgun Gothic" w:cs="Times New Roman"/>
                        </w:rPr>
                        <w:t>For discussion purpose, for SBFD operation within a TDD carrier, a SBFD subband consists of 1 RB or a set of consecutive RBs for the same transmission direction.</w:t>
                      </w:r>
                    </w:p>
                  </w:txbxContent>
                </v:textbox>
                <w10:anchorlock/>
              </v:shape>
            </w:pict>
          </mc:Fallback>
        </mc:AlternateContent>
      </w:r>
    </w:p>
    <w:p w14:paraId="34D9C04B" w14:textId="0606963F" w:rsidR="006E5D4E" w:rsidRDefault="008406E3" w:rsidP="001D0D63">
      <w:pPr>
        <w:spacing w:before="93"/>
        <w:rPr>
          <w:rFonts w:eastAsia="Malgun Gothic"/>
        </w:rPr>
      </w:pPr>
      <w:r>
        <w:rPr>
          <w:szCs w:val="20"/>
        </w:rPr>
        <w:t xml:space="preserve">Referring to </w:t>
      </w:r>
      <w:r w:rsidR="009A00B7">
        <w:rPr>
          <w:szCs w:val="20"/>
        </w:rPr>
        <w:t>flexible symbols in which a</w:t>
      </w:r>
      <w:r w:rsidR="009A00B7">
        <w:rPr>
          <w:rFonts w:eastAsia="Malgun Gothic"/>
        </w:rPr>
        <w:t xml:space="preserve"> UE can transmit or receive in current specification, the flexible subband </w:t>
      </w:r>
      <w:r>
        <w:rPr>
          <w:rFonts w:eastAsia="Malgun Gothic"/>
        </w:rPr>
        <w:t>can be</w:t>
      </w:r>
      <w:r w:rsidR="006E5D4E">
        <w:rPr>
          <w:rFonts w:eastAsia="Malgun Gothic"/>
        </w:rPr>
        <w:t xml:space="preserve"> defined as follows:</w:t>
      </w:r>
    </w:p>
    <w:p w14:paraId="21F8973B" w14:textId="77777777" w:rsidR="006E5D4E" w:rsidRDefault="006E5D4E" w:rsidP="00BC51D9">
      <w:pPr>
        <w:pStyle w:val="a8"/>
        <w:numPr>
          <w:ilvl w:val="0"/>
          <w:numId w:val="12"/>
        </w:numPr>
        <w:spacing w:before="93"/>
        <w:ind w:firstLineChars="0"/>
      </w:pPr>
      <w:r>
        <w:t xml:space="preserve">The flexible subband consists of a set of consecutive flexible RBs, where </w:t>
      </w:r>
    </w:p>
    <w:p w14:paraId="58CE8202" w14:textId="165C3CF4" w:rsidR="006E5D4E" w:rsidRDefault="006E5D4E" w:rsidP="00BC51D9">
      <w:pPr>
        <w:pStyle w:val="a8"/>
        <w:numPr>
          <w:ilvl w:val="1"/>
          <w:numId w:val="12"/>
        </w:numPr>
        <w:spacing w:before="93"/>
        <w:ind w:firstLineChars="0"/>
      </w:pPr>
      <w:r>
        <w:t xml:space="preserve">the flexible RB can be used for UL transmission and DL </w:t>
      </w:r>
      <w:r w:rsidR="007C098B">
        <w:t>reception</w:t>
      </w:r>
      <w:r>
        <w:t>,</w:t>
      </w:r>
    </w:p>
    <w:p w14:paraId="055E5CD3" w14:textId="6B9B277E" w:rsidR="006E5D4E" w:rsidRDefault="006E5D4E" w:rsidP="00BC51D9">
      <w:pPr>
        <w:pStyle w:val="a8"/>
        <w:numPr>
          <w:ilvl w:val="1"/>
          <w:numId w:val="12"/>
        </w:numPr>
        <w:spacing w:before="93"/>
        <w:ind w:firstLineChars="0"/>
      </w:pPr>
      <w:r>
        <w:t>the</w:t>
      </w:r>
      <w:r w:rsidR="00645530">
        <w:t xml:space="preserve"> </w:t>
      </w:r>
      <w:r w:rsidR="00232949">
        <w:rPr>
          <w:rFonts w:hint="eastAsia"/>
        </w:rPr>
        <w:t>actual</w:t>
      </w:r>
      <w:r>
        <w:t xml:space="preserve"> direction of flexible RB is determined based on scheduling, and</w:t>
      </w:r>
    </w:p>
    <w:p w14:paraId="6DBA1ED3" w14:textId="1F4F9245" w:rsidR="00F538B6" w:rsidRDefault="006E5D4E" w:rsidP="00BC51D9">
      <w:pPr>
        <w:pStyle w:val="a8"/>
        <w:numPr>
          <w:ilvl w:val="1"/>
          <w:numId w:val="12"/>
        </w:numPr>
        <w:spacing w:before="93"/>
        <w:ind w:firstLineChars="0"/>
      </w:pPr>
      <w:r>
        <w:t>the direction for all flexible RBs within the flexible subband is the same</w:t>
      </w:r>
      <w:r w:rsidR="00F538B6">
        <w:t xml:space="preserve"> in one symbol/slot</w:t>
      </w:r>
      <w:r>
        <w:t>; t</w:t>
      </w:r>
      <w:r w:rsidR="000F56F1">
        <w:rPr>
          <w:rFonts w:hint="eastAsia"/>
        </w:rPr>
        <w:t>his</w:t>
      </w:r>
      <w:r>
        <w:t xml:space="preserve"> means </w:t>
      </w:r>
      <w:r w:rsidR="00F538B6">
        <w:t>the different part</w:t>
      </w:r>
      <w:r w:rsidR="00B07550">
        <w:t>s</w:t>
      </w:r>
      <w:r w:rsidR="00F538B6">
        <w:t xml:space="preserve"> of flexible RBs within the flexible subband cannot be used for different transmission direction at the same time from the </w:t>
      </w:r>
      <w:r w:rsidR="00B07550">
        <w:t xml:space="preserve">both </w:t>
      </w:r>
      <w:r w:rsidR="00F538B6">
        <w:t>perspective</w:t>
      </w:r>
      <w:r w:rsidR="00B07550">
        <w:t>s</w:t>
      </w:r>
      <w:r w:rsidR="00F538B6">
        <w:t xml:space="preserve"> of gNB</w:t>
      </w:r>
      <w:r w:rsidR="00B07550">
        <w:t xml:space="preserve"> and UE</w:t>
      </w:r>
      <w:r w:rsidR="00F538B6">
        <w:t>.</w:t>
      </w:r>
    </w:p>
    <w:p w14:paraId="7FD87110" w14:textId="77777777" w:rsidR="00276CA3" w:rsidRDefault="00276CA3" w:rsidP="00276CA3">
      <w:pPr>
        <w:spacing w:before="93"/>
        <w:jc w:val="center"/>
      </w:pPr>
    </w:p>
    <w:p w14:paraId="2D7664EE" w14:textId="7D2277D1" w:rsidR="00276CA3" w:rsidRDefault="001B45D6" w:rsidP="00276CA3">
      <w:pPr>
        <w:spacing w:before="93"/>
        <w:jc w:val="center"/>
      </w:pPr>
      <w:r>
        <w:rPr>
          <w:noProof/>
        </w:rPr>
        <w:drawing>
          <wp:inline distT="0" distB="0" distL="0" distR="0" wp14:anchorId="239DDE4D" wp14:editId="01AFFABD">
            <wp:extent cx="5522976" cy="169862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 r="-16617"/>
                    <a:stretch/>
                  </pic:blipFill>
                  <pic:spPr bwMode="auto">
                    <a:xfrm>
                      <a:off x="0" y="0"/>
                      <a:ext cx="5524846" cy="1699200"/>
                    </a:xfrm>
                    <a:prstGeom prst="rect">
                      <a:avLst/>
                    </a:prstGeom>
                    <a:noFill/>
                    <a:ln>
                      <a:noFill/>
                    </a:ln>
                    <a:extLst>
                      <a:ext uri="{53640926-AAD7-44D8-BBD7-CCE9431645EC}">
                        <a14:shadowObscured xmlns:a14="http://schemas.microsoft.com/office/drawing/2010/main"/>
                      </a:ext>
                    </a:extLst>
                  </pic:spPr>
                </pic:pic>
              </a:graphicData>
            </a:graphic>
          </wp:inline>
        </w:drawing>
      </w:r>
    </w:p>
    <w:p w14:paraId="320ACA84" w14:textId="77777777" w:rsidR="00276CA3" w:rsidRDefault="00276CA3" w:rsidP="00276CA3">
      <w:pPr>
        <w:spacing w:before="93"/>
        <w:jc w:val="center"/>
      </w:pPr>
      <w:r>
        <w:rPr>
          <w:rFonts w:hint="eastAsia"/>
        </w:rPr>
        <w:t>F</w:t>
      </w:r>
      <w:r>
        <w:t>ig. 3 Example of flexible subband for dynamic SBFD.</w:t>
      </w:r>
    </w:p>
    <w:p w14:paraId="27849C05" w14:textId="77777777" w:rsidR="00BC32DB" w:rsidRDefault="00BC32DB" w:rsidP="00BC32DB">
      <w:pPr>
        <w:spacing w:before="93"/>
      </w:pPr>
      <w:r>
        <w:rPr>
          <w:rFonts w:hint="eastAsia"/>
        </w:rPr>
        <w:lastRenderedPageBreak/>
        <w:t>F</w:t>
      </w:r>
      <w:r>
        <w:t>or example, if a DL reception is scheduled fully or partially overlap with the flexible subband, the flexible subband was converted to DL subband, and if a UL transmission is scheduled within the flexible subband, the flexible subband is converted to UL subband, as shown in Fig. 3.</w:t>
      </w:r>
    </w:p>
    <w:p w14:paraId="25622EF4" w14:textId="77777777" w:rsidR="00BC32DB" w:rsidRDefault="00BC32DB" w:rsidP="00BC32DB">
      <w:pPr>
        <w:spacing w:before="93"/>
        <w:rPr>
          <w:i/>
        </w:rPr>
      </w:pPr>
      <w:r w:rsidRPr="00971B58">
        <w:rPr>
          <w:rFonts w:hint="eastAsia"/>
          <w:b/>
          <w:i/>
        </w:rPr>
        <w:t>P</w:t>
      </w:r>
      <w:r w:rsidRPr="00971B58">
        <w:rPr>
          <w:b/>
          <w:i/>
        </w:rPr>
        <w:t xml:space="preserve">roposal </w:t>
      </w:r>
      <w:r>
        <w:rPr>
          <w:b/>
          <w:i/>
        </w:rPr>
        <w:t>3</w:t>
      </w:r>
      <w:r w:rsidRPr="00971B58">
        <w:rPr>
          <w:i/>
        </w:rPr>
        <w:t>:</w:t>
      </w:r>
      <w:r>
        <w:rPr>
          <w:i/>
        </w:rPr>
        <w:t xml:space="preserve"> Flexible subband is defined as a set of consecutive flexible RBs, where</w:t>
      </w:r>
    </w:p>
    <w:p w14:paraId="42B016E4" w14:textId="77777777" w:rsidR="00BC32DB" w:rsidRDefault="00BC32DB" w:rsidP="00BC32DB">
      <w:pPr>
        <w:pStyle w:val="a8"/>
        <w:numPr>
          <w:ilvl w:val="0"/>
          <w:numId w:val="12"/>
        </w:numPr>
        <w:spacing w:before="93"/>
        <w:ind w:firstLineChars="0"/>
        <w:rPr>
          <w:i/>
        </w:rPr>
      </w:pPr>
      <w:r w:rsidRPr="00BD1889">
        <w:rPr>
          <w:i/>
        </w:rPr>
        <w:t xml:space="preserve">the flexible RB can be used for UL transmission, DL </w:t>
      </w:r>
      <w:r>
        <w:rPr>
          <w:i/>
        </w:rPr>
        <w:t>reception</w:t>
      </w:r>
      <w:r w:rsidRPr="00BD1889">
        <w:rPr>
          <w:i/>
        </w:rPr>
        <w:t>, and guard band,</w:t>
      </w:r>
      <w:r>
        <w:rPr>
          <w:i/>
        </w:rPr>
        <w:t xml:space="preserve"> </w:t>
      </w:r>
      <w:r w:rsidRPr="00987D15">
        <w:rPr>
          <w:i/>
        </w:rPr>
        <w:t>and</w:t>
      </w:r>
    </w:p>
    <w:p w14:paraId="786AF0E8" w14:textId="77777777" w:rsidR="00BC32DB" w:rsidRPr="00381568" w:rsidRDefault="00BC32DB" w:rsidP="00BC32DB">
      <w:pPr>
        <w:pStyle w:val="a8"/>
        <w:numPr>
          <w:ilvl w:val="0"/>
          <w:numId w:val="12"/>
        </w:numPr>
        <w:spacing w:before="93"/>
        <w:ind w:firstLineChars="0"/>
        <w:rPr>
          <w:i/>
        </w:rPr>
      </w:pPr>
      <w:r w:rsidRPr="00381568">
        <w:rPr>
          <w:i/>
        </w:rPr>
        <w:t xml:space="preserve">the </w:t>
      </w:r>
      <w:r>
        <w:rPr>
          <w:i/>
        </w:rPr>
        <w:t>link</w:t>
      </w:r>
      <w:r w:rsidRPr="00381568">
        <w:rPr>
          <w:i/>
        </w:rPr>
        <w:t xml:space="preserve"> direction of flexible RB is determined based on scheduling, and</w:t>
      </w:r>
    </w:p>
    <w:p w14:paraId="39A8EA72" w14:textId="77777777" w:rsidR="00BC32DB" w:rsidRPr="00210EBF" w:rsidRDefault="00BC32DB" w:rsidP="00BC32DB">
      <w:pPr>
        <w:pStyle w:val="a8"/>
        <w:numPr>
          <w:ilvl w:val="0"/>
          <w:numId w:val="12"/>
        </w:numPr>
        <w:spacing w:before="93"/>
        <w:ind w:firstLineChars="0"/>
        <w:rPr>
          <w:i/>
        </w:rPr>
      </w:pPr>
      <w:r w:rsidRPr="00381568">
        <w:rPr>
          <w:i/>
        </w:rPr>
        <w:t>the direction for all flexible RBs within the flexible subband is the same</w:t>
      </w:r>
      <w:r>
        <w:rPr>
          <w:i/>
        </w:rPr>
        <w:t xml:space="preserve"> from both perspectives of gNB and UE</w:t>
      </w:r>
      <w:r w:rsidRPr="00381568">
        <w:rPr>
          <w:i/>
        </w:rPr>
        <w:t>.</w:t>
      </w:r>
    </w:p>
    <w:p w14:paraId="3FE3F6EC" w14:textId="77777777" w:rsidR="00BC32DB" w:rsidRPr="00BC32DB" w:rsidRDefault="00BC32DB" w:rsidP="00195777">
      <w:pPr>
        <w:spacing w:before="93"/>
        <w:jc w:val="center"/>
      </w:pPr>
    </w:p>
    <w:p w14:paraId="1FEEA14C" w14:textId="31F468AD" w:rsidR="00436E23" w:rsidRDefault="00436E23" w:rsidP="00436E23">
      <w:pPr>
        <w:spacing w:before="93"/>
      </w:pPr>
      <w:r>
        <w:rPr>
          <w:rFonts w:eastAsia="Malgun Gothic"/>
        </w:rPr>
        <w:t>The f</w:t>
      </w:r>
      <w:r w:rsidR="007137CF">
        <w:rPr>
          <w:rFonts w:eastAsia="Malgun Gothic"/>
        </w:rPr>
        <w:t xml:space="preserve">lexible subband should </w:t>
      </w:r>
      <w:r>
        <w:rPr>
          <w:rFonts w:eastAsia="Malgun Gothic"/>
        </w:rPr>
        <w:t xml:space="preserve">be </w:t>
      </w:r>
      <w:r w:rsidR="00A13164">
        <w:rPr>
          <w:rFonts w:eastAsia="Malgun Gothic"/>
        </w:rPr>
        <w:t>supported</w:t>
      </w:r>
      <w:r>
        <w:rPr>
          <w:rFonts w:eastAsia="Malgun Gothic"/>
        </w:rPr>
        <w:t xml:space="preserve"> </w:t>
      </w:r>
      <w:r w:rsidR="008255F6">
        <w:rPr>
          <w:rFonts w:eastAsia="Malgun Gothic"/>
        </w:rPr>
        <w:t>in</w:t>
      </w:r>
      <w:r>
        <w:rPr>
          <w:rFonts w:eastAsia="Malgun Gothic"/>
        </w:rPr>
        <w:t xml:space="preserve"> flexible symbols. </w:t>
      </w:r>
      <w:r>
        <w:rPr>
          <w:rFonts w:cs="Times"/>
          <w:iCs/>
        </w:rPr>
        <w:t xml:space="preserve">In our view, the RBs on flexible symbols are flexible in nature. </w:t>
      </w:r>
    </w:p>
    <w:p w14:paraId="6999FBCA" w14:textId="71A91509" w:rsidR="00AC7472" w:rsidRDefault="00AC7472" w:rsidP="00BC51D9">
      <w:pPr>
        <w:pStyle w:val="a8"/>
        <w:numPr>
          <w:ilvl w:val="0"/>
          <w:numId w:val="12"/>
        </w:numPr>
        <w:spacing w:before="93"/>
        <w:ind w:firstLineChars="0"/>
      </w:pPr>
      <w:r>
        <w:rPr>
          <w:rFonts w:hint="eastAsia"/>
        </w:rPr>
        <w:t>I</w:t>
      </w:r>
      <w:r>
        <w:t>f UL and DL subband are not configured in flexible symbols, it has the same behavior as legacy TDD.</w:t>
      </w:r>
    </w:p>
    <w:p w14:paraId="158BF8A6" w14:textId="40755106" w:rsidR="00AC7472" w:rsidRDefault="00AC7472" w:rsidP="00BC51D9">
      <w:pPr>
        <w:pStyle w:val="a8"/>
        <w:numPr>
          <w:ilvl w:val="0"/>
          <w:numId w:val="12"/>
        </w:numPr>
        <w:spacing w:before="93"/>
        <w:ind w:firstLineChars="0"/>
      </w:pPr>
      <w:r>
        <w:rPr>
          <w:rFonts w:hint="eastAsia"/>
        </w:rPr>
        <w:t>I</w:t>
      </w:r>
      <w:r>
        <w:t xml:space="preserve">f only UL (or DL) subband is configured in flexible symbols, the RBs outside the UL (or DL) subband are </w:t>
      </w:r>
      <w:r w:rsidR="00773F65">
        <w:rPr>
          <w:rFonts w:hint="eastAsia"/>
        </w:rPr>
        <w:t>flexible</w:t>
      </w:r>
      <w:r w:rsidR="00614779">
        <w:t xml:space="preserve"> subband</w:t>
      </w:r>
      <w:r w:rsidR="00773F65">
        <w:t xml:space="preserve"> </w:t>
      </w:r>
      <w:r>
        <w:t>by default.</w:t>
      </w:r>
    </w:p>
    <w:p w14:paraId="27BFC179" w14:textId="5F680B33" w:rsidR="00AC7472" w:rsidRDefault="00AC7472" w:rsidP="00BC51D9">
      <w:pPr>
        <w:pStyle w:val="a8"/>
        <w:numPr>
          <w:ilvl w:val="0"/>
          <w:numId w:val="12"/>
        </w:numPr>
        <w:spacing w:before="93"/>
        <w:ind w:firstLineChars="0"/>
      </w:pPr>
      <w:r>
        <w:t>If UL subband and DL subbands are configured in flexible symbols, the RBs outside the UL subband and DL subband(s) are flexible</w:t>
      </w:r>
      <w:r w:rsidR="007853B7">
        <w:t xml:space="preserve"> subband</w:t>
      </w:r>
      <w:r>
        <w:t xml:space="preserve"> by default</w:t>
      </w:r>
      <w:r w:rsidR="00A13164">
        <w:t>, which can be used for guard band</w:t>
      </w:r>
      <w:r>
        <w:t>.</w:t>
      </w:r>
    </w:p>
    <w:p w14:paraId="104CB149" w14:textId="1134F2AE" w:rsidR="00436E23" w:rsidRDefault="00D24712" w:rsidP="00436E23">
      <w:pPr>
        <w:spacing w:before="93"/>
      </w:pPr>
      <w:r>
        <w:t>In addition, the candidate subband patterns</w:t>
      </w:r>
      <w:r w:rsidR="00436E23">
        <w:t xml:space="preserve"> </w:t>
      </w:r>
      <w:r w:rsidR="00436E23">
        <w:rPr>
          <w:rFonts w:eastAsia="Malgun Gothic"/>
        </w:rPr>
        <w:t>in</w:t>
      </w:r>
      <w:r w:rsidR="00436E23" w:rsidRPr="00E57C86">
        <w:rPr>
          <w:rFonts w:eastAsia="Malgun Gothic"/>
        </w:rPr>
        <w:t xml:space="preserve"> </w:t>
      </w:r>
      <w:r w:rsidR="00436E23" w:rsidRPr="004470F2">
        <w:rPr>
          <w:rFonts w:eastAsia="Malgun Gothic"/>
        </w:rPr>
        <w:t xml:space="preserve">a </w:t>
      </w:r>
      <w:r w:rsidR="00436E23" w:rsidRPr="004470F2">
        <w:rPr>
          <w:rFonts w:eastAsia="Malgun Gothic" w:hint="eastAsia"/>
        </w:rPr>
        <w:t xml:space="preserve">SBFD </w:t>
      </w:r>
      <w:r w:rsidR="00436E23" w:rsidRPr="004470F2">
        <w:rPr>
          <w:rFonts w:eastAsia="Malgun Gothic"/>
        </w:rPr>
        <w:t xml:space="preserve">symbol configured as </w:t>
      </w:r>
      <w:r w:rsidR="00436E23">
        <w:rPr>
          <w:rFonts w:eastAsia="Malgun Gothic"/>
        </w:rPr>
        <w:t>flexible</w:t>
      </w:r>
      <w:r w:rsidR="00436E23" w:rsidRPr="004470F2">
        <w:rPr>
          <w:rFonts w:eastAsia="Malgun Gothic"/>
        </w:rPr>
        <w:t xml:space="preserve"> in </w:t>
      </w:r>
      <w:r w:rsidR="00436E23" w:rsidRPr="004470F2">
        <w:rPr>
          <w:i/>
          <w:iCs/>
        </w:rPr>
        <w:t>TDD-UL-DL-</w:t>
      </w:r>
      <w:proofErr w:type="spellStart"/>
      <w:r w:rsidR="00436E23" w:rsidRPr="004470F2">
        <w:rPr>
          <w:i/>
          <w:iCs/>
        </w:rPr>
        <w:t>ConfigCommon</w:t>
      </w:r>
      <w:proofErr w:type="spellEnd"/>
      <w:r w:rsidR="00436E23">
        <w:rPr>
          <w:rFonts w:eastAsia="Malgun Gothic"/>
        </w:rPr>
        <w:t xml:space="preserve"> </w:t>
      </w:r>
      <w:r w:rsidR="00436E23">
        <w:t xml:space="preserve">include {FU}, {UF}, {FUF}, {DF}, {FD}, {DFD}, {DU}, {UD}, {DUD}, </w:t>
      </w:r>
      <w:r w:rsidR="00436E23">
        <w:rPr>
          <w:rFonts w:eastAsia="Malgun Gothic"/>
        </w:rPr>
        <w:t>where ‘F’ denotes flexible subband, ‘U’ denotes UL subband, and ‘D’ denotes DL subband</w:t>
      </w:r>
      <w:r w:rsidR="00436E23">
        <w:t>.</w:t>
      </w:r>
    </w:p>
    <w:p w14:paraId="766899BA" w14:textId="332A6BCF" w:rsidR="000E2B78" w:rsidRDefault="000E2B78" w:rsidP="000E2B78">
      <w:pPr>
        <w:spacing w:before="93"/>
        <w:rPr>
          <w:rFonts w:cs="Times"/>
          <w:i/>
          <w:iCs/>
        </w:rPr>
      </w:pPr>
      <w:r w:rsidRPr="00971B58">
        <w:rPr>
          <w:rFonts w:hint="eastAsia"/>
          <w:b/>
          <w:i/>
        </w:rPr>
        <w:t>P</w:t>
      </w:r>
      <w:r w:rsidRPr="00971B58">
        <w:rPr>
          <w:b/>
          <w:i/>
        </w:rPr>
        <w:t xml:space="preserve">roposal </w:t>
      </w:r>
      <w:r w:rsidR="00A20D41">
        <w:rPr>
          <w:b/>
          <w:i/>
        </w:rPr>
        <w:t>4</w:t>
      </w:r>
      <w:r w:rsidRPr="00971B58">
        <w:rPr>
          <w:i/>
        </w:rPr>
        <w:t>:</w:t>
      </w:r>
      <w:r>
        <w:rPr>
          <w:i/>
        </w:rPr>
        <w:t xml:space="preserve"> </w:t>
      </w:r>
      <w:r w:rsidR="00822251">
        <w:rPr>
          <w:i/>
        </w:rPr>
        <w:t xml:space="preserve">The flexible subband </w:t>
      </w:r>
      <w:r w:rsidR="000F56F1">
        <w:rPr>
          <w:rFonts w:hint="eastAsia"/>
          <w:i/>
        </w:rPr>
        <w:t>is</w:t>
      </w:r>
      <w:r w:rsidR="00822251">
        <w:rPr>
          <w:i/>
        </w:rPr>
        <w:t xml:space="preserve"> supported in a SBFD symbol configured as flexible in </w:t>
      </w:r>
      <w:r w:rsidR="00822251" w:rsidRPr="004470F2">
        <w:rPr>
          <w:i/>
          <w:iCs/>
        </w:rPr>
        <w:t>TDD-UL-DL-</w:t>
      </w:r>
      <w:proofErr w:type="spellStart"/>
      <w:r w:rsidR="00822251" w:rsidRPr="004470F2">
        <w:rPr>
          <w:i/>
          <w:iCs/>
        </w:rPr>
        <w:t>ConfigCommon</w:t>
      </w:r>
      <w:proofErr w:type="spellEnd"/>
      <w:r w:rsidR="00293374">
        <w:rPr>
          <w:i/>
          <w:iCs/>
        </w:rPr>
        <w:t>.</w:t>
      </w:r>
    </w:p>
    <w:p w14:paraId="4EF038EA" w14:textId="79465DF5" w:rsidR="00A85786" w:rsidRPr="00A85786" w:rsidRDefault="00A85786" w:rsidP="00BC51D9">
      <w:pPr>
        <w:pStyle w:val="a8"/>
        <w:numPr>
          <w:ilvl w:val="0"/>
          <w:numId w:val="12"/>
        </w:numPr>
        <w:spacing w:before="93"/>
        <w:ind w:firstLineChars="0"/>
        <w:rPr>
          <w:i/>
        </w:rPr>
      </w:pPr>
      <w:r w:rsidRPr="00A85786">
        <w:rPr>
          <w:rFonts w:hint="eastAsia"/>
          <w:i/>
        </w:rPr>
        <w:t>I</w:t>
      </w:r>
      <w:r w:rsidRPr="00A85786">
        <w:rPr>
          <w:i/>
        </w:rPr>
        <w:t>f UL and DL subband are not configured in flexible symbols, it has the same behavior as legacy TDD.</w:t>
      </w:r>
    </w:p>
    <w:p w14:paraId="70C44697" w14:textId="3B6F8605" w:rsidR="00A85786" w:rsidRPr="00A85786" w:rsidRDefault="00A85786" w:rsidP="00BC51D9">
      <w:pPr>
        <w:pStyle w:val="a8"/>
        <w:numPr>
          <w:ilvl w:val="0"/>
          <w:numId w:val="12"/>
        </w:numPr>
        <w:spacing w:before="93"/>
        <w:ind w:firstLineChars="0"/>
        <w:rPr>
          <w:i/>
        </w:rPr>
      </w:pPr>
      <w:r w:rsidRPr="00A85786">
        <w:rPr>
          <w:rFonts w:hint="eastAsia"/>
          <w:i/>
        </w:rPr>
        <w:t>I</w:t>
      </w:r>
      <w:r w:rsidRPr="00A85786">
        <w:rPr>
          <w:i/>
        </w:rPr>
        <w:t xml:space="preserve">f only UL (or DL) subband is configured in flexible symbols, the RBs outside the UL (or DL) subband are flexible </w:t>
      </w:r>
      <w:r w:rsidR="00614779">
        <w:rPr>
          <w:i/>
        </w:rPr>
        <w:t xml:space="preserve">subband </w:t>
      </w:r>
      <w:r w:rsidRPr="00A85786">
        <w:rPr>
          <w:i/>
        </w:rPr>
        <w:t>by default.</w:t>
      </w:r>
    </w:p>
    <w:p w14:paraId="34D51581" w14:textId="076C9D98" w:rsidR="00A85786" w:rsidRDefault="00A85786" w:rsidP="00BC51D9">
      <w:pPr>
        <w:pStyle w:val="a8"/>
        <w:numPr>
          <w:ilvl w:val="0"/>
          <w:numId w:val="12"/>
        </w:numPr>
        <w:spacing w:before="93"/>
        <w:ind w:firstLineChars="0"/>
        <w:rPr>
          <w:i/>
        </w:rPr>
      </w:pPr>
      <w:r w:rsidRPr="00A85786">
        <w:rPr>
          <w:i/>
        </w:rPr>
        <w:t xml:space="preserve">If UL subband and DL subbands are configured in flexible symbols, the RBs outside the UL subband and DL subband(s) are flexible </w:t>
      </w:r>
      <w:r w:rsidR="00293374">
        <w:rPr>
          <w:i/>
        </w:rPr>
        <w:t xml:space="preserve">subband </w:t>
      </w:r>
      <w:r w:rsidRPr="00A85786">
        <w:rPr>
          <w:i/>
        </w:rPr>
        <w:t>by default</w:t>
      </w:r>
      <w:r w:rsidR="00877ED1">
        <w:rPr>
          <w:i/>
        </w:rPr>
        <w:t>, which can be used for guard band</w:t>
      </w:r>
      <w:r w:rsidRPr="00A85786">
        <w:rPr>
          <w:i/>
        </w:rPr>
        <w:t>.</w:t>
      </w:r>
    </w:p>
    <w:p w14:paraId="5B6902EB" w14:textId="1BD5C5C5" w:rsidR="00FE13EF" w:rsidRPr="00A85786" w:rsidRDefault="00FE13EF" w:rsidP="00BC51D9">
      <w:pPr>
        <w:pStyle w:val="a8"/>
        <w:numPr>
          <w:ilvl w:val="0"/>
          <w:numId w:val="12"/>
        </w:numPr>
        <w:spacing w:before="93"/>
        <w:ind w:firstLineChars="0"/>
        <w:rPr>
          <w:i/>
        </w:rPr>
      </w:pPr>
      <w:r>
        <w:rPr>
          <w:i/>
        </w:rPr>
        <w:t>The</w:t>
      </w:r>
      <w:r w:rsidRPr="005A1465">
        <w:t xml:space="preserve"> </w:t>
      </w:r>
      <w:r w:rsidRPr="005A1465">
        <w:rPr>
          <w:i/>
        </w:rPr>
        <w:t xml:space="preserve">candidate subband patterns </w:t>
      </w:r>
      <w:r>
        <w:rPr>
          <w:i/>
        </w:rPr>
        <w:t>for a SBFD aware UE</w:t>
      </w:r>
      <w:r w:rsidRPr="005A1465">
        <w:rPr>
          <w:i/>
        </w:rPr>
        <w:t xml:space="preserve"> </w:t>
      </w:r>
      <w:r>
        <w:rPr>
          <w:i/>
        </w:rPr>
        <w:t>are</w:t>
      </w:r>
      <w:r w:rsidRPr="005A1465">
        <w:rPr>
          <w:i/>
        </w:rPr>
        <w:t xml:space="preserve"> </w:t>
      </w:r>
      <w:r>
        <w:rPr>
          <w:i/>
        </w:rPr>
        <w:t xml:space="preserve">{FU}, {UF}, {FUF}, {DF}, {FD}, {DFD}, </w:t>
      </w:r>
      <w:r w:rsidRPr="005A1465">
        <w:rPr>
          <w:i/>
        </w:rPr>
        <w:t>{DU</w:t>
      </w:r>
      <w:r>
        <w:rPr>
          <w:i/>
        </w:rPr>
        <w:t>}, {UD}, and {DUD}</w:t>
      </w:r>
      <w:r w:rsidRPr="005A1465">
        <w:rPr>
          <w:i/>
        </w:rPr>
        <w:t>, where ‘F’ denotes flexible subband, ‘U’ denotes UL subband, and ‘D’ denotes DL subband</w:t>
      </w:r>
      <w:r>
        <w:rPr>
          <w:i/>
        </w:rPr>
        <w:t>.</w:t>
      </w:r>
    </w:p>
    <w:p w14:paraId="3057AE1B" w14:textId="77777777" w:rsidR="00293374" w:rsidRPr="00195777" w:rsidRDefault="00293374" w:rsidP="00931000">
      <w:pPr>
        <w:spacing w:before="93"/>
        <w:rPr>
          <w:b/>
        </w:rPr>
      </w:pPr>
    </w:p>
    <w:p w14:paraId="30AD33DC" w14:textId="10D6D938" w:rsidR="00FC4001" w:rsidRDefault="00FC4001" w:rsidP="00931000">
      <w:pPr>
        <w:spacing w:before="93"/>
      </w:pPr>
      <w:r>
        <w:rPr>
          <w:rFonts w:hint="eastAsia"/>
        </w:rPr>
        <w:t>T</w:t>
      </w:r>
      <w:r>
        <w:t xml:space="preserve">he flexible subband can also be supported in DL symbols. </w:t>
      </w:r>
      <w:r w:rsidR="008740A9">
        <w:t xml:space="preserve">However </w:t>
      </w:r>
      <w:r w:rsidR="00757DFF">
        <w:t>in the DL symbols, the flexibility should be limited</w:t>
      </w:r>
      <w:r w:rsidR="004B77B9">
        <w:t xml:space="preserve"> to reduce the implementation complexities for gNB</w:t>
      </w:r>
      <w:r w:rsidR="00757DFF">
        <w:t xml:space="preserve">. The </w:t>
      </w:r>
      <w:r w:rsidR="00757DFF">
        <w:rPr>
          <w:rFonts w:eastAsia="Malgun Gothic"/>
        </w:rPr>
        <w:t>candidate subband patterns in</w:t>
      </w:r>
      <w:r w:rsidR="00757DFF" w:rsidRPr="00E57C86">
        <w:rPr>
          <w:rFonts w:eastAsia="Malgun Gothic"/>
        </w:rPr>
        <w:t xml:space="preserve"> </w:t>
      </w:r>
      <w:r w:rsidR="00757DFF" w:rsidRPr="004470F2">
        <w:rPr>
          <w:rFonts w:eastAsia="Malgun Gothic"/>
        </w:rPr>
        <w:t xml:space="preserve">a symbol configured as DL in </w:t>
      </w:r>
      <w:r w:rsidR="00757DFF" w:rsidRPr="004470F2">
        <w:rPr>
          <w:i/>
          <w:iCs/>
        </w:rPr>
        <w:t>TDD-UL-DL-</w:t>
      </w:r>
      <w:proofErr w:type="spellStart"/>
      <w:r w:rsidR="00757DFF" w:rsidRPr="004470F2">
        <w:rPr>
          <w:i/>
          <w:iCs/>
        </w:rPr>
        <w:t>ConfigCommon</w:t>
      </w:r>
      <w:proofErr w:type="spellEnd"/>
      <w:r w:rsidR="00757DFF">
        <w:rPr>
          <w:rFonts w:eastAsia="Malgun Gothic"/>
        </w:rPr>
        <w:t xml:space="preserve"> can be: {DU}, {UD}, {DUD}, {DF}, {FD}, and {DFD}, where ‘F’ denotes flexible subband, ‘U’ denotes UL subband, and ‘D’ denotes DL subband.</w:t>
      </w:r>
    </w:p>
    <w:p w14:paraId="72A7F8E0" w14:textId="43DA9DE5" w:rsidR="00B1026F" w:rsidRDefault="00B1026F" w:rsidP="00B1026F">
      <w:pPr>
        <w:spacing w:before="93"/>
        <w:rPr>
          <w:rFonts w:cs="Times"/>
          <w:i/>
          <w:iCs/>
        </w:rPr>
      </w:pPr>
      <w:r w:rsidRPr="00971B58">
        <w:rPr>
          <w:rFonts w:hint="eastAsia"/>
          <w:b/>
          <w:i/>
        </w:rPr>
        <w:t>P</w:t>
      </w:r>
      <w:r w:rsidRPr="00971B58">
        <w:rPr>
          <w:b/>
          <w:i/>
        </w:rPr>
        <w:t xml:space="preserve">roposal </w:t>
      </w:r>
      <w:r w:rsidR="00A20D41">
        <w:rPr>
          <w:b/>
          <w:i/>
        </w:rPr>
        <w:t>5</w:t>
      </w:r>
      <w:r w:rsidRPr="00971B58">
        <w:rPr>
          <w:i/>
        </w:rPr>
        <w:t>:</w:t>
      </w:r>
      <w:r>
        <w:rPr>
          <w:i/>
        </w:rPr>
        <w:t xml:space="preserve"> The flexible subband </w:t>
      </w:r>
      <w:r>
        <w:rPr>
          <w:rFonts w:hint="eastAsia"/>
          <w:i/>
        </w:rPr>
        <w:t>is</w:t>
      </w:r>
      <w:r>
        <w:rPr>
          <w:i/>
        </w:rPr>
        <w:t xml:space="preserve"> supported in a SBFD symbol configured as DL in </w:t>
      </w:r>
      <w:r w:rsidRPr="004470F2">
        <w:rPr>
          <w:i/>
          <w:iCs/>
        </w:rPr>
        <w:t>TDD-UL-DL-</w:t>
      </w:r>
      <w:proofErr w:type="spellStart"/>
      <w:r w:rsidRPr="004470F2">
        <w:rPr>
          <w:i/>
          <w:iCs/>
        </w:rPr>
        <w:t>ConfigCommon</w:t>
      </w:r>
      <w:proofErr w:type="spellEnd"/>
      <w:r w:rsidR="00C16B8B">
        <w:rPr>
          <w:i/>
          <w:iCs/>
        </w:rPr>
        <w:t>.</w:t>
      </w:r>
    </w:p>
    <w:p w14:paraId="077BE706" w14:textId="760F45AD" w:rsidR="00B1026F" w:rsidRPr="00A85786" w:rsidRDefault="00B1026F" w:rsidP="00BC51D9">
      <w:pPr>
        <w:pStyle w:val="a8"/>
        <w:numPr>
          <w:ilvl w:val="0"/>
          <w:numId w:val="12"/>
        </w:numPr>
        <w:spacing w:before="93"/>
        <w:ind w:firstLineChars="0"/>
        <w:rPr>
          <w:i/>
        </w:rPr>
      </w:pPr>
      <w:r>
        <w:rPr>
          <w:i/>
        </w:rPr>
        <w:t>The</w:t>
      </w:r>
      <w:r w:rsidRPr="005A1465">
        <w:t xml:space="preserve"> </w:t>
      </w:r>
      <w:r w:rsidRPr="005A1465">
        <w:rPr>
          <w:i/>
        </w:rPr>
        <w:t>candidate subband patterns</w:t>
      </w:r>
      <w:r>
        <w:rPr>
          <w:i/>
        </w:rPr>
        <w:t xml:space="preserve"> for a SBFD aware UE</w:t>
      </w:r>
      <w:r w:rsidRPr="005A1465">
        <w:rPr>
          <w:i/>
        </w:rPr>
        <w:t xml:space="preserve"> </w:t>
      </w:r>
      <w:r>
        <w:rPr>
          <w:i/>
        </w:rPr>
        <w:t>are</w:t>
      </w:r>
      <w:r w:rsidRPr="005A1465">
        <w:rPr>
          <w:i/>
        </w:rPr>
        <w:t xml:space="preserve"> {DU}, {UD}, {DUD}, {DF}, {FD}, and {DFD}, where ‘F’ denotes flexible subband, ‘U’ denotes UL subband, and ‘D’ denotes DL subband</w:t>
      </w:r>
      <w:r w:rsidRPr="00A85786">
        <w:rPr>
          <w:i/>
        </w:rPr>
        <w:t>.</w:t>
      </w:r>
    </w:p>
    <w:p w14:paraId="7FAB522A" w14:textId="77777777" w:rsidR="00FC4001" w:rsidRPr="004868CB" w:rsidRDefault="00FC4001" w:rsidP="00931000">
      <w:pPr>
        <w:spacing w:before="93"/>
      </w:pPr>
    </w:p>
    <w:p w14:paraId="3E53539D" w14:textId="6360F568" w:rsidR="00506AC4" w:rsidRPr="009F341A" w:rsidRDefault="00506AC4" w:rsidP="00BC51D9">
      <w:pPr>
        <w:pStyle w:val="a8"/>
        <w:numPr>
          <w:ilvl w:val="0"/>
          <w:numId w:val="13"/>
        </w:numPr>
        <w:spacing w:before="93"/>
        <w:ind w:firstLineChars="0"/>
        <w:rPr>
          <w:b/>
          <w:u w:val="single"/>
        </w:rPr>
      </w:pPr>
      <w:r>
        <w:rPr>
          <w:b/>
          <w:u w:val="single"/>
        </w:rPr>
        <w:t>S</w:t>
      </w:r>
      <w:r w:rsidR="00641936">
        <w:rPr>
          <w:b/>
          <w:u w:val="single"/>
        </w:rPr>
        <w:t>ubband frequency-</w:t>
      </w:r>
      <w:r w:rsidRPr="00EE0BFA">
        <w:rPr>
          <w:b/>
          <w:u w:val="single"/>
        </w:rPr>
        <w:t>domain location indication</w:t>
      </w:r>
    </w:p>
    <w:p w14:paraId="73451A18" w14:textId="34E82532" w:rsidR="00267618" w:rsidRDefault="00595A7E" w:rsidP="00595A7E">
      <w:pPr>
        <w:spacing w:before="93"/>
      </w:pPr>
      <w:r>
        <w:t>In RAN1#110bis-e [</w:t>
      </w:r>
      <w:r w:rsidR="003A3105">
        <w:t>3</w:t>
      </w:r>
      <w:r>
        <w:t xml:space="preserve">], it was agreed that the UL subband </w:t>
      </w:r>
      <w:r w:rsidR="00641936">
        <w:t>frequency-domain</w:t>
      </w:r>
      <w:r>
        <w:t xml:space="preserve"> location is </w:t>
      </w:r>
      <w:r w:rsidRPr="00C30DAF">
        <w:rPr>
          <w:rFonts w:eastAsia="Malgun Gothic"/>
          <w:szCs w:val="20"/>
        </w:rPr>
        <w:t>explicit</w:t>
      </w:r>
      <w:r>
        <w:rPr>
          <w:rFonts w:eastAsia="Malgun Gothic"/>
          <w:szCs w:val="20"/>
        </w:rPr>
        <w:t>ly</w:t>
      </w:r>
      <w:r w:rsidRPr="00C30DAF">
        <w:rPr>
          <w:rFonts w:eastAsia="Malgun Gothic"/>
          <w:szCs w:val="20"/>
        </w:rPr>
        <w:t xml:space="preserve"> </w:t>
      </w:r>
      <w:r>
        <w:t>indicated</w:t>
      </w:r>
      <w:r w:rsidR="00267618">
        <w:rPr>
          <w:rFonts w:hint="eastAsia"/>
        </w:rPr>
        <w:t>.</w:t>
      </w:r>
      <w:r w:rsidR="00267618">
        <w:t xml:space="preserve"> And in RAN1#112bis-e</w:t>
      </w:r>
      <w:r w:rsidR="00F655FF">
        <w:t xml:space="preserve"> [1]</w:t>
      </w:r>
      <w:r w:rsidR="00267618">
        <w:t>, we have two options to be down-selected:</w:t>
      </w:r>
    </w:p>
    <w:p w14:paraId="3D225311" w14:textId="77777777" w:rsidR="00267618" w:rsidRPr="00997992" w:rsidRDefault="00267618" w:rsidP="00195777">
      <w:pPr>
        <w:pStyle w:val="a8"/>
        <w:numPr>
          <w:ilvl w:val="0"/>
          <w:numId w:val="12"/>
        </w:numPr>
        <w:spacing w:before="93"/>
        <w:ind w:firstLineChars="0"/>
      </w:pPr>
      <w:r w:rsidRPr="00997992">
        <w:t xml:space="preserve">Option 1: Frequency locations of DL subband(s) are explicitly configured. Guardband(s) if any are implicitly derived as the RBs which are not within UL subband or DL subband(s). </w:t>
      </w:r>
    </w:p>
    <w:p w14:paraId="68D98153" w14:textId="77777777" w:rsidR="00267618" w:rsidRPr="00267618" w:rsidRDefault="00267618" w:rsidP="00195777">
      <w:pPr>
        <w:pStyle w:val="a8"/>
        <w:numPr>
          <w:ilvl w:val="0"/>
          <w:numId w:val="12"/>
        </w:numPr>
        <w:spacing w:before="93"/>
        <w:ind w:firstLineChars="0"/>
      </w:pPr>
      <w:r w:rsidRPr="00267618">
        <w:t>Option 2: The number of RBs for guardband(s), if any, is explicitly configured. DL subband(s) are implicitly derived as RBs which are not within UL subband or guardband(s).</w:t>
      </w:r>
    </w:p>
    <w:p w14:paraId="6B287492" w14:textId="71D32410" w:rsidR="00595A7E" w:rsidRDefault="00595A7E" w:rsidP="00595A7E">
      <w:pPr>
        <w:spacing w:before="93"/>
      </w:pPr>
      <w:r>
        <w:lastRenderedPageBreak/>
        <w:t xml:space="preserve">In our understanding, the subband </w:t>
      </w:r>
      <w:r w:rsidR="00641936">
        <w:t>frequency-domain</w:t>
      </w:r>
      <w:r>
        <w:t xml:space="preserve"> location indication can refer to the UL-DL slot format indication. For DL subband, it should be also </w:t>
      </w:r>
      <w:r w:rsidRPr="00C30DAF">
        <w:rPr>
          <w:rFonts w:eastAsia="Malgun Gothic"/>
          <w:szCs w:val="20"/>
        </w:rPr>
        <w:t>explicit</w:t>
      </w:r>
      <w:r>
        <w:rPr>
          <w:rFonts w:eastAsia="Malgun Gothic"/>
          <w:szCs w:val="20"/>
        </w:rPr>
        <w:t>ly</w:t>
      </w:r>
      <w:r w:rsidRPr="00C30DAF">
        <w:rPr>
          <w:rFonts w:eastAsia="Malgun Gothic"/>
          <w:szCs w:val="20"/>
        </w:rPr>
        <w:t xml:space="preserve"> </w:t>
      </w:r>
      <w:r>
        <w:t>indicated due to the existence of flexible subband and</w:t>
      </w:r>
      <w:r>
        <w:rPr>
          <w:rFonts w:hint="eastAsia"/>
        </w:rPr>
        <w:t>/</w:t>
      </w:r>
      <w:r>
        <w:t xml:space="preserve">or guard band. And further considering that the DL subbands are always allocated at the two sides of BWP/carrier, only indicating the length of DL subband may be enough. And then, the flexible subband can be </w:t>
      </w:r>
      <w:r w:rsidRPr="00C30DAF">
        <w:rPr>
          <w:rFonts w:eastAsia="Malgun Gothic"/>
          <w:szCs w:val="20"/>
        </w:rPr>
        <w:t xml:space="preserve">implicitly </w:t>
      </w:r>
      <w:r>
        <w:t xml:space="preserve">indicated as a set of consecutive of RBs which are not </w:t>
      </w:r>
      <w:r w:rsidR="005C1BD3">
        <w:t xml:space="preserve">included in </w:t>
      </w:r>
      <w:r>
        <w:t>UL and DL</w:t>
      </w:r>
      <w:r w:rsidR="005C1BD3">
        <w:t xml:space="preserve"> subband</w:t>
      </w:r>
      <w:r>
        <w:t xml:space="preserve">. The guard band is allocated in the flexible subband, which can be implicitly determined based on scheduling, i.e., the guard band consists of the RBs where the gNB does not schedule UL transmission and DL transmission. </w:t>
      </w:r>
      <w:r w:rsidR="00C45D2B">
        <w:t xml:space="preserve">Moreover, the configuration granularity should be RB. </w:t>
      </w:r>
      <w:r>
        <w:t>And then, the following proposal can be obtained.</w:t>
      </w:r>
    </w:p>
    <w:p w14:paraId="0A0D04CC" w14:textId="1371B219" w:rsidR="00595A7E" w:rsidRDefault="00595A7E" w:rsidP="00595A7E">
      <w:pPr>
        <w:spacing w:before="93"/>
        <w:rPr>
          <w:i/>
        </w:rPr>
      </w:pPr>
      <w:r w:rsidRPr="00971B58">
        <w:rPr>
          <w:rFonts w:hint="eastAsia"/>
          <w:b/>
          <w:i/>
        </w:rPr>
        <w:t>P</w:t>
      </w:r>
      <w:r w:rsidRPr="00971B58">
        <w:rPr>
          <w:b/>
          <w:i/>
        </w:rPr>
        <w:t xml:space="preserve">roposal </w:t>
      </w:r>
      <w:r w:rsidR="008917C8">
        <w:rPr>
          <w:b/>
          <w:i/>
        </w:rPr>
        <w:t>6</w:t>
      </w:r>
      <w:r w:rsidRPr="00971B58">
        <w:rPr>
          <w:i/>
        </w:rPr>
        <w:t>:</w:t>
      </w:r>
      <w:r>
        <w:rPr>
          <w:i/>
        </w:rPr>
        <w:t xml:space="preserve"> The </w:t>
      </w:r>
      <w:r w:rsidR="00641936">
        <w:rPr>
          <w:i/>
        </w:rPr>
        <w:t>frequency-domain</w:t>
      </w:r>
      <w:r>
        <w:rPr>
          <w:i/>
        </w:rPr>
        <w:t xml:space="preserve"> location indication of DL subband, flexible subband, and guard band are given as follows:</w:t>
      </w:r>
    </w:p>
    <w:p w14:paraId="307DAE0C" w14:textId="4EA6EB34" w:rsidR="00595A7E" w:rsidRDefault="00595A7E" w:rsidP="00BC51D9">
      <w:pPr>
        <w:pStyle w:val="a8"/>
        <w:numPr>
          <w:ilvl w:val="0"/>
          <w:numId w:val="14"/>
        </w:numPr>
        <w:spacing w:before="93"/>
        <w:ind w:firstLineChars="0"/>
        <w:rPr>
          <w:i/>
        </w:rPr>
      </w:pPr>
      <w:r w:rsidRPr="00AE551D">
        <w:rPr>
          <w:rFonts w:hint="eastAsia"/>
          <w:i/>
        </w:rPr>
        <w:t>D</w:t>
      </w:r>
      <w:r>
        <w:rPr>
          <w:i/>
        </w:rPr>
        <w:t>L subband should be explicitly indicated</w:t>
      </w:r>
      <w:r w:rsidR="00D467FD">
        <w:rPr>
          <w:i/>
        </w:rPr>
        <w:t xml:space="preserve"> if configured</w:t>
      </w:r>
      <w:r>
        <w:rPr>
          <w:i/>
        </w:rPr>
        <w:t>, at least for the length of DL subband;</w:t>
      </w:r>
    </w:p>
    <w:p w14:paraId="608AD514" w14:textId="277BD417" w:rsidR="00595A7E" w:rsidRDefault="00595A7E" w:rsidP="00BC51D9">
      <w:pPr>
        <w:pStyle w:val="a8"/>
        <w:numPr>
          <w:ilvl w:val="0"/>
          <w:numId w:val="14"/>
        </w:numPr>
        <w:spacing w:before="93"/>
        <w:ind w:firstLineChars="0"/>
        <w:rPr>
          <w:i/>
        </w:rPr>
      </w:pPr>
      <w:r>
        <w:rPr>
          <w:i/>
        </w:rPr>
        <w:t xml:space="preserve">Flexible subband can be implicitly indicated as a set of consecutive of RBs which are not </w:t>
      </w:r>
      <w:r w:rsidR="00E03EE1">
        <w:rPr>
          <w:i/>
        </w:rPr>
        <w:t xml:space="preserve">included in </w:t>
      </w:r>
      <w:r>
        <w:rPr>
          <w:i/>
        </w:rPr>
        <w:t xml:space="preserve">UL </w:t>
      </w:r>
      <w:r w:rsidR="00E03EE1">
        <w:rPr>
          <w:i/>
        </w:rPr>
        <w:t xml:space="preserve">subband </w:t>
      </w:r>
      <w:r>
        <w:rPr>
          <w:i/>
        </w:rPr>
        <w:t xml:space="preserve">and DL </w:t>
      </w:r>
      <w:r w:rsidR="00E03EE1">
        <w:rPr>
          <w:i/>
        </w:rPr>
        <w:t>subband</w:t>
      </w:r>
      <w:r>
        <w:rPr>
          <w:i/>
        </w:rPr>
        <w:t>;</w:t>
      </w:r>
    </w:p>
    <w:p w14:paraId="7E98FE97" w14:textId="4B8E8B9D" w:rsidR="00BC6DBE" w:rsidRDefault="00595A7E" w:rsidP="00BC51D9">
      <w:pPr>
        <w:pStyle w:val="a8"/>
        <w:numPr>
          <w:ilvl w:val="0"/>
          <w:numId w:val="14"/>
        </w:numPr>
        <w:spacing w:before="93"/>
        <w:ind w:firstLineChars="0"/>
        <w:rPr>
          <w:i/>
        </w:rPr>
      </w:pPr>
      <w:r>
        <w:rPr>
          <w:i/>
        </w:rPr>
        <w:t xml:space="preserve">Guard band can be implicitly </w:t>
      </w:r>
      <w:r w:rsidR="00D467FD">
        <w:rPr>
          <w:i/>
        </w:rPr>
        <w:t xml:space="preserve">derived </w:t>
      </w:r>
      <w:r>
        <w:rPr>
          <w:i/>
        </w:rPr>
        <w:t>based on scheduling, i.e., gNB will not schedule UL an</w:t>
      </w:r>
      <w:r w:rsidR="00C45D2B">
        <w:rPr>
          <w:i/>
        </w:rPr>
        <w:t>d DL transmission on guard band;</w:t>
      </w:r>
    </w:p>
    <w:p w14:paraId="343374C6" w14:textId="440FF747" w:rsidR="00C45D2B" w:rsidRPr="00BC6DBE" w:rsidRDefault="00C45D2B" w:rsidP="00BC51D9">
      <w:pPr>
        <w:pStyle w:val="a8"/>
        <w:numPr>
          <w:ilvl w:val="0"/>
          <w:numId w:val="14"/>
        </w:numPr>
        <w:spacing w:before="93"/>
        <w:ind w:firstLineChars="0"/>
        <w:rPr>
          <w:i/>
        </w:rPr>
      </w:pPr>
      <w:r>
        <w:rPr>
          <w:i/>
        </w:rPr>
        <w:t>The subband frequency-domain locations is indicated by granularity of RB.</w:t>
      </w:r>
    </w:p>
    <w:p w14:paraId="76F1BA16" w14:textId="77777777" w:rsidR="00DF0620" w:rsidRPr="0062779F" w:rsidRDefault="00DF0620" w:rsidP="00931000">
      <w:pPr>
        <w:spacing w:before="93"/>
      </w:pPr>
    </w:p>
    <w:p w14:paraId="65F92AD9" w14:textId="0D8C777F" w:rsidR="00547C0A" w:rsidRPr="00EE0BFA" w:rsidRDefault="00547C0A" w:rsidP="00BC51D9">
      <w:pPr>
        <w:pStyle w:val="a8"/>
        <w:numPr>
          <w:ilvl w:val="0"/>
          <w:numId w:val="13"/>
        </w:numPr>
        <w:spacing w:before="93"/>
        <w:ind w:firstLineChars="0"/>
        <w:rPr>
          <w:b/>
          <w:u w:val="single"/>
        </w:rPr>
      </w:pPr>
      <w:r w:rsidRPr="00EE0BFA">
        <w:rPr>
          <w:b/>
          <w:u w:val="single"/>
        </w:rPr>
        <w:t xml:space="preserve">Subband </w:t>
      </w:r>
      <w:r>
        <w:rPr>
          <w:rFonts w:hint="eastAsia"/>
          <w:b/>
          <w:u w:val="single"/>
        </w:rPr>
        <w:t>time</w:t>
      </w:r>
      <w:r w:rsidR="00641936">
        <w:rPr>
          <w:b/>
          <w:u w:val="single"/>
        </w:rPr>
        <w:t>-</w:t>
      </w:r>
      <w:r w:rsidRPr="00EE0BFA">
        <w:rPr>
          <w:b/>
          <w:u w:val="single"/>
        </w:rPr>
        <w:t>domain location indication</w:t>
      </w:r>
    </w:p>
    <w:p w14:paraId="1DB66266" w14:textId="0BCA3596" w:rsidR="001A79FB" w:rsidRDefault="00A5402F" w:rsidP="00D1095F">
      <w:pPr>
        <w:spacing w:before="93"/>
      </w:pPr>
      <w:r>
        <w:t>In RAN1#112 [</w:t>
      </w:r>
      <w:r w:rsidR="00AE0B6E">
        <w:t>4</w:t>
      </w:r>
      <w:r>
        <w:t xml:space="preserve">], one issue for subband </w:t>
      </w:r>
      <w:r w:rsidR="00641936">
        <w:t>time-domain</w:t>
      </w:r>
      <w:r>
        <w:t xml:space="preserve"> location indication is that whether or not a slot consists of both SBFD symbols and non-SBFD symbols. In our view, a slot should consist of SBFD symbols and non-SBFD symbols, </w:t>
      </w:r>
      <w:r w:rsidR="00CC2302">
        <w:t xml:space="preserve">one </w:t>
      </w:r>
      <w:r>
        <w:t xml:space="preserve">use case </w:t>
      </w:r>
      <w:r w:rsidR="00CC2302">
        <w:t>is</w:t>
      </w:r>
      <w:r>
        <w:t xml:space="preserve"> given </w:t>
      </w:r>
      <w:r w:rsidR="00CC2302">
        <w:t>below</w:t>
      </w:r>
      <w:r>
        <w:t>:</w:t>
      </w:r>
    </w:p>
    <w:p w14:paraId="4DFC1C10" w14:textId="758E0C44" w:rsidR="00A5402F" w:rsidRDefault="00C01A76" w:rsidP="00BC51D9">
      <w:pPr>
        <w:pStyle w:val="a8"/>
        <w:numPr>
          <w:ilvl w:val="0"/>
          <w:numId w:val="23"/>
        </w:numPr>
        <w:spacing w:before="93"/>
        <w:ind w:firstLineChars="0"/>
      </w:pPr>
      <w:r>
        <w:t>UL and flexible s</w:t>
      </w:r>
      <w:r w:rsidR="00A5402F">
        <w:t>ubband configured in a special slot which consist of DL, UL, and flexible symbols. In this case, if the DL symbols (and flexible symbols) is configured as SBFD symbol, this slot will consist of both SBFD symbols and non-SBFD symbols.</w:t>
      </w:r>
      <w:r w:rsidR="001E783D">
        <w:t xml:space="preserve"> The UL symbols reserved in special slots can be used for SRS and PUCCH, which are widely deployed in current network.</w:t>
      </w:r>
    </w:p>
    <w:p w14:paraId="593856F9" w14:textId="6776806D" w:rsidR="00B40A96" w:rsidRDefault="00B40A96" w:rsidP="00B40A96">
      <w:pPr>
        <w:spacing w:before="93"/>
        <w:rPr>
          <w:i/>
        </w:rPr>
      </w:pPr>
      <w:r w:rsidRPr="00971B58">
        <w:rPr>
          <w:rFonts w:hint="eastAsia"/>
          <w:b/>
          <w:i/>
        </w:rPr>
        <w:t>P</w:t>
      </w:r>
      <w:r w:rsidRPr="00971B58">
        <w:rPr>
          <w:b/>
          <w:i/>
        </w:rPr>
        <w:t xml:space="preserve">roposal </w:t>
      </w:r>
      <w:r w:rsidR="000F558C">
        <w:rPr>
          <w:b/>
          <w:i/>
        </w:rPr>
        <w:t>7</w:t>
      </w:r>
      <w:r w:rsidRPr="00971B58">
        <w:rPr>
          <w:i/>
        </w:rPr>
        <w:t>:</w:t>
      </w:r>
      <w:r>
        <w:rPr>
          <w:i/>
        </w:rPr>
        <w:t xml:space="preserve"> A slot </w:t>
      </w:r>
      <w:r w:rsidR="009E3D26">
        <w:rPr>
          <w:rFonts w:hint="eastAsia"/>
          <w:i/>
        </w:rPr>
        <w:t>can</w:t>
      </w:r>
      <w:r>
        <w:rPr>
          <w:i/>
        </w:rPr>
        <w:t xml:space="preserve"> consist of SBFD symbols and non-SBFD symbols.</w:t>
      </w:r>
    </w:p>
    <w:p w14:paraId="7FF44642" w14:textId="77777777" w:rsidR="00B40A96" w:rsidRPr="00B40A96" w:rsidRDefault="00B40A96" w:rsidP="00D1095F">
      <w:pPr>
        <w:spacing w:before="93"/>
      </w:pPr>
    </w:p>
    <w:p w14:paraId="61E9ECF4" w14:textId="4829B3A2" w:rsidR="00A51916" w:rsidRDefault="00A93EDE" w:rsidP="00DF544A">
      <w:pPr>
        <w:spacing w:before="93"/>
      </w:pPr>
      <w:r>
        <w:t>T</w:t>
      </w:r>
      <w:r w:rsidR="00BA6EE5">
        <w:t xml:space="preserve">he semi-static </w:t>
      </w:r>
      <w:r w:rsidR="00DF0620">
        <w:t xml:space="preserve">subband time-domain </w:t>
      </w:r>
      <w:r w:rsidR="00BA6EE5">
        <w:t>locations</w:t>
      </w:r>
      <w:r w:rsidR="00DF0620">
        <w:t xml:space="preserve"> </w:t>
      </w:r>
      <w:r w:rsidR="00BA6EE5">
        <w:t xml:space="preserve">should be configured within a period, and the </w:t>
      </w:r>
      <w:r w:rsidR="009606CC">
        <w:t xml:space="preserve">period </w:t>
      </w:r>
      <w:r w:rsidR="00DF0620">
        <w:t xml:space="preserve">of subband </w:t>
      </w:r>
      <w:r w:rsidR="00BA157E">
        <w:t xml:space="preserve">can be </w:t>
      </w:r>
      <w:r w:rsidR="00DF0620">
        <w:t>align</w:t>
      </w:r>
      <w:r w:rsidR="00BA157E">
        <w:t>ed</w:t>
      </w:r>
      <w:r w:rsidR="00DF0620">
        <w:t xml:space="preserve"> to the </w:t>
      </w:r>
      <w:r w:rsidR="009606CC">
        <w:t xml:space="preserve">period </w:t>
      </w:r>
      <w:r w:rsidR="00DF0620">
        <w:t>of TDD UL-DL patterns configur</w:t>
      </w:r>
      <w:r w:rsidR="00BA6EE5">
        <w:t xml:space="preserve">ed in </w:t>
      </w:r>
      <w:r w:rsidR="00BA6EE5" w:rsidRPr="00BA6EE5">
        <w:rPr>
          <w:i/>
        </w:rPr>
        <w:t>TDD-UL-DL-</w:t>
      </w:r>
      <w:proofErr w:type="spellStart"/>
      <w:r w:rsidR="00BA6EE5" w:rsidRPr="00BA6EE5">
        <w:rPr>
          <w:i/>
        </w:rPr>
        <w:t>ConfigCommon</w:t>
      </w:r>
      <w:proofErr w:type="spellEnd"/>
      <w:r w:rsidR="00BA6EE5">
        <w:t>.</w:t>
      </w:r>
      <w:r w:rsidR="00DF544A">
        <w:t xml:space="preserve"> </w:t>
      </w:r>
      <w:r w:rsidR="006D1B69">
        <w:t>W</w:t>
      </w:r>
      <w:r w:rsidR="00DF544A">
        <w:t xml:space="preserve">ithin a period, the subband time-domain locations can be indicated by a </w:t>
      </w:r>
      <w:r w:rsidR="00641936">
        <w:t>time-domain</w:t>
      </w:r>
      <w:r w:rsidR="00DF544A">
        <w:t xml:space="preserve"> window.</w:t>
      </w:r>
      <w:r w:rsidR="006D1B69">
        <w:t xml:space="preserve"> And the configuration granularity </w:t>
      </w:r>
      <w:r w:rsidR="009606CC">
        <w:t xml:space="preserve">can </w:t>
      </w:r>
      <w:r w:rsidR="006D1B69">
        <w:t>be slot</w:t>
      </w:r>
      <w:r w:rsidR="00ED3547">
        <w:t xml:space="preserve"> or symbol</w:t>
      </w:r>
      <w:r w:rsidR="006D1B69">
        <w:t>.</w:t>
      </w:r>
    </w:p>
    <w:p w14:paraId="42B7CA1D" w14:textId="14E19929" w:rsidR="00BA6EE5" w:rsidRDefault="00BA6EE5" w:rsidP="00BA6EE5">
      <w:pPr>
        <w:spacing w:before="93"/>
        <w:rPr>
          <w:i/>
        </w:rPr>
      </w:pPr>
      <w:r w:rsidRPr="00971B58">
        <w:rPr>
          <w:rFonts w:hint="eastAsia"/>
          <w:b/>
          <w:i/>
        </w:rPr>
        <w:t>P</w:t>
      </w:r>
      <w:r w:rsidRPr="00971B58">
        <w:rPr>
          <w:b/>
          <w:i/>
        </w:rPr>
        <w:t xml:space="preserve">roposal </w:t>
      </w:r>
      <w:r w:rsidR="00B83EA5">
        <w:rPr>
          <w:b/>
          <w:i/>
        </w:rPr>
        <w:t>8</w:t>
      </w:r>
      <w:r w:rsidRPr="00971B58">
        <w:rPr>
          <w:i/>
        </w:rPr>
        <w:t>:</w:t>
      </w:r>
      <w:r>
        <w:rPr>
          <w:i/>
        </w:rPr>
        <w:t xml:space="preserve"> The semi-static subband time-domain locations should be configured within a period, and the </w:t>
      </w:r>
      <w:r w:rsidR="00A93EDE">
        <w:rPr>
          <w:i/>
        </w:rPr>
        <w:t>period</w:t>
      </w:r>
      <w:r w:rsidR="00A93EDE" w:rsidDel="00A93EDE">
        <w:rPr>
          <w:i/>
        </w:rPr>
        <w:t xml:space="preserve"> </w:t>
      </w:r>
      <w:r>
        <w:rPr>
          <w:i/>
        </w:rPr>
        <w:t xml:space="preserve">of subband should align to the </w:t>
      </w:r>
      <w:r w:rsidR="00A93EDE">
        <w:rPr>
          <w:i/>
        </w:rPr>
        <w:t>period</w:t>
      </w:r>
      <w:r w:rsidR="00A93EDE" w:rsidDel="00A93EDE">
        <w:rPr>
          <w:i/>
        </w:rPr>
        <w:t xml:space="preserve"> </w:t>
      </w:r>
      <w:r>
        <w:rPr>
          <w:i/>
        </w:rPr>
        <w:t>o</w:t>
      </w:r>
      <w:r w:rsidR="00A93EDE">
        <w:rPr>
          <w:i/>
        </w:rPr>
        <w:t>f</w:t>
      </w:r>
      <w:r>
        <w:rPr>
          <w:i/>
        </w:rPr>
        <w:t xml:space="preserve"> TDD UL-DL patterns configured in TDD-UL-DL-</w:t>
      </w:r>
      <w:proofErr w:type="spellStart"/>
      <w:r>
        <w:rPr>
          <w:i/>
        </w:rPr>
        <w:t>ConfigCommon</w:t>
      </w:r>
      <w:proofErr w:type="spellEnd"/>
      <w:r>
        <w:rPr>
          <w:i/>
        </w:rPr>
        <w:t>.</w:t>
      </w:r>
    </w:p>
    <w:p w14:paraId="1848A4C7" w14:textId="2DBD73BE" w:rsidR="00DF544A" w:rsidRDefault="00DF544A" w:rsidP="00BA6EE5">
      <w:pPr>
        <w:spacing w:before="93"/>
        <w:rPr>
          <w:i/>
        </w:rPr>
      </w:pPr>
      <w:r w:rsidRPr="00971B58">
        <w:rPr>
          <w:rFonts w:hint="eastAsia"/>
          <w:b/>
          <w:i/>
        </w:rPr>
        <w:t>P</w:t>
      </w:r>
      <w:r w:rsidRPr="00971B58">
        <w:rPr>
          <w:b/>
          <w:i/>
        </w:rPr>
        <w:t xml:space="preserve">roposal </w:t>
      </w:r>
      <w:r w:rsidR="00B83EA5">
        <w:rPr>
          <w:b/>
          <w:i/>
        </w:rPr>
        <w:t>9</w:t>
      </w:r>
      <w:r w:rsidRPr="00971B58">
        <w:rPr>
          <w:i/>
        </w:rPr>
        <w:t>:</w:t>
      </w:r>
      <w:r>
        <w:rPr>
          <w:i/>
        </w:rPr>
        <w:t xml:space="preserve"> The semi-static subband time-domain locations within a period can be indicated by a </w:t>
      </w:r>
      <w:r w:rsidR="00641936">
        <w:rPr>
          <w:i/>
        </w:rPr>
        <w:t>time-domain</w:t>
      </w:r>
      <w:r>
        <w:rPr>
          <w:i/>
        </w:rPr>
        <w:t xml:space="preserve"> window.</w:t>
      </w:r>
    </w:p>
    <w:p w14:paraId="530F27B0" w14:textId="580DFC31" w:rsidR="00565AE1" w:rsidRPr="00513FF4" w:rsidRDefault="00565AE1" w:rsidP="00513FF4">
      <w:pPr>
        <w:spacing w:before="93"/>
        <w:rPr>
          <w:i/>
        </w:rPr>
      </w:pPr>
      <w:r w:rsidRPr="00971B58">
        <w:rPr>
          <w:rFonts w:hint="eastAsia"/>
          <w:b/>
          <w:i/>
        </w:rPr>
        <w:t>P</w:t>
      </w:r>
      <w:r w:rsidRPr="00971B58">
        <w:rPr>
          <w:b/>
          <w:i/>
        </w:rPr>
        <w:t xml:space="preserve">roposal </w:t>
      </w:r>
      <w:r w:rsidR="00B83EA5">
        <w:rPr>
          <w:b/>
          <w:i/>
        </w:rPr>
        <w:t>10</w:t>
      </w:r>
      <w:r w:rsidRPr="00971B58">
        <w:rPr>
          <w:i/>
        </w:rPr>
        <w:t>:</w:t>
      </w:r>
      <w:r>
        <w:rPr>
          <w:i/>
        </w:rPr>
        <w:t xml:space="preserve"> The semi-static subband time-domain locations is indicated by granularity of slot</w:t>
      </w:r>
      <w:r w:rsidR="00ED3547">
        <w:rPr>
          <w:i/>
        </w:rPr>
        <w:t>/symbol</w:t>
      </w:r>
      <w:r>
        <w:rPr>
          <w:i/>
        </w:rPr>
        <w:t>.</w:t>
      </w:r>
    </w:p>
    <w:p w14:paraId="32B18105" w14:textId="77777777" w:rsidR="00CC0AE0" w:rsidRDefault="00CC0AE0" w:rsidP="00D1095F">
      <w:pPr>
        <w:spacing w:before="93"/>
      </w:pPr>
    </w:p>
    <w:p w14:paraId="61E379A1" w14:textId="6AB776D4" w:rsidR="00514720" w:rsidRDefault="00264F82" w:rsidP="00514720">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SBFD/non-SBFD</w:t>
      </w:r>
      <w:r w:rsidR="00514720">
        <w:rPr>
          <w:rFonts w:eastAsia="宋体" w:cs="Times New Roman"/>
          <w:b/>
          <w:bCs/>
          <w:kern w:val="0"/>
          <w:sz w:val="28"/>
          <w:szCs w:val="28"/>
        </w:rPr>
        <w:t xml:space="preserve"> switching point</w:t>
      </w:r>
    </w:p>
    <w:p w14:paraId="0BC13CC9" w14:textId="171A319B" w:rsidR="007B5333" w:rsidRDefault="00326DE4" w:rsidP="00D1095F">
      <w:pPr>
        <w:spacing w:before="93"/>
      </w:pPr>
      <w:r>
        <w:t>As discussed in RAN1#112bis-e [1], f</w:t>
      </w:r>
      <w:r w:rsidR="00C01FBE">
        <w:t>requent switching</w:t>
      </w:r>
      <w:r w:rsidR="00E14D4B">
        <w:t xml:space="preserve"> between SBFD and non-SBFD symbols may </w:t>
      </w:r>
      <w:r w:rsidR="00985145">
        <w:t xml:space="preserve">not only </w:t>
      </w:r>
      <w:r w:rsidR="00E14D4B">
        <w:t xml:space="preserve">increase the implementation complexity </w:t>
      </w:r>
      <w:r w:rsidR="00985145">
        <w:t>but also lead to potential</w:t>
      </w:r>
      <w:r w:rsidR="00E14D4B">
        <w:t xml:space="preserve"> interruptions of transmissions/receptions, thus </w:t>
      </w:r>
      <w:r w:rsidR="00985145">
        <w:t xml:space="preserve">degrade </w:t>
      </w:r>
      <w:r w:rsidR="00E14D4B">
        <w:t xml:space="preserve">the </w:t>
      </w:r>
      <w:r w:rsidR="00985145">
        <w:t xml:space="preserve">overall system </w:t>
      </w:r>
      <w:r w:rsidR="00E14D4B">
        <w:t>performance.</w:t>
      </w:r>
      <w:r w:rsidR="00F16A21">
        <w:t xml:space="preserve"> </w:t>
      </w:r>
      <w:r w:rsidR="005E1ADA">
        <w:t xml:space="preserve">As a starting point, </w:t>
      </w:r>
      <w:r w:rsidR="00F16A21">
        <w:t>at most one switching point within one slot, and at most two switching points within one TDD UL/DL pattern period is enough.</w:t>
      </w:r>
    </w:p>
    <w:p w14:paraId="5000863D" w14:textId="555D001B" w:rsidR="00E1628D" w:rsidRDefault="00E1628D" w:rsidP="00E1628D">
      <w:pPr>
        <w:spacing w:before="93"/>
        <w:rPr>
          <w:i/>
        </w:rPr>
      </w:pPr>
      <w:r w:rsidRPr="00971B58">
        <w:rPr>
          <w:rFonts w:hint="eastAsia"/>
          <w:b/>
          <w:i/>
        </w:rPr>
        <w:t>P</w:t>
      </w:r>
      <w:r w:rsidRPr="00971B58">
        <w:rPr>
          <w:b/>
          <w:i/>
        </w:rPr>
        <w:t xml:space="preserve">roposal </w:t>
      </w:r>
      <w:r>
        <w:rPr>
          <w:b/>
          <w:i/>
        </w:rPr>
        <w:t>1</w:t>
      </w:r>
      <w:r w:rsidR="00B83EA5">
        <w:rPr>
          <w:b/>
          <w:i/>
        </w:rPr>
        <w:t>1</w:t>
      </w:r>
      <w:r w:rsidRPr="00971B58">
        <w:rPr>
          <w:i/>
        </w:rPr>
        <w:t>:</w:t>
      </w:r>
      <w:r>
        <w:rPr>
          <w:i/>
        </w:rPr>
        <w:t xml:space="preserve"> </w:t>
      </w:r>
      <w:r w:rsidR="005008B2">
        <w:rPr>
          <w:i/>
        </w:rPr>
        <w:t xml:space="preserve">For SBFD/non-SBFD switching point, </w:t>
      </w:r>
      <w:r w:rsidR="00384FAB">
        <w:rPr>
          <w:i/>
        </w:rPr>
        <w:t xml:space="preserve">support </w:t>
      </w:r>
      <w:r w:rsidR="005008B2">
        <w:rPr>
          <w:i/>
        </w:rPr>
        <w:t>at most one switching point within one slot, and at most two switching points within one TDD UL/DL pattern period.</w:t>
      </w:r>
    </w:p>
    <w:p w14:paraId="5C926569" w14:textId="6BD9DF80" w:rsidR="009C666D" w:rsidRDefault="009C666D" w:rsidP="009C666D">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lastRenderedPageBreak/>
        <w:t>Potential enha</w:t>
      </w:r>
      <w:r w:rsidR="008E39E2">
        <w:rPr>
          <w:rFonts w:eastAsia="宋体" w:cs="Times New Roman"/>
          <w:b/>
          <w:bCs/>
          <w:kern w:val="0"/>
          <w:sz w:val="28"/>
          <w:szCs w:val="28"/>
        </w:rPr>
        <w:t>n</w:t>
      </w:r>
      <w:r>
        <w:rPr>
          <w:rFonts w:eastAsia="宋体" w:cs="Times New Roman"/>
          <w:b/>
          <w:bCs/>
          <w:kern w:val="0"/>
          <w:sz w:val="28"/>
          <w:szCs w:val="28"/>
        </w:rPr>
        <w:t xml:space="preserve">cement </w:t>
      </w:r>
      <w:r w:rsidR="008E39E2">
        <w:rPr>
          <w:rFonts w:eastAsia="宋体" w:cs="Times New Roman"/>
          <w:b/>
          <w:bCs/>
          <w:kern w:val="0"/>
          <w:sz w:val="28"/>
          <w:szCs w:val="28"/>
        </w:rPr>
        <w:t>for SBFD</w:t>
      </w:r>
      <w:r w:rsidR="001A3F19">
        <w:rPr>
          <w:rFonts w:eastAsia="宋体" w:cs="Times New Roman"/>
          <w:b/>
          <w:bCs/>
          <w:kern w:val="0"/>
          <w:sz w:val="28"/>
          <w:szCs w:val="28"/>
        </w:rPr>
        <w:t xml:space="preserve"> </w:t>
      </w:r>
    </w:p>
    <w:p w14:paraId="5A5BBC41" w14:textId="46CE095B" w:rsidR="00FA0E33" w:rsidRDefault="00F51316" w:rsidP="005A5BB5">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Tr</w:t>
      </w:r>
      <w:r w:rsidRPr="00F51316">
        <w:rPr>
          <w:rFonts w:eastAsia="宋体" w:cs="Times New Roman"/>
          <w:b/>
          <w:bCs/>
          <w:kern w:val="0"/>
          <w:sz w:val="28"/>
          <w:szCs w:val="28"/>
        </w:rPr>
        <w:t>ansmission</w:t>
      </w:r>
      <w:r>
        <w:rPr>
          <w:rFonts w:eastAsia="宋体" w:cs="Times New Roman"/>
          <w:b/>
          <w:bCs/>
          <w:kern w:val="0"/>
          <w:sz w:val="28"/>
          <w:szCs w:val="28"/>
        </w:rPr>
        <w:t>/</w:t>
      </w:r>
      <w:r w:rsidRPr="00F51316">
        <w:rPr>
          <w:rFonts w:eastAsia="宋体" w:cs="Times New Roman"/>
          <w:b/>
          <w:bCs/>
          <w:kern w:val="0"/>
          <w:sz w:val="28"/>
          <w:szCs w:val="28"/>
        </w:rPr>
        <w:t>reception</w:t>
      </w:r>
      <w:r>
        <w:rPr>
          <w:rFonts w:eastAsia="宋体" w:cs="Times New Roman"/>
          <w:b/>
          <w:bCs/>
          <w:kern w:val="0"/>
          <w:sz w:val="28"/>
          <w:szCs w:val="28"/>
        </w:rPr>
        <w:t xml:space="preserve"> </w:t>
      </w:r>
      <w:r w:rsidRPr="00F51316">
        <w:rPr>
          <w:rFonts w:eastAsia="宋体" w:cs="Times New Roman"/>
          <w:b/>
          <w:bCs/>
          <w:kern w:val="0"/>
          <w:sz w:val="28"/>
          <w:szCs w:val="28"/>
        </w:rPr>
        <w:t xml:space="preserve">occasion </w:t>
      </w:r>
      <w:r w:rsidR="00FA0E33">
        <w:rPr>
          <w:rFonts w:eastAsia="宋体" w:cs="Times New Roman"/>
          <w:b/>
          <w:bCs/>
          <w:kern w:val="0"/>
          <w:sz w:val="28"/>
          <w:szCs w:val="28"/>
        </w:rPr>
        <w:t xml:space="preserve">across SBFD and non-SBFD symbols within </w:t>
      </w:r>
      <w:r>
        <w:rPr>
          <w:rFonts w:eastAsia="宋体" w:cs="Times New Roman"/>
          <w:b/>
          <w:bCs/>
          <w:kern w:val="0"/>
          <w:sz w:val="28"/>
          <w:szCs w:val="28"/>
        </w:rPr>
        <w:t xml:space="preserve">a </w:t>
      </w:r>
      <w:r w:rsidR="00FA0E33">
        <w:rPr>
          <w:rFonts w:eastAsia="宋体" w:cs="Times New Roman"/>
          <w:b/>
          <w:bCs/>
          <w:kern w:val="0"/>
          <w:sz w:val="28"/>
          <w:szCs w:val="28"/>
        </w:rPr>
        <w:t>slot</w:t>
      </w:r>
    </w:p>
    <w:p w14:paraId="24807C0E" w14:textId="3ECCA667" w:rsidR="00AA2E4A" w:rsidRDefault="00AA2E4A" w:rsidP="00AA2E4A">
      <w:pPr>
        <w:widowControl/>
        <w:autoSpaceDE w:val="0"/>
        <w:autoSpaceDN w:val="0"/>
        <w:spacing w:before="93" w:after="93" w:line="240" w:lineRule="auto"/>
      </w:pPr>
      <w:r>
        <w:rPr>
          <w:rFonts w:hint="eastAsia"/>
        </w:rPr>
        <w:t>I</w:t>
      </w:r>
      <w:r>
        <w:t xml:space="preserve">n </w:t>
      </w:r>
      <w:r w:rsidR="003B0C91">
        <w:t>RAN1#112bis-e</w:t>
      </w:r>
      <w:r w:rsidR="009B204B">
        <w:t xml:space="preserve"> [1]</w:t>
      </w:r>
      <w:r>
        <w:t xml:space="preserve">, </w:t>
      </w:r>
      <w:r w:rsidR="00D43195">
        <w:t>there are</w:t>
      </w:r>
      <w:r>
        <w:t xml:space="preserve"> two </w:t>
      </w:r>
      <w:r w:rsidR="00E74632">
        <w:t xml:space="preserve">remaining </w:t>
      </w:r>
      <w:r>
        <w:t>issues</w:t>
      </w:r>
    </w:p>
    <w:p w14:paraId="7023E539" w14:textId="77777777" w:rsidR="00AA2E4A" w:rsidRDefault="00AA2E4A" w:rsidP="00BC51D9">
      <w:pPr>
        <w:pStyle w:val="a8"/>
        <w:widowControl/>
        <w:numPr>
          <w:ilvl w:val="0"/>
          <w:numId w:val="23"/>
        </w:numPr>
        <w:autoSpaceDE w:val="0"/>
        <w:autoSpaceDN w:val="0"/>
        <w:spacing w:before="93" w:after="93" w:line="240" w:lineRule="auto"/>
        <w:ind w:firstLineChars="0"/>
      </w:pPr>
      <w:r>
        <w:t>W</w:t>
      </w:r>
      <w:r w:rsidRPr="008829FE">
        <w:t>hether the transmission/reception occasion of a physical channel/signal can be mapped to SBFD and non-SBFD symbols within a slot</w:t>
      </w:r>
      <w:r>
        <w:t>.</w:t>
      </w:r>
    </w:p>
    <w:p w14:paraId="2C1DA821" w14:textId="77777777" w:rsidR="00AA2E4A" w:rsidRPr="008829FE" w:rsidRDefault="00AA2E4A" w:rsidP="00BC51D9">
      <w:pPr>
        <w:pStyle w:val="a8"/>
        <w:widowControl/>
        <w:numPr>
          <w:ilvl w:val="0"/>
          <w:numId w:val="23"/>
        </w:numPr>
        <w:autoSpaceDE w:val="0"/>
        <w:autoSpaceDN w:val="0"/>
        <w:spacing w:before="93" w:after="93" w:line="240" w:lineRule="auto"/>
        <w:ind w:firstLineChars="0"/>
      </w:pPr>
      <w:r>
        <w:rPr>
          <w:rFonts w:eastAsia="Malgun Gothic"/>
        </w:rPr>
        <w:t>W</w:t>
      </w:r>
      <w:r w:rsidRPr="00A366D4">
        <w:rPr>
          <w:rFonts w:eastAsia="Malgun Gothic"/>
        </w:rPr>
        <w:t>hether</w:t>
      </w:r>
      <w:r w:rsidRPr="00A366D4">
        <w:rPr>
          <w:rFonts w:eastAsia="Malgun Gothic" w:hint="eastAsia"/>
        </w:rPr>
        <w:t xml:space="preserve"> a </w:t>
      </w:r>
      <w:r w:rsidRPr="00A366D4">
        <w:rPr>
          <w:rFonts w:eastAsia="Malgun Gothic"/>
        </w:rPr>
        <w:t>UE can transmit/receive in the occasion mapped to SBFD symbols and non-SBFD symbols</w:t>
      </w:r>
      <w:r>
        <w:rPr>
          <w:rFonts w:eastAsia="Malgun Gothic"/>
        </w:rPr>
        <w:t>.</w:t>
      </w:r>
    </w:p>
    <w:p w14:paraId="2247E266" w14:textId="5BC02C40" w:rsidR="008829FE" w:rsidRDefault="002D2B9D" w:rsidP="007412B6">
      <w:pPr>
        <w:widowControl/>
        <w:autoSpaceDE w:val="0"/>
        <w:autoSpaceDN w:val="0"/>
        <w:spacing w:before="93" w:after="93" w:line="240" w:lineRule="auto"/>
      </w:pPr>
      <w:r>
        <w:t xml:space="preserve">For </w:t>
      </w:r>
      <w:r w:rsidR="00782D26">
        <w:t xml:space="preserve">the </w:t>
      </w:r>
      <w:r>
        <w:t xml:space="preserve">second issue, </w:t>
      </w:r>
      <w:r w:rsidR="00FB4831">
        <w:t xml:space="preserve">it is </w:t>
      </w:r>
      <w:r w:rsidR="00980BB3">
        <w:t xml:space="preserve">generally not </w:t>
      </w:r>
      <w:r w:rsidR="00FB4831">
        <w:t xml:space="preserve">preferred </w:t>
      </w:r>
      <w:r w:rsidR="00A91ADA">
        <w:t>to support transmit</w:t>
      </w:r>
      <w:r w:rsidR="002162B6">
        <w:t>ting</w:t>
      </w:r>
      <w:r w:rsidR="00A91ADA">
        <w:t>/receiv</w:t>
      </w:r>
      <w:r w:rsidR="002162B6">
        <w:t>ing</w:t>
      </w:r>
      <w:r w:rsidR="00A91ADA">
        <w:t xml:space="preserve"> </w:t>
      </w:r>
      <w:r w:rsidR="00383B98">
        <w:t>a physical channel/signal across SBFD symbols and non-SBFD symbols</w:t>
      </w:r>
      <w:r w:rsidR="00477F22">
        <w:t xml:space="preserve"> within </w:t>
      </w:r>
      <w:r w:rsidR="00A91ADA">
        <w:t xml:space="preserve">one </w:t>
      </w:r>
      <w:r w:rsidR="00477F22">
        <w:t>slot</w:t>
      </w:r>
      <w:r w:rsidR="00383B98">
        <w:t xml:space="preserve">. </w:t>
      </w:r>
      <w:r w:rsidR="001273E5">
        <w:t>Due to the antenna panel</w:t>
      </w:r>
      <w:r w:rsidR="00383B98">
        <w:t>s</w:t>
      </w:r>
      <w:r w:rsidR="001273E5">
        <w:t xml:space="preserve"> </w:t>
      </w:r>
      <w:r w:rsidR="00383B98">
        <w:t xml:space="preserve">switching as well as analog </w:t>
      </w:r>
      <w:r w:rsidR="001273E5">
        <w:t>filter</w:t>
      </w:r>
      <w:r w:rsidR="00383B98">
        <w:t>s</w:t>
      </w:r>
      <w:r w:rsidR="001273E5">
        <w:t xml:space="preserve"> switching across SBFD symbols and non-SBFD symbols at </w:t>
      </w:r>
      <w:r w:rsidR="00980BB3">
        <w:t xml:space="preserve">the </w:t>
      </w:r>
      <w:r w:rsidR="001273E5">
        <w:t xml:space="preserve">gNB side, </w:t>
      </w:r>
      <w:r w:rsidR="00D43195">
        <w:t>there</w:t>
      </w:r>
      <w:r w:rsidR="001273E5">
        <w:t xml:space="preserve"> </w:t>
      </w:r>
      <w:r w:rsidR="00156686">
        <w:t>could be</w:t>
      </w:r>
      <w:r w:rsidR="00D43195">
        <w:t xml:space="preserve"> several</w:t>
      </w:r>
      <w:r w:rsidR="001273E5">
        <w:t xml:space="preserve"> issues</w:t>
      </w:r>
      <w:r w:rsidR="00C439A3">
        <w:t>:</w:t>
      </w:r>
    </w:p>
    <w:p w14:paraId="3AC53ACC" w14:textId="5BA43BE7" w:rsidR="008829FE" w:rsidRDefault="009A1A06" w:rsidP="00195777">
      <w:pPr>
        <w:pStyle w:val="a8"/>
        <w:numPr>
          <w:ilvl w:val="0"/>
          <w:numId w:val="23"/>
        </w:numPr>
        <w:autoSpaceDE w:val="0"/>
        <w:autoSpaceDN w:val="0"/>
        <w:spacing w:before="93" w:after="93" w:line="240" w:lineRule="auto"/>
        <w:ind w:firstLineChars="0"/>
      </w:pPr>
      <w:r>
        <w:rPr>
          <w:rFonts w:hint="eastAsia"/>
        </w:rPr>
        <w:t>I</w:t>
      </w:r>
      <w:r>
        <w:t xml:space="preserve">nterruption of </w:t>
      </w:r>
      <w:r w:rsidR="004B0174">
        <w:t>transmission or reception</w:t>
      </w:r>
      <w:r>
        <w:t xml:space="preserve"> across SBFD symbols and non-SBFD</w:t>
      </w:r>
      <w:r w:rsidR="00782D26">
        <w:t xml:space="preserve"> symbols</w:t>
      </w:r>
      <w:r w:rsidR="00686134">
        <w:t xml:space="preserve">. </w:t>
      </w:r>
      <w:r w:rsidR="002162B6">
        <w:t>This</w:t>
      </w:r>
      <w:r w:rsidR="00686134">
        <w:t xml:space="preserve"> will dramatically </w:t>
      </w:r>
      <w:r w:rsidR="00291EEF">
        <w:t xml:space="preserve">degrade </w:t>
      </w:r>
      <w:r w:rsidR="00686134">
        <w:t>the performance, especially in the case the interruption occur</w:t>
      </w:r>
      <w:r w:rsidR="00291EEF">
        <w:t>s</w:t>
      </w:r>
      <w:r w:rsidR="00686134">
        <w:t xml:space="preserve"> in DMRS which will lead to transmission</w:t>
      </w:r>
      <w:r w:rsidR="004B0174">
        <w:t xml:space="preserve"> or reception</w:t>
      </w:r>
      <w:r w:rsidR="00686134">
        <w:t xml:space="preserve"> fail</w:t>
      </w:r>
      <w:r w:rsidR="00291EEF">
        <w:t>ure</w:t>
      </w:r>
      <w:r w:rsidR="00686134">
        <w:t>.</w:t>
      </w:r>
    </w:p>
    <w:p w14:paraId="21C91E31" w14:textId="643AF2B2" w:rsidR="007307A9" w:rsidRDefault="009A1A06" w:rsidP="00BC51D9">
      <w:pPr>
        <w:pStyle w:val="a8"/>
        <w:widowControl/>
        <w:numPr>
          <w:ilvl w:val="0"/>
          <w:numId w:val="23"/>
        </w:numPr>
        <w:autoSpaceDE w:val="0"/>
        <w:autoSpaceDN w:val="0"/>
        <w:spacing w:before="93" w:after="93" w:line="240" w:lineRule="auto"/>
        <w:ind w:firstLineChars="0"/>
      </w:pPr>
      <w:r>
        <w:t>The channel</w:t>
      </w:r>
      <w:r w:rsidR="00FF70E7">
        <w:t xml:space="preserve"> conditions</w:t>
      </w:r>
      <w:r>
        <w:t xml:space="preserve"> </w:t>
      </w:r>
      <w:r w:rsidR="00FF70E7">
        <w:t>can be</w:t>
      </w:r>
      <w:r>
        <w:t xml:space="preserve"> quite different between SBFD symbols and non-SBFD symbols. </w:t>
      </w:r>
      <w:r w:rsidR="003F66BA">
        <w:t>So the channel</w:t>
      </w:r>
      <w:r w:rsidR="007307A9">
        <w:t xml:space="preserve"> in SBFD symbols (or non-SBFD symbols) cannot be estimated if DMRS are </w:t>
      </w:r>
      <w:r w:rsidR="002162B6">
        <w:t xml:space="preserve">only located </w:t>
      </w:r>
      <w:r w:rsidR="007307A9">
        <w:t>in non-SBFD symbols (or SBFD symbols).</w:t>
      </w:r>
    </w:p>
    <w:p w14:paraId="7FB0A478" w14:textId="37CD54C1" w:rsidR="00153471" w:rsidRDefault="00153471" w:rsidP="00BC51D9">
      <w:pPr>
        <w:pStyle w:val="a8"/>
        <w:widowControl/>
        <w:numPr>
          <w:ilvl w:val="0"/>
          <w:numId w:val="23"/>
        </w:numPr>
        <w:autoSpaceDE w:val="0"/>
        <w:autoSpaceDN w:val="0"/>
        <w:spacing w:before="93" w:after="93" w:line="240" w:lineRule="auto"/>
        <w:ind w:firstLineChars="0"/>
      </w:pPr>
      <w:r>
        <w:rPr>
          <w:rFonts w:hint="eastAsia"/>
        </w:rPr>
        <w:t>T</w:t>
      </w:r>
      <w:r>
        <w:t xml:space="preserve">he phase continuities cannot be maintained. So the joint channel estimation </w:t>
      </w:r>
      <w:r w:rsidR="00CC5911">
        <w:t xml:space="preserve">within one slot based on additional DMRS is incorrect if </w:t>
      </w:r>
      <w:r w:rsidR="004761FF">
        <w:t xml:space="preserve">the front-loaded </w:t>
      </w:r>
      <w:r w:rsidR="00CC5911">
        <w:t>DMRS and additional DMRS are allocated in SBFD symbols and non-SBFD symbols, respectively.</w:t>
      </w:r>
    </w:p>
    <w:p w14:paraId="347EC847" w14:textId="581F432B" w:rsidR="00870A7E" w:rsidRDefault="00870A7E" w:rsidP="0060230B">
      <w:pPr>
        <w:widowControl/>
        <w:autoSpaceDE w:val="0"/>
        <w:autoSpaceDN w:val="0"/>
        <w:spacing w:before="93" w:after="93" w:line="240" w:lineRule="auto"/>
      </w:pPr>
      <w:r>
        <w:rPr>
          <w:rFonts w:hint="eastAsia"/>
        </w:rPr>
        <w:t>H</w:t>
      </w:r>
      <w:r>
        <w:t>owever, these issues can be solved by PUSCH repetition type</w:t>
      </w:r>
      <w:r w:rsidR="00AC76FC">
        <w:t xml:space="preserve"> B if two actual repetitions can be</w:t>
      </w:r>
      <w:r>
        <w:t xml:space="preserve"> derived</w:t>
      </w:r>
      <w:r w:rsidR="002879B5">
        <w:t xml:space="preserve"> from one nominal repetition</w:t>
      </w:r>
      <w:r>
        <w:t xml:space="preserve"> across SBFD symbols and non-SBFD symbols</w:t>
      </w:r>
      <w:r w:rsidR="002879B5">
        <w:t xml:space="preserve"> within one slot</w:t>
      </w:r>
      <w:r>
        <w:t xml:space="preserve">. </w:t>
      </w:r>
      <w:r w:rsidR="00983D78">
        <w:t>And considering that</w:t>
      </w:r>
      <w:r>
        <w:t xml:space="preserve"> </w:t>
      </w:r>
      <w:r w:rsidR="004F45FD">
        <w:t xml:space="preserve">the support of </w:t>
      </w:r>
      <w:r>
        <w:t>PUSCH repetition type B across SBFD symbols and non-SBFD symbols is beneficial for URLLC.</w:t>
      </w:r>
      <w:r w:rsidR="002D2B9D">
        <w:t xml:space="preserve"> So PUSCH repetition type B can be transmitted or received across SBFD symbols and non-SBFD symbols.</w:t>
      </w:r>
    </w:p>
    <w:p w14:paraId="4D905C81" w14:textId="77777777" w:rsidR="00EA3AA0" w:rsidRDefault="00EA3AA0" w:rsidP="00EA3AA0">
      <w:pPr>
        <w:spacing w:before="93"/>
        <w:rPr>
          <w:i/>
        </w:rPr>
      </w:pPr>
      <w:r w:rsidRPr="00971B58">
        <w:rPr>
          <w:rFonts w:hint="eastAsia"/>
          <w:b/>
          <w:i/>
        </w:rPr>
        <w:t>P</w:t>
      </w:r>
      <w:r w:rsidRPr="00971B58">
        <w:rPr>
          <w:b/>
          <w:i/>
        </w:rPr>
        <w:t xml:space="preserve">roposal </w:t>
      </w:r>
      <w:r>
        <w:rPr>
          <w:b/>
          <w:i/>
        </w:rPr>
        <w:t>12</w:t>
      </w:r>
      <w:r w:rsidRPr="00971B58">
        <w:rPr>
          <w:i/>
        </w:rPr>
        <w:t>:</w:t>
      </w:r>
      <w:r>
        <w:rPr>
          <w:i/>
        </w:rPr>
        <w:t xml:space="preserve"> A UE cannot transmit or receive a physical channel/signal in the occasion mapped to SBFD symbols and non-SBFD symbols, except for PUSCH repetition type B.</w:t>
      </w:r>
    </w:p>
    <w:p w14:paraId="3639A7BE" w14:textId="77777777" w:rsidR="00EA3AA0" w:rsidRPr="002879B5" w:rsidRDefault="00EA3AA0" w:rsidP="00EA3AA0">
      <w:pPr>
        <w:pStyle w:val="a8"/>
        <w:numPr>
          <w:ilvl w:val="0"/>
          <w:numId w:val="43"/>
        </w:numPr>
        <w:spacing w:before="93"/>
        <w:ind w:firstLineChars="0"/>
        <w:rPr>
          <w:i/>
        </w:rPr>
      </w:pPr>
      <w:r>
        <w:rPr>
          <w:i/>
        </w:rPr>
        <w:t xml:space="preserve">For </w:t>
      </w:r>
      <w:r>
        <w:rPr>
          <w:rFonts w:hint="eastAsia"/>
          <w:i/>
        </w:rPr>
        <w:t>P</w:t>
      </w:r>
      <w:r>
        <w:rPr>
          <w:i/>
        </w:rPr>
        <w:t>USCH repetition type B, study actual repetitions derivation from one nominal repetition across SBFD symbols and non-SBFD symbols within one slot.</w:t>
      </w:r>
    </w:p>
    <w:p w14:paraId="347026E1" w14:textId="77777777" w:rsidR="00EA3AA0" w:rsidRPr="001A5DC5" w:rsidRDefault="00EA3AA0" w:rsidP="0060230B">
      <w:pPr>
        <w:widowControl/>
        <w:autoSpaceDE w:val="0"/>
        <w:autoSpaceDN w:val="0"/>
        <w:spacing w:before="93" w:after="93" w:line="240" w:lineRule="auto"/>
      </w:pPr>
    </w:p>
    <w:p w14:paraId="613E6A72" w14:textId="3D9978BB" w:rsidR="002D2B9D" w:rsidRDefault="002D2B9D" w:rsidP="0060230B">
      <w:pPr>
        <w:widowControl/>
        <w:autoSpaceDE w:val="0"/>
        <w:autoSpaceDN w:val="0"/>
        <w:spacing w:before="93" w:after="93" w:line="240" w:lineRule="auto"/>
      </w:pPr>
      <w:r>
        <w:rPr>
          <w:rFonts w:hint="eastAsia"/>
        </w:rPr>
        <w:t>F</w:t>
      </w:r>
      <w:r>
        <w:t xml:space="preserve">or the first issue, </w:t>
      </w:r>
      <w:r w:rsidR="00782D26">
        <w:t xml:space="preserve">it is related to slot counting. </w:t>
      </w:r>
      <w:r w:rsidR="00630919">
        <w:t>For physical slot counting</w:t>
      </w:r>
      <w:r w:rsidR="00A53AF7">
        <w:t xml:space="preserve">, </w:t>
      </w:r>
      <w:r w:rsidR="00630919">
        <w:t>the transmission</w:t>
      </w:r>
      <w:r w:rsidR="00630919" w:rsidRPr="008829FE">
        <w:t xml:space="preserve"> occasion of a physical channel/signal can be mapped to SBFD </w:t>
      </w:r>
      <w:r w:rsidR="00E93EA6">
        <w:t xml:space="preserve">symbols </w:t>
      </w:r>
      <w:r w:rsidR="00630919" w:rsidRPr="008829FE">
        <w:t>and non-SBFD symbols within a slot</w:t>
      </w:r>
      <w:r w:rsidR="00630919">
        <w:t xml:space="preserve">. </w:t>
      </w:r>
      <w:r w:rsidR="006D5F4A">
        <w:t xml:space="preserve">However, </w:t>
      </w:r>
      <w:r w:rsidR="00395492">
        <w:t xml:space="preserve">a physical channel/signal should be dropped if </w:t>
      </w:r>
      <w:r w:rsidR="00725F48">
        <w:t>it</w:t>
      </w:r>
      <w:r w:rsidR="00200D00">
        <w:t xml:space="preserve"> is </w:t>
      </w:r>
      <w:r w:rsidR="00D43195">
        <w:t xml:space="preserve">mapped </w:t>
      </w:r>
      <w:r w:rsidR="00E93EA6">
        <w:t xml:space="preserve">in </w:t>
      </w:r>
      <w:r w:rsidR="00725F48">
        <w:t>this</w:t>
      </w:r>
      <w:r w:rsidR="00395492">
        <w:t xml:space="preserve"> transmission occasion. </w:t>
      </w:r>
      <w:r w:rsidR="00630919">
        <w:t>And for available slot counting, the transmission occasion of a physical channel/signal cannot be mapped to SBFD and non-SBFD symbols</w:t>
      </w:r>
      <w:r w:rsidR="00E93EA6">
        <w:t xml:space="preserve">. </w:t>
      </w:r>
      <w:r w:rsidR="00B95A53">
        <w:t xml:space="preserve">This </w:t>
      </w:r>
      <w:r w:rsidR="00E93EA6">
        <w:t xml:space="preserve">means a slot will not be counted if a physical channel/signal is allocated to SBFD </w:t>
      </w:r>
      <w:r w:rsidR="00725F48">
        <w:t xml:space="preserve">symbols </w:t>
      </w:r>
      <w:r w:rsidR="00E93EA6">
        <w:t>and non-SBFD symbols within this slot.</w:t>
      </w:r>
    </w:p>
    <w:p w14:paraId="4EDACB84" w14:textId="44B42F6F" w:rsidR="00A53AF7" w:rsidRDefault="00A53AF7" w:rsidP="00A53AF7">
      <w:pPr>
        <w:spacing w:before="93"/>
        <w:rPr>
          <w:i/>
        </w:rPr>
      </w:pPr>
      <w:r w:rsidRPr="00971B58">
        <w:rPr>
          <w:rFonts w:hint="eastAsia"/>
          <w:b/>
          <w:i/>
        </w:rPr>
        <w:t>P</w:t>
      </w:r>
      <w:r w:rsidRPr="00971B58">
        <w:rPr>
          <w:b/>
          <w:i/>
        </w:rPr>
        <w:t xml:space="preserve">roposal </w:t>
      </w:r>
      <w:r>
        <w:rPr>
          <w:b/>
          <w:i/>
        </w:rPr>
        <w:t>1</w:t>
      </w:r>
      <w:r w:rsidR="00FC79E5">
        <w:rPr>
          <w:b/>
          <w:i/>
        </w:rPr>
        <w:t>3</w:t>
      </w:r>
      <w:r w:rsidRPr="00971B58">
        <w:rPr>
          <w:i/>
        </w:rPr>
        <w:t>:</w:t>
      </w:r>
      <w:r>
        <w:rPr>
          <w:i/>
        </w:rPr>
        <w:t xml:space="preserve"> </w:t>
      </w:r>
      <w:r w:rsidRPr="00A53AF7">
        <w:rPr>
          <w:i/>
        </w:rPr>
        <w:t>Whe</w:t>
      </w:r>
      <w:r>
        <w:rPr>
          <w:i/>
        </w:rPr>
        <w:t>ther the transmission</w:t>
      </w:r>
      <w:r w:rsidRPr="00A53AF7">
        <w:rPr>
          <w:i/>
        </w:rPr>
        <w:t xml:space="preserve"> occasion of a physical channel/signal can be mapped to SBFD and non-SBFD symbols within a slot</w:t>
      </w:r>
      <w:r>
        <w:rPr>
          <w:i/>
        </w:rPr>
        <w:t xml:space="preserve"> is related to slot counting:</w:t>
      </w:r>
    </w:p>
    <w:p w14:paraId="75F787B9" w14:textId="77777777" w:rsidR="00B21A19" w:rsidRDefault="00A53AF7" w:rsidP="00BC51D9">
      <w:pPr>
        <w:pStyle w:val="a8"/>
        <w:numPr>
          <w:ilvl w:val="0"/>
          <w:numId w:val="42"/>
        </w:numPr>
        <w:spacing w:before="93"/>
        <w:ind w:firstLineChars="0"/>
        <w:rPr>
          <w:i/>
        </w:rPr>
      </w:pPr>
      <w:r>
        <w:rPr>
          <w:rFonts w:hint="eastAsia"/>
          <w:i/>
        </w:rPr>
        <w:t>F</w:t>
      </w:r>
      <w:r w:rsidR="00B21A19">
        <w:rPr>
          <w:i/>
        </w:rPr>
        <w:t>or physical slot counting, the transmission occasion of a physical channel/signal can be mapped to SBFD symbols and non-SBFD symbols within a slot.</w:t>
      </w:r>
    </w:p>
    <w:p w14:paraId="3D7FD5C8" w14:textId="77777777" w:rsidR="00B21A19" w:rsidRDefault="00B21A19" w:rsidP="00BC51D9">
      <w:pPr>
        <w:pStyle w:val="a8"/>
        <w:numPr>
          <w:ilvl w:val="0"/>
          <w:numId w:val="42"/>
        </w:numPr>
        <w:spacing w:before="93"/>
        <w:ind w:firstLineChars="0"/>
        <w:rPr>
          <w:i/>
        </w:rPr>
      </w:pPr>
      <w:r>
        <w:rPr>
          <w:i/>
        </w:rPr>
        <w:t>For available slot counting, the transmission occasion of a physical channel signal cannot be mapped to SBFD symbols and non-SBFD symbols within a slot.</w:t>
      </w:r>
    </w:p>
    <w:p w14:paraId="64D6DF78" w14:textId="77777777" w:rsidR="008829FE" w:rsidRPr="007412B6" w:rsidRDefault="008829FE" w:rsidP="008829FE">
      <w:pPr>
        <w:widowControl/>
        <w:autoSpaceDE w:val="0"/>
        <w:autoSpaceDN w:val="0"/>
        <w:spacing w:before="93" w:after="93" w:line="240" w:lineRule="auto"/>
      </w:pPr>
    </w:p>
    <w:p w14:paraId="6AEBEFD6" w14:textId="7D0DC34F" w:rsidR="00FA0E33" w:rsidRDefault="00FA0E33" w:rsidP="00FA0E33">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hint="eastAsia"/>
          <w:b/>
          <w:bCs/>
          <w:kern w:val="0"/>
          <w:sz w:val="28"/>
          <w:szCs w:val="28"/>
        </w:rPr>
        <w:t>T</w:t>
      </w:r>
      <w:r>
        <w:rPr>
          <w:rFonts w:eastAsia="宋体" w:cs="Times New Roman"/>
          <w:b/>
          <w:bCs/>
          <w:kern w:val="0"/>
          <w:sz w:val="28"/>
          <w:szCs w:val="28"/>
        </w:rPr>
        <w:t>ransmission</w:t>
      </w:r>
      <w:r w:rsidR="00F51316">
        <w:rPr>
          <w:rFonts w:eastAsia="宋体" w:cs="Times New Roman"/>
          <w:b/>
          <w:bCs/>
          <w:kern w:val="0"/>
          <w:sz w:val="28"/>
          <w:szCs w:val="28"/>
        </w:rPr>
        <w:t xml:space="preserve">s/receptions </w:t>
      </w:r>
      <w:r>
        <w:rPr>
          <w:rFonts w:eastAsia="宋体" w:cs="Times New Roman"/>
          <w:b/>
          <w:bCs/>
          <w:kern w:val="0"/>
          <w:sz w:val="28"/>
          <w:szCs w:val="28"/>
        </w:rPr>
        <w:t>across SBFD slot</w:t>
      </w:r>
      <w:r w:rsidR="00E8083E">
        <w:rPr>
          <w:rFonts w:eastAsia="宋体" w:cs="Times New Roman"/>
          <w:b/>
          <w:bCs/>
          <w:kern w:val="0"/>
          <w:sz w:val="28"/>
          <w:szCs w:val="28"/>
        </w:rPr>
        <w:t>s</w:t>
      </w:r>
      <w:r>
        <w:rPr>
          <w:rFonts w:eastAsia="宋体" w:cs="Times New Roman"/>
          <w:b/>
          <w:bCs/>
          <w:kern w:val="0"/>
          <w:sz w:val="28"/>
          <w:szCs w:val="28"/>
        </w:rPr>
        <w:t xml:space="preserve"> and non-SBFD slot</w:t>
      </w:r>
      <w:r w:rsidR="00E8083E">
        <w:rPr>
          <w:rFonts w:eastAsia="宋体" w:cs="Times New Roman"/>
          <w:b/>
          <w:bCs/>
          <w:kern w:val="0"/>
          <w:sz w:val="28"/>
          <w:szCs w:val="28"/>
        </w:rPr>
        <w:t>s</w:t>
      </w:r>
    </w:p>
    <w:p w14:paraId="1D4E74FD" w14:textId="15F327C0" w:rsidR="003B0C91" w:rsidRPr="00834B07" w:rsidRDefault="003B0C91" w:rsidP="007412B6">
      <w:pPr>
        <w:widowControl/>
        <w:autoSpaceDE w:val="0"/>
        <w:autoSpaceDN w:val="0"/>
        <w:spacing w:before="93" w:after="93" w:line="240" w:lineRule="auto"/>
      </w:pPr>
      <w:r>
        <w:rPr>
          <w:rFonts w:hint="eastAsia"/>
        </w:rPr>
        <w:t>I</w:t>
      </w:r>
      <w:r>
        <w:t>n RAN1#112</w:t>
      </w:r>
      <w:r w:rsidR="003534D7">
        <w:t xml:space="preserve"> [</w:t>
      </w:r>
      <w:r w:rsidR="00AE0B6E">
        <w:t>4</w:t>
      </w:r>
      <w:r w:rsidR="003534D7">
        <w:t>]</w:t>
      </w:r>
      <w:r w:rsidR="00834B07">
        <w:t xml:space="preserve"> and RAN1#112bis-e</w:t>
      </w:r>
      <w:r w:rsidR="003534D7">
        <w:t xml:space="preserve"> [</w:t>
      </w:r>
      <w:r w:rsidR="00AE0B6E">
        <w:t>1</w:t>
      </w:r>
      <w:r w:rsidR="003534D7">
        <w:t>]</w:t>
      </w:r>
      <w:r>
        <w:t xml:space="preserve">, </w:t>
      </w:r>
      <w:r w:rsidR="006441D7">
        <w:t>the transmission</w:t>
      </w:r>
      <w:r w:rsidR="00D512C6">
        <w:t>s/receptions</w:t>
      </w:r>
      <w:r w:rsidR="006441D7">
        <w:t xml:space="preserve"> across SBFD slot and non-SBFD slot w</w:t>
      </w:r>
      <w:r w:rsidR="00D512C6">
        <w:t>ere</w:t>
      </w:r>
      <w:r w:rsidR="006441D7">
        <w:t xml:space="preserve"> discussed. </w:t>
      </w:r>
      <w:r w:rsidR="003B7C97">
        <w:rPr>
          <w:rFonts w:hint="eastAsia"/>
        </w:rPr>
        <w:t>I</w:t>
      </w:r>
      <w:r w:rsidR="003D3B02">
        <w:t xml:space="preserve">n our understanding, there </w:t>
      </w:r>
      <w:r w:rsidR="00D512C6">
        <w:t>are</w:t>
      </w:r>
      <w:r w:rsidR="00316603">
        <w:t xml:space="preserve"> </w:t>
      </w:r>
      <w:r w:rsidR="003D3B02">
        <w:t>three options:</w:t>
      </w:r>
    </w:p>
    <w:p w14:paraId="005C61D6" w14:textId="322C75C4" w:rsidR="008C3567" w:rsidRDefault="003B7C97" w:rsidP="00BC51D9">
      <w:pPr>
        <w:pStyle w:val="a8"/>
        <w:numPr>
          <w:ilvl w:val="0"/>
          <w:numId w:val="42"/>
        </w:numPr>
        <w:spacing w:before="93"/>
        <w:ind w:firstLineChars="0"/>
      </w:pPr>
      <w:r w:rsidRPr="003D3B02">
        <w:rPr>
          <w:rFonts w:hint="eastAsia"/>
        </w:rPr>
        <w:lastRenderedPageBreak/>
        <w:t>B</w:t>
      </w:r>
      <w:r w:rsidRPr="003D3B02">
        <w:t xml:space="preserve">aseline: The transmission/receptions can be in SBFD symbols and non-SBFD symbols without any enhancement, </w:t>
      </w:r>
      <w:r w:rsidR="008C3567">
        <w:t>i.e., single FDRA, single UL power control, single beam/spatial relation across SBFD symbols and non-SBFD symbols.</w:t>
      </w:r>
    </w:p>
    <w:p w14:paraId="72E57C9A" w14:textId="2C48AFEB" w:rsidR="003B7C97" w:rsidRPr="003D3B02" w:rsidRDefault="003B7C97" w:rsidP="00BC51D9">
      <w:pPr>
        <w:pStyle w:val="a8"/>
        <w:numPr>
          <w:ilvl w:val="0"/>
          <w:numId w:val="42"/>
        </w:numPr>
        <w:spacing w:before="93"/>
        <w:ind w:firstLineChars="0"/>
      </w:pPr>
      <w:r w:rsidRPr="003D3B02">
        <w:t xml:space="preserve">Option 1: </w:t>
      </w:r>
      <w:r w:rsidR="003D3B02" w:rsidRPr="003D3B02">
        <w:t>The transmission/receptions are restricted to</w:t>
      </w:r>
      <w:r w:rsidRPr="003D3B02">
        <w:t xml:space="preserve"> SBFD symbols </w:t>
      </w:r>
      <w:r w:rsidR="003D3B02" w:rsidRPr="003D3B02">
        <w:t xml:space="preserve">only or </w:t>
      </w:r>
      <w:r w:rsidRPr="003D3B02">
        <w:t>non-SBFD symbols</w:t>
      </w:r>
      <w:r w:rsidR="003D3B02" w:rsidRPr="003D3B02">
        <w:t xml:space="preserve"> only</w:t>
      </w:r>
      <w:r w:rsidR="002B5D67">
        <w:t>,</w:t>
      </w:r>
      <w:r w:rsidR="00E8083E">
        <w:t xml:space="preserve"> and gNB can alternatively schedule two TBs on SBFD slots and non-SBFD slots</w:t>
      </w:r>
      <w:r w:rsidR="00663A68">
        <w:t>, respectively</w:t>
      </w:r>
      <w:r w:rsidR="00E8083E">
        <w:t>,</w:t>
      </w:r>
      <w:r w:rsidR="002B5D67">
        <w:t xml:space="preserve"> as shown in Fig. </w:t>
      </w:r>
      <w:r w:rsidR="00635101">
        <w:t>4</w:t>
      </w:r>
      <w:r w:rsidR="00180F57">
        <w:t xml:space="preserve"> (taking PUSCH as an example)</w:t>
      </w:r>
      <w:r w:rsidR="003D3B02" w:rsidRPr="003D3B02">
        <w:t>.</w:t>
      </w:r>
    </w:p>
    <w:p w14:paraId="68EA2252" w14:textId="184AD75C" w:rsidR="003B7C97" w:rsidRPr="003D3B02" w:rsidRDefault="003B7C97" w:rsidP="00BC51D9">
      <w:pPr>
        <w:pStyle w:val="a8"/>
        <w:numPr>
          <w:ilvl w:val="0"/>
          <w:numId w:val="42"/>
        </w:numPr>
        <w:spacing w:before="93"/>
        <w:ind w:firstLineChars="0"/>
      </w:pPr>
      <w:r w:rsidRPr="003D3B02">
        <w:t xml:space="preserve">Option 2: </w:t>
      </w:r>
      <w:r w:rsidR="009C52A5">
        <w:t xml:space="preserve">The </w:t>
      </w:r>
      <w:r w:rsidR="009D72D5">
        <w:t>baseline</w:t>
      </w:r>
      <w:r w:rsidRPr="003D3B02">
        <w:t xml:space="preserve"> with some enhancement, e.g., separate FDRA, </w:t>
      </w:r>
      <w:r w:rsidR="009C52A5">
        <w:t xml:space="preserve">separate </w:t>
      </w:r>
      <w:r w:rsidRPr="003D3B02">
        <w:t xml:space="preserve">UL power control, </w:t>
      </w:r>
      <w:r w:rsidR="009C52A5">
        <w:t xml:space="preserve">and separate </w:t>
      </w:r>
      <w:r w:rsidRPr="003D3B02">
        <w:t>beam/spatial relation across SBFD symbols and non-SBFD symbols.</w:t>
      </w:r>
    </w:p>
    <w:p w14:paraId="5F917AD3" w14:textId="0A34A071" w:rsidR="009F1BC5" w:rsidRPr="00195777" w:rsidRDefault="009F1BC5" w:rsidP="00195777">
      <w:pPr>
        <w:spacing w:before="93"/>
        <w:rPr>
          <w:rFonts w:eastAsia="微软雅黑"/>
        </w:rPr>
      </w:pPr>
      <w:r w:rsidRPr="00195777">
        <w:rPr>
          <w:rFonts w:eastAsia="微软雅黑"/>
        </w:rPr>
        <w:t xml:space="preserve">For the baseline, there is no spec impact but it has the worst coverage and latency performances due to the worst scheduling flexibility compared to option 1 and 2. This is because the baseline has only single FDRA, UL power control, beam/spatial relation across SBFD symbols and non-SBFD symbols, but the frequency resources, MCS, UL power control, and beam/spatial relation across SBFD symbol and non-SBFD symbol </w:t>
      </w:r>
      <w:r w:rsidR="00DC2D2B">
        <w:rPr>
          <w:rFonts w:eastAsia="微软雅黑"/>
        </w:rPr>
        <w:t xml:space="preserve">can </w:t>
      </w:r>
      <w:r w:rsidRPr="00195777">
        <w:rPr>
          <w:rFonts w:eastAsia="微软雅黑"/>
        </w:rPr>
        <w:t>be quite different since the channel and interference environments for UL and DL transmissions are quite different on SBFD symbols and non-SBFD symbols.</w:t>
      </w:r>
    </w:p>
    <w:p w14:paraId="7A7F7658" w14:textId="77777777" w:rsidR="00146BCA" w:rsidRPr="009F1BC5" w:rsidRDefault="00146BCA" w:rsidP="00195777">
      <w:pPr>
        <w:spacing w:before="93"/>
        <w:jc w:val="center"/>
        <w:rPr>
          <w:rFonts w:eastAsia="微软雅黑"/>
        </w:rPr>
      </w:pPr>
    </w:p>
    <w:p w14:paraId="27675110" w14:textId="419D9BF1" w:rsidR="00146BCA" w:rsidRDefault="00146BCA" w:rsidP="00146BCA">
      <w:pPr>
        <w:spacing w:before="93"/>
        <w:jc w:val="center"/>
        <w:rPr>
          <w:rFonts w:eastAsia="微软雅黑"/>
        </w:rPr>
      </w:pPr>
      <w:r>
        <w:rPr>
          <w:rFonts w:eastAsia="微软雅黑"/>
          <w:bCs/>
          <w:noProof/>
        </w:rPr>
        <w:drawing>
          <wp:inline distT="0" distB="0" distL="0" distR="0" wp14:anchorId="5674512E" wp14:editId="5F9329AB">
            <wp:extent cx="3992400" cy="12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92400" cy="1209600"/>
                    </a:xfrm>
                    <a:prstGeom prst="rect">
                      <a:avLst/>
                    </a:prstGeom>
                    <a:noFill/>
                  </pic:spPr>
                </pic:pic>
              </a:graphicData>
            </a:graphic>
          </wp:inline>
        </w:drawing>
      </w:r>
    </w:p>
    <w:p w14:paraId="168D277A" w14:textId="1FFBD57C" w:rsidR="00146BCA" w:rsidRDefault="00146BCA" w:rsidP="00146BCA">
      <w:pPr>
        <w:spacing w:before="93"/>
        <w:jc w:val="center"/>
        <w:rPr>
          <w:rFonts w:eastAsia="微软雅黑"/>
        </w:rPr>
      </w:pPr>
      <w:r>
        <w:rPr>
          <w:rFonts w:eastAsia="微软雅黑" w:hint="eastAsia"/>
        </w:rPr>
        <w:t>F</w:t>
      </w:r>
      <w:r>
        <w:rPr>
          <w:rFonts w:eastAsia="微软雅黑"/>
        </w:rPr>
        <w:t xml:space="preserve">ig. </w:t>
      </w:r>
      <w:r w:rsidR="00C721C6">
        <w:rPr>
          <w:rFonts w:eastAsia="微软雅黑"/>
        </w:rPr>
        <w:t>4</w:t>
      </w:r>
      <w:r>
        <w:rPr>
          <w:rFonts w:eastAsia="微软雅黑"/>
        </w:rPr>
        <w:t xml:space="preserve"> Option 1</w:t>
      </w:r>
      <w:r w:rsidR="00C721C6">
        <w:rPr>
          <w:rFonts w:eastAsia="微软雅黑"/>
        </w:rPr>
        <w:t xml:space="preserve"> (</w:t>
      </w:r>
      <w:r w:rsidR="005928A5">
        <w:rPr>
          <w:rFonts w:eastAsia="微软雅黑"/>
        </w:rPr>
        <w:t>T</w:t>
      </w:r>
      <w:r w:rsidR="00C721C6" w:rsidRPr="003D3B02">
        <w:t>ransmission/receptions are restricted to SBFD symbols only or non-SBFD symbols only</w:t>
      </w:r>
      <w:r w:rsidR="00C721C6">
        <w:rPr>
          <w:rFonts w:eastAsia="微软雅黑"/>
        </w:rPr>
        <w:t>)</w:t>
      </w:r>
      <w:r>
        <w:rPr>
          <w:rFonts w:eastAsia="微软雅黑"/>
        </w:rPr>
        <w:t>.</w:t>
      </w:r>
    </w:p>
    <w:p w14:paraId="73A780C1" w14:textId="77777777" w:rsidR="00BC32DB" w:rsidRDefault="00BC32DB" w:rsidP="00146BCA">
      <w:pPr>
        <w:spacing w:before="93"/>
        <w:jc w:val="center"/>
        <w:rPr>
          <w:rFonts w:eastAsia="微软雅黑"/>
        </w:rPr>
      </w:pPr>
    </w:p>
    <w:p w14:paraId="437EB206" w14:textId="417B53FF" w:rsidR="00E8083E" w:rsidRDefault="00392AB6" w:rsidP="003B7C97">
      <w:pPr>
        <w:spacing w:before="93"/>
        <w:rPr>
          <w:rFonts w:eastAsia="微软雅黑"/>
        </w:rPr>
      </w:pPr>
      <w:r>
        <w:rPr>
          <w:rFonts w:eastAsia="微软雅黑"/>
        </w:rPr>
        <w:t>O</w:t>
      </w:r>
      <w:r w:rsidR="0041558E">
        <w:rPr>
          <w:rFonts w:eastAsia="微软雅黑"/>
        </w:rPr>
        <w:t xml:space="preserve">ption 1 and 2 </w:t>
      </w:r>
      <w:r w:rsidR="000733BC">
        <w:rPr>
          <w:rFonts w:eastAsia="微软雅黑"/>
        </w:rPr>
        <w:t xml:space="preserve">have better coverage and latency performances than the baseline </w:t>
      </w:r>
      <w:r>
        <w:rPr>
          <w:rFonts w:eastAsia="微软雅黑"/>
        </w:rPr>
        <w:t xml:space="preserve">scheme </w:t>
      </w:r>
      <w:r w:rsidR="000733BC">
        <w:rPr>
          <w:rFonts w:eastAsia="微软雅黑"/>
        </w:rPr>
        <w:t xml:space="preserve">due to </w:t>
      </w:r>
      <w:r>
        <w:rPr>
          <w:rFonts w:eastAsia="微软雅黑"/>
        </w:rPr>
        <w:t xml:space="preserve">enhanced </w:t>
      </w:r>
      <w:r w:rsidR="000733BC">
        <w:rPr>
          <w:rFonts w:eastAsia="微软雅黑"/>
        </w:rPr>
        <w:t xml:space="preserve">scheduling flexibility. And the two options </w:t>
      </w:r>
      <w:r w:rsidR="0041558E">
        <w:rPr>
          <w:rFonts w:eastAsia="微软雅黑"/>
        </w:rPr>
        <w:t>have similar performances</w:t>
      </w:r>
      <w:r w:rsidR="000733BC" w:rsidRPr="000733BC">
        <w:rPr>
          <w:rFonts w:eastAsia="微软雅黑"/>
        </w:rPr>
        <w:t xml:space="preserve"> </w:t>
      </w:r>
      <w:r w:rsidR="00D512C6">
        <w:rPr>
          <w:rFonts w:eastAsia="微软雅黑"/>
        </w:rPr>
        <w:t xml:space="preserve">as long as </w:t>
      </w:r>
      <w:r w:rsidR="000733BC">
        <w:rPr>
          <w:rFonts w:eastAsia="微软雅黑"/>
        </w:rPr>
        <w:t xml:space="preserve">the UL/DL resources can be fully utilized </w:t>
      </w:r>
      <w:r w:rsidR="00BE0718">
        <w:rPr>
          <w:rFonts w:eastAsia="微软雅黑"/>
        </w:rPr>
        <w:t xml:space="preserve">by </w:t>
      </w:r>
      <w:r w:rsidR="009B08B0">
        <w:rPr>
          <w:rFonts w:eastAsia="微软雅黑"/>
        </w:rPr>
        <w:t>either of the</w:t>
      </w:r>
      <w:r w:rsidR="00BE0718">
        <w:rPr>
          <w:rFonts w:eastAsia="微软雅黑"/>
        </w:rPr>
        <w:t xml:space="preserve"> two </w:t>
      </w:r>
      <w:r w:rsidR="000733BC">
        <w:rPr>
          <w:rFonts w:eastAsia="微软雅黑"/>
        </w:rPr>
        <w:t>option</w:t>
      </w:r>
      <w:r w:rsidR="00BE0718">
        <w:rPr>
          <w:rFonts w:eastAsia="微软雅黑"/>
        </w:rPr>
        <w:t>s</w:t>
      </w:r>
      <w:r w:rsidR="0041558E">
        <w:rPr>
          <w:rFonts w:eastAsia="微软雅黑"/>
        </w:rPr>
        <w:t>.</w:t>
      </w:r>
      <w:r w:rsidR="00643549">
        <w:rPr>
          <w:rFonts w:eastAsia="微软雅黑"/>
        </w:rPr>
        <w:t xml:space="preserve"> The option 1 and option 2 have different spec effects, e.g.</w:t>
      </w:r>
      <w:r w:rsidR="00617D9A">
        <w:rPr>
          <w:rFonts w:eastAsia="微软雅黑"/>
        </w:rPr>
        <w:t>,</w:t>
      </w:r>
    </w:p>
    <w:p w14:paraId="74307B96" w14:textId="00D0872A" w:rsidR="00643549" w:rsidRPr="00195777" w:rsidRDefault="00D512C6" w:rsidP="00195777">
      <w:pPr>
        <w:pStyle w:val="a8"/>
        <w:numPr>
          <w:ilvl w:val="0"/>
          <w:numId w:val="42"/>
        </w:numPr>
        <w:spacing w:before="93"/>
        <w:ind w:firstLineChars="0"/>
      </w:pPr>
      <w:r w:rsidRPr="00195777">
        <w:t>O</w:t>
      </w:r>
      <w:r w:rsidR="00643549" w:rsidRPr="00195777">
        <w:t xml:space="preserve">ption 1 </w:t>
      </w:r>
      <w:r w:rsidRPr="00195777">
        <w:t>requires enhancement on</w:t>
      </w:r>
      <w:r w:rsidR="00B412CC" w:rsidRPr="00195777">
        <w:t xml:space="preserve"> slot</w:t>
      </w:r>
      <w:r w:rsidR="00643549" w:rsidRPr="00195777">
        <w:t xml:space="preserve"> </w:t>
      </w:r>
      <w:r w:rsidR="00B412CC" w:rsidRPr="00195777">
        <w:t>counting</w:t>
      </w:r>
      <w:r w:rsidR="00643549" w:rsidRPr="00195777">
        <w:t xml:space="preserve">, collision </w:t>
      </w:r>
      <w:r w:rsidR="00167AD6" w:rsidRPr="00195777">
        <w:t xml:space="preserve">handling </w:t>
      </w:r>
      <w:r w:rsidR="00643549" w:rsidRPr="00195777">
        <w:t>rules.</w:t>
      </w:r>
    </w:p>
    <w:p w14:paraId="03022F3E" w14:textId="7294351C" w:rsidR="00643549" w:rsidRPr="007412B6" w:rsidRDefault="00D512C6" w:rsidP="00195777">
      <w:pPr>
        <w:pStyle w:val="a8"/>
        <w:numPr>
          <w:ilvl w:val="0"/>
          <w:numId w:val="42"/>
        </w:numPr>
        <w:spacing w:before="93"/>
        <w:ind w:firstLineChars="0"/>
      </w:pPr>
      <w:r w:rsidRPr="00195777">
        <w:t>O</w:t>
      </w:r>
      <w:r w:rsidR="00643549" w:rsidRPr="00195777">
        <w:t xml:space="preserve">ption 2 </w:t>
      </w:r>
      <w:r w:rsidRPr="00195777">
        <w:t xml:space="preserve">requires </w:t>
      </w:r>
      <w:r w:rsidR="00643549" w:rsidRPr="00195777">
        <w:t>enhance</w:t>
      </w:r>
      <w:r w:rsidRPr="00195777">
        <w:t>ments on</w:t>
      </w:r>
      <w:r w:rsidR="00643549" w:rsidRPr="00195777">
        <w:t xml:space="preserve"> FDRA, UL power control, and beam/spatial relation, etc.</w:t>
      </w:r>
    </w:p>
    <w:p w14:paraId="4C3C1E77" w14:textId="1A064141" w:rsidR="00CD1AE1" w:rsidRPr="00195777" w:rsidRDefault="00CD1AE1" w:rsidP="00195777">
      <w:pPr>
        <w:spacing w:before="93"/>
        <w:rPr>
          <w:rFonts w:eastAsia="微软雅黑"/>
        </w:rPr>
      </w:pPr>
      <w:r w:rsidRPr="00195777">
        <w:rPr>
          <w:rFonts w:eastAsia="微软雅黑"/>
        </w:rPr>
        <w:t xml:space="preserve">The three options are summarized in Table 2. </w:t>
      </w:r>
      <w:r w:rsidR="00392AB6">
        <w:rPr>
          <w:rFonts w:eastAsia="微软雅黑"/>
        </w:rPr>
        <w:t>Between option 1 and</w:t>
      </w:r>
      <w:r w:rsidRPr="00195777">
        <w:rPr>
          <w:rFonts w:eastAsia="微软雅黑"/>
        </w:rPr>
        <w:t xml:space="preserve"> option 2</w:t>
      </w:r>
      <w:r w:rsidR="00392AB6">
        <w:rPr>
          <w:rFonts w:eastAsia="微软雅黑"/>
        </w:rPr>
        <w:t>, option 2</w:t>
      </w:r>
      <w:r w:rsidRPr="00195777">
        <w:rPr>
          <w:rFonts w:eastAsia="微软雅黑"/>
        </w:rPr>
        <w:t xml:space="preserve"> requires more standardization effort compared to option 1. Therefore option 1 is preferred, at least for PUSCH, PUCCH and PDSCH.</w:t>
      </w:r>
    </w:p>
    <w:p w14:paraId="39699B37" w14:textId="77777777" w:rsidR="00CD1AE1" w:rsidRPr="00195777" w:rsidRDefault="00CD1AE1" w:rsidP="00195777">
      <w:pPr>
        <w:spacing w:before="93"/>
        <w:rPr>
          <w:i/>
        </w:rPr>
      </w:pPr>
      <w:r w:rsidRPr="00195777">
        <w:rPr>
          <w:b/>
          <w:i/>
        </w:rPr>
        <w:t>Proposal 14</w:t>
      </w:r>
      <w:r w:rsidRPr="00195777">
        <w:rPr>
          <w:i/>
        </w:rPr>
        <w:t>: For UL transmissions and DL receptions across SBFD symbols and non-SBFD symbols in different slots (each transmission/reception within a slot has either all SBFD or all non-SBFD symbols), the transmission/receptions are restricted to SBFD symbols only or non-SBFD symbols only.</w:t>
      </w:r>
    </w:p>
    <w:p w14:paraId="0921B599" w14:textId="77777777" w:rsidR="000F0B14" w:rsidRPr="0073538C" w:rsidRDefault="000F0B14" w:rsidP="00946B07">
      <w:pPr>
        <w:spacing w:before="93"/>
        <w:jc w:val="center"/>
        <w:rPr>
          <w:rFonts w:eastAsia="微软雅黑"/>
        </w:rPr>
      </w:pPr>
    </w:p>
    <w:p w14:paraId="71429996" w14:textId="24557142" w:rsidR="00946B07" w:rsidRDefault="00946B07" w:rsidP="00946B07">
      <w:pPr>
        <w:spacing w:before="93"/>
        <w:jc w:val="center"/>
      </w:pPr>
      <w:r>
        <w:t xml:space="preserve">Table </w:t>
      </w:r>
      <w:r w:rsidR="00836C09">
        <w:t>2</w:t>
      </w:r>
      <w:r>
        <w:t xml:space="preserve"> Transmission</w:t>
      </w:r>
      <w:r w:rsidR="005B2720">
        <w:t>s/receptions</w:t>
      </w:r>
      <w:r>
        <w:t xml:space="preserve"> across SBFD slots and non-SBFD slots</w:t>
      </w:r>
    </w:p>
    <w:tbl>
      <w:tblPr>
        <w:tblStyle w:val="a7"/>
        <w:tblW w:w="0" w:type="auto"/>
        <w:tblLook w:val="04A0" w:firstRow="1" w:lastRow="0" w:firstColumn="1" w:lastColumn="0" w:noHBand="0" w:noVBand="1"/>
      </w:tblPr>
      <w:tblGrid>
        <w:gridCol w:w="1413"/>
        <w:gridCol w:w="1417"/>
        <w:gridCol w:w="3237"/>
        <w:gridCol w:w="3238"/>
      </w:tblGrid>
      <w:tr w:rsidR="00946B07" w14:paraId="3032C6BE" w14:textId="61D69B8D" w:rsidTr="00946B07">
        <w:tc>
          <w:tcPr>
            <w:tcW w:w="1413" w:type="dxa"/>
          </w:tcPr>
          <w:p w14:paraId="230B0296" w14:textId="29E3F5C0" w:rsidR="00946B07" w:rsidRPr="00C44D47" w:rsidRDefault="00946B07" w:rsidP="00C5760D">
            <w:pPr>
              <w:spacing w:before="93"/>
              <w:jc w:val="center"/>
              <w:rPr>
                <w:sz w:val="20"/>
              </w:rPr>
            </w:pPr>
          </w:p>
        </w:tc>
        <w:tc>
          <w:tcPr>
            <w:tcW w:w="1417" w:type="dxa"/>
          </w:tcPr>
          <w:p w14:paraId="786EE7F7" w14:textId="75635ED3" w:rsidR="00946B07" w:rsidRPr="00C44D47" w:rsidRDefault="00946B07" w:rsidP="00C5760D">
            <w:pPr>
              <w:spacing w:before="93"/>
              <w:jc w:val="center"/>
              <w:rPr>
                <w:sz w:val="20"/>
              </w:rPr>
            </w:pPr>
            <w:r>
              <w:rPr>
                <w:rFonts w:hint="eastAsia"/>
                <w:sz w:val="20"/>
              </w:rPr>
              <w:t>B</w:t>
            </w:r>
            <w:r>
              <w:rPr>
                <w:sz w:val="20"/>
              </w:rPr>
              <w:t>aseline</w:t>
            </w:r>
          </w:p>
        </w:tc>
        <w:tc>
          <w:tcPr>
            <w:tcW w:w="3237" w:type="dxa"/>
          </w:tcPr>
          <w:p w14:paraId="51C5E6C4" w14:textId="12BFE766" w:rsidR="00946B07" w:rsidRPr="00C44D47" w:rsidRDefault="00946B07" w:rsidP="00C5760D">
            <w:pPr>
              <w:spacing w:before="93"/>
              <w:jc w:val="center"/>
              <w:rPr>
                <w:sz w:val="20"/>
              </w:rPr>
            </w:pPr>
            <w:r>
              <w:rPr>
                <w:rFonts w:hint="eastAsia"/>
                <w:sz w:val="20"/>
              </w:rPr>
              <w:t>O</w:t>
            </w:r>
            <w:r>
              <w:rPr>
                <w:sz w:val="20"/>
              </w:rPr>
              <w:t>ption 1</w:t>
            </w:r>
          </w:p>
        </w:tc>
        <w:tc>
          <w:tcPr>
            <w:tcW w:w="3238" w:type="dxa"/>
          </w:tcPr>
          <w:p w14:paraId="011A6D82" w14:textId="5EBAED7E" w:rsidR="00946B07" w:rsidRDefault="00946B07" w:rsidP="00C5760D">
            <w:pPr>
              <w:spacing w:before="93"/>
              <w:jc w:val="center"/>
              <w:rPr>
                <w:sz w:val="20"/>
              </w:rPr>
            </w:pPr>
            <w:r>
              <w:rPr>
                <w:rFonts w:hint="eastAsia"/>
                <w:sz w:val="20"/>
              </w:rPr>
              <w:t>O</w:t>
            </w:r>
            <w:r>
              <w:rPr>
                <w:sz w:val="20"/>
              </w:rPr>
              <w:t>ption 2</w:t>
            </w:r>
          </w:p>
        </w:tc>
      </w:tr>
      <w:tr w:rsidR="00946B07" w14:paraId="3C3ADE34" w14:textId="6DE7BC50" w:rsidTr="00946B07">
        <w:tc>
          <w:tcPr>
            <w:tcW w:w="1413" w:type="dxa"/>
          </w:tcPr>
          <w:p w14:paraId="26FF4330" w14:textId="1CB015E9" w:rsidR="00946B07" w:rsidRPr="00C44D47" w:rsidRDefault="00946B07" w:rsidP="00BD60A1">
            <w:pPr>
              <w:spacing w:before="93"/>
              <w:jc w:val="left"/>
              <w:rPr>
                <w:sz w:val="20"/>
              </w:rPr>
            </w:pPr>
            <w:r>
              <w:rPr>
                <w:rFonts w:hint="eastAsia"/>
                <w:sz w:val="20"/>
              </w:rPr>
              <w:t>P</w:t>
            </w:r>
            <w:r>
              <w:rPr>
                <w:sz w:val="20"/>
              </w:rPr>
              <w:t>erformances</w:t>
            </w:r>
          </w:p>
        </w:tc>
        <w:tc>
          <w:tcPr>
            <w:tcW w:w="1417" w:type="dxa"/>
          </w:tcPr>
          <w:p w14:paraId="29C14BF3" w14:textId="33F6E280" w:rsidR="00946B07" w:rsidRPr="00C44D47" w:rsidRDefault="00946B07" w:rsidP="00C5760D">
            <w:pPr>
              <w:spacing w:before="93"/>
              <w:jc w:val="center"/>
              <w:rPr>
                <w:sz w:val="20"/>
              </w:rPr>
            </w:pPr>
            <w:r>
              <w:rPr>
                <w:sz w:val="20"/>
              </w:rPr>
              <w:t>Worst</w:t>
            </w:r>
          </w:p>
        </w:tc>
        <w:tc>
          <w:tcPr>
            <w:tcW w:w="6475" w:type="dxa"/>
            <w:gridSpan w:val="2"/>
          </w:tcPr>
          <w:p w14:paraId="6E3029B8" w14:textId="7B9A59BB" w:rsidR="00946B07" w:rsidRPr="00C44D47" w:rsidRDefault="00946B07" w:rsidP="00C5760D">
            <w:pPr>
              <w:spacing w:before="93"/>
              <w:jc w:val="center"/>
              <w:rPr>
                <w:sz w:val="20"/>
              </w:rPr>
            </w:pPr>
            <w:r>
              <w:rPr>
                <w:rFonts w:hint="eastAsia"/>
                <w:sz w:val="20"/>
              </w:rPr>
              <w:t>S</w:t>
            </w:r>
            <w:r>
              <w:rPr>
                <w:sz w:val="20"/>
              </w:rPr>
              <w:t>imilar coverage and latency performances, and better than the baseline</w:t>
            </w:r>
          </w:p>
        </w:tc>
      </w:tr>
      <w:tr w:rsidR="00946B07" w14:paraId="3F96F35B" w14:textId="48BD695C" w:rsidTr="00946B07">
        <w:tc>
          <w:tcPr>
            <w:tcW w:w="1413" w:type="dxa"/>
          </w:tcPr>
          <w:p w14:paraId="396B42A3" w14:textId="54F830ED" w:rsidR="00946B07" w:rsidRPr="00C44D47" w:rsidRDefault="00946B07" w:rsidP="00BD60A1">
            <w:pPr>
              <w:spacing w:before="93"/>
              <w:jc w:val="left"/>
              <w:rPr>
                <w:iCs/>
              </w:rPr>
            </w:pPr>
            <w:r>
              <w:rPr>
                <w:rFonts w:hint="eastAsia"/>
                <w:iCs/>
              </w:rPr>
              <w:t>S</w:t>
            </w:r>
            <w:r>
              <w:rPr>
                <w:iCs/>
              </w:rPr>
              <w:t>pec impacts</w:t>
            </w:r>
          </w:p>
        </w:tc>
        <w:tc>
          <w:tcPr>
            <w:tcW w:w="1417" w:type="dxa"/>
          </w:tcPr>
          <w:p w14:paraId="62E84792" w14:textId="2DF3A1AB" w:rsidR="00946B07" w:rsidRPr="00940813" w:rsidRDefault="00946B07" w:rsidP="00C5760D">
            <w:pPr>
              <w:spacing w:before="93"/>
              <w:jc w:val="center"/>
              <w:rPr>
                <w:sz w:val="20"/>
              </w:rPr>
            </w:pPr>
            <w:r>
              <w:rPr>
                <w:rFonts w:hint="eastAsia"/>
                <w:sz w:val="20"/>
              </w:rPr>
              <w:t>N</w:t>
            </w:r>
            <w:r>
              <w:rPr>
                <w:sz w:val="20"/>
              </w:rPr>
              <w:t>/A</w:t>
            </w:r>
          </w:p>
        </w:tc>
        <w:tc>
          <w:tcPr>
            <w:tcW w:w="3237" w:type="dxa"/>
          </w:tcPr>
          <w:p w14:paraId="1DC0D5FD" w14:textId="20886258" w:rsidR="00946B07" w:rsidRPr="00946B07" w:rsidRDefault="001B4BF9" w:rsidP="00BC51D9">
            <w:pPr>
              <w:pStyle w:val="a8"/>
              <w:numPr>
                <w:ilvl w:val="0"/>
                <w:numId w:val="45"/>
              </w:numPr>
              <w:spacing w:before="93"/>
              <w:ind w:firstLineChars="0"/>
              <w:jc w:val="left"/>
              <w:rPr>
                <w:sz w:val="20"/>
              </w:rPr>
            </w:pPr>
            <w:r>
              <w:rPr>
                <w:sz w:val="20"/>
              </w:rPr>
              <w:t>S</w:t>
            </w:r>
            <w:r w:rsidR="00946B07" w:rsidRPr="00946B07">
              <w:rPr>
                <w:sz w:val="20"/>
              </w:rPr>
              <w:t>lot</w:t>
            </w:r>
            <w:r w:rsidR="00BB2E62">
              <w:rPr>
                <w:sz w:val="20"/>
              </w:rPr>
              <w:t xml:space="preserve"> counting</w:t>
            </w:r>
          </w:p>
          <w:p w14:paraId="040E9C83" w14:textId="1ECF4C84" w:rsidR="00946B07" w:rsidRPr="00195777" w:rsidRDefault="00946B07" w:rsidP="006F2BDD">
            <w:pPr>
              <w:pStyle w:val="a8"/>
              <w:numPr>
                <w:ilvl w:val="0"/>
                <w:numId w:val="45"/>
              </w:numPr>
              <w:spacing w:before="93"/>
              <w:ind w:firstLineChars="0"/>
              <w:jc w:val="left"/>
              <w:rPr>
                <w:sz w:val="20"/>
              </w:rPr>
            </w:pPr>
            <w:r w:rsidRPr="00946B07">
              <w:rPr>
                <w:sz w:val="20"/>
              </w:rPr>
              <w:t xml:space="preserve">Collision </w:t>
            </w:r>
            <w:r w:rsidR="00167AD6">
              <w:rPr>
                <w:sz w:val="20"/>
              </w:rPr>
              <w:t xml:space="preserve">handling </w:t>
            </w:r>
            <w:r w:rsidRPr="00946B07">
              <w:rPr>
                <w:sz w:val="20"/>
              </w:rPr>
              <w:t>rules</w:t>
            </w:r>
          </w:p>
        </w:tc>
        <w:tc>
          <w:tcPr>
            <w:tcW w:w="3238" w:type="dxa"/>
          </w:tcPr>
          <w:p w14:paraId="06D22C59" w14:textId="659678E4" w:rsidR="00BD60A1" w:rsidRPr="00946B07" w:rsidRDefault="00BD60A1" w:rsidP="00BC51D9">
            <w:pPr>
              <w:pStyle w:val="a8"/>
              <w:numPr>
                <w:ilvl w:val="0"/>
                <w:numId w:val="45"/>
              </w:numPr>
              <w:spacing w:before="93"/>
              <w:ind w:firstLineChars="0"/>
              <w:jc w:val="left"/>
              <w:rPr>
                <w:sz w:val="20"/>
              </w:rPr>
            </w:pPr>
            <w:r>
              <w:rPr>
                <w:sz w:val="20"/>
              </w:rPr>
              <w:t>FDRA</w:t>
            </w:r>
          </w:p>
          <w:p w14:paraId="7E929815" w14:textId="4CC4D97C" w:rsidR="00BD60A1" w:rsidRDefault="00BD60A1" w:rsidP="00BC51D9">
            <w:pPr>
              <w:pStyle w:val="a8"/>
              <w:numPr>
                <w:ilvl w:val="0"/>
                <w:numId w:val="45"/>
              </w:numPr>
              <w:spacing w:before="93"/>
              <w:ind w:firstLineChars="0"/>
              <w:jc w:val="left"/>
              <w:rPr>
                <w:sz w:val="20"/>
              </w:rPr>
            </w:pPr>
            <w:r>
              <w:rPr>
                <w:sz w:val="20"/>
              </w:rPr>
              <w:t>UL power control</w:t>
            </w:r>
          </w:p>
          <w:p w14:paraId="257FCF75" w14:textId="74FFF492" w:rsidR="00946B07" w:rsidRPr="00BD60A1" w:rsidRDefault="00BD60A1" w:rsidP="00BC51D9">
            <w:pPr>
              <w:pStyle w:val="a8"/>
              <w:numPr>
                <w:ilvl w:val="0"/>
                <w:numId w:val="45"/>
              </w:numPr>
              <w:spacing w:before="93"/>
              <w:ind w:firstLineChars="0"/>
              <w:jc w:val="left"/>
              <w:rPr>
                <w:sz w:val="20"/>
              </w:rPr>
            </w:pPr>
            <w:r>
              <w:rPr>
                <w:sz w:val="20"/>
              </w:rPr>
              <w:t>Beam/spatial relation</w:t>
            </w:r>
          </w:p>
        </w:tc>
      </w:tr>
    </w:tbl>
    <w:p w14:paraId="5E8D37A7" w14:textId="77777777" w:rsidR="00972428" w:rsidRDefault="00972428" w:rsidP="00195777">
      <w:pPr>
        <w:spacing w:before="93"/>
        <w:jc w:val="center"/>
        <w:rPr>
          <w:rFonts w:eastAsia="微软雅黑"/>
        </w:rPr>
      </w:pPr>
    </w:p>
    <w:p w14:paraId="5F222EF9" w14:textId="53A73D16" w:rsidR="0017124F" w:rsidRPr="0040782E" w:rsidRDefault="0017124F" w:rsidP="006F2BDD">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lastRenderedPageBreak/>
        <w:t>PUSCH enhancement</w:t>
      </w:r>
    </w:p>
    <w:p w14:paraId="51020D99" w14:textId="41140E93" w:rsidR="001B4BF9" w:rsidRDefault="001B4BF9" w:rsidP="001B4BF9">
      <w:pPr>
        <w:pStyle w:val="a8"/>
        <w:widowControl/>
        <w:numPr>
          <w:ilvl w:val="0"/>
          <w:numId w:val="11"/>
        </w:numPr>
        <w:autoSpaceDE w:val="0"/>
        <w:autoSpaceDN w:val="0"/>
        <w:spacing w:before="93" w:after="93" w:line="240" w:lineRule="auto"/>
        <w:ind w:firstLineChars="0"/>
        <w:rPr>
          <w:b/>
          <w:u w:val="single"/>
        </w:rPr>
      </w:pPr>
      <w:r>
        <w:rPr>
          <w:rFonts w:hint="eastAsia"/>
          <w:b/>
          <w:u w:val="single"/>
        </w:rPr>
        <w:t>O</w:t>
      </w:r>
      <w:r>
        <w:rPr>
          <w:b/>
          <w:u w:val="single"/>
        </w:rPr>
        <w:t>ption 1 (</w:t>
      </w:r>
      <w:r w:rsidRPr="001B4BF9">
        <w:rPr>
          <w:b/>
          <w:u w:val="single"/>
        </w:rPr>
        <w:t>The transmission/receptions are restricted to SBFD symbols only or non-SBFD symbols only</w:t>
      </w:r>
      <w:r>
        <w:rPr>
          <w:b/>
          <w:u w:val="single"/>
        </w:rPr>
        <w:t>)</w:t>
      </w:r>
    </w:p>
    <w:p w14:paraId="2BD59F63" w14:textId="1758B198" w:rsidR="00FB2AA6" w:rsidRDefault="005D11AA" w:rsidP="00732C51">
      <w:pPr>
        <w:widowControl/>
        <w:autoSpaceDE w:val="0"/>
        <w:autoSpaceDN w:val="0"/>
        <w:spacing w:before="93" w:after="93" w:line="240" w:lineRule="auto"/>
      </w:pPr>
      <w:r>
        <w:t>As discussed above, o</w:t>
      </w:r>
      <w:r w:rsidR="00BD17CB">
        <w:t>ption 1</w:t>
      </w:r>
      <w:r w:rsidR="001B4BF9">
        <w:t xml:space="preserve"> can be </w:t>
      </w:r>
      <w:r w:rsidR="00EE6497">
        <w:t xml:space="preserve">achieved </w:t>
      </w:r>
      <w:r w:rsidR="001B4BF9">
        <w:t xml:space="preserve">by enhancing </w:t>
      </w:r>
      <w:r w:rsidR="00CC240F">
        <w:t xml:space="preserve">the </w:t>
      </w:r>
      <w:r w:rsidR="001B4BF9">
        <w:t>slot counting and/or collision rules</w:t>
      </w:r>
      <w:r w:rsidR="002C7798">
        <w:t xml:space="preserve">. </w:t>
      </w:r>
      <w:r w:rsidR="00557D0A">
        <w:t xml:space="preserve">For example, if </w:t>
      </w:r>
      <w:r w:rsidR="00EE6497">
        <w:t xml:space="preserve">a </w:t>
      </w:r>
      <w:r w:rsidR="00CD1118">
        <w:t xml:space="preserve">multi-slot </w:t>
      </w:r>
      <w:r w:rsidR="00557D0A">
        <w:t>PUSCH</w:t>
      </w:r>
      <w:r w:rsidR="00717998">
        <w:t xml:space="preserve"> (repetition or </w:t>
      </w:r>
      <w:proofErr w:type="spellStart"/>
      <w:r w:rsidR="00717998">
        <w:t>TBoMS</w:t>
      </w:r>
      <w:proofErr w:type="spellEnd"/>
      <w:r w:rsidR="00717998">
        <w:t>)</w:t>
      </w:r>
      <w:r w:rsidR="00557D0A">
        <w:t xml:space="preserve"> is scheduled in SBFD slots, </w:t>
      </w:r>
      <w:r w:rsidR="00CD1118">
        <w:t>the</w:t>
      </w:r>
      <w:r w:rsidR="00557D0A">
        <w:t xml:space="preserve"> </w:t>
      </w:r>
      <w:r w:rsidR="00CD1118">
        <w:t>non-</w:t>
      </w:r>
      <w:r w:rsidR="00557D0A">
        <w:t xml:space="preserve">SBFD slots are </w:t>
      </w:r>
      <w:r w:rsidR="00CD1118">
        <w:t xml:space="preserve">not </w:t>
      </w:r>
      <w:r w:rsidR="00557D0A">
        <w:t>counted or the PUSCH on non-SBFD slots are d</w:t>
      </w:r>
      <w:r w:rsidR="004D4AC8">
        <w:t>ropped; if a multi-slot PUSCH is scheduled in non-SBFD slots, the SBFD slots are not counted or the PUSCH on SBFD slots are dropped.</w:t>
      </w:r>
      <w:r w:rsidR="000A7A7B">
        <w:t xml:space="preserve"> </w:t>
      </w:r>
    </w:p>
    <w:p w14:paraId="46631362" w14:textId="59F3DE2C" w:rsidR="00E703AB" w:rsidRDefault="00E703AB" w:rsidP="00732C51">
      <w:pPr>
        <w:widowControl/>
        <w:autoSpaceDE w:val="0"/>
        <w:autoSpaceDN w:val="0"/>
        <w:spacing w:before="93" w:after="93" w:line="240" w:lineRule="auto"/>
      </w:pPr>
      <w:r>
        <w:t>I</w:t>
      </w:r>
      <w:r w:rsidR="00195898">
        <w:t xml:space="preserve">n order to </w:t>
      </w:r>
      <w:r w:rsidR="00557D0A">
        <w:t>fully utilize the UL resources</w:t>
      </w:r>
      <w:r w:rsidR="004D4AC8">
        <w:t xml:space="preserve"> to achieve better coverage and latency performance</w:t>
      </w:r>
      <w:r w:rsidR="00557D0A">
        <w:t>, the interlaced-TB transmission</w:t>
      </w:r>
      <w:r w:rsidR="000A7A7B">
        <w:t xml:space="preserve"> should be </w:t>
      </w:r>
      <w:r w:rsidR="00FD1E38">
        <w:t>used</w:t>
      </w:r>
      <w:r w:rsidR="008A69BC">
        <w:t xml:space="preserve">. </w:t>
      </w:r>
      <w:r>
        <w:t>Taking</w:t>
      </w:r>
      <w:r w:rsidR="008A69BC">
        <w:t xml:space="preserve"> DG-PUSCH</w:t>
      </w:r>
      <w:r>
        <w:t xml:space="preserve"> as </w:t>
      </w:r>
      <w:r w:rsidR="00717998">
        <w:t xml:space="preserve">an </w:t>
      </w:r>
      <w:r>
        <w:t>example</w:t>
      </w:r>
      <w:r w:rsidR="008A69BC">
        <w:t>, the gNB alternatively schedule</w:t>
      </w:r>
      <w:r w:rsidR="00B66A52">
        <w:t>s</w:t>
      </w:r>
      <w:r w:rsidR="008A69BC">
        <w:t xml:space="preserve"> two PUSCHs on SBFD slots and non-SBFD slots by two DCI</w:t>
      </w:r>
      <w:r w:rsidR="00DE286E">
        <w:t>s</w:t>
      </w:r>
      <w:r w:rsidR="008A69BC">
        <w:t>, respectively, where two PUSCHs carry two TBs</w:t>
      </w:r>
      <w:r>
        <w:t xml:space="preserve">, as shown in Fig. </w:t>
      </w:r>
      <w:r w:rsidR="00A85CAD">
        <w:t>4</w:t>
      </w:r>
      <w:r w:rsidR="008A69BC">
        <w:t xml:space="preserve">. </w:t>
      </w:r>
      <w:r>
        <w:t xml:space="preserve">And for CG-PUSCH, </w:t>
      </w:r>
      <w:r w:rsidR="00CC732E">
        <w:t xml:space="preserve">it can be done by configuring </w:t>
      </w:r>
      <w:r>
        <w:t xml:space="preserve">separate resources </w:t>
      </w:r>
      <w:r w:rsidR="00D72C33">
        <w:t>for</w:t>
      </w:r>
      <w:r>
        <w:t xml:space="preserve"> SBFD slots and non-SBFD slots</w:t>
      </w:r>
      <w:r w:rsidR="007D170C">
        <w:t>, respectively,</w:t>
      </w:r>
      <w:r>
        <w:t xml:space="preserve"> </w:t>
      </w:r>
      <w:r w:rsidR="00CC732E">
        <w:t>by gNB.</w:t>
      </w:r>
    </w:p>
    <w:p w14:paraId="4EF2795D" w14:textId="2A33AAF6" w:rsidR="003A187A" w:rsidRDefault="003A187A" w:rsidP="003A187A">
      <w:pPr>
        <w:spacing w:before="93"/>
        <w:rPr>
          <w:i/>
        </w:rPr>
      </w:pPr>
      <w:r w:rsidRPr="00971B58">
        <w:rPr>
          <w:rFonts w:hint="eastAsia"/>
          <w:b/>
          <w:i/>
        </w:rPr>
        <w:t>P</w:t>
      </w:r>
      <w:r w:rsidRPr="00971B58">
        <w:rPr>
          <w:b/>
          <w:i/>
        </w:rPr>
        <w:t xml:space="preserve">roposal </w:t>
      </w:r>
      <w:r>
        <w:rPr>
          <w:b/>
          <w:i/>
        </w:rPr>
        <w:t>1</w:t>
      </w:r>
      <w:r w:rsidR="00B83EA5">
        <w:rPr>
          <w:b/>
          <w:i/>
        </w:rPr>
        <w:t>5</w:t>
      </w:r>
      <w:r w:rsidRPr="00971B58">
        <w:rPr>
          <w:i/>
        </w:rPr>
        <w:t>:</w:t>
      </w:r>
      <w:r>
        <w:rPr>
          <w:i/>
        </w:rPr>
        <w:t xml:space="preserve"> </w:t>
      </w:r>
      <w:r w:rsidR="00956BEF">
        <w:rPr>
          <w:i/>
        </w:rPr>
        <w:t>For</w:t>
      </w:r>
      <w:r w:rsidR="001756EA">
        <w:rPr>
          <w:i/>
        </w:rPr>
        <w:t xml:space="preserve"> option 1 where</w:t>
      </w:r>
      <w:r w:rsidR="00956BEF">
        <w:rPr>
          <w:i/>
        </w:rPr>
        <w:t xml:space="preserve"> </w:t>
      </w:r>
      <w:r>
        <w:rPr>
          <w:i/>
        </w:rPr>
        <w:t>transmission/receptions are restricted to SBFD symbols only or non-SBFD symbols onl</w:t>
      </w:r>
      <w:r w:rsidR="00732C51">
        <w:rPr>
          <w:i/>
        </w:rPr>
        <w:t xml:space="preserve">y, study </w:t>
      </w:r>
      <w:r w:rsidR="00956BEF">
        <w:rPr>
          <w:i/>
        </w:rPr>
        <w:t xml:space="preserve">the </w:t>
      </w:r>
      <w:r w:rsidR="00732C51">
        <w:rPr>
          <w:i/>
        </w:rPr>
        <w:t>following</w:t>
      </w:r>
      <w:r w:rsidR="00956BEF">
        <w:rPr>
          <w:i/>
        </w:rPr>
        <w:t xml:space="preserve"> aspects for</w:t>
      </w:r>
      <w:r w:rsidR="00732C51">
        <w:rPr>
          <w:i/>
        </w:rPr>
        <w:t xml:space="preserve"> </w:t>
      </w:r>
      <w:r w:rsidR="004644BB">
        <w:rPr>
          <w:i/>
        </w:rPr>
        <w:t xml:space="preserve">PUSCH </w:t>
      </w:r>
      <w:r w:rsidR="00732C51">
        <w:rPr>
          <w:i/>
        </w:rPr>
        <w:t>enhancement</w:t>
      </w:r>
      <w:r w:rsidR="00000EA7">
        <w:rPr>
          <w:i/>
        </w:rPr>
        <w:t>:</w:t>
      </w:r>
    </w:p>
    <w:p w14:paraId="43BB3E27" w14:textId="1B327769" w:rsidR="00732C51" w:rsidRDefault="00732C51" w:rsidP="00BC51D9">
      <w:pPr>
        <w:pStyle w:val="a8"/>
        <w:numPr>
          <w:ilvl w:val="0"/>
          <w:numId w:val="46"/>
        </w:numPr>
        <w:spacing w:before="93"/>
        <w:ind w:firstLineChars="0"/>
        <w:rPr>
          <w:i/>
        </w:rPr>
      </w:pPr>
      <w:r>
        <w:rPr>
          <w:i/>
        </w:rPr>
        <w:t>Slot counting enhancement</w:t>
      </w:r>
      <w:r w:rsidR="00FD1E38">
        <w:rPr>
          <w:i/>
        </w:rPr>
        <w:t>.</w:t>
      </w:r>
    </w:p>
    <w:p w14:paraId="014C3ED4" w14:textId="14E2EB1D" w:rsidR="00732C51" w:rsidRDefault="00732C51" w:rsidP="00BC51D9">
      <w:pPr>
        <w:pStyle w:val="a8"/>
        <w:numPr>
          <w:ilvl w:val="0"/>
          <w:numId w:val="46"/>
        </w:numPr>
        <w:spacing w:before="93"/>
        <w:ind w:firstLineChars="0"/>
        <w:rPr>
          <w:i/>
        </w:rPr>
      </w:pPr>
      <w:r>
        <w:rPr>
          <w:rFonts w:hint="eastAsia"/>
          <w:i/>
        </w:rPr>
        <w:t>C</w:t>
      </w:r>
      <w:r>
        <w:rPr>
          <w:i/>
        </w:rPr>
        <w:t>ollision rule</w:t>
      </w:r>
      <w:r w:rsidR="00DF3E92">
        <w:rPr>
          <w:i/>
        </w:rPr>
        <w:t xml:space="preserve">s handling </w:t>
      </w:r>
      <w:r>
        <w:rPr>
          <w:i/>
        </w:rPr>
        <w:t>enhancement</w:t>
      </w:r>
      <w:r w:rsidR="00FD1E38">
        <w:rPr>
          <w:i/>
        </w:rPr>
        <w:t>.</w:t>
      </w:r>
    </w:p>
    <w:p w14:paraId="0DA7D0D3" w14:textId="17CF3B36" w:rsidR="00587E2E" w:rsidRDefault="00B62CB8" w:rsidP="00195777">
      <w:pPr>
        <w:pStyle w:val="a8"/>
        <w:numPr>
          <w:ilvl w:val="0"/>
          <w:numId w:val="46"/>
        </w:numPr>
        <w:spacing w:before="93"/>
        <w:ind w:firstLineChars="0"/>
        <w:rPr>
          <w:i/>
        </w:rPr>
      </w:pPr>
      <w:r w:rsidRPr="00195777">
        <w:rPr>
          <w:i/>
        </w:rPr>
        <w:t>For CG-PUSCH, s</w:t>
      </w:r>
      <w:r w:rsidR="00587E2E" w:rsidRPr="00195777">
        <w:rPr>
          <w:i/>
        </w:rPr>
        <w:t xml:space="preserve">eparate </w:t>
      </w:r>
      <w:r w:rsidR="00221DCA" w:rsidRPr="00195777">
        <w:rPr>
          <w:i/>
        </w:rPr>
        <w:t xml:space="preserve">CG-PUSCH </w:t>
      </w:r>
      <w:r w:rsidR="00587E2E" w:rsidRPr="00195777">
        <w:rPr>
          <w:i/>
        </w:rPr>
        <w:t xml:space="preserve">resources </w:t>
      </w:r>
      <w:r w:rsidR="00DF3E92" w:rsidRPr="00195777">
        <w:rPr>
          <w:i/>
        </w:rPr>
        <w:t xml:space="preserve">can be configured </w:t>
      </w:r>
      <w:r w:rsidR="00D72C33" w:rsidRPr="00195777">
        <w:rPr>
          <w:i/>
        </w:rPr>
        <w:t>for</w:t>
      </w:r>
      <w:r w:rsidR="005D1C91" w:rsidRPr="00195777">
        <w:rPr>
          <w:i/>
        </w:rPr>
        <w:t xml:space="preserve"> SBFD slots and non-SBFD slots</w:t>
      </w:r>
      <w:r w:rsidR="00161FBB" w:rsidRPr="00195777">
        <w:rPr>
          <w:i/>
        </w:rPr>
        <w:t>.</w:t>
      </w:r>
    </w:p>
    <w:p w14:paraId="49782C77" w14:textId="77777777" w:rsidR="002E5530" w:rsidRPr="002E5530" w:rsidRDefault="002E5530">
      <w:pPr>
        <w:spacing w:before="93"/>
      </w:pPr>
    </w:p>
    <w:p w14:paraId="34C901AC" w14:textId="4B5541FA" w:rsidR="00346C41" w:rsidRDefault="00346C41" w:rsidP="00346C41">
      <w:pPr>
        <w:pStyle w:val="a8"/>
        <w:widowControl/>
        <w:numPr>
          <w:ilvl w:val="0"/>
          <w:numId w:val="11"/>
        </w:numPr>
        <w:autoSpaceDE w:val="0"/>
        <w:autoSpaceDN w:val="0"/>
        <w:spacing w:before="93" w:after="93" w:line="240" w:lineRule="auto"/>
        <w:ind w:firstLineChars="0"/>
        <w:rPr>
          <w:b/>
          <w:u w:val="single"/>
        </w:rPr>
      </w:pPr>
      <w:r>
        <w:rPr>
          <w:b/>
          <w:u w:val="single"/>
        </w:rPr>
        <w:t>Frequency hopping enhancement</w:t>
      </w:r>
    </w:p>
    <w:p w14:paraId="4E9992D9" w14:textId="44D9A6BF" w:rsidR="005C17C0" w:rsidRDefault="007554CE" w:rsidP="007554CE">
      <w:pPr>
        <w:widowControl/>
        <w:autoSpaceDE w:val="0"/>
        <w:autoSpaceDN w:val="0"/>
        <w:spacing w:before="93" w:after="93" w:line="240" w:lineRule="auto"/>
      </w:pPr>
      <w:r>
        <w:rPr>
          <w:rFonts w:hint="eastAsia"/>
        </w:rPr>
        <w:t>I</w:t>
      </w:r>
      <w:r w:rsidR="009E0F59">
        <w:t xml:space="preserve">n current </w:t>
      </w:r>
      <w:r w:rsidR="00FE13E4">
        <w:t>specification</w:t>
      </w:r>
      <w:r w:rsidR="009E0F59">
        <w:t>, PUSCH</w:t>
      </w:r>
      <w:r>
        <w:t xml:space="preserve"> frequency hopping is within the UL BWP. However, the UL frequency </w:t>
      </w:r>
      <w:r w:rsidR="00FE13E4">
        <w:t>resources i</w:t>
      </w:r>
      <w:r>
        <w:t>n SBFD symbol</w:t>
      </w:r>
      <w:r w:rsidR="006C1999">
        <w:t>s</w:t>
      </w:r>
      <w:r>
        <w:t xml:space="preserve"> is </w:t>
      </w:r>
      <w:r w:rsidR="00FE13E4">
        <w:t>the</w:t>
      </w:r>
      <w:r>
        <w:t xml:space="preserve"> UL subband, </w:t>
      </w:r>
      <w:r w:rsidR="006C1999">
        <w:t>but not</w:t>
      </w:r>
      <w:r>
        <w:t xml:space="preserve"> UL BWP. </w:t>
      </w:r>
      <w:r w:rsidR="006C1999">
        <w:t>I</w:t>
      </w:r>
      <w:r w:rsidR="005C17C0">
        <w:t>f we reuse the legacy PUSCH</w:t>
      </w:r>
      <w:r>
        <w:t xml:space="preserve"> frequency hopping </w:t>
      </w:r>
      <w:r w:rsidR="006E4EE7">
        <w:t>scheme</w:t>
      </w:r>
      <w:r>
        <w:t xml:space="preserve">, the frequency hopping </w:t>
      </w:r>
      <w:r w:rsidR="00FE13E4">
        <w:t>i</w:t>
      </w:r>
      <w:r>
        <w:t xml:space="preserve">n SBFD symbols may exceed the range of UL subband, as shown in Fig. </w:t>
      </w:r>
      <w:r w:rsidR="006E3E9E">
        <w:t>5</w:t>
      </w:r>
      <w:r>
        <w:t xml:space="preserve">. So for SBFD </w:t>
      </w:r>
      <w:r w:rsidR="00203467">
        <w:t xml:space="preserve">operation </w:t>
      </w:r>
      <w:r w:rsidR="00717998">
        <w:t xml:space="preserve">one need </w:t>
      </w:r>
      <w:r w:rsidR="00203467">
        <w:t xml:space="preserve">to </w:t>
      </w:r>
      <w:r w:rsidR="009D32EE">
        <w:t xml:space="preserve">ensure </w:t>
      </w:r>
      <w:r w:rsidR="00203467">
        <w:t>the PUSCH</w:t>
      </w:r>
      <w:r>
        <w:t xml:space="preserve"> frequency hopping </w:t>
      </w:r>
      <w:r w:rsidR="00A37516">
        <w:t xml:space="preserve">is </w:t>
      </w:r>
      <w:r>
        <w:t xml:space="preserve">always within the UL subband </w:t>
      </w:r>
      <w:r w:rsidR="00A37516">
        <w:t>i</w:t>
      </w:r>
      <w:r>
        <w:t xml:space="preserve">n SBFD symbol. </w:t>
      </w:r>
    </w:p>
    <w:p w14:paraId="2E7A4AAB" w14:textId="77777777" w:rsidR="007554CE" w:rsidRPr="00A1772C" w:rsidRDefault="007554CE" w:rsidP="007554CE">
      <w:pPr>
        <w:widowControl/>
        <w:autoSpaceDE w:val="0"/>
        <w:autoSpaceDN w:val="0"/>
        <w:spacing w:before="93" w:after="93" w:line="240" w:lineRule="auto"/>
        <w:jc w:val="center"/>
      </w:pPr>
    </w:p>
    <w:p w14:paraId="248F5837" w14:textId="77777777" w:rsidR="007554CE" w:rsidRDefault="007554CE" w:rsidP="007554CE">
      <w:pPr>
        <w:widowControl/>
        <w:autoSpaceDE w:val="0"/>
        <w:autoSpaceDN w:val="0"/>
        <w:spacing w:before="93" w:after="93" w:line="240" w:lineRule="auto"/>
        <w:jc w:val="center"/>
      </w:pPr>
      <w:r>
        <w:rPr>
          <w:noProof/>
        </w:rPr>
        <w:drawing>
          <wp:inline distT="0" distB="0" distL="0" distR="0" wp14:anchorId="4211B07D" wp14:editId="3BAC8D44">
            <wp:extent cx="2613600" cy="1400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13600" cy="1400400"/>
                    </a:xfrm>
                    <a:prstGeom prst="rect">
                      <a:avLst/>
                    </a:prstGeom>
                  </pic:spPr>
                </pic:pic>
              </a:graphicData>
            </a:graphic>
          </wp:inline>
        </w:drawing>
      </w:r>
    </w:p>
    <w:p w14:paraId="2A380482" w14:textId="6169992D" w:rsidR="007554CE" w:rsidRDefault="007554CE" w:rsidP="007554CE">
      <w:pPr>
        <w:widowControl/>
        <w:autoSpaceDE w:val="0"/>
        <w:autoSpaceDN w:val="0"/>
        <w:spacing w:before="93" w:after="93" w:line="240" w:lineRule="auto"/>
        <w:jc w:val="center"/>
      </w:pPr>
      <w:r>
        <w:rPr>
          <w:rFonts w:hint="eastAsia"/>
        </w:rPr>
        <w:t>F</w:t>
      </w:r>
      <w:r>
        <w:t xml:space="preserve">ig. </w:t>
      </w:r>
      <w:r w:rsidR="00937A1A">
        <w:t>5</w:t>
      </w:r>
      <w:r>
        <w:t xml:space="preserve"> PUSCH frequency hopping.</w:t>
      </w:r>
    </w:p>
    <w:p w14:paraId="492C9605" w14:textId="77777777" w:rsidR="006B191B" w:rsidRDefault="006B191B" w:rsidP="007554CE">
      <w:pPr>
        <w:widowControl/>
        <w:autoSpaceDE w:val="0"/>
        <w:autoSpaceDN w:val="0"/>
        <w:spacing w:before="93" w:after="93" w:line="240" w:lineRule="auto"/>
        <w:jc w:val="center"/>
      </w:pPr>
    </w:p>
    <w:p w14:paraId="3B8C8537" w14:textId="77777777" w:rsidR="006B191B" w:rsidRDefault="006B191B" w:rsidP="006B191B">
      <w:pPr>
        <w:widowControl/>
        <w:autoSpaceDE w:val="0"/>
        <w:autoSpaceDN w:val="0"/>
        <w:spacing w:before="93" w:after="93" w:line="240" w:lineRule="auto"/>
      </w:pPr>
      <w:r>
        <w:t>One straightforward way is to configure separate frequency hopping offsets for SBFD symbols and non-SBFD symbols by RRC. If frequency hopping occurs in SBFD symbols, the frequency offset for SBFD symbols is used; otherwise, the frequency offset for non-SBFD symbols is used. It is equivalent to expand frequency hopping offsets configured by RRC based on symbol type (SBFD symbol or non-SBFD symbol). It has less spec impacts and provides more flexibility.</w:t>
      </w:r>
    </w:p>
    <w:p w14:paraId="18DF5784" w14:textId="77777777" w:rsidR="006B191B" w:rsidRDefault="006B191B" w:rsidP="006B191B">
      <w:pPr>
        <w:widowControl/>
        <w:autoSpaceDE w:val="0"/>
        <w:autoSpaceDN w:val="0"/>
        <w:spacing w:before="93" w:after="93" w:line="240" w:lineRule="auto"/>
      </w:pPr>
      <w:r>
        <w:t xml:space="preserve">In addition, the PUSCH frequency hopping pattern/formula should also be updated to ensure the PUSCH frequency hopping is always within the UL subband in SBFD symbols. Taking inter-slot frequency hopping as an example, the legacy frequency pattern/formula is given as follows, where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oMath>
      <w:r>
        <w:rPr>
          <w:rFonts w:hint="eastAsia"/>
          <w:lang w:val="en-GB"/>
        </w:rPr>
        <w:t xml:space="preserve"> </w:t>
      </w:r>
      <w:r>
        <w:rPr>
          <w:lang w:val="en-GB"/>
        </w:rPr>
        <w:t>should be updated by the size of UL subband if frequency hopping is occurred in SBFD symbols.</w:t>
      </w:r>
    </w:p>
    <w:p w14:paraId="4B2D0FD6" w14:textId="77777777" w:rsidR="006B191B" w:rsidRPr="00670553" w:rsidRDefault="003D2178" w:rsidP="006B191B">
      <w:pPr>
        <w:pStyle w:val="a8"/>
        <w:spacing w:before="93" w:line="360" w:lineRule="auto"/>
        <w:ind w:leftChars="400" w:left="880" w:firstLine="440"/>
        <w:rPr>
          <w:lang w:val="en-GB"/>
        </w:rPr>
      </w:pPr>
      <m:oMathPara>
        <m:oMath>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d>
            <m:dPr>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e>
          </m:d>
          <m:r>
            <w:rPr>
              <w:rFonts w:ascii="Cambria Math" w:hAnsi="Cambria Math"/>
              <w:lang w:val="en-GB"/>
            </w:rPr>
            <m:t>=</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e>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r>
                      <m:rPr>
                        <m:sty m:val="p"/>
                      </m:rPr>
                      <w:rPr>
                        <w:rFonts w:ascii="Cambria Math" w:hAnsi="Cambria Math"/>
                        <w:lang w:val="en-GB"/>
                      </w:rPr>
                      <m:t>mod</m:t>
                    </m:r>
                    <m:r>
                      <w:rPr>
                        <w:rFonts w:ascii="Cambria Math" w:hAnsi="Cambria Math"/>
                        <w:lang w:val="en-GB"/>
                      </w:rPr>
                      <m:t>2=0</m:t>
                    </m:r>
                  </m:e>
                </m:mr>
                <m:mr>
                  <m:e>
                    <m:d>
                      <m:dPr>
                        <m:ctrlPr>
                          <w:rPr>
                            <w:rFonts w:ascii="Cambria Math" w:hAnsi="Cambria Math"/>
                            <w:i/>
                            <w:lang w:val="en-GB"/>
                          </w:rPr>
                        </m:ctrlPr>
                      </m:dPr>
                      <m:e>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offset</m:t>
                            </m:r>
                          </m:sub>
                        </m:sSub>
                      </m:e>
                    </m:d>
                    <m:r>
                      <m:rPr>
                        <m:sty m:val="p"/>
                      </m:rPr>
                      <w:rPr>
                        <w:rFonts w:ascii="Cambria Math" w:hAnsi="Cambria Math"/>
                        <w:lang w:val="en-GB"/>
                      </w:rPr>
                      <m:t>mod</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e>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r>
                      <m:rPr>
                        <m:sty m:val="p"/>
                      </m:rPr>
                      <w:rPr>
                        <w:rFonts w:ascii="Cambria Math" w:hAnsi="Cambria Math"/>
                        <w:lang w:val="en-GB"/>
                      </w:rPr>
                      <m:t>mod</m:t>
                    </m:r>
                    <m:r>
                      <w:rPr>
                        <w:rFonts w:ascii="Cambria Math" w:hAnsi="Cambria Math"/>
                        <w:lang w:val="en-GB"/>
                      </w:rPr>
                      <m:t>2=1</m:t>
                    </m:r>
                  </m:e>
                </m:mr>
              </m:m>
            </m:e>
          </m:d>
        </m:oMath>
      </m:oMathPara>
    </w:p>
    <w:p w14:paraId="59877F40" w14:textId="77777777" w:rsidR="007116FD" w:rsidRPr="00454280" w:rsidRDefault="007116FD" w:rsidP="007116FD">
      <w:pPr>
        <w:spacing w:before="93"/>
      </w:pPr>
      <w:r>
        <w:lastRenderedPageBreak/>
        <w:t>As discussed above, the following proposal can be obtained.</w:t>
      </w:r>
    </w:p>
    <w:p w14:paraId="3E29A519" w14:textId="77777777" w:rsidR="007116FD" w:rsidRDefault="007116FD" w:rsidP="007116FD">
      <w:pPr>
        <w:spacing w:before="93"/>
        <w:rPr>
          <w:i/>
        </w:rPr>
      </w:pPr>
      <w:r w:rsidRPr="00971B58">
        <w:rPr>
          <w:rFonts w:hint="eastAsia"/>
          <w:b/>
          <w:i/>
        </w:rPr>
        <w:t>P</w:t>
      </w:r>
      <w:r w:rsidRPr="00971B58">
        <w:rPr>
          <w:b/>
          <w:i/>
        </w:rPr>
        <w:t xml:space="preserve">roposal </w:t>
      </w:r>
      <w:r>
        <w:rPr>
          <w:b/>
          <w:i/>
        </w:rPr>
        <w:t>16</w:t>
      </w:r>
      <w:r w:rsidRPr="00971B58">
        <w:rPr>
          <w:i/>
        </w:rPr>
        <w:t>:</w:t>
      </w:r>
      <w:r>
        <w:rPr>
          <w:i/>
        </w:rPr>
        <w:t xml:space="preserve"> Study the following aspects for PUSCH frequency hopping for SBFD operation.</w:t>
      </w:r>
    </w:p>
    <w:p w14:paraId="5EAF8AAB" w14:textId="77777777" w:rsidR="007116FD" w:rsidRDefault="007116FD" w:rsidP="007116FD">
      <w:pPr>
        <w:pStyle w:val="a8"/>
        <w:widowControl/>
        <w:numPr>
          <w:ilvl w:val="0"/>
          <w:numId w:val="19"/>
        </w:numPr>
        <w:autoSpaceDE w:val="0"/>
        <w:autoSpaceDN w:val="0"/>
        <w:spacing w:before="93" w:after="93" w:line="240" w:lineRule="auto"/>
        <w:ind w:firstLineChars="0"/>
        <w:rPr>
          <w:i/>
        </w:rPr>
      </w:pPr>
      <w:r>
        <w:rPr>
          <w:rFonts w:hint="eastAsia"/>
          <w:i/>
        </w:rPr>
        <w:t>S</w:t>
      </w:r>
      <w:r>
        <w:rPr>
          <w:i/>
        </w:rPr>
        <w:t>eparate frequency hopping offsets for SBFD symbols and non-SBFD symbols</w:t>
      </w:r>
    </w:p>
    <w:p w14:paraId="0F67B31E" w14:textId="77777777" w:rsidR="007116FD" w:rsidRPr="00F11B52" w:rsidRDefault="007116FD" w:rsidP="007116FD">
      <w:pPr>
        <w:pStyle w:val="a8"/>
        <w:widowControl/>
        <w:numPr>
          <w:ilvl w:val="0"/>
          <w:numId w:val="19"/>
        </w:numPr>
        <w:autoSpaceDE w:val="0"/>
        <w:autoSpaceDN w:val="0"/>
        <w:spacing w:before="93" w:after="93" w:line="240" w:lineRule="auto"/>
        <w:ind w:firstLineChars="0"/>
        <w:rPr>
          <w:i/>
        </w:rPr>
      </w:pPr>
      <w:r>
        <w:rPr>
          <w:rFonts w:hint="eastAsia"/>
          <w:i/>
        </w:rPr>
        <w:t>U</w:t>
      </w:r>
      <w:r>
        <w:rPr>
          <w:i/>
        </w:rPr>
        <w:t>pdate PUSCH frequency hopping pattern/formula to ensure the PUSCH hopping is always within the UL subband in SBFD symbols.</w:t>
      </w:r>
    </w:p>
    <w:p w14:paraId="4088F730" w14:textId="77777777" w:rsidR="007554CE" w:rsidRPr="00346C41" w:rsidRDefault="007554CE" w:rsidP="00195777">
      <w:pPr>
        <w:spacing w:before="93"/>
      </w:pPr>
    </w:p>
    <w:p w14:paraId="1BE5AFC4" w14:textId="52E1E12B" w:rsidR="004E37E2" w:rsidRPr="0040782E" w:rsidRDefault="004E37E2" w:rsidP="004E37E2">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PUCCH enhancement</w:t>
      </w:r>
    </w:p>
    <w:p w14:paraId="088FB509" w14:textId="217E565F" w:rsidR="00E2174B" w:rsidRDefault="00E2174B" w:rsidP="00E2174B">
      <w:pPr>
        <w:pStyle w:val="a8"/>
        <w:widowControl/>
        <w:numPr>
          <w:ilvl w:val="0"/>
          <w:numId w:val="11"/>
        </w:numPr>
        <w:autoSpaceDE w:val="0"/>
        <w:autoSpaceDN w:val="0"/>
        <w:spacing w:before="93" w:after="93" w:line="240" w:lineRule="auto"/>
        <w:ind w:firstLineChars="0"/>
        <w:rPr>
          <w:b/>
          <w:u w:val="single"/>
        </w:rPr>
      </w:pPr>
      <w:r>
        <w:rPr>
          <w:rFonts w:hint="eastAsia"/>
          <w:b/>
          <w:u w:val="single"/>
        </w:rPr>
        <w:t>O</w:t>
      </w:r>
      <w:r>
        <w:rPr>
          <w:b/>
          <w:u w:val="single"/>
        </w:rPr>
        <w:t>ption 1 (</w:t>
      </w:r>
      <w:r w:rsidRPr="001B4BF9">
        <w:rPr>
          <w:b/>
          <w:u w:val="single"/>
        </w:rPr>
        <w:t>The transmission/receptions are restricted to SBFD symbols only or non-SBFD symbols only</w:t>
      </w:r>
      <w:r>
        <w:rPr>
          <w:b/>
          <w:u w:val="single"/>
        </w:rPr>
        <w:t>)</w:t>
      </w:r>
    </w:p>
    <w:p w14:paraId="7F841111" w14:textId="2B263F52" w:rsidR="00E2174B" w:rsidRDefault="00B77E5F" w:rsidP="00F9055E">
      <w:pPr>
        <w:widowControl/>
        <w:autoSpaceDE w:val="0"/>
        <w:autoSpaceDN w:val="0"/>
        <w:spacing w:before="93" w:after="93" w:line="240" w:lineRule="auto"/>
      </w:pPr>
      <w:r>
        <w:rPr>
          <w:rFonts w:hint="eastAsia"/>
        </w:rPr>
        <w:t>S</w:t>
      </w:r>
      <w:r>
        <w:t xml:space="preserve">imilar </w:t>
      </w:r>
      <w:r w:rsidR="00F5582F">
        <w:t>to</w:t>
      </w:r>
      <w:r>
        <w:t xml:space="preserve"> PUSCH, the following should be studied for PUCCH.</w:t>
      </w:r>
    </w:p>
    <w:p w14:paraId="60CBFDA8" w14:textId="1DED6EAF" w:rsidR="00B77E5F" w:rsidRDefault="00B77E5F" w:rsidP="00B77E5F">
      <w:pPr>
        <w:spacing w:before="93"/>
        <w:rPr>
          <w:i/>
        </w:rPr>
      </w:pPr>
      <w:r w:rsidRPr="00971B58">
        <w:rPr>
          <w:rFonts w:hint="eastAsia"/>
          <w:b/>
          <w:i/>
        </w:rPr>
        <w:t>P</w:t>
      </w:r>
      <w:r w:rsidRPr="00971B58">
        <w:rPr>
          <w:b/>
          <w:i/>
        </w:rPr>
        <w:t xml:space="preserve">roposal </w:t>
      </w:r>
      <w:r>
        <w:rPr>
          <w:b/>
          <w:i/>
        </w:rPr>
        <w:t>1</w:t>
      </w:r>
      <w:r w:rsidR="00B83EA5">
        <w:rPr>
          <w:b/>
          <w:i/>
        </w:rPr>
        <w:t>7</w:t>
      </w:r>
      <w:r w:rsidRPr="00971B58">
        <w:rPr>
          <w:i/>
        </w:rPr>
        <w:t>:</w:t>
      </w:r>
      <w:r>
        <w:rPr>
          <w:i/>
        </w:rPr>
        <w:t xml:space="preserve"> For option 1</w:t>
      </w:r>
      <w:r w:rsidR="00A06951" w:rsidRPr="00A06951">
        <w:rPr>
          <w:i/>
        </w:rPr>
        <w:t xml:space="preserve"> </w:t>
      </w:r>
      <w:r w:rsidR="00A06951">
        <w:rPr>
          <w:i/>
        </w:rPr>
        <w:t>where transmission/receptions are restricted to SBFD symbols only or non-SBFD symbols only,</w:t>
      </w:r>
      <w:r>
        <w:rPr>
          <w:i/>
        </w:rPr>
        <w:t xml:space="preserve"> study </w:t>
      </w:r>
      <w:r w:rsidR="00A06951">
        <w:rPr>
          <w:i/>
        </w:rPr>
        <w:t xml:space="preserve">the </w:t>
      </w:r>
      <w:r>
        <w:rPr>
          <w:i/>
        </w:rPr>
        <w:t>following PUCCH enhancement</w:t>
      </w:r>
      <w:r w:rsidR="00000EA7">
        <w:rPr>
          <w:i/>
        </w:rPr>
        <w:t>:</w:t>
      </w:r>
    </w:p>
    <w:p w14:paraId="0CCF0CDF" w14:textId="38BBFA0E" w:rsidR="00B77E5F" w:rsidRDefault="00B77E5F" w:rsidP="00BC51D9">
      <w:pPr>
        <w:pStyle w:val="a8"/>
        <w:numPr>
          <w:ilvl w:val="0"/>
          <w:numId w:val="46"/>
        </w:numPr>
        <w:spacing w:before="93"/>
        <w:ind w:firstLineChars="0"/>
        <w:rPr>
          <w:i/>
        </w:rPr>
      </w:pPr>
      <w:r>
        <w:rPr>
          <w:i/>
        </w:rPr>
        <w:t>Slot counting enhancement</w:t>
      </w:r>
      <w:r w:rsidR="00000EA7">
        <w:rPr>
          <w:i/>
        </w:rPr>
        <w:t>.</w:t>
      </w:r>
    </w:p>
    <w:p w14:paraId="7E2D7DA2" w14:textId="1E74B3B2" w:rsidR="00B77E5F" w:rsidRDefault="00B77E5F" w:rsidP="00BC51D9">
      <w:pPr>
        <w:pStyle w:val="a8"/>
        <w:numPr>
          <w:ilvl w:val="0"/>
          <w:numId w:val="46"/>
        </w:numPr>
        <w:spacing w:before="93"/>
        <w:ind w:firstLineChars="0"/>
        <w:rPr>
          <w:i/>
        </w:rPr>
      </w:pPr>
      <w:r>
        <w:rPr>
          <w:rFonts w:hint="eastAsia"/>
          <w:i/>
        </w:rPr>
        <w:t>C</w:t>
      </w:r>
      <w:r>
        <w:rPr>
          <w:i/>
        </w:rPr>
        <w:t>ollision rules enhancement</w:t>
      </w:r>
      <w:r w:rsidR="00000EA7">
        <w:rPr>
          <w:i/>
        </w:rPr>
        <w:t>.</w:t>
      </w:r>
    </w:p>
    <w:p w14:paraId="66C8616D" w14:textId="0D49E9F6" w:rsidR="00B77E5F" w:rsidRPr="00B62CB8" w:rsidRDefault="00B77E5F" w:rsidP="00195777">
      <w:pPr>
        <w:pStyle w:val="a8"/>
        <w:numPr>
          <w:ilvl w:val="0"/>
          <w:numId w:val="46"/>
        </w:numPr>
        <w:spacing w:before="93"/>
        <w:ind w:firstLineChars="0"/>
        <w:rPr>
          <w:i/>
        </w:rPr>
      </w:pPr>
      <w:r>
        <w:rPr>
          <w:i/>
        </w:rPr>
        <w:t>For periodic/semi-persistent PUCCH, s</w:t>
      </w:r>
      <w:r w:rsidRPr="00B62CB8">
        <w:rPr>
          <w:i/>
        </w:rPr>
        <w:t xml:space="preserve">eparate </w:t>
      </w:r>
      <w:r>
        <w:rPr>
          <w:i/>
        </w:rPr>
        <w:t xml:space="preserve">PUCCH </w:t>
      </w:r>
      <w:r w:rsidRPr="00B62CB8">
        <w:rPr>
          <w:i/>
        </w:rPr>
        <w:t>resources</w:t>
      </w:r>
      <w:r w:rsidR="00A06951">
        <w:rPr>
          <w:i/>
        </w:rPr>
        <w:t xml:space="preserve"> can be configured</w:t>
      </w:r>
      <w:r w:rsidRPr="00B62CB8">
        <w:rPr>
          <w:i/>
        </w:rPr>
        <w:t xml:space="preserve"> </w:t>
      </w:r>
      <w:r>
        <w:rPr>
          <w:i/>
        </w:rPr>
        <w:t>for</w:t>
      </w:r>
      <w:r w:rsidRPr="00B62CB8">
        <w:rPr>
          <w:i/>
        </w:rPr>
        <w:t xml:space="preserve"> SBFD slots and non-SBFD slots.</w:t>
      </w:r>
    </w:p>
    <w:p w14:paraId="47DFFDD8" w14:textId="77777777" w:rsidR="00000EA7" w:rsidRPr="00000EA7" w:rsidRDefault="00000EA7" w:rsidP="00195777">
      <w:pPr>
        <w:spacing w:before="93"/>
      </w:pPr>
    </w:p>
    <w:p w14:paraId="358763D3" w14:textId="244439A1" w:rsidR="002849D7" w:rsidRPr="00A96222" w:rsidRDefault="002849D7" w:rsidP="002849D7">
      <w:pPr>
        <w:pStyle w:val="a8"/>
        <w:widowControl/>
        <w:numPr>
          <w:ilvl w:val="0"/>
          <w:numId w:val="11"/>
        </w:numPr>
        <w:autoSpaceDE w:val="0"/>
        <w:autoSpaceDN w:val="0"/>
        <w:spacing w:before="93" w:after="93" w:line="240" w:lineRule="auto"/>
        <w:ind w:firstLineChars="0"/>
        <w:rPr>
          <w:b/>
          <w:u w:val="single"/>
        </w:rPr>
      </w:pPr>
      <w:r>
        <w:rPr>
          <w:b/>
          <w:u w:val="single"/>
        </w:rPr>
        <w:t>UCI multiplexing enhancement</w:t>
      </w:r>
    </w:p>
    <w:p w14:paraId="34FF9967" w14:textId="708CA5A4" w:rsidR="003735AF" w:rsidRDefault="00F371DD" w:rsidP="00513FF4">
      <w:pPr>
        <w:widowControl/>
        <w:autoSpaceDE w:val="0"/>
        <w:autoSpaceDN w:val="0"/>
        <w:spacing w:before="93" w:after="93" w:line="240" w:lineRule="auto"/>
      </w:pPr>
      <w:r>
        <w:t xml:space="preserve">Compared with non-SBFD </w:t>
      </w:r>
      <w:r w:rsidR="0062393C">
        <w:t>symbols</w:t>
      </w:r>
      <w:r>
        <w:t xml:space="preserve">, </w:t>
      </w:r>
      <w:r w:rsidR="004F7709">
        <w:t xml:space="preserve">the gNB </w:t>
      </w:r>
      <w:r w:rsidR="00441583">
        <w:t xml:space="preserve">may </w:t>
      </w:r>
      <w:r>
        <w:t>suffer</w:t>
      </w:r>
      <w:r w:rsidR="004F7709">
        <w:t xml:space="preserve"> more</w:t>
      </w:r>
      <w:r w:rsidR="00441583">
        <w:t xml:space="preserve"> </w:t>
      </w:r>
      <w:r>
        <w:t>se</w:t>
      </w:r>
      <w:r w:rsidR="00441583">
        <w:t xml:space="preserve">vere </w:t>
      </w:r>
      <w:r>
        <w:t>interference</w:t>
      </w:r>
      <w:r w:rsidR="004F7709">
        <w:t>s in SBFD symbols</w:t>
      </w:r>
      <w:r>
        <w:t xml:space="preserve">, including inter-site gNB-gNB co-channel inter-subband CLI, co-site inter-sector gNB-gNB co-channel inter-subband CLI, and gNB self-interferences. </w:t>
      </w:r>
      <w:r w:rsidR="003735AF">
        <w:t xml:space="preserve">So </w:t>
      </w:r>
      <w:r w:rsidR="008B26E8">
        <w:t xml:space="preserve">the </w:t>
      </w:r>
      <w:r w:rsidR="003735AF">
        <w:t>UCI multiplex</w:t>
      </w:r>
      <w:r w:rsidR="00215C61">
        <w:t>ed</w:t>
      </w:r>
      <w:r w:rsidR="003735AF">
        <w:t xml:space="preserve"> </w:t>
      </w:r>
      <w:r w:rsidR="00215C61">
        <w:t>on PUSCH i</w:t>
      </w:r>
      <w:r w:rsidR="003735AF">
        <w:t xml:space="preserve">n SBFD </w:t>
      </w:r>
      <w:r w:rsidR="0062393C">
        <w:t xml:space="preserve">symbols </w:t>
      </w:r>
      <w:r w:rsidR="00215C61">
        <w:t xml:space="preserve">may be </w:t>
      </w:r>
      <w:r w:rsidR="003735AF">
        <w:t>less reliabl</w:t>
      </w:r>
      <w:r w:rsidR="00215C61">
        <w:t>e</w:t>
      </w:r>
      <w:r w:rsidR="003735AF">
        <w:t xml:space="preserve"> than </w:t>
      </w:r>
      <w:r w:rsidR="00215C61">
        <w:t xml:space="preserve">the </w:t>
      </w:r>
      <w:r w:rsidR="003735AF">
        <w:t>UCI multiplex</w:t>
      </w:r>
      <w:r w:rsidR="00215C61">
        <w:t>ed on PUSCH</w:t>
      </w:r>
      <w:r w:rsidR="003735AF">
        <w:t xml:space="preserve"> </w:t>
      </w:r>
      <w:r w:rsidR="00215C61">
        <w:t>i</w:t>
      </w:r>
      <w:r w:rsidR="003735AF">
        <w:t xml:space="preserve">n non-SBFD </w:t>
      </w:r>
      <w:r w:rsidR="0062393C">
        <w:t>symbols</w:t>
      </w:r>
      <w:r w:rsidR="003735AF">
        <w:t xml:space="preserve">. So </w:t>
      </w:r>
      <w:r w:rsidR="004722FB">
        <w:t>potential enhancement on</w:t>
      </w:r>
      <w:r w:rsidR="003735AF">
        <w:t xml:space="preserve"> UCI multiplexing </w:t>
      </w:r>
      <w:r w:rsidR="004722FB">
        <w:t>in</w:t>
      </w:r>
      <w:r w:rsidR="003735AF">
        <w:t xml:space="preserve"> SBFD slots is </w:t>
      </w:r>
      <w:r w:rsidR="004722FB">
        <w:t>beneficial</w:t>
      </w:r>
      <w:r w:rsidR="003735AF">
        <w:t>.</w:t>
      </w:r>
    </w:p>
    <w:p w14:paraId="7239B748" w14:textId="59C80B13" w:rsidR="003735AF" w:rsidRDefault="003735AF" w:rsidP="003735AF">
      <w:pPr>
        <w:spacing w:before="93"/>
        <w:rPr>
          <w:i/>
        </w:rPr>
      </w:pPr>
      <w:r w:rsidRPr="00971B58">
        <w:rPr>
          <w:rFonts w:hint="eastAsia"/>
          <w:b/>
          <w:i/>
        </w:rPr>
        <w:t>P</w:t>
      </w:r>
      <w:r w:rsidRPr="00971B58">
        <w:rPr>
          <w:b/>
          <w:i/>
        </w:rPr>
        <w:t xml:space="preserve">roposal </w:t>
      </w:r>
      <w:r>
        <w:rPr>
          <w:b/>
          <w:i/>
        </w:rPr>
        <w:t>1</w:t>
      </w:r>
      <w:r w:rsidR="00B83EA5">
        <w:rPr>
          <w:b/>
          <w:i/>
        </w:rPr>
        <w:t>8</w:t>
      </w:r>
      <w:r w:rsidRPr="00971B58">
        <w:rPr>
          <w:i/>
        </w:rPr>
        <w:t>:</w:t>
      </w:r>
      <w:r>
        <w:rPr>
          <w:i/>
        </w:rPr>
        <w:t xml:space="preserve"> Study </w:t>
      </w:r>
      <w:r w:rsidR="00031E33">
        <w:rPr>
          <w:i/>
        </w:rPr>
        <w:t xml:space="preserve">the </w:t>
      </w:r>
      <w:r w:rsidR="0079511C">
        <w:rPr>
          <w:i/>
        </w:rPr>
        <w:t>potential enhancement</w:t>
      </w:r>
      <w:r w:rsidR="00031E33">
        <w:rPr>
          <w:i/>
        </w:rPr>
        <w:t>s</w:t>
      </w:r>
      <w:r w:rsidR="0079511C">
        <w:rPr>
          <w:i/>
        </w:rPr>
        <w:t xml:space="preserve"> for </w:t>
      </w:r>
      <w:r>
        <w:rPr>
          <w:i/>
        </w:rPr>
        <w:t xml:space="preserve">UCI multiplexing </w:t>
      </w:r>
      <w:r w:rsidR="004722FB">
        <w:rPr>
          <w:i/>
        </w:rPr>
        <w:t>on PUSCH in</w:t>
      </w:r>
      <w:r>
        <w:rPr>
          <w:i/>
        </w:rPr>
        <w:t xml:space="preserve"> SBFD </w:t>
      </w:r>
      <w:r w:rsidR="0062393C" w:rsidRPr="00513FF4">
        <w:rPr>
          <w:i/>
        </w:rPr>
        <w:t>symbols</w:t>
      </w:r>
      <w:r>
        <w:rPr>
          <w:i/>
        </w:rPr>
        <w:t>.</w:t>
      </w:r>
    </w:p>
    <w:p w14:paraId="12D19B4E" w14:textId="77777777" w:rsidR="00EC5532" w:rsidRPr="00031E33" w:rsidRDefault="00EC5532" w:rsidP="00513FF4">
      <w:pPr>
        <w:widowControl/>
        <w:autoSpaceDE w:val="0"/>
        <w:autoSpaceDN w:val="0"/>
        <w:spacing w:before="93" w:after="93" w:line="240" w:lineRule="auto"/>
      </w:pPr>
    </w:p>
    <w:p w14:paraId="766090BD" w14:textId="719D8ACF" w:rsidR="00781CFB" w:rsidRPr="0040782E" w:rsidRDefault="00781CFB" w:rsidP="00781CFB">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PDSCH enhancement</w:t>
      </w:r>
    </w:p>
    <w:p w14:paraId="4CD8231A" w14:textId="77777777" w:rsidR="00E01301" w:rsidRDefault="00E01301" w:rsidP="00E01301">
      <w:pPr>
        <w:pStyle w:val="a8"/>
        <w:widowControl/>
        <w:numPr>
          <w:ilvl w:val="0"/>
          <w:numId w:val="11"/>
        </w:numPr>
        <w:autoSpaceDE w:val="0"/>
        <w:autoSpaceDN w:val="0"/>
        <w:spacing w:before="93" w:after="93" w:line="240" w:lineRule="auto"/>
        <w:ind w:firstLineChars="0"/>
        <w:rPr>
          <w:b/>
          <w:u w:val="single"/>
        </w:rPr>
      </w:pPr>
      <w:r>
        <w:rPr>
          <w:rFonts w:hint="eastAsia"/>
          <w:b/>
          <w:u w:val="single"/>
        </w:rPr>
        <w:t>O</w:t>
      </w:r>
      <w:r>
        <w:rPr>
          <w:b/>
          <w:u w:val="single"/>
        </w:rPr>
        <w:t>ption 1 (</w:t>
      </w:r>
      <w:r w:rsidRPr="001B4BF9">
        <w:rPr>
          <w:b/>
          <w:u w:val="single"/>
        </w:rPr>
        <w:t>The transmission/receptions are restricted to SBFD symbols only or non-SBFD symbols only</w:t>
      </w:r>
      <w:r>
        <w:rPr>
          <w:b/>
          <w:u w:val="single"/>
        </w:rPr>
        <w:t>)</w:t>
      </w:r>
    </w:p>
    <w:p w14:paraId="4C898BF3" w14:textId="26583782" w:rsidR="00E01301" w:rsidRDefault="00E01301" w:rsidP="00E01301">
      <w:pPr>
        <w:widowControl/>
        <w:autoSpaceDE w:val="0"/>
        <w:autoSpaceDN w:val="0"/>
        <w:spacing w:before="93" w:after="93" w:line="240" w:lineRule="auto"/>
      </w:pPr>
      <w:r>
        <w:rPr>
          <w:rFonts w:hint="eastAsia"/>
        </w:rPr>
        <w:t>S</w:t>
      </w:r>
      <w:r>
        <w:t>imilar as PUSCH, the following should be studied for PDSCH.</w:t>
      </w:r>
    </w:p>
    <w:p w14:paraId="53CAC2F7" w14:textId="1DE3FCB3" w:rsidR="00E01301" w:rsidRDefault="00E01301" w:rsidP="00E01301">
      <w:pPr>
        <w:spacing w:before="93"/>
        <w:rPr>
          <w:i/>
        </w:rPr>
      </w:pPr>
      <w:r w:rsidRPr="00971B58">
        <w:rPr>
          <w:rFonts w:hint="eastAsia"/>
          <w:b/>
          <w:i/>
        </w:rPr>
        <w:t>P</w:t>
      </w:r>
      <w:r w:rsidRPr="00971B58">
        <w:rPr>
          <w:b/>
          <w:i/>
        </w:rPr>
        <w:t xml:space="preserve">roposal </w:t>
      </w:r>
      <w:r>
        <w:rPr>
          <w:b/>
          <w:i/>
        </w:rPr>
        <w:t>1</w:t>
      </w:r>
      <w:r w:rsidR="00B83EA5">
        <w:rPr>
          <w:b/>
          <w:i/>
        </w:rPr>
        <w:t>9</w:t>
      </w:r>
      <w:r w:rsidRPr="00971B58">
        <w:rPr>
          <w:i/>
        </w:rPr>
        <w:t>:</w:t>
      </w:r>
      <w:r>
        <w:rPr>
          <w:i/>
        </w:rPr>
        <w:t xml:space="preserve"> For </w:t>
      </w:r>
      <w:r w:rsidR="004F7709">
        <w:rPr>
          <w:i/>
        </w:rPr>
        <w:t>option 1</w:t>
      </w:r>
      <w:r w:rsidR="004F7709" w:rsidRPr="00A06951">
        <w:rPr>
          <w:i/>
        </w:rPr>
        <w:t xml:space="preserve"> </w:t>
      </w:r>
      <w:r w:rsidR="004F7709">
        <w:rPr>
          <w:i/>
        </w:rPr>
        <w:t>where transmission/receptions are restricted to SBFD symbols only or non-SBFD symbols only,</w:t>
      </w:r>
      <w:r w:rsidR="005834EF">
        <w:rPr>
          <w:i/>
        </w:rPr>
        <w:t xml:space="preserve"> study </w:t>
      </w:r>
      <w:r w:rsidR="004F7709">
        <w:rPr>
          <w:i/>
        </w:rPr>
        <w:t xml:space="preserve">the </w:t>
      </w:r>
      <w:r w:rsidR="005834EF">
        <w:rPr>
          <w:i/>
        </w:rPr>
        <w:t>following PD</w:t>
      </w:r>
      <w:r w:rsidR="002D096B">
        <w:rPr>
          <w:i/>
        </w:rPr>
        <w:t>S</w:t>
      </w:r>
      <w:r>
        <w:rPr>
          <w:i/>
        </w:rPr>
        <w:t>CH enhancement</w:t>
      </w:r>
      <w:r w:rsidR="00D1225B">
        <w:rPr>
          <w:i/>
        </w:rPr>
        <w:t>:</w:t>
      </w:r>
    </w:p>
    <w:p w14:paraId="24A667D5" w14:textId="77777777" w:rsidR="00E01301" w:rsidRDefault="00E01301" w:rsidP="00E01301">
      <w:pPr>
        <w:pStyle w:val="a8"/>
        <w:numPr>
          <w:ilvl w:val="0"/>
          <w:numId w:val="46"/>
        </w:numPr>
        <w:spacing w:before="93"/>
        <w:ind w:firstLineChars="0"/>
        <w:rPr>
          <w:i/>
        </w:rPr>
      </w:pPr>
      <w:r>
        <w:rPr>
          <w:i/>
        </w:rPr>
        <w:t>Slot counting enhancement.</w:t>
      </w:r>
    </w:p>
    <w:p w14:paraId="1EEA11A6" w14:textId="77777777" w:rsidR="00E01301" w:rsidRDefault="00E01301" w:rsidP="00E01301">
      <w:pPr>
        <w:pStyle w:val="a8"/>
        <w:numPr>
          <w:ilvl w:val="0"/>
          <w:numId w:val="46"/>
        </w:numPr>
        <w:spacing w:before="93"/>
        <w:ind w:firstLineChars="0"/>
        <w:rPr>
          <w:i/>
        </w:rPr>
      </w:pPr>
      <w:r>
        <w:rPr>
          <w:rFonts w:hint="eastAsia"/>
          <w:i/>
        </w:rPr>
        <w:t>C</w:t>
      </w:r>
      <w:r>
        <w:rPr>
          <w:i/>
        </w:rPr>
        <w:t>ollision rules enhancement.</w:t>
      </w:r>
    </w:p>
    <w:p w14:paraId="0F5D46FE" w14:textId="7233AAF5" w:rsidR="005834EF" w:rsidRPr="00195777" w:rsidRDefault="005834EF" w:rsidP="0073538C">
      <w:pPr>
        <w:pStyle w:val="a8"/>
        <w:numPr>
          <w:ilvl w:val="0"/>
          <w:numId w:val="46"/>
        </w:numPr>
        <w:spacing w:before="93"/>
        <w:ind w:firstLineChars="0"/>
        <w:rPr>
          <w:i/>
        </w:rPr>
      </w:pPr>
      <w:r w:rsidRPr="00FF5AE1">
        <w:rPr>
          <w:i/>
        </w:rPr>
        <w:t xml:space="preserve">For </w:t>
      </w:r>
      <w:r>
        <w:rPr>
          <w:i/>
        </w:rPr>
        <w:t>SPS</w:t>
      </w:r>
      <w:r w:rsidR="00280C32">
        <w:rPr>
          <w:i/>
        </w:rPr>
        <w:t xml:space="preserve"> </w:t>
      </w:r>
      <w:r w:rsidRPr="00195777">
        <w:rPr>
          <w:i/>
        </w:rPr>
        <w:t>P</w:t>
      </w:r>
      <w:r>
        <w:rPr>
          <w:i/>
        </w:rPr>
        <w:t>D</w:t>
      </w:r>
      <w:r w:rsidRPr="00195777">
        <w:rPr>
          <w:i/>
        </w:rPr>
        <w:t xml:space="preserve">SCH, separate </w:t>
      </w:r>
      <w:r>
        <w:rPr>
          <w:i/>
        </w:rPr>
        <w:t>SPS</w:t>
      </w:r>
      <w:r w:rsidR="00280C32">
        <w:rPr>
          <w:i/>
        </w:rPr>
        <w:t xml:space="preserve"> </w:t>
      </w:r>
      <w:r w:rsidRPr="00FF5AE1">
        <w:rPr>
          <w:i/>
        </w:rPr>
        <w:t>P</w:t>
      </w:r>
      <w:r>
        <w:rPr>
          <w:i/>
        </w:rPr>
        <w:t>D</w:t>
      </w:r>
      <w:r w:rsidRPr="00195777">
        <w:rPr>
          <w:i/>
        </w:rPr>
        <w:t xml:space="preserve">SCH resources </w:t>
      </w:r>
      <w:r w:rsidR="004F7709">
        <w:rPr>
          <w:i/>
        </w:rPr>
        <w:t xml:space="preserve">can be </w:t>
      </w:r>
      <w:r w:rsidR="00280C32">
        <w:rPr>
          <w:i/>
        </w:rPr>
        <w:t xml:space="preserve">configured </w:t>
      </w:r>
      <w:r w:rsidRPr="00195777">
        <w:rPr>
          <w:i/>
        </w:rPr>
        <w:t>for SBFD slots and non-SBFD slots.</w:t>
      </w:r>
    </w:p>
    <w:p w14:paraId="3A46E551" w14:textId="77777777" w:rsidR="00E01301" w:rsidRPr="00195777" w:rsidRDefault="00E01301" w:rsidP="00195777">
      <w:pPr>
        <w:widowControl/>
        <w:autoSpaceDE w:val="0"/>
        <w:autoSpaceDN w:val="0"/>
        <w:spacing w:before="93" w:after="93" w:line="240" w:lineRule="auto"/>
        <w:rPr>
          <w:b/>
          <w:u w:val="single"/>
        </w:rPr>
      </w:pPr>
    </w:p>
    <w:p w14:paraId="7B9C2A45" w14:textId="77777777" w:rsidR="00781CFB" w:rsidRPr="00B5705F" w:rsidRDefault="00781CFB" w:rsidP="00781CFB">
      <w:pPr>
        <w:pStyle w:val="a8"/>
        <w:widowControl/>
        <w:numPr>
          <w:ilvl w:val="0"/>
          <w:numId w:val="10"/>
        </w:numPr>
        <w:autoSpaceDE w:val="0"/>
        <w:autoSpaceDN w:val="0"/>
        <w:spacing w:before="93" w:after="93" w:line="240" w:lineRule="auto"/>
        <w:ind w:firstLineChars="0"/>
        <w:rPr>
          <w:b/>
          <w:u w:val="single"/>
        </w:rPr>
      </w:pPr>
      <w:r w:rsidRPr="00B5705F">
        <w:rPr>
          <w:b/>
          <w:u w:val="single"/>
        </w:rPr>
        <w:t xml:space="preserve">Frequency </w:t>
      </w:r>
      <w:r>
        <w:rPr>
          <w:b/>
          <w:u w:val="single"/>
        </w:rPr>
        <w:t xml:space="preserve">resource </w:t>
      </w:r>
      <w:r w:rsidRPr="00B5705F">
        <w:rPr>
          <w:b/>
          <w:u w:val="single"/>
        </w:rPr>
        <w:t>allocation type 1 enhancement</w:t>
      </w:r>
    </w:p>
    <w:p w14:paraId="310EA39C" w14:textId="7F362802" w:rsidR="00781CFB" w:rsidRDefault="00781CFB" w:rsidP="00781CFB">
      <w:pPr>
        <w:widowControl/>
        <w:autoSpaceDE w:val="0"/>
        <w:autoSpaceDN w:val="0"/>
        <w:spacing w:before="93" w:after="93" w:line="240" w:lineRule="auto"/>
      </w:pPr>
      <w:r>
        <w:t xml:space="preserve">RA type 1 </w:t>
      </w:r>
      <w:r w:rsidR="0093188C">
        <w:t xml:space="preserve">supports </w:t>
      </w:r>
      <w:r>
        <w:t>allocat</w:t>
      </w:r>
      <w:r w:rsidR="0093188C">
        <w:t>ing</w:t>
      </w:r>
      <w:r>
        <w:t xml:space="preserve"> a set of consecutive RBs for PUSCH and PDSCH transmission. So it cannot allocate PDSCH transmission across two DL subbands in the case of subband pattern {DUD}, because two DL subbands are not consecutive. To solve this issue, one way is to use RA type 0 which can allocate non-consecutive RBGs for PUSCH transmission and PDSCH transmission, but it has following issues:</w:t>
      </w:r>
    </w:p>
    <w:p w14:paraId="19A76BF8" w14:textId="77777777" w:rsidR="00781CFB" w:rsidRDefault="00781CFB" w:rsidP="00BC51D9">
      <w:pPr>
        <w:pStyle w:val="a8"/>
        <w:widowControl/>
        <w:numPr>
          <w:ilvl w:val="0"/>
          <w:numId w:val="15"/>
        </w:numPr>
        <w:autoSpaceDE w:val="0"/>
        <w:autoSpaceDN w:val="0"/>
        <w:spacing w:before="93" w:after="93" w:line="240" w:lineRule="auto"/>
        <w:ind w:firstLineChars="0"/>
      </w:pPr>
      <w:r>
        <w:t>RA type 0 is not flexible than RA type 1 since the frequency domain scheduling granularity (i.e., RBG) of RA type 0 is larger than that (i.e., RB) of RA type 1.</w:t>
      </w:r>
    </w:p>
    <w:p w14:paraId="46E5C9D5" w14:textId="77777777" w:rsidR="00781CFB" w:rsidRDefault="00781CFB" w:rsidP="00BC51D9">
      <w:pPr>
        <w:pStyle w:val="a8"/>
        <w:widowControl/>
        <w:numPr>
          <w:ilvl w:val="0"/>
          <w:numId w:val="21"/>
        </w:numPr>
        <w:autoSpaceDE w:val="0"/>
        <w:autoSpaceDN w:val="0"/>
        <w:spacing w:before="93" w:after="93" w:line="240" w:lineRule="auto"/>
        <w:ind w:firstLineChars="0"/>
      </w:pPr>
      <w:r>
        <w:rPr>
          <w:rFonts w:hint="eastAsia"/>
        </w:rPr>
        <w:lastRenderedPageBreak/>
        <w:t>I</w:t>
      </w:r>
      <w:r>
        <w:t>f guard band is implicitly indicated, the smallest frequency-domain resource granularity of guard band is one RBG. So it will waste frequency resources especially in the case of RBG = 16RB.</w:t>
      </w:r>
    </w:p>
    <w:p w14:paraId="787CC7D1" w14:textId="77777777" w:rsidR="00781CFB" w:rsidRDefault="00781CFB" w:rsidP="00BC51D9">
      <w:pPr>
        <w:pStyle w:val="a8"/>
        <w:numPr>
          <w:ilvl w:val="0"/>
          <w:numId w:val="21"/>
        </w:numPr>
        <w:autoSpaceDE w:val="0"/>
        <w:autoSpaceDN w:val="0"/>
        <w:spacing w:before="93" w:after="93" w:line="240" w:lineRule="auto"/>
        <w:ind w:firstLineChars="0"/>
      </w:pPr>
      <w:r>
        <w:t xml:space="preserve">If guard band (as well as UL subband) is </w:t>
      </w:r>
      <w:r w:rsidRPr="004470F2">
        <w:rPr>
          <w:rFonts w:eastAsia="Malgun Gothic" w:hint="eastAsia"/>
        </w:rPr>
        <w:t>explicitly</w:t>
      </w:r>
      <w:r>
        <w:rPr>
          <w:rFonts w:eastAsia="Malgun Gothic"/>
        </w:rPr>
        <w:t xml:space="preserve"> indicated, RA type 0 should be enhanced to fully utilize the frequency resources in the RBG which partially overlaps the guard band (as well as UL subband).</w:t>
      </w:r>
    </w:p>
    <w:p w14:paraId="660A9C27" w14:textId="77777777" w:rsidR="00781CFB" w:rsidRDefault="00781CFB" w:rsidP="00BC51D9">
      <w:pPr>
        <w:pStyle w:val="a8"/>
        <w:widowControl/>
        <w:numPr>
          <w:ilvl w:val="0"/>
          <w:numId w:val="15"/>
        </w:numPr>
        <w:autoSpaceDE w:val="0"/>
        <w:autoSpaceDN w:val="0"/>
        <w:spacing w:before="93" w:after="93" w:line="240" w:lineRule="auto"/>
        <w:ind w:firstLineChars="0"/>
      </w:pPr>
      <w:r>
        <w:t>RA type 0 cannot be used for fallback DCI (DCI format 1_0), but RA type 1 can be used.</w:t>
      </w:r>
    </w:p>
    <w:p w14:paraId="40156E7E" w14:textId="77777777" w:rsidR="00781CFB" w:rsidRDefault="00781CFB" w:rsidP="00781CFB">
      <w:pPr>
        <w:widowControl/>
        <w:autoSpaceDE w:val="0"/>
        <w:autoSpaceDN w:val="0"/>
        <w:spacing w:before="93" w:after="93" w:line="240" w:lineRule="auto"/>
      </w:pPr>
      <w:r>
        <w:t>Another way is to use rate matching resources for PDSCH, but it has following issues:</w:t>
      </w:r>
    </w:p>
    <w:p w14:paraId="113CA7F3" w14:textId="77777777" w:rsidR="00781CFB" w:rsidRDefault="00781CFB" w:rsidP="00BC51D9">
      <w:pPr>
        <w:pStyle w:val="a8"/>
        <w:numPr>
          <w:ilvl w:val="0"/>
          <w:numId w:val="18"/>
        </w:numPr>
        <w:autoSpaceDE w:val="0"/>
        <w:autoSpaceDN w:val="0"/>
        <w:spacing w:before="93" w:after="93" w:line="240" w:lineRule="auto"/>
        <w:ind w:firstLineChars="0"/>
      </w:pPr>
      <w:r>
        <w:t>A</w:t>
      </w:r>
      <w:r w:rsidRPr="009F3FC5">
        <w:t xml:space="preserve"> UE is not expected to handle the case where PDSCH DM-RS REs are overlapping, even partially, with any RE(s) not available for PDSCH</w:t>
      </w:r>
      <w:r>
        <w:t>.</w:t>
      </w:r>
    </w:p>
    <w:p w14:paraId="5F03D663" w14:textId="3C34501C" w:rsidR="00781CFB" w:rsidRDefault="00781CFB" w:rsidP="00BC51D9">
      <w:pPr>
        <w:pStyle w:val="a8"/>
        <w:numPr>
          <w:ilvl w:val="0"/>
          <w:numId w:val="18"/>
        </w:numPr>
        <w:autoSpaceDE w:val="0"/>
        <w:autoSpaceDN w:val="0"/>
        <w:spacing w:before="93" w:after="93" w:line="240" w:lineRule="auto"/>
        <w:ind w:firstLineChars="0"/>
      </w:pPr>
      <w:r>
        <w:t>To avoid the strong UE-UE CLI, a typical configuration is allocating DL transmission far away from the UL subband, i.e., allocating DL transmission on the two sides of the transmission band in the case of {DUD}. But the rate matching resource for PDSCH cannot support this allocation since it only includes UL subband and</w:t>
      </w:r>
      <w:r w:rsidR="007E3899">
        <w:t>/or</w:t>
      </w:r>
      <w:r>
        <w:t xml:space="preserve"> guard band.</w:t>
      </w:r>
    </w:p>
    <w:p w14:paraId="31448E40" w14:textId="77777777" w:rsidR="00781CFB" w:rsidRDefault="00781CFB" w:rsidP="00BC51D9">
      <w:pPr>
        <w:pStyle w:val="a8"/>
        <w:numPr>
          <w:ilvl w:val="0"/>
          <w:numId w:val="18"/>
        </w:numPr>
        <w:autoSpaceDE w:val="0"/>
        <w:autoSpaceDN w:val="0"/>
        <w:spacing w:before="93" w:after="93" w:line="240" w:lineRule="auto"/>
        <w:ind w:firstLineChars="0"/>
      </w:pPr>
      <w:r>
        <w:t>The rate matching resources are periodic, and the number of rate matching resources are limited, thus lacking of flexibility, e.g., it cannot support dynamic and various frequency resources allocation of PDSCH.</w:t>
      </w:r>
    </w:p>
    <w:p w14:paraId="2E11F183" w14:textId="5BA9BF46" w:rsidR="00781CFB" w:rsidRDefault="00781CFB" w:rsidP="00781CFB">
      <w:pPr>
        <w:autoSpaceDE w:val="0"/>
        <w:autoSpaceDN w:val="0"/>
        <w:spacing w:before="93" w:after="93" w:line="240" w:lineRule="auto"/>
      </w:pPr>
      <w:r>
        <w:t xml:space="preserve">So </w:t>
      </w:r>
      <w:r w:rsidR="00162B14">
        <w:t>enhancement to RA type 1</w:t>
      </w:r>
      <w:r>
        <w:t xml:space="preserve"> should be studied for SBFD operation.</w:t>
      </w:r>
    </w:p>
    <w:p w14:paraId="016AF447" w14:textId="1A1BC5A9" w:rsidR="00781CFB" w:rsidRDefault="00781CFB" w:rsidP="00781CFB">
      <w:pPr>
        <w:spacing w:before="93"/>
        <w:rPr>
          <w:i/>
        </w:rPr>
      </w:pPr>
      <w:r w:rsidRPr="00971B58">
        <w:rPr>
          <w:rFonts w:hint="eastAsia"/>
          <w:b/>
          <w:i/>
        </w:rPr>
        <w:t>P</w:t>
      </w:r>
      <w:r w:rsidRPr="00971B58">
        <w:rPr>
          <w:b/>
          <w:i/>
        </w:rPr>
        <w:t xml:space="preserve">roposal </w:t>
      </w:r>
      <w:r w:rsidR="00B83EA5">
        <w:rPr>
          <w:b/>
          <w:i/>
        </w:rPr>
        <w:t>20</w:t>
      </w:r>
      <w:r w:rsidRPr="00971B58">
        <w:rPr>
          <w:i/>
        </w:rPr>
        <w:t>:</w:t>
      </w:r>
      <w:r>
        <w:rPr>
          <w:i/>
        </w:rPr>
        <w:t xml:space="preserve"> Study RA type 1 enhancement for PDSCH transmission across DL subbands in the case of subband pattern {DUD} for SBFD operation.</w:t>
      </w:r>
    </w:p>
    <w:p w14:paraId="3D9E43CF" w14:textId="77777777" w:rsidR="00781CFB" w:rsidRPr="00781CFB" w:rsidRDefault="00781CFB" w:rsidP="00480AAD">
      <w:pPr>
        <w:widowControl/>
        <w:autoSpaceDE w:val="0"/>
        <w:autoSpaceDN w:val="0"/>
        <w:spacing w:before="93" w:after="93" w:line="240" w:lineRule="auto"/>
      </w:pPr>
    </w:p>
    <w:p w14:paraId="75DE2D1E" w14:textId="15A0A24B" w:rsidR="00E27973" w:rsidRPr="00B5705F" w:rsidRDefault="00E27973" w:rsidP="00E27973">
      <w:pPr>
        <w:pStyle w:val="a8"/>
        <w:widowControl/>
        <w:numPr>
          <w:ilvl w:val="0"/>
          <w:numId w:val="10"/>
        </w:numPr>
        <w:autoSpaceDE w:val="0"/>
        <w:autoSpaceDN w:val="0"/>
        <w:spacing w:before="93" w:after="93" w:line="240" w:lineRule="auto"/>
        <w:ind w:firstLineChars="0"/>
        <w:rPr>
          <w:b/>
          <w:u w:val="single"/>
        </w:rPr>
      </w:pPr>
      <w:r>
        <w:rPr>
          <w:b/>
          <w:u w:val="single"/>
        </w:rPr>
        <w:t>Rate matching pattern</w:t>
      </w:r>
      <w:r w:rsidRPr="00B5705F">
        <w:rPr>
          <w:b/>
          <w:u w:val="single"/>
        </w:rPr>
        <w:t xml:space="preserve"> enhancement</w:t>
      </w:r>
    </w:p>
    <w:p w14:paraId="3FDE850C" w14:textId="50C57D0E" w:rsidR="00480AAD" w:rsidRDefault="00480AAD" w:rsidP="00480AAD">
      <w:pPr>
        <w:widowControl/>
        <w:autoSpaceDE w:val="0"/>
        <w:autoSpaceDN w:val="0"/>
        <w:spacing w:before="93" w:after="93" w:line="240" w:lineRule="auto"/>
      </w:pPr>
      <w:r>
        <w:rPr>
          <w:rFonts w:hint="eastAsia"/>
        </w:rPr>
        <w:t>F</w:t>
      </w:r>
      <w:r>
        <w:t>or SBFD operation, when the frequency allocation of the PDSCH overlaps with the UL subband, whether to transmit the PDSCH with the PRBs within the UL subband is still under discussion</w:t>
      </w:r>
      <w:r w:rsidR="00F422C4">
        <w:t xml:space="preserve"> (dynamic SBFD)</w:t>
      </w:r>
      <w:r>
        <w:t xml:space="preserve">. </w:t>
      </w:r>
    </w:p>
    <w:p w14:paraId="3C5F1857" w14:textId="367AA715" w:rsidR="00DD5A54" w:rsidRDefault="0020227A" w:rsidP="00DD5A54">
      <w:pPr>
        <w:widowControl/>
        <w:autoSpaceDE w:val="0"/>
        <w:autoSpaceDN w:val="0"/>
        <w:spacing w:before="93" w:after="93" w:line="240" w:lineRule="auto"/>
        <w:rPr>
          <w:color w:val="000000"/>
        </w:rPr>
      </w:pPr>
      <w:r>
        <w:t>For semi-static SBFD, t</w:t>
      </w:r>
      <w:r w:rsidR="00DD5A54">
        <w:rPr>
          <w:rFonts w:hint="eastAsia"/>
        </w:rPr>
        <w:t>he</w:t>
      </w:r>
      <w:r w:rsidR="00DD5A54">
        <w:t xml:space="preserve"> straightforward way is to use the legacy RB-symbol RM pattern to inform the UE whether to use the PRBs within the UL subband or not. But in current spec, a</w:t>
      </w:r>
      <w:r w:rsidR="00DD5A54" w:rsidRPr="0048482F">
        <w:rPr>
          <w:color w:val="000000"/>
        </w:rPr>
        <w:t xml:space="preserve"> UE is not expected to handle the case where PDSCH DM-RS REs are overlapping, even partially, with any RE(s) </w:t>
      </w:r>
      <w:r w:rsidR="00DD5A54">
        <w:rPr>
          <w:color w:val="000000"/>
        </w:rPr>
        <w:t xml:space="preserve">not available for PDSCH, which is hard to achieve for SBFD operation. </w:t>
      </w:r>
    </w:p>
    <w:p w14:paraId="297B8B76" w14:textId="0A71977D" w:rsidR="00DD5A54" w:rsidRDefault="00DD5A54" w:rsidP="00DD5A54">
      <w:pPr>
        <w:widowControl/>
        <w:autoSpaceDE w:val="0"/>
        <w:autoSpaceDN w:val="0"/>
        <w:spacing w:before="93" w:after="93" w:line="240" w:lineRule="auto"/>
        <w:rPr>
          <w:color w:val="000000"/>
        </w:rPr>
      </w:pPr>
      <w:r>
        <w:rPr>
          <w:color w:val="000000"/>
        </w:rPr>
        <w:t>Alternatively, the allocation of UL subband can be introduced as a new RM pattern, which is allowed to overlap with PDSCH D</w:t>
      </w:r>
      <w:r>
        <w:rPr>
          <w:rFonts w:hint="eastAsia"/>
          <w:color w:val="000000"/>
        </w:rPr>
        <w:t>M-RS</w:t>
      </w:r>
      <w:r>
        <w:rPr>
          <w:color w:val="000000"/>
        </w:rPr>
        <w:t xml:space="preserve"> </w:t>
      </w:r>
      <w:proofErr w:type="spellStart"/>
      <w:r>
        <w:rPr>
          <w:rFonts w:hint="eastAsia"/>
          <w:color w:val="000000"/>
        </w:rPr>
        <w:t>REs.</w:t>
      </w:r>
      <w:proofErr w:type="spellEnd"/>
      <w:r>
        <w:rPr>
          <w:color w:val="000000"/>
        </w:rPr>
        <w:t xml:space="preserve"> When the allocated PRBs for PDSCH overlaps with the UL subband, UE can receive the PDSCH mapping on the non-overlapping PRBs. Other rules can also be studied for the new RM pattern which associated with UL subband. For example, as the SCS of UL subband may be different from the SCS of PDSCH, </w:t>
      </w:r>
      <w:r w:rsidRPr="000A613A">
        <w:rPr>
          <w:rFonts w:eastAsia="微软雅黑" w:hint="eastAsia"/>
        </w:rPr>
        <w:t>unaligned boundaries</w:t>
      </w:r>
      <w:r>
        <w:rPr>
          <w:rFonts w:eastAsia="微软雅黑"/>
        </w:rPr>
        <w:t xml:space="preserve"> between UL subband and allocated RBs for PDSCH should be considered. </w:t>
      </w:r>
    </w:p>
    <w:p w14:paraId="03A1ED1C" w14:textId="1A689D6F" w:rsidR="00DD5A54" w:rsidRDefault="00DD5A54" w:rsidP="00DD5A54">
      <w:pPr>
        <w:widowControl/>
        <w:autoSpaceDE w:val="0"/>
        <w:autoSpaceDN w:val="0"/>
        <w:spacing w:before="93" w:after="93" w:line="240" w:lineRule="auto"/>
        <w:rPr>
          <w:color w:val="000000"/>
        </w:rPr>
      </w:pPr>
      <w:r w:rsidRPr="00971B58">
        <w:rPr>
          <w:rFonts w:hint="eastAsia"/>
          <w:b/>
          <w:i/>
        </w:rPr>
        <w:t>P</w:t>
      </w:r>
      <w:r w:rsidRPr="00971B58">
        <w:rPr>
          <w:b/>
          <w:i/>
        </w:rPr>
        <w:t xml:space="preserve">roposal </w:t>
      </w:r>
      <w:r w:rsidR="0070529C">
        <w:rPr>
          <w:b/>
          <w:i/>
        </w:rPr>
        <w:t>2</w:t>
      </w:r>
      <w:r w:rsidR="00B83EA5">
        <w:rPr>
          <w:b/>
          <w:i/>
        </w:rPr>
        <w:t>1</w:t>
      </w:r>
      <w:r w:rsidRPr="00971B58">
        <w:rPr>
          <w:i/>
        </w:rPr>
        <w:t>:</w:t>
      </w:r>
      <w:r>
        <w:rPr>
          <w:i/>
        </w:rPr>
        <w:t xml:space="preserve"> Study new RM pattern for PDSCH, which is associated with UL subband</w:t>
      </w:r>
      <w:r>
        <w:rPr>
          <w:color w:val="000000"/>
        </w:rPr>
        <w:t xml:space="preserve">. </w:t>
      </w:r>
      <w:r w:rsidRPr="00F11B52">
        <w:rPr>
          <w:rFonts w:eastAsia="微软雅黑"/>
          <w:i/>
        </w:rPr>
        <w:t>Unaligned boundaries between UL subband and allocated RBs for PDSCH should be considered.</w:t>
      </w:r>
    </w:p>
    <w:p w14:paraId="0F893FCA" w14:textId="77777777" w:rsidR="00480AAD" w:rsidRPr="00DD5A54" w:rsidRDefault="00480AAD" w:rsidP="004843B3">
      <w:pPr>
        <w:widowControl/>
        <w:autoSpaceDE w:val="0"/>
        <w:autoSpaceDN w:val="0"/>
        <w:spacing w:before="93" w:after="93" w:line="240" w:lineRule="auto"/>
        <w:rPr>
          <w:color w:val="000000"/>
        </w:rPr>
      </w:pPr>
    </w:p>
    <w:p w14:paraId="3EAC14D5" w14:textId="3A6C65C5" w:rsidR="004843B3" w:rsidRDefault="004843B3" w:rsidP="004843B3">
      <w:pPr>
        <w:widowControl/>
        <w:autoSpaceDE w:val="0"/>
        <w:autoSpaceDN w:val="0"/>
        <w:spacing w:before="93" w:after="93" w:line="240" w:lineRule="auto"/>
      </w:pPr>
      <w:r>
        <w:rPr>
          <w:rFonts w:hint="eastAsia"/>
        </w:rPr>
        <w:t>I</w:t>
      </w:r>
      <w:r>
        <w:t>n current spec, the TBS for PDSCH is calculated according to the total PRBs indicated in the scheduling DCI or activated DCI for SPS. When the PDSCH overlaps with UL subband, if the PRBs within the UL subband are not available for PDSCH, the TBS calculated based on the total PRBs will be not suitable with the available resources of the PDSCH. Modifications for the TBS calculation are needed for SBFD operation. For example, the numbers of PRBs overlapped with UL subband can be subtracted from the total number of PRBs indicated in the DCI when calculating the TBS.</w:t>
      </w:r>
    </w:p>
    <w:p w14:paraId="6AA81667" w14:textId="6B89041D" w:rsidR="004843B3" w:rsidRDefault="004843B3" w:rsidP="004843B3">
      <w:pPr>
        <w:widowControl/>
        <w:autoSpaceDE w:val="0"/>
        <w:autoSpaceDN w:val="0"/>
        <w:spacing w:before="93" w:after="93" w:line="240" w:lineRule="auto"/>
      </w:pPr>
      <w:r w:rsidRPr="00971B58">
        <w:rPr>
          <w:rFonts w:hint="eastAsia"/>
          <w:b/>
          <w:i/>
        </w:rPr>
        <w:t>P</w:t>
      </w:r>
      <w:r w:rsidRPr="00971B58">
        <w:rPr>
          <w:b/>
          <w:i/>
        </w:rPr>
        <w:t xml:space="preserve">roposal </w:t>
      </w:r>
      <w:r w:rsidR="00AC59E0">
        <w:rPr>
          <w:b/>
          <w:i/>
        </w:rPr>
        <w:t>2</w:t>
      </w:r>
      <w:r w:rsidR="00B83EA5">
        <w:rPr>
          <w:b/>
          <w:i/>
        </w:rPr>
        <w:t>2</w:t>
      </w:r>
      <w:r w:rsidRPr="00971B58">
        <w:rPr>
          <w:i/>
        </w:rPr>
        <w:t>:</w:t>
      </w:r>
      <w:r>
        <w:rPr>
          <w:i/>
        </w:rPr>
        <w:t xml:space="preserve"> Study</w:t>
      </w:r>
      <w:r w:rsidRPr="00427B91">
        <w:rPr>
          <w:i/>
        </w:rPr>
        <w:t xml:space="preserve"> the </w:t>
      </w:r>
      <w:r w:rsidR="00CE6445">
        <w:rPr>
          <w:i/>
        </w:rPr>
        <w:t>enhancement</w:t>
      </w:r>
      <w:r w:rsidRPr="00427B91">
        <w:rPr>
          <w:i/>
        </w:rPr>
        <w:t xml:space="preserve"> for the TBS </w:t>
      </w:r>
      <w:r w:rsidR="00CE6445">
        <w:rPr>
          <w:i/>
        </w:rPr>
        <w:t>determination</w:t>
      </w:r>
      <w:r w:rsidRPr="00427B91">
        <w:rPr>
          <w:i/>
        </w:rPr>
        <w:t xml:space="preserve"> for </w:t>
      </w:r>
      <w:r w:rsidR="00E9101A">
        <w:rPr>
          <w:i/>
        </w:rPr>
        <w:t xml:space="preserve">PDSCH in case of </w:t>
      </w:r>
      <w:r w:rsidRPr="00427B91">
        <w:rPr>
          <w:i/>
        </w:rPr>
        <w:t>SBFD operation.</w:t>
      </w:r>
    </w:p>
    <w:p w14:paraId="05231125" w14:textId="77777777" w:rsidR="00C926DB" w:rsidRDefault="00C926DB" w:rsidP="00D141AF">
      <w:pPr>
        <w:widowControl/>
        <w:autoSpaceDE w:val="0"/>
        <w:autoSpaceDN w:val="0"/>
        <w:spacing w:before="93" w:after="93" w:line="240" w:lineRule="auto"/>
      </w:pPr>
    </w:p>
    <w:p w14:paraId="42DF7260" w14:textId="5D329782" w:rsidR="00E27973" w:rsidRPr="00B5705F" w:rsidRDefault="000C1B6C" w:rsidP="00E27973">
      <w:pPr>
        <w:pStyle w:val="a8"/>
        <w:widowControl/>
        <w:numPr>
          <w:ilvl w:val="0"/>
          <w:numId w:val="10"/>
        </w:numPr>
        <w:autoSpaceDE w:val="0"/>
        <w:autoSpaceDN w:val="0"/>
        <w:spacing w:before="93" w:after="93" w:line="240" w:lineRule="auto"/>
        <w:ind w:firstLineChars="0"/>
        <w:rPr>
          <w:b/>
          <w:u w:val="single"/>
        </w:rPr>
      </w:pPr>
      <w:r>
        <w:rPr>
          <w:b/>
          <w:u w:val="single"/>
        </w:rPr>
        <w:t>PRG enha</w:t>
      </w:r>
      <w:r w:rsidR="00CF075D">
        <w:rPr>
          <w:b/>
          <w:u w:val="single"/>
        </w:rPr>
        <w:t>n</w:t>
      </w:r>
      <w:r>
        <w:rPr>
          <w:b/>
          <w:u w:val="single"/>
        </w:rPr>
        <w:t>cement</w:t>
      </w:r>
    </w:p>
    <w:p w14:paraId="10A9B1A7" w14:textId="52453094" w:rsidR="00FF5AE1" w:rsidRDefault="00FF5AE1" w:rsidP="00FF5AE1">
      <w:pPr>
        <w:widowControl/>
        <w:autoSpaceDE w:val="0"/>
        <w:autoSpaceDN w:val="0"/>
        <w:spacing w:before="93" w:after="93" w:line="240" w:lineRule="auto"/>
      </w:pPr>
      <w:r>
        <w:t xml:space="preserve">Two options for PRG enhancement were </w:t>
      </w:r>
      <w:r w:rsidR="00390755">
        <w:t>listed</w:t>
      </w:r>
      <w:r>
        <w:t xml:space="preserve"> for further study in </w:t>
      </w:r>
      <w:r w:rsidR="00390755">
        <w:t>RAN1#112bis-e</w:t>
      </w:r>
      <w:r>
        <w:t xml:space="preserve">. For option 2, </w:t>
      </w:r>
      <w:r w:rsidRPr="006144FC">
        <w:t>the PDSCH can only be transmitted in one DL subband</w:t>
      </w:r>
      <w:r>
        <w:t xml:space="preserve"> for {DUD} pattern</w:t>
      </w:r>
      <w:r w:rsidRPr="006144FC">
        <w:t xml:space="preserve"> which </w:t>
      </w:r>
      <w:r>
        <w:t>would</w:t>
      </w:r>
      <w:r w:rsidRPr="006144FC">
        <w:t xml:space="preserve"> have the impact to </w:t>
      </w:r>
      <w:r w:rsidRPr="006144FC">
        <w:lastRenderedPageBreak/>
        <w:t xml:space="preserve">the </w:t>
      </w:r>
      <w:r>
        <w:t>DL throughput.</w:t>
      </w:r>
      <w:r w:rsidRPr="006144FC">
        <w:t xml:space="preserve"> </w:t>
      </w:r>
      <w:r>
        <w:t>For option 1, the PDSCH can be transmitted in both DL subbands. From UE perspective, the UE cannot perform the channel estimation across the two DL subbands. So the reasonable assumption would be the same precoding within one DL subband.</w:t>
      </w:r>
    </w:p>
    <w:p w14:paraId="0DE476AE" w14:textId="3F5C4B8E" w:rsidR="00FF5AE1" w:rsidRPr="00195777" w:rsidRDefault="00FF5AE1" w:rsidP="00D141AF">
      <w:pPr>
        <w:widowControl/>
        <w:autoSpaceDE w:val="0"/>
        <w:autoSpaceDN w:val="0"/>
        <w:spacing w:before="93" w:after="93" w:line="240" w:lineRule="auto"/>
        <w:rPr>
          <w:i/>
        </w:rPr>
      </w:pPr>
      <w:r w:rsidRPr="00F11B52">
        <w:rPr>
          <w:b/>
          <w:i/>
        </w:rPr>
        <w:t xml:space="preserve">Proposal </w:t>
      </w:r>
      <w:r>
        <w:rPr>
          <w:b/>
          <w:i/>
        </w:rPr>
        <w:t>2</w:t>
      </w:r>
      <w:r w:rsidR="00B83EA5">
        <w:rPr>
          <w:b/>
          <w:i/>
        </w:rPr>
        <w:t>3</w:t>
      </w:r>
      <w:r w:rsidRPr="00F11B52">
        <w:rPr>
          <w:b/>
          <w:i/>
        </w:rPr>
        <w:t>:</w:t>
      </w:r>
      <w:r w:rsidRPr="00F11B52">
        <w:rPr>
          <w:i/>
        </w:rPr>
        <w:t xml:space="preserve"> </w:t>
      </w:r>
      <w:r w:rsidR="00E55F77" w:rsidRPr="00E55F77">
        <w:rPr>
          <w:i/>
        </w:rPr>
        <w:t>If PRG is determined as wideband, non-contiguous frequency resources across two DL subbands but contiguous frequency resource within each DL subband can be allocated</w:t>
      </w:r>
      <w:r w:rsidR="00030DBF">
        <w:t xml:space="preserve">. </w:t>
      </w:r>
    </w:p>
    <w:p w14:paraId="67E67B40" w14:textId="77777777" w:rsidR="00FF5AE1" w:rsidRPr="00751C97" w:rsidRDefault="00FF5AE1" w:rsidP="00D141AF">
      <w:pPr>
        <w:widowControl/>
        <w:autoSpaceDE w:val="0"/>
        <w:autoSpaceDN w:val="0"/>
        <w:spacing w:before="93" w:after="93" w:line="240" w:lineRule="auto"/>
      </w:pPr>
    </w:p>
    <w:p w14:paraId="60EECD80" w14:textId="3EE827BD" w:rsidR="00467D97" w:rsidRPr="0040782E" w:rsidRDefault="00467D97" w:rsidP="00467D97">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PDCCH enhancement</w:t>
      </w:r>
    </w:p>
    <w:p w14:paraId="474F2536" w14:textId="0F704AB0" w:rsidR="006F7ABD" w:rsidRPr="00BC32DB" w:rsidRDefault="00E450F9" w:rsidP="00195777">
      <w:pPr>
        <w:widowControl/>
        <w:autoSpaceDE w:val="0"/>
        <w:autoSpaceDN w:val="0"/>
        <w:spacing w:before="93"/>
      </w:pPr>
      <w:r>
        <w:t>In</w:t>
      </w:r>
      <w:r w:rsidR="00C91766">
        <w:t xml:space="preserve"> case of</w:t>
      </w:r>
      <w:r w:rsidR="00F62A26">
        <w:t xml:space="preserve"> SBFD </w:t>
      </w:r>
      <w:r w:rsidR="00C91766">
        <w:t>operation</w:t>
      </w:r>
      <w:r w:rsidR="00F62A26">
        <w:t>, i</w:t>
      </w:r>
      <w:r w:rsidR="00420EF3">
        <w:t xml:space="preserve">f </w:t>
      </w:r>
      <w:r w:rsidR="0045435F">
        <w:t>some of the</w:t>
      </w:r>
      <w:r w:rsidR="00420EF3">
        <w:t xml:space="preserve"> frequency resource</w:t>
      </w:r>
      <w:r w:rsidR="00C91766">
        <w:t>s</w:t>
      </w:r>
      <w:r w:rsidR="00420EF3">
        <w:t xml:space="preserve"> of a CORESET falls outside DL subband</w:t>
      </w:r>
      <w:r w:rsidR="00420EF3">
        <w:rPr>
          <w:rFonts w:hint="eastAsia"/>
        </w:rPr>
        <w:t>(</w:t>
      </w:r>
      <w:r w:rsidR="00420EF3">
        <w:t xml:space="preserve">s), </w:t>
      </w:r>
      <w:r w:rsidR="0045435F">
        <w:t>how to transmit PDCCH using the CORESET is a problem</w:t>
      </w:r>
      <w:r w:rsidR="0045435F">
        <w:rPr>
          <w:rFonts w:hint="eastAsia"/>
        </w:rPr>
        <w:t>.</w:t>
      </w:r>
      <w:r w:rsidR="00F62A26">
        <w:t xml:space="preserve"> </w:t>
      </w:r>
      <w:r w:rsidR="00B66508">
        <w:t>To address this issue, several potential solutions</w:t>
      </w:r>
      <w:r w:rsidR="00C91766">
        <w:t xml:space="preserve"> were identified in</w:t>
      </w:r>
      <w:r w:rsidR="006F7ABD">
        <w:rPr>
          <w:szCs w:val="20"/>
        </w:rPr>
        <w:t xml:space="preserve"> RAN1#112bis-e</w:t>
      </w:r>
      <w:r w:rsidR="00C91766">
        <w:rPr>
          <w:szCs w:val="20"/>
        </w:rPr>
        <w:t xml:space="preserve"> [1]</w:t>
      </w:r>
      <w:r w:rsidR="006F7ABD">
        <w:rPr>
          <w:szCs w:val="20"/>
        </w:rPr>
        <w:t>.</w:t>
      </w:r>
    </w:p>
    <w:tbl>
      <w:tblPr>
        <w:tblStyle w:val="a7"/>
        <w:tblW w:w="0" w:type="auto"/>
        <w:tblLook w:val="04A0" w:firstRow="1" w:lastRow="0" w:firstColumn="1" w:lastColumn="0" w:noHBand="0" w:noVBand="1"/>
      </w:tblPr>
      <w:tblGrid>
        <w:gridCol w:w="9305"/>
      </w:tblGrid>
      <w:tr w:rsidR="006F7ABD" w:rsidRPr="00F0466F" w14:paraId="654782DC" w14:textId="77777777" w:rsidTr="00B66508">
        <w:tc>
          <w:tcPr>
            <w:tcW w:w="9305" w:type="dxa"/>
          </w:tcPr>
          <w:p w14:paraId="5CEFF413" w14:textId="77777777" w:rsidR="006F7ABD" w:rsidRPr="0012437E" w:rsidRDefault="006F7ABD" w:rsidP="00195777">
            <w:pPr>
              <w:spacing w:before="93"/>
              <w:rPr>
                <w:rFonts w:eastAsia="Malgun Gothic"/>
                <w:b/>
                <w:szCs w:val="22"/>
                <w:highlight w:val="green"/>
              </w:rPr>
            </w:pPr>
            <w:r w:rsidRPr="009B09D3">
              <w:rPr>
                <w:rFonts w:eastAsia="Malgun Gothic"/>
                <w:b/>
                <w:highlight w:val="green"/>
              </w:rPr>
              <w:t>Agreement</w:t>
            </w:r>
          </w:p>
          <w:p w14:paraId="7C73777B" w14:textId="77777777" w:rsidR="006F7ABD" w:rsidRPr="0012437E" w:rsidRDefault="006F7ABD">
            <w:pPr>
              <w:spacing w:before="93"/>
              <w:rPr>
                <w:rFonts w:eastAsia="微软雅黑"/>
                <w:color w:val="000000"/>
                <w:szCs w:val="22"/>
              </w:rPr>
            </w:pPr>
            <w:r w:rsidRPr="009B09D3">
              <w:rPr>
                <w:rFonts w:eastAsia="微软雅黑"/>
                <w:color w:val="000000"/>
              </w:rPr>
              <w:t xml:space="preserve">For the case that: </w:t>
            </w:r>
          </w:p>
          <w:p w14:paraId="74BBB02D" w14:textId="77777777" w:rsidR="006F7ABD" w:rsidRPr="00195777" w:rsidRDefault="006F7ABD" w:rsidP="00195777">
            <w:pPr>
              <w:pStyle w:val="31"/>
              <w:numPr>
                <w:ilvl w:val="0"/>
                <w:numId w:val="41"/>
              </w:numPr>
              <w:adjustRightInd w:val="0"/>
              <w:snapToGrid w:val="0"/>
              <w:spacing w:beforeLines="30" w:before="93" w:after="0" w:line="60" w:lineRule="atLeast"/>
              <w:ind w:left="714" w:hanging="357"/>
              <w:rPr>
                <w:rFonts w:ascii="Times New Roman" w:eastAsia="微软雅黑" w:hAnsi="Times New Roman" w:cs="Times New Roman"/>
                <w:color w:val="000000"/>
                <w:sz w:val="22"/>
                <w:szCs w:val="22"/>
              </w:rPr>
            </w:pPr>
            <w:r w:rsidRPr="00195777">
              <w:rPr>
                <w:rFonts w:ascii="Times New Roman" w:eastAsia="微软雅黑" w:hAnsi="Times New Roman" w:cs="Times New Roman"/>
                <w:color w:val="000000"/>
                <w:sz w:val="22"/>
                <w:szCs w:val="22"/>
              </w:rPr>
              <w:t>The monitoring periodicity of a search space is such that different monitoring occasions</w:t>
            </w:r>
            <w:r w:rsidRPr="00195777">
              <w:rPr>
                <w:color w:val="FF0000"/>
                <w:sz w:val="22"/>
                <w:szCs w:val="22"/>
              </w:rPr>
              <w:t xml:space="preserve"> </w:t>
            </w:r>
            <w:r w:rsidRPr="00195777">
              <w:rPr>
                <w:rFonts w:ascii="Times New Roman" w:eastAsia="微软雅黑" w:hAnsi="Times New Roman" w:cs="Times New Roman"/>
                <w:color w:val="FF0000"/>
                <w:sz w:val="22"/>
                <w:szCs w:val="22"/>
              </w:rPr>
              <w:t>in different slots</w:t>
            </w:r>
            <w:r w:rsidRPr="00195777">
              <w:rPr>
                <w:rFonts w:ascii="Times New Roman" w:eastAsia="微软雅黑" w:hAnsi="Times New Roman" w:cs="Times New Roman"/>
                <w:color w:val="00B0F0"/>
                <w:sz w:val="22"/>
                <w:szCs w:val="22"/>
              </w:rPr>
              <w:t xml:space="preserve"> </w:t>
            </w:r>
            <w:r w:rsidRPr="00195777">
              <w:rPr>
                <w:rFonts w:ascii="Times New Roman" w:eastAsia="微软雅黑" w:hAnsi="Times New Roman" w:cs="Times New Roman"/>
                <w:color w:val="000000"/>
                <w:sz w:val="22"/>
                <w:szCs w:val="22"/>
              </w:rPr>
              <w:t>occur in SBFD and non-SBFD symbols, respectively, and,</w:t>
            </w:r>
          </w:p>
          <w:p w14:paraId="5F62B059" w14:textId="77777777" w:rsidR="006F7ABD" w:rsidRPr="00195777" w:rsidRDefault="006F7ABD" w:rsidP="00195777">
            <w:pPr>
              <w:pStyle w:val="31"/>
              <w:numPr>
                <w:ilvl w:val="0"/>
                <w:numId w:val="41"/>
              </w:numPr>
              <w:adjustRightInd w:val="0"/>
              <w:snapToGrid w:val="0"/>
              <w:spacing w:beforeLines="30" w:before="93" w:after="0" w:line="60" w:lineRule="atLeast"/>
              <w:ind w:left="714" w:hanging="357"/>
              <w:rPr>
                <w:rFonts w:ascii="Times New Roman" w:eastAsia="微软雅黑" w:hAnsi="Times New Roman" w:cs="Times New Roman"/>
                <w:color w:val="000000"/>
                <w:sz w:val="22"/>
                <w:szCs w:val="22"/>
              </w:rPr>
            </w:pPr>
            <w:r w:rsidRPr="00195777">
              <w:rPr>
                <w:rFonts w:ascii="Times New Roman" w:eastAsia="微软雅黑" w:hAnsi="Times New Roman" w:cs="Times New Roman"/>
                <w:color w:val="000000"/>
                <w:sz w:val="22"/>
                <w:szCs w:val="22"/>
              </w:rPr>
              <w:t>The associated CORESET overlaps the boundary of a DL subband in SBFD symbols</w:t>
            </w:r>
          </w:p>
          <w:p w14:paraId="681425DD" w14:textId="77777777" w:rsidR="006F7ABD" w:rsidRPr="0012437E" w:rsidRDefault="006F7ABD">
            <w:pPr>
              <w:spacing w:before="93"/>
              <w:rPr>
                <w:rFonts w:eastAsia="微软雅黑"/>
                <w:color w:val="FF0000"/>
                <w:szCs w:val="22"/>
              </w:rPr>
            </w:pPr>
            <w:r w:rsidRPr="009B09D3">
              <w:rPr>
                <w:rFonts w:eastAsia="微软雅黑"/>
                <w:color w:val="000000"/>
              </w:rPr>
              <w:t>Consider whether/how the above could be supported considering</w:t>
            </w:r>
            <w:r w:rsidRPr="009B09D3">
              <w:rPr>
                <w:rFonts w:eastAsia="微软雅黑"/>
                <w:color w:val="FF0000"/>
              </w:rPr>
              <w:t xml:space="preserve"> both existing tools in specifications on CORESET and search space configuration as well as </w:t>
            </w:r>
            <w:r w:rsidRPr="009B09D3">
              <w:rPr>
                <w:rFonts w:eastAsia="微软雅黑"/>
                <w:color w:val="000000"/>
              </w:rPr>
              <w:t>at least the following options for potential enhancement</w:t>
            </w:r>
            <w:r w:rsidRPr="009B09D3">
              <w:rPr>
                <w:rFonts w:eastAsia="微软雅黑"/>
                <w:color w:val="FF0000"/>
              </w:rPr>
              <w:t xml:space="preserve"> for SBFD-aware UE:</w:t>
            </w:r>
          </w:p>
          <w:p w14:paraId="67FD7FD3" w14:textId="77777777" w:rsidR="006F7ABD" w:rsidRPr="0012437E" w:rsidRDefault="006F7ABD" w:rsidP="00195777">
            <w:pPr>
              <w:widowControl/>
              <w:numPr>
                <w:ilvl w:val="0"/>
                <w:numId w:val="63"/>
              </w:numPr>
              <w:suppressAutoHyphens/>
              <w:spacing w:before="93"/>
              <w:ind w:left="714" w:hanging="357"/>
              <w:jc w:val="left"/>
              <w:rPr>
                <w:szCs w:val="22"/>
              </w:rPr>
            </w:pPr>
            <w:r w:rsidRPr="009B09D3">
              <w:t>Option 1: Separate valid resources for the CORESET in SBFD symbols and in non-SBFD symbols.</w:t>
            </w:r>
          </w:p>
          <w:p w14:paraId="031DBB1D" w14:textId="77777777" w:rsidR="006F7ABD" w:rsidRPr="0012437E" w:rsidRDefault="006F7ABD" w:rsidP="00195777">
            <w:pPr>
              <w:widowControl/>
              <w:numPr>
                <w:ilvl w:val="0"/>
                <w:numId w:val="63"/>
              </w:numPr>
              <w:suppressAutoHyphens/>
              <w:spacing w:before="93"/>
              <w:ind w:left="714" w:hanging="357"/>
              <w:jc w:val="left"/>
              <w:rPr>
                <w:szCs w:val="22"/>
              </w:rPr>
            </w:pPr>
            <w:r w:rsidRPr="009B09D3">
              <w:t xml:space="preserve">Option 2: Rate matching or puncturing on the REG(s) of a PDCCH outside DL subband(s). </w:t>
            </w:r>
          </w:p>
          <w:p w14:paraId="26A00BDF" w14:textId="77777777" w:rsidR="006F7ABD" w:rsidRPr="0012437E" w:rsidRDefault="006F7ABD" w:rsidP="00195777">
            <w:pPr>
              <w:widowControl/>
              <w:numPr>
                <w:ilvl w:val="0"/>
                <w:numId w:val="63"/>
              </w:numPr>
              <w:suppressAutoHyphens/>
              <w:spacing w:before="93"/>
              <w:ind w:left="714" w:hanging="357"/>
              <w:jc w:val="left"/>
              <w:rPr>
                <w:szCs w:val="22"/>
              </w:rPr>
            </w:pPr>
            <w:r w:rsidRPr="009B09D3">
              <w:t>Option 3: UE does not monitor a PDCCH candidate if it is mapped to one or more REs that overlap with REs outside DL subband(s).</w:t>
            </w:r>
          </w:p>
          <w:p w14:paraId="64F436AA" w14:textId="4830098C" w:rsidR="006F7ABD" w:rsidRPr="0012437E" w:rsidRDefault="006F7ABD" w:rsidP="00195777">
            <w:pPr>
              <w:widowControl/>
              <w:numPr>
                <w:ilvl w:val="0"/>
                <w:numId w:val="63"/>
              </w:numPr>
              <w:suppressAutoHyphens/>
              <w:spacing w:before="93"/>
              <w:ind w:left="714" w:hanging="357"/>
              <w:jc w:val="left"/>
              <w:rPr>
                <w:rFonts w:eastAsia="Malgun Gothic"/>
                <w:szCs w:val="22"/>
              </w:rPr>
            </w:pPr>
            <w:r w:rsidRPr="009B09D3">
              <w:t>Option</w:t>
            </w:r>
            <w:r w:rsidRPr="009B09D3">
              <w:rPr>
                <w:rFonts w:eastAsia="MS Mincho"/>
                <w:bCs/>
                <w:lang w:eastAsia="ja-JP"/>
              </w:rPr>
              <w:t xml:space="preserve"> 4: Drop </w:t>
            </w:r>
            <w:r w:rsidRPr="009B09D3">
              <w:rPr>
                <w:rFonts w:eastAsia="微软雅黑"/>
              </w:rPr>
              <w:t>search space</w:t>
            </w:r>
            <w:r w:rsidRPr="009B09D3">
              <w:rPr>
                <w:rFonts w:eastAsia="MS Mincho"/>
                <w:bCs/>
                <w:lang w:eastAsia="ja-JP"/>
              </w:rPr>
              <w:t>(s) when the associated CORESET overlaps with RBs outside DL subband(s)</w:t>
            </w:r>
            <w:r w:rsidR="00244478" w:rsidRPr="009B09D3">
              <w:rPr>
                <w:rFonts w:eastAsia="MS Mincho"/>
                <w:bCs/>
                <w:lang w:eastAsia="ja-JP"/>
              </w:rPr>
              <w:t>.</w:t>
            </w:r>
          </w:p>
          <w:p w14:paraId="07E201A3" w14:textId="77777777" w:rsidR="006F7ABD" w:rsidRPr="0012437E" w:rsidRDefault="006F7ABD" w:rsidP="00195777">
            <w:pPr>
              <w:widowControl/>
              <w:numPr>
                <w:ilvl w:val="0"/>
                <w:numId w:val="63"/>
              </w:numPr>
              <w:suppressAutoHyphens/>
              <w:spacing w:before="93"/>
              <w:ind w:left="714" w:hanging="357"/>
              <w:jc w:val="left"/>
              <w:rPr>
                <w:rFonts w:eastAsia="Malgun Gothic"/>
                <w:szCs w:val="22"/>
              </w:rPr>
            </w:pPr>
            <w:r w:rsidRPr="009B09D3">
              <w:t>Option</w:t>
            </w:r>
            <w:r w:rsidRPr="009B09D3">
              <w:rPr>
                <w:rFonts w:eastAsia="MS Mincho"/>
                <w:bCs/>
                <w:lang w:eastAsia="ja-JP"/>
              </w:rPr>
              <w:t xml:space="preserve"> </w:t>
            </w:r>
            <w:r w:rsidRPr="009B09D3">
              <w:rPr>
                <w:rFonts w:eastAsia="Malgun Gothic"/>
                <w:bCs/>
              </w:rPr>
              <w:t>5</w:t>
            </w:r>
            <w:r w:rsidRPr="009B09D3">
              <w:rPr>
                <w:rFonts w:eastAsia="MS Mincho"/>
                <w:bCs/>
                <w:lang w:eastAsia="ja-JP"/>
              </w:rPr>
              <w:t xml:space="preserve">: </w:t>
            </w:r>
            <w:r w:rsidRPr="009B09D3">
              <w:rPr>
                <w:rFonts w:eastAsia="Malgun Gothic"/>
                <w:bCs/>
              </w:rPr>
              <w:t xml:space="preserve">Separate </w:t>
            </w:r>
            <w:r w:rsidRPr="009B09D3">
              <w:rPr>
                <w:rFonts w:eastAsia="微软雅黑"/>
              </w:rPr>
              <w:t>search space</w:t>
            </w:r>
            <w:r w:rsidRPr="009B09D3">
              <w:rPr>
                <w:rFonts w:eastAsia="MS Mincho"/>
                <w:bCs/>
                <w:lang w:eastAsia="ja-JP"/>
              </w:rPr>
              <w:t xml:space="preserve">s associated </w:t>
            </w:r>
            <w:r w:rsidRPr="009B09D3">
              <w:rPr>
                <w:rFonts w:eastAsia="Malgun Gothic"/>
                <w:bCs/>
              </w:rPr>
              <w:t xml:space="preserve">with a </w:t>
            </w:r>
            <w:r w:rsidRPr="009B09D3">
              <w:rPr>
                <w:rFonts w:eastAsia="MS Mincho"/>
                <w:bCs/>
                <w:lang w:eastAsia="ja-JP"/>
              </w:rPr>
              <w:t>CORESET</w:t>
            </w:r>
            <w:r w:rsidRPr="009B09D3">
              <w:rPr>
                <w:rFonts w:eastAsia="Malgun Gothic"/>
                <w:bCs/>
              </w:rPr>
              <w:t xml:space="preserve"> in SBFD and non-SBFD symbols</w:t>
            </w:r>
          </w:p>
          <w:p w14:paraId="02D94C0F" w14:textId="5C91035C" w:rsidR="006F7ABD" w:rsidRPr="00195777" w:rsidRDefault="006F7ABD" w:rsidP="00195777">
            <w:pPr>
              <w:pStyle w:val="a8"/>
              <w:widowControl/>
              <w:suppressAutoHyphens/>
              <w:spacing w:before="93"/>
              <w:ind w:left="714" w:firstLineChars="0" w:hanging="357"/>
              <w:jc w:val="left"/>
              <w:rPr>
                <w:rFonts w:eastAsia="Malgun Gothic"/>
                <w:szCs w:val="22"/>
              </w:rPr>
            </w:pPr>
            <w:r w:rsidRPr="009B09D3">
              <w:rPr>
                <w:rFonts w:eastAsia="微软雅黑"/>
                <w:iCs/>
              </w:rPr>
              <w:t>Note: Whether these enhancements are applicable to only USS or also CSS.</w:t>
            </w:r>
          </w:p>
        </w:tc>
      </w:tr>
    </w:tbl>
    <w:p w14:paraId="2DB8C9C4" w14:textId="77777777" w:rsidR="006F7ABD" w:rsidRDefault="006F7ABD" w:rsidP="00513FF4">
      <w:pPr>
        <w:widowControl/>
        <w:autoSpaceDE w:val="0"/>
        <w:autoSpaceDN w:val="0"/>
        <w:spacing w:before="93"/>
      </w:pPr>
    </w:p>
    <w:p w14:paraId="6EE64ED9" w14:textId="5705DF0C" w:rsidR="007D421A" w:rsidRDefault="007D421A" w:rsidP="00513FF4">
      <w:pPr>
        <w:widowControl/>
        <w:autoSpaceDE w:val="0"/>
        <w:autoSpaceDN w:val="0"/>
        <w:spacing w:before="93"/>
      </w:pPr>
      <w:r>
        <w:t xml:space="preserve">For option 1, one possible way is to configure different CORESETs for SBFD slots and non-SBFD slots. However, this may not be optimal, </w:t>
      </w:r>
      <w:r w:rsidR="00C27864">
        <w:t xml:space="preserve">since </w:t>
      </w:r>
      <w:r>
        <w:t>the mandatary UE capability of DL control channel is one configured CORESET per BWP per cell in addition to COREST 0. Although a UE can optionally support m</w:t>
      </w:r>
      <w:r w:rsidRPr="000E3724">
        <w:t>ore than one</w:t>
      </w:r>
      <w:r>
        <w:rPr>
          <w:rFonts w:hint="eastAsia"/>
        </w:rPr>
        <w:t xml:space="preserve"> </w:t>
      </w:r>
      <w:r>
        <w:t>CORESET</w:t>
      </w:r>
      <w:r w:rsidRPr="000E3724">
        <w:t xml:space="preserve"> per BWP in addition to CORESET</w:t>
      </w:r>
      <w:r>
        <w:t xml:space="preserve"> </w:t>
      </w:r>
      <w:r w:rsidRPr="000E3724">
        <w:t>0</w:t>
      </w:r>
      <w:r>
        <w:t>, but only up to four CORESETs can be configured per BWP. If different CORESETs are configured for SBFD slots and non-SBFD slots, this will reduce the total number of CORESETs that can be configured for a UE for other purposes, e.g. support multiple types of traffic</w:t>
      </w:r>
      <w:r>
        <w:rPr>
          <w:rFonts w:hint="eastAsia"/>
        </w:rPr>
        <w:t>.</w:t>
      </w:r>
      <w:r>
        <w:t xml:space="preserve"> Another possible way is to adapt the valid resources for the CORESET in SBFD symbols</w:t>
      </w:r>
      <w:r>
        <w:rPr>
          <w:rFonts w:hint="eastAsia"/>
        </w:rPr>
        <w:t>/</w:t>
      </w:r>
      <w:r>
        <w:t xml:space="preserve">slots </w:t>
      </w:r>
      <w:r>
        <w:rPr>
          <w:rFonts w:hint="eastAsia"/>
        </w:rPr>
        <w:t>based</w:t>
      </w:r>
      <w:r>
        <w:t xml:space="preserve"> </w:t>
      </w:r>
      <w:r>
        <w:rPr>
          <w:rFonts w:hint="eastAsia"/>
        </w:rPr>
        <w:t>on</w:t>
      </w:r>
      <w:r>
        <w:t xml:space="preserve"> the DL/UL subbands configuration, and </w:t>
      </w:r>
      <w:r w:rsidR="00C27864">
        <w:t>change</w:t>
      </w:r>
      <w:r>
        <w:t xml:space="preserve"> the CCE-to-REG </w:t>
      </w:r>
      <w:r w:rsidR="00C27864">
        <w:t xml:space="preserve">mapping </w:t>
      </w:r>
      <w:r>
        <w:t>for the CORESET accordingly. The valid resources can be determined in the granularity of REG</w:t>
      </w:r>
      <w:r>
        <w:rPr>
          <w:rFonts w:hint="eastAsia"/>
        </w:rPr>
        <w:t>,</w:t>
      </w:r>
      <w:r>
        <w:t xml:space="preserve"> or REG bundle and this method will not cause PDCCH performance loss. </w:t>
      </w:r>
      <w:r w:rsidR="00615E40">
        <w:t>The lat</w:t>
      </w:r>
      <w:r w:rsidR="00C27864">
        <w:t>t</w:t>
      </w:r>
      <w:r w:rsidR="00615E40">
        <w:t xml:space="preserve">er </w:t>
      </w:r>
      <w:r w:rsidR="00C27864">
        <w:t xml:space="preserve">scheme does not </w:t>
      </w:r>
      <w:r w:rsidR="00615E40">
        <w:t>need signaling and have les</w:t>
      </w:r>
      <w:r w:rsidR="000E6DD9">
        <w:t xml:space="preserve">s </w:t>
      </w:r>
      <w:r w:rsidR="00C27864">
        <w:t xml:space="preserve">specification </w:t>
      </w:r>
      <w:r w:rsidR="000E6DD9">
        <w:t>impact.</w:t>
      </w:r>
    </w:p>
    <w:p w14:paraId="52BE361F" w14:textId="769D2723" w:rsidR="007D421A" w:rsidRDefault="007D421A" w:rsidP="00195777">
      <w:pPr>
        <w:widowControl/>
        <w:autoSpaceDE w:val="0"/>
        <w:autoSpaceDN w:val="0"/>
        <w:spacing w:before="93"/>
      </w:pPr>
      <w:r>
        <w:t>For option 2, this method may cause PDCCH performance loss but is simpler for network and UE implementation</w:t>
      </w:r>
      <w:r>
        <w:rPr>
          <w:rFonts w:hint="eastAsia"/>
        </w:rPr>
        <w:t>.</w:t>
      </w:r>
      <w:r>
        <w:t xml:space="preserve"> In addition, depending </w:t>
      </w:r>
      <w:r w:rsidR="003D4107">
        <w:t xml:space="preserve">on </w:t>
      </w:r>
      <w:r w:rsidR="00F876C8">
        <w:t xml:space="preserve">whether </w:t>
      </w:r>
      <w:r>
        <w:t xml:space="preserve">the </w:t>
      </w:r>
      <w:r w:rsidR="003D4107">
        <w:t>PDCCH is broadcast or unicast</w:t>
      </w:r>
      <w:r>
        <w:t xml:space="preserve">, </w:t>
      </w:r>
      <w:r w:rsidR="003D4107">
        <w:t>different schemes</w:t>
      </w:r>
      <w:r>
        <w:t xml:space="preserve"> can be considered. For example,</w:t>
      </w:r>
      <w:r w:rsidR="008D3D0B">
        <w:t xml:space="preserve"> for broadcast PDCCH</w:t>
      </w:r>
      <w:r w:rsidR="008D3D0B">
        <w:rPr>
          <w:rFonts w:hint="eastAsia"/>
        </w:rPr>
        <w:t>(</w:t>
      </w:r>
      <w:r w:rsidR="008D3D0B">
        <w:t>s), such as PDCCH</w:t>
      </w:r>
      <w:r w:rsidR="00F14014">
        <w:t>(s)</w:t>
      </w:r>
      <w:r w:rsidR="008D3D0B">
        <w:t xml:space="preserve"> scheduling </w:t>
      </w:r>
      <w:proofErr w:type="spellStart"/>
      <w:r w:rsidR="008D3D0B">
        <w:t>SIB</w:t>
      </w:r>
      <w:r w:rsidR="00FE59C7">
        <w:t>x</w:t>
      </w:r>
      <w:proofErr w:type="spellEnd"/>
      <w:r w:rsidR="00FE59C7">
        <w:t>, paging</w:t>
      </w:r>
      <w:r w:rsidR="008D3D0B">
        <w:t>,</w:t>
      </w:r>
      <w:r w:rsidR="00B46174">
        <w:t xml:space="preserve"> etc.,</w:t>
      </w:r>
      <w:r w:rsidR="008D3D0B">
        <w:t xml:space="preserve"> which is</w:t>
      </w:r>
      <w:r w:rsidR="008D3D0B">
        <w:rPr>
          <w:rFonts w:hint="eastAsia"/>
        </w:rPr>
        <w:t>(</w:t>
      </w:r>
      <w:r w:rsidR="008D3D0B">
        <w:t xml:space="preserve">are) shared with both SBFD UEs </w:t>
      </w:r>
      <w:r w:rsidR="00F81716">
        <w:t xml:space="preserve">and non-SBFD </w:t>
      </w:r>
      <w:r w:rsidR="008D3D0B">
        <w:t>UEs</w:t>
      </w:r>
      <w:r w:rsidR="00964409">
        <w:t xml:space="preserve">, puncturing should be considered, otherwise, </w:t>
      </w:r>
      <w:r w:rsidR="00787D51">
        <w:t xml:space="preserve">there will be </w:t>
      </w:r>
      <w:r w:rsidR="009F2757">
        <w:t>issues</w:t>
      </w:r>
      <w:r w:rsidR="00787D51">
        <w:t xml:space="preserve"> for </w:t>
      </w:r>
      <w:r w:rsidR="00964409">
        <w:t>non-SBFD</w:t>
      </w:r>
      <w:r w:rsidR="009F2757">
        <w:t>-aware</w:t>
      </w:r>
      <w:r w:rsidR="00964409">
        <w:t xml:space="preserve"> UEs to </w:t>
      </w:r>
      <w:r w:rsidR="00787D51">
        <w:t>decode such PDCCHs</w:t>
      </w:r>
      <w:r w:rsidR="00587461">
        <w:t>. For unicast PDCCH</w:t>
      </w:r>
      <w:r w:rsidR="00587461">
        <w:rPr>
          <w:rFonts w:hint="eastAsia"/>
        </w:rPr>
        <w:t>(</w:t>
      </w:r>
      <w:r w:rsidR="00587461">
        <w:t>s) dedicated to SBFD</w:t>
      </w:r>
      <w:r w:rsidR="009F2757">
        <w:t>-aware</w:t>
      </w:r>
      <w:r w:rsidR="00587461">
        <w:t xml:space="preserve"> UEs, rate matching </w:t>
      </w:r>
      <w:r w:rsidR="001A7316">
        <w:t>should</w:t>
      </w:r>
      <w:r w:rsidR="00192584">
        <w:t xml:space="preserve"> be considered</w:t>
      </w:r>
      <w:r w:rsidR="009F2757">
        <w:t xml:space="preserve"> due to better</w:t>
      </w:r>
      <w:r w:rsidR="00192584">
        <w:t xml:space="preserve"> performance.</w:t>
      </w:r>
    </w:p>
    <w:p w14:paraId="5A988F7E" w14:textId="6621EEE4" w:rsidR="007D421A" w:rsidRDefault="007D421A" w:rsidP="00195777">
      <w:pPr>
        <w:widowControl/>
        <w:autoSpaceDE w:val="0"/>
        <w:autoSpaceDN w:val="0"/>
        <w:spacing w:before="93"/>
      </w:pPr>
      <w:r>
        <w:lastRenderedPageBreak/>
        <w:t xml:space="preserve">For option 3, </w:t>
      </w:r>
      <w:r w:rsidR="0070574A">
        <w:t>it</w:t>
      </w:r>
      <w:r>
        <w:t xml:space="preserve"> will not cause PDCCH performance loss, but may not work well when interleaved CCE-to-REG mapping is enabled for the CORESET, as </w:t>
      </w:r>
      <w:r w:rsidR="00E11428">
        <w:t>there</w:t>
      </w:r>
      <w:r>
        <w:t xml:space="preserve"> may </w:t>
      </w:r>
      <w:r w:rsidR="00E11428">
        <w:t xml:space="preserve">be </w:t>
      </w:r>
      <w:r>
        <w:t>very few usable PDCCH candidates and may lead to resource waste</w:t>
      </w:r>
      <w:r>
        <w:rPr>
          <w:rFonts w:hint="eastAsia"/>
        </w:rPr>
        <w:t>.</w:t>
      </w:r>
    </w:p>
    <w:p w14:paraId="63FE676D" w14:textId="49DB6DDD" w:rsidR="0012635B" w:rsidRDefault="0012635B" w:rsidP="00195777">
      <w:pPr>
        <w:widowControl/>
        <w:autoSpaceDE w:val="0"/>
        <w:autoSpaceDN w:val="0"/>
        <w:spacing w:before="93"/>
      </w:pPr>
      <w:r>
        <w:t xml:space="preserve">For option 4, </w:t>
      </w:r>
      <w:r w:rsidR="003F31C8">
        <w:t xml:space="preserve">it </w:t>
      </w:r>
      <w:r w:rsidR="00196109">
        <w:t xml:space="preserve">will not cause PDCCH performance loss and </w:t>
      </w:r>
      <w:r w:rsidR="003F31C8">
        <w:t xml:space="preserve">is simpler for </w:t>
      </w:r>
      <w:r w:rsidR="00E11428">
        <w:t>gNB</w:t>
      </w:r>
      <w:r w:rsidR="003F31C8">
        <w:t xml:space="preserve"> and UE implementation. However, for SBFD</w:t>
      </w:r>
      <w:r w:rsidR="00E11428">
        <w:t>-aware</w:t>
      </w:r>
      <w:r w:rsidR="003F31C8">
        <w:t xml:space="preserve"> UEs, it will reduce the available PDCCH monitoring occasions</w:t>
      </w:r>
      <w:r w:rsidR="00196109">
        <w:t xml:space="preserve">, thus increase the scheduling delay. In addition, it will cause </w:t>
      </w:r>
      <w:r w:rsidR="00A71965">
        <w:t xml:space="preserve">resource waste. Compared with </w:t>
      </w:r>
      <w:r w:rsidR="00E11428">
        <w:t>other</w:t>
      </w:r>
      <w:r w:rsidR="00A71965">
        <w:t xml:space="preserve"> options, this option should be considered with lower priority.</w:t>
      </w:r>
    </w:p>
    <w:p w14:paraId="1F8C92BE" w14:textId="778466C0" w:rsidR="007D421A" w:rsidRDefault="00A71965" w:rsidP="00513FF4">
      <w:pPr>
        <w:widowControl/>
        <w:autoSpaceDE w:val="0"/>
        <w:autoSpaceDN w:val="0"/>
        <w:spacing w:before="93"/>
      </w:pPr>
      <w:r>
        <w:t>For option 5,</w:t>
      </w:r>
      <w:r w:rsidR="00244478">
        <w:t xml:space="preserve"> </w:t>
      </w:r>
      <w:r w:rsidR="009D35D6">
        <w:t>we thinks this can already be supported in current specification. It is not clear how it can resolve PDCCH issue and what specification impact is. Thus, further clarification for this option is needed.</w:t>
      </w:r>
    </w:p>
    <w:p w14:paraId="18806501" w14:textId="73636325" w:rsidR="0050004D" w:rsidRPr="0068321A" w:rsidRDefault="00615E40" w:rsidP="00513FF4">
      <w:pPr>
        <w:widowControl/>
        <w:autoSpaceDE w:val="0"/>
        <w:autoSpaceDN w:val="0"/>
        <w:spacing w:before="93"/>
      </w:pPr>
      <w:r>
        <w:t>As discussed above,</w:t>
      </w:r>
      <w:r w:rsidR="00B41E0E">
        <w:t xml:space="preserve"> in our view, option 1 </w:t>
      </w:r>
      <w:r w:rsidR="00137459">
        <w:t>or</w:t>
      </w:r>
      <w:r w:rsidR="00B41E0E">
        <w:t xml:space="preserve"> option 2 are preferable and can be considered with higher priorities. S</w:t>
      </w:r>
      <w:r w:rsidR="006834FA">
        <w:t xml:space="preserve">o we have the following </w:t>
      </w:r>
      <w:r w:rsidR="00C62779">
        <w:t>proposal.</w:t>
      </w:r>
    </w:p>
    <w:p w14:paraId="0D893436" w14:textId="555262A7" w:rsidR="00C62779" w:rsidRDefault="00C62779" w:rsidP="00513FF4">
      <w:pPr>
        <w:widowControl/>
        <w:autoSpaceDE w:val="0"/>
        <w:autoSpaceDN w:val="0"/>
        <w:spacing w:before="93"/>
        <w:rPr>
          <w:i/>
        </w:rPr>
      </w:pPr>
      <w:r w:rsidRPr="00F11B52">
        <w:rPr>
          <w:b/>
          <w:i/>
        </w:rPr>
        <w:t xml:space="preserve">Proposal </w:t>
      </w:r>
      <w:r>
        <w:rPr>
          <w:b/>
          <w:i/>
        </w:rPr>
        <w:t>2</w:t>
      </w:r>
      <w:r w:rsidR="00B83EA5">
        <w:rPr>
          <w:b/>
          <w:i/>
        </w:rPr>
        <w:t>4</w:t>
      </w:r>
      <w:r w:rsidRPr="00F11B52">
        <w:rPr>
          <w:b/>
          <w:i/>
        </w:rPr>
        <w:t>:</w:t>
      </w:r>
      <w:r w:rsidR="00B41E0E">
        <w:rPr>
          <w:b/>
          <w:i/>
        </w:rPr>
        <w:t xml:space="preserve"> </w:t>
      </w:r>
      <w:r w:rsidR="00B41E0E" w:rsidRPr="00195777">
        <w:rPr>
          <w:i/>
        </w:rPr>
        <w:t xml:space="preserve">For PDCCH, compared with option 3/4/5, option 1 </w:t>
      </w:r>
      <w:r w:rsidR="00137459" w:rsidRPr="00195777">
        <w:rPr>
          <w:i/>
        </w:rPr>
        <w:t>or</w:t>
      </w:r>
      <w:r w:rsidR="00B41E0E" w:rsidRPr="00195777">
        <w:rPr>
          <w:i/>
        </w:rPr>
        <w:t xml:space="preserve"> option 2 are </w:t>
      </w:r>
      <w:r w:rsidR="00DF6F5F">
        <w:rPr>
          <w:i/>
        </w:rPr>
        <w:t>preferred</w:t>
      </w:r>
      <w:r w:rsidR="00B41E0E" w:rsidRPr="00195777">
        <w:rPr>
          <w:i/>
        </w:rPr>
        <w:t>.</w:t>
      </w:r>
    </w:p>
    <w:p w14:paraId="10AF84B3" w14:textId="77777777" w:rsidR="0050004D" w:rsidRPr="00864F9C" w:rsidRDefault="0050004D" w:rsidP="00D141AF">
      <w:pPr>
        <w:widowControl/>
        <w:autoSpaceDE w:val="0"/>
        <w:autoSpaceDN w:val="0"/>
        <w:spacing w:before="93" w:after="93" w:line="240" w:lineRule="auto"/>
      </w:pPr>
    </w:p>
    <w:p w14:paraId="1572B527" w14:textId="32CB07A4" w:rsidR="001F5753" w:rsidRDefault="001F5753" w:rsidP="001F5753">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CSI-RS measurement </w:t>
      </w:r>
      <w:r w:rsidR="002F43FA">
        <w:rPr>
          <w:rFonts w:eastAsia="宋体" w:cs="Times New Roman"/>
          <w:b/>
          <w:bCs/>
          <w:kern w:val="0"/>
          <w:sz w:val="28"/>
          <w:szCs w:val="28"/>
        </w:rPr>
        <w:t>enhancement</w:t>
      </w:r>
    </w:p>
    <w:p w14:paraId="5CF5E584" w14:textId="4BB4491E" w:rsidR="00E30069" w:rsidRDefault="0098062B" w:rsidP="00E95595">
      <w:pPr>
        <w:widowControl/>
        <w:autoSpaceDE w:val="0"/>
        <w:autoSpaceDN w:val="0"/>
        <w:spacing w:before="93" w:after="93" w:line="240" w:lineRule="auto"/>
      </w:pPr>
      <w:r>
        <w:rPr>
          <w:rFonts w:hint="eastAsia"/>
        </w:rPr>
        <w:t>I</w:t>
      </w:r>
      <w:r>
        <w:t xml:space="preserve">n current spec, one CSI-RS resource can only allocate a </w:t>
      </w:r>
      <w:r w:rsidR="008B4BEF">
        <w:t xml:space="preserve">set of </w:t>
      </w:r>
      <w:r>
        <w:t>consecutive RBs</w:t>
      </w:r>
      <w:r w:rsidR="00E30069">
        <w:t xml:space="preserve"> for CSI-RS transmission. Similar as the RA type 1 for PDSCH, it cannot be transmitted across two DL subbands in the case of subband pattern {DUD}</w:t>
      </w:r>
      <w:r w:rsidR="007C68F0">
        <w:t>.</w:t>
      </w:r>
      <w:r w:rsidR="00E30069">
        <w:t xml:space="preserve"> In addition,</w:t>
      </w:r>
      <w:r w:rsidR="007C68F0">
        <w:t xml:space="preserve"> RBG based </w:t>
      </w:r>
      <w:r w:rsidR="00E30069">
        <w:t xml:space="preserve">CSI-RS </w:t>
      </w:r>
      <w:r w:rsidR="007C68F0">
        <w:t xml:space="preserve">measurement and report can be used to </w:t>
      </w:r>
      <w:r w:rsidR="007C68F0">
        <w:rPr>
          <w:rFonts w:hint="eastAsia"/>
        </w:rPr>
        <w:t xml:space="preserve">obtain the </w:t>
      </w:r>
      <w:r w:rsidR="00AF19BE">
        <w:rPr>
          <w:rFonts w:hint="eastAsia"/>
        </w:rPr>
        <w:t xml:space="preserve">wideband and subband </w:t>
      </w:r>
      <w:r w:rsidR="007C68F0">
        <w:t>CSI.</w:t>
      </w:r>
      <w:r w:rsidR="00DB39C3">
        <w:t xml:space="preserve"> However, </w:t>
      </w:r>
      <w:r w:rsidR="00DB39C3">
        <w:rPr>
          <w:rFonts w:hint="eastAsia"/>
        </w:rPr>
        <w:t>some</w:t>
      </w:r>
      <w:r w:rsidR="00DB39C3">
        <w:t xml:space="preserve"> RBGs would </w:t>
      </w:r>
      <w:r w:rsidR="00DB39C3">
        <w:rPr>
          <w:rFonts w:hint="eastAsia"/>
        </w:rPr>
        <w:t>contain</w:t>
      </w:r>
      <w:r w:rsidR="00DB39C3">
        <w:t xml:space="preserve"> both RBs in DL subband and UL subband.</w:t>
      </w:r>
      <w:r w:rsidR="00A839A7">
        <w:t xml:space="preserve"> As a result, the CSI measurement</w:t>
      </w:r>
      <w:r w:rsidR="00D81004">
        <w:t>s</w:t>
      </w:r>
      <w:r w:rsidR="00A839A7">
        <w:t xml:space="preserve"> on the R</w:t>
      </w:r>
      <w:r w:rsidR="00D81004">
        <w:t>BGs are i</w:t>
      </w:r>
      <w:r w:rsidR="00D81004" w:rsidRPr="00D81004">
        <w:t>naccurate</w:t>
      </w:r>
      <w:r w:rsidR="00D81004">
        <w:t>.</w:t>
      </w:r>
    </w:p>
    <w:p w14:paraId="0878D0DC" w14:textId="77777777" w:rsidR="002F2C58" w:rsidRDefault="002F2C58" w:rsidP="00195777">
      <w:pPr>
        <w:widowControl/>
        <w:autoSpaceDE w:val="0"/>
        <w:autoSpaceDN w:val="0"/>
        <w:spacing w:before="93" w:after="93" w:line="240" w:lineRule="auto"/>
        <w:jc w:val="center"/>
      </w:pPr>
    </w:p>
    <w:p w14:paraId="38E07B1D" w14:textId="1CF2DE5F" w:rsidR="00B443F5" w:rsidRDefault="00B443F5" w:rsidP="00B443F5">
      <w:pPr>
        <w:widowControl/>
        <w:autoSpaceDE w:val="0"/>
        <w:autoSpaceDN w:val="0"/>
        <w:spacing w:before="93" w:line="240" w:lineRule="auto"/>
        <w:jc w:val="center"/>
      </w:pPr>
      <w:r>
        <w:rPr>
          <w:noProof/>
        </w:rPr>
        <w:drawing>
          <wp:inline distT="0" distB="0" distL="0" distR="0" wp14:anchorId="21E7DED0" wp14:editId="767DC186">
            <wp:extent cx="2606400" cy="13428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06400" cy="1342800"/>
                    </a:xfrm>
                    <a:prstGeom prst="rect">
                      <a:avLst/>
                    </a:prstGeom>
                  </pic:spPr>
                </pic:pic>
              </a:graphicData>
            </a:graphic>
          </wp:inline>
        </w:drawing>
      </w:r>
    </w:p>
    <w:p w14:paraId="16DFC727" w14:textId="7646115E" w:rsidR="00B443F5" w:rsidRDefault="00B21A16" w:rsidP="00BC51D9">
      <w:pPr>
        <w:pStyle w:val="a8"/>
        <w:widowControl/>
        <w:numPr>
          <w:ilvl w:val="0"/>
          <w:numId w:val="32"/>
        </w:numPr>
        <w:autoSpaceDE w:val="0"/>
        <w:autoSpaceDN w:val="0"/>
        <w:spacing w:before="93" w:line="240" w:lineRule="auto"/>
        <w:ind w:firstLineChars="0"/>
        <w:jc w:val="center"/>
      </w:pPr>
      <w:r>
        <w:t>Option 1</w:t>
      </w:r>
    </w:p>
    <w:p w14:paraId="5C2E95D8" w14:textId="77777777" w:rsidR="005B1B5A" w:rsidRDefault="005B1B5A" w:rsidP="00A1772C">
      <w:pPr>
        <w:widowControl/>
        <w:autoSpaceDE w:val="0"/>
        <w:autoSpaceDN w:val="0"/>
        <w:spacing w:before="93" w:line="240" w:lineRule="auto"/>
        <w:jc w:val="center"/>
      </w:pPr>
    </w:p>
    <w:p w14:paraId="1238CF24" w14:textId="4A9FF3BE" w:rsidR="00B21A16" w:rsidRDefault="00B21A16" w:rsidP="00B443F5">
      <w:pPr>
        <w:widowControl/>
        <w:autoSpaceDE w:val="0"/>
        <w:autoSpaceDN w:val="0"/>
        <w:spacing w:before="93" w:line="240" w:lineRule="auto"/>
        <w:jc w:val="center"/>
      </w:pPr>
      <w:r>
        <w:rPr>
          <w:noProof/>
        </w:rPr>
        <w:drawing>
          <wp:inline distT="0" distB="0" distL="0" distR="0" wp14:anchorId="4277A302" wp14:editId="51763BA0">
            <wp:extent cx="2606400" cy="134280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06400" cy="1342800"/>
                    </a:xfrm>
                    <a:prstGeom prst="rect">
                      <a:avLst/>
                    </a:prstGeom>
                  </pic:spPr>
                </pic:pic>
              </a:graphicData>
            </a:graphic>
          </wp:inline>
        </w:drawing>
      </w:r>
      <w:r>
        <w:rPr>
          <w:rFonts w:hint="eastAsia"/>
        </w:rPr>
        <w:t xml:space="preserve"> </w:t>
      </w:r>
      <w:r w:rsidR="006033A1">
        <w:t xml:space="preserve"> </w:t>
      </w:r>
      <w:r>
        <w:rPr>
          <w:noProof/>
        </w:rPr>
        <w:drawing>
          <wp:inline distT="0" distB="0" distL="0" distR="0" wp14:anchorId="52BAA0D9" wp14:editId="3FDA3793">
            <wp:extent cx="2606400" cy="1342800"/>
            <wp:effectExtent l="0" t="0" r="381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06400" cy="1342800"/>
                    </a:xfrm>
                    <a:prstGeom prst="rect">
                      <a:avLst/>
                    </a:prstGeom>
                  </pic:spPr>
                </pic:pic>
              </a:graphicData>
            </a:graphic>
          </wp:inline>
        </w:drawing>
      </w:r>
    </w:p>
    <w:p w14:paraId="7DD698BF" w14:textId="4C4E4D97" w:rsidR="00B21A16" w:rsidRDefault="00B21A16" w:rsidP="00B443F5">
      <w:pPr>
        <w:widowControl/>
        <w:autoSpaceDE w:val="0"/>
        <w:autoSpaceDN w:val="0"/>
        <w:spacing w:before="93" w:line="240" w:lineRule="auto"/>
        <w:jc w:val="center"/>
      </w:pPr>
      <w:r>
        <w:t>(b) Option 2-1                              (c) Option 2-2</w:t>
      </w:r>
    </w:p>
    <w:p w14:paraId="48EFDDE5" w14:textId="61089ACC" w:rsidR="0073594C" w:rsidRDefault="0073594C" w:rsidP="0073594C">
      <w:pPr>
        <w:widowControl/>
        <w:autoSpaceDE w:val="0"/>
        <w:autoSpaceDN w:val="0"/>
        <w:spacing w:before="93" w:line="240" w:lineRule="auto"/>
        <w:jc w:val="center"/>
      </w:pPr>
      <w:r>
        <w:rPr>
          <w:rFonts w:hint="eastAsia"/>
        </w:rPr>
        <w:t>F</w:t>
      </w:r>
      <w:r>
        <w:t xml:space="preserve">ig. </w:t>
      </w:r>
      <w:r w:rsidR="00AB6F4C">
        <w:t>6</w:t>
      </w:r>
      <w:r>
        <w:t xml:space="preserve"> CSI-RS resources </w:t>
      </w:r>
      <w:r w:rsidR="005D31D6">
        <w:t>enhancement</w:t>
      </w:r>
      <w:r>
        <w:t>.</w:t>
      </w:r>
    </w:p>
    <w:p w14:paraId="511E2D9E" w14:textId="77777777" w:rsidR="002A0507" w:rsidRDefault="002A0507" w:rsidP="0073594C">
      <w:pPr>
        <w:widowControl/>
        <w:autoSpaceDE w:val="0"/>
        <w:autoSpaceDN w:val="0"/>
        <w:spacing w:before="93" w:line="240" w:lineRule="auto"/>
        <w:jc w:val="center"/>
      </w:pPr>
    </w:p>
    <w:p w14:paraId="71E183B5" w14:textId="77777777" w:rsidR="002A0507" w:rsidRDefault="002A0507" w:rsidP="002A0507">
      <w:pPr>
        <w:widowControl/>
        <w:autoSpaceDE w:val="0"/>
        <w:autoSpaceDN w:val="0"/>
        <w:spacing w:before="93" w:after="93" w:line="240" w:lineRule="auto"/>
      </w:pPr>
      <w:r>
        <w:t xml:space="preserve">To solve above issues, Option 1 is to configure two CSI-RS resources, where each one configures a set of consecutive RBs for CSI-RS transmission per DL subband, as shown in Fig. 6(a). However, this option limits the flexibility of CSI-RS configuration because the total number of CSI-RS resources are limited. To solve this issue, Option 2-1 is to design non-consecutive CSI-RS frequency-domain resources allocation across two DL subbands by one CSI-RS resource, as shown in Fig. 6(b), and Option 2-2 is to reuse one consecutive CSI-RS frequency-domain resource allocation across two DL subbands by one CSI-RS resource but non-consecutive CSI-RS frequency-domain resource allocation are derived by excluding </w:t>
      </w:r>
      <w:r>
        <w:lastRenderedPageBreak/>
        <w:t>frequency-domain resource outside DL subbands, as shown in Fig. 6(c). Comparing Option 2-1 and Option 2-2, Option 2-1 provides more flexibility such as the CSI-RS frequency-domain resources can be allocated in any positions within DL subbands but for option 2-2 the CSI-RS frequency-domain resources can only be allocated in the sides of DL subbands. In addition, Option 2-1 can better support flexible subband. So we prefer Option 2-1.</w:t>
      </w:r>
    </w:p>
    <w:p w14:paraId="7386A74B" w14:textId="222775ED" w:rsidR="002A0507" w:rsidRPr="00F11B52" w:rsidRDefault="002A0507" w:rsidP="002A0507">
      <w:pPr>
        <w:widowControl/>
        <w:autoSpaceDE w:val="0"/>
        <w:autoSpaceDN w:val="0"/>
        <w:spacing w:before="93" w:after="93" w:line="240" w:lineRule="auto"/>
        <w:rPr>
          <w:i/>
        </w:rPr>
      </w:pPr>
      <w:r w:rsidRPr="00F11B52">
        <w:rPr>
          <w:b/>
          <w:i/>
        </w:rPr>
        <w:t xml:space="preserve">Proposal </w:t>
      </w:r>
      <w:r>
        <w:rPr>
          <w:b/>
          <w:i/>
        </w:rPr>
        <w:t>25</w:t>
      </w:r>
      <w:r w:rsidRPr="00F11B52">
        <w:rPr>
          <w:b/>
          <w:i/>
        </w:rPr>
        <w:t>:</w:t>
      </w:r>
      <w:r w:rsidRPr="00F11B52">
        <w:rPr>
          <w:i/>
        </w:rPr>
        <w:t xml:space="preserve"> S</w:t>
      </w:r>
      <w:r>
        <w:rPr>
          <w:i/>
        </w:rPr>
        <w:t>upport Option 2-1 for CSI-RS resource enhancement for SBFD operation.</w:t>
      </w:r>
    </w:p>
    <w:p w14:paraId="0FCCE1DC" w14:textId="77777777" w:rsidR="002A0507" w:rsidRPr="00F3646F" w:rsidRDefault="002A0507" w:rsidP="002A0507">
      <w:pPr>
        <w:pStyle w:val="a8"/>
        <w:widowControl/>
        <w:numPr>
          <w:ilvl w:val="0"/>
          <w:numId w:val="19"/>
        </w:numPr>
        <w:autoSpaceDE w:val="0"/>
        <w:autoSpaceDN w:val="0"/>
        <w:spacing w:before="93" w:after="93" w:line="240" w:lineRule="auto"/>
        <w:ind w:firstLineChars="0"/>
        <w:rPr>
          <w:i/>
        </w:rPr>
      </w:pPr>
      <w:r w:rsidRPr="00F3646F">
        <w:rPr>
          <w:i/>
        </w:rPr>
        <w:t>Option 2-1</w:t>
      </w:r>
      <w:r>
        <w:rPr>
          <w:i/>
        </w:rPr>
        <w:t>:</w:t>
      </w:r>
      <w:r w:rsidRPr="00F3646F">
        <w:rPr>
          <w:i/>
        </w:rPr>
        <w:t xml:space="preserve"> non-consecutive CSI-RS frequency-domain resources allocation across two DL subbands by one CSI-RS resource</w:t>
      </w:r>
      <w:r>
        <w:rPr>
          <w:i/>
        </w:rPr>
        <w:t>.</w:t>
      </w:r>
    </w:p>
    <w:p w14:paraId="0DC8F812" w14:textId="77777777" w:rsidR="002A0507" w:rsidRPr="002A0507" w:rsidRDefault="002A0507" w:rsidP="00195777">
      <w:pPr>
        <w:widowControl/>
        <w:autoSpaceDE w:val="0"/>
        <w:autoSpaceDN w:val="0"/>
        <w:spacing w:before="93" w:line="240" w:lineRule="auto"/>
      </w:pPr>
    </w:p>
    <w:p w14:paraId="65A5B073" w14:textId="5EE3DB90" w:rsidR="00B35503" w:rsidRDefault="00B35503" w:rsidP="00004CE5">
      <w:pPr>
        <w:widowControl/>
        <w:autoSpaceDE w:val="0"/>
        <w:autoSpaceDN w:val="0"/>
        <w:spacing w:before="93" w:after="93" w:line="240" w:lineRule="auto"/>
      </w:pPr>
      <w:r>
        <w:rPr>
          <w:rFonts w:hint="eastAsia"/>
        </w:rPr>
        <w:t>I</w:t>
      </w:r>
      <w:r>
        <w:t xml:space="preserve">n addition, considering that CSI-RS resources may be different in SBFD slots and non-SBFD slots, the periodic/semi-persistent CSI-RS should not </w:t>
      </w:r>
      <w:r w:rsidR="00921BEB">
        <w:t xml:space="preserve">be </w:t>
      </w:r>
      <w:r>
        <w:t xml:space="preserve">allocated across SBFD symbols and </w:t>
      </w:r>
      <w:r w:rsidR="00F463A1">
        <w:t>non-SBFD symbols. It can be done by</w:t>
      </w:r>
      <w:r w:rsidR="00D16EC2">
        <w:t xml:space="preserve"> configuration</w:t>
      </w:r>
      <w:r w:rsidR="00F463A1">
        <w:t>.</w:t>
      </w:r>
    </w:p>
    <w:p w14:paraId="128AB035" w14:textId="666B14AD" w:rsidR="00F463A1" w:rsidRDefault="00F463A1" w:rsidP="00F463A1">
      <w:pPr>
        <w:spacing w:before="93"/>
        <w:rPr>
          <w:i/>
        </w:rPr>
      </w:pPr>
      <w:r w:rsidRPr="00971B58">
        <w:rPr>
          <w:rFonts w:hint="eastAsia"/>
          <w:b/>
          <w:i/>
        </w:rPr>
        <w:t>P</w:t>
      </w:r>
      <w:r w:rsidRPr="00971B58">
        <w:rPr>
          <w:b/>
          <w:i/>
        </w:rPr>
        <w:t xml:space="preserve">roposal </w:t>
      </w:r>
      <w:r w:rsidR="005D01EF">
        <w:rPr>
          <w:b/>
          <w:i/>
        </w:rPr>
        <w:t>2</w:t>
      </w:r>
      <w:r w:rsidR="00B83EA5">
        <w:rPr>
          <w:b/>
          <w:i/>
        </w:rPr>
        <w:t>6</w:t>
      </w:r>
      <w:r w:rsidRPr="00971B58">
        <w:rPr>
          <w:i/>
        </w:rPr>
        <w:t>:</w:t>
      </w:r>
      <w:r>
        <w:rPr>
          <w:i/>
        </w:rPr>
        <w:t xml:space="preserve"> Periodic/semi-persistent CSI-RS should not allocated across SBFD symbols and non-SBFD symbols.</w:t>
      </w:r>
    </w:p>
    <w:p w14:paraId="206F2071" w14:textId="77777777" w:rsidR="00B35503" w:rsidRDefault="00B35503" w:rsidP="00004CE5">
      <w:pPr>
        <w:widowControl/>
        <w:autoSpaceDE w:val="0"/>
        <w:autoSpaceDN w:val="0"/>
        <w:spacing w:before="93" w:after="93" w:line="240" w:lineRule="auto"/>
      </w:pPr>
    </w:p>
    <w:p w14:paraId="7F0308E6" w14:textId="6689C374" w:rsidR="002F43FA" w:rsidRDefault="002F43FA" w:rsidP="002F43FA">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CSI report enhancement</w:t>
      </w:r>
    </w:p>
    <w:p w14:paraId="13959CC0" w14:textId="3DBA0EAC" w:rsidR="00573E49" w:rsidRDefault="007F012B" w:rsidP="00004CE5">
      <w:pPr>
        <w:widowControl/>
        <w:autoSpaceDE w:val="0"/>
        <w:autoSpaceDN w:val="0"/>
        <w:spacing w:before="93" w:after="93" w:line="240" w:lineRule="auto"/>
      </w:pPr>
      <w:r>
        <w:rPr>
          <w:rFonts w:hint="eastAsia"/>
        </w:rPr>
        <w:t>S</w:t>
      </w:r>
      <w:r w:rsidR="00BA2570">
        <w:t xml:space="preserve">imilar to RBG and PRG division, </w:t>
      </w:r>
      <w:r w:rsidR="00573E49">
        <w:t xml:space="preserve">the CSI report subbands across DL subbands should also be enhanced. Update the subband division mechanism to ensure that each subband only contains DL RBs in the DL subband, as shown in Fig. </w:t>
      </w:r>
      <w:r w:rsidR="00AB6F4C">
        <w:t>7</w:t>
      </w:r>
      <w:r w:rsidR="00573E49">
        <w:t>.</w:t>
      </w:r>
    </w:p>
    <w:p w14:paraId="19FDD92C" w14:textId="25D1BD5E" w:rsidR="00BA2570" w:rsidRDefault="00004CE5" w:rsidP="00004CE5">
      <w:pPr>
        <w:spacing w:before="93"/>
        <w:rPr>
          <w:i/>
        </w:rPr>
      </w:pPr>
      <w:r w:rsidRPr="00971B58">
        <w:rPr>
          <w:rFonts w:hint="eastAsia"/>
          <w:b/>
          <w:i/>
        </w:rPr>
        <w:t>P</w:t>
      </w:r>
      <w:r w:rsidRPr="00971B58">
        <w:rPr>
          <w:b/>
          <w:i/>
        </w:rPr>
        <w:t xml:space="preserve">roposal </w:t>
      </w:r>
      <w:r w:rsidR="005D01EF">
        <w:rPr>
          <w:b/>
          <w:i/>
        </w:rPr>
        <w:t>2</w:t>
      </w:r>
      <w:r w:rsidR="00B83EA5">
        <w:rPr>
          <w:b/>
          <w:i/>
        </w:rPr>
        <w:t>7</w:t>
      </w:r>
      <w:r w:rsidRPr="00971B58">
        <w:rPr>
          <w:i/>
        </w:rPr>
        <w:t>:</w:t>
      </w:r>
      <w:r>
        <w:rPr>
          <w:i/>
        </w:rPr>
        <w:t xml:space="preserve"> </w:t>
      </w:r>
      <w:r w:rsidR="00BA2570">
        <w:rPr>
          <w:i/>
        </w:rPr>
        <w:t>Study CSI report enhancement as follows:</w:t>
      </w:r>
    </w:p>
    <w:p w14:paraId="1DBB9196" w14:textId="13E78B6F" w:rsidR="00BA2570" w:rsidRDefault="00BA2570" w:rsidP="00BC51D9">
      <w:pPr>
        <w:pStyle w:val="a8"/>
        <w:numPr>
          <w:ilvl w:val="0"/>
          <w:numId w:val="19"/>
        </w:numPr>
        <w:spacing w:before="93"/>
        <w:ind w:firstLineChars="0"/>
        <w:rPr>
          <w:i/>
        </w:rPr>
      </w:pPr>
      <w:r>
        <w:rPr>
          <w:rFonts w:hint="eastAsia"/>
          <w:i/>
        </w:rPr>
        <w:t>S</w:t>
      </w:r>
      <w:r>
        <w:rPr>
          <w:i/>
        </w:rPr>
        <w:t>tudy separate CSI reporting for SBFD symbols and non-SBFD symbols.</w:t>
      </w:r>
    </w:p>
    <w:p w14:paraId="065F5FB6" w14:textId="1C3A6A97" w:rsidR="00BA2570" w:rsidRPr="00BA2570" w:rsidRDefault="00BA2570" w:rsidP="00BC51D9">
      <w:pPr>
        <w:pStyle w:val="a8"/>
        <w:numPr>
          <w:ilvl w:val="0"/>
          <w:numId w:val="19"/>
        </w:numPr>
        <w:spacing w:before="93"/>
        <w:ind w:firstLineChars="0"/>
        <w:rPr>
          <w:i/>
        </w:rPr>
      </w:pPr>
      <w:r>
        <w:rPr>
          <w:rFonts w:hint="eastAsia"/>
          <w:i/>
        </w:rPr>
        <w:t>S</w:t>
      </w:r>
      <w:r>
        <w:rPr>
          <w:i/>
        </w:rPr>
        <w:t>tudy CSI report subbands division mechanism to ensure that each subband only contains DL RBs in the DL subband.</w:t>
      </w:r>
    </w:p>
    <w:p w14:paraId="47293BDD" w14:textId="77777777" w:rsidR="00DD100F" w:rsidRDefault="00DD100F" w:rsidP="00D1095F">
      <w:pPr>
        <w:widowControl/>
        <w:autoSpaceDE w:val="0"/>
        <w:autoSpaceDN w:val="0"/>
        <w:spacing w:before="93" w:line="240" w:lineRule="auto"/>
        <w:jc w:val="center"/>
      </w:pPr>
    </w:p>
    <w:p w14:paraId="29E85122" w14:textId="341BD367" w:rsidR="008775C4" w:rsidRDefault="00314420" w:rsidP="00D1095F">
      <w:pPr>
        <w:widowControl/>
        <w:autoSpaceDE w:val="0"/>
        <w:autoSpaceDN w:val="0"/>
        <w:spacing w:before="93" w:line="240" w:lineRule="auto"/>
        <w:jc w:val="center"/>
      </w:pPr>
      <w:r>
        <w:rPr>
          <w:noProof/>
        </w:rPr>
        <w:drawing>
          <wp:inline distT="0" distB="0" distL="0" distR="0" wp14:anchorId="2A89E924" wp14:editId="3192E310">
            <wp:extent cx="3783600" cy="134280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83600" cy="1342800"/>
                    </a:xfrm>
                    <a:prstGeom prst="rect">
                      <a:avLst/>
                    </a:prstGeom>
                  </pic:spPr>
                </pic:pic>
              </a:graphicData>
            </a:graphic>
          </wp:inline>
        </w:drawing>
      </w:r>
    </w:p>
    <w:p w14:paraId="6F5BF807" w14:textId="7A5A93AA" w:rsidR="00875FDA" w:rsidRDefault="00875FDA" w:rsidP="00D1095F">
      <w:pPr>
        <w:widowControl/>
        <w:autoSpaceDE w:val="0"/>
        <w:autoSpaceDN w:val="0"/>
        <w:spacing w:before="93" w:line="240" w:lineRule="auto"/>
        <w:jc w:val="center"/>
      </w:pPr>
      <w:r>
        <w:rPr>
          <w:rFonts w:hint="eastAsia"/>
        </w:rPr>
        <w:t>F</w:t>
      </w:r>
      <w:r>
        <w:t xml:space="preserve">ig. </w:t>
      </w:r>
      <w:r w:rsidR="00AB6F4C">
        <w:t>7</w:t>
      </w:r>
      <w:r>
        <w:t xml:space="preserve"> CSI-RS </w:t>
      </w:r>
      <w:r w:rsidR="0073594C">
        <w:t>report</w:t>
      </w:r>
      <w:r w:rsidR="004B7B52">
        <w:t xml:space="preserve"> </w:t>
      </w:r>
      <w:r w:rsidR="0073594C">
        <w:t>enhancement.</w:t>
      </w:r>
    </w:p>
    <w:p w14:paraId="156480B9" w14:textId="77777777" w:rsidR="007F012B" w:rsidRPr="00ED52C8" w:rsidRDefault="007F012B" w:rsidP="00195777">
      <w:pPr>
        <w:widowControl/>
        <w:autoSpaceDE w:val="0"/>
        <w:autoSpaceDN w:val="0"/>
        <w:spacing w:before="93" w:line="240" w:lineRule="auto"/>
        <w:jc w:val="center"/>
      </w:pPr>
    </w:p>
    <w:p w14:paraId="34D75B7A" w14:textId="6085AEFF" w:rsidR="00D63529" w:rsidRDefault="00F9735E">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SRS enha</w:t>
      </w:r>
      <w:r w:rsidR="0081177A">
        <w:rPr>
          <w:rFonts w:eastAsia="宋体" w:cs="Times New Roman"/>
          <w:b/>
          <w:bCs/>
          <w:kern w:val="0"/>
          <w:sz w:val="28"/>
          <w:szCs w:val="28"/>
        </w:rPr>
        <w:t>n</w:t>
      </w:r>
      <w:r>
        <w:rPr>
          <w:rFonts w:eastAsia="宋体" w:cs="Times New Roman"/>
          <w:b/>
          <w:bCs/>
          <w:kern w:val="0"/>
          <w:sz w:val="28"/>
          <w:szCs w:val="28"/>
        </w:rPr>
        <w:t>cement</w:t>
      </w:r>
    </w:p>
    <w:p w14:paraId="57698AD4" w14:textId="2ACDF569" w:rsidR="00D63529" w:rsidRDefault="00B40B1D" w:rsidP="00513FF4">
      <w:pPr>
        <w:widowControl/>
        <w:autoSpaceDE w:val="0"/>
        <w:autoSpaceDN w:val="0"/>
        <w:spacing w:before="93" w:after="93" w:line="240" w:lineRule="auto"/>
      </w:pPr>
      <w:r>
        <w:rPr>
          <w:rFonts w:hint="eastAsia"/>
        </w:rPr>
        <w:t>S</w:t>
      </w:r>
      <w:r>
        <w:t xml:space="preserve">imilar </w:t>
      </w:r>
      <w:r w:rsidR="00D54232">
        <w:t>to</w:t>
      </w:r>
      <w:r w:rsidR="008504B0">
        <w:t xml:space="preserve"> </w:t>
      </w:r>
      <w:r>
        <w:t>CG PUSCH, SPS PDSCH and periodic/semi-static PUCCH</w:t>
      </w:r>
      <w:r w:rsidR="008504B0">
        <w:t xml:space="preserve"> </w:t>
      </w:r>
      <w:r w:rsidR="00D54232">
        <w:t xml:space="preserve">as </w:t>
      </w:r>
      <w:r w:rsidR="008504B0">
        <w:t>discussed above</w:t>
      </w:r>
      <w:r>
        <w:t xml:space="preserve">, </w:t>
      </w:r>
      <w:r w:rsidR="00D54232">
        <w:t xml:space="preserve">it is difficult to configure </w:t>
      </w:r>
      <w:r>
        <w:t xml:space="preserve">SRS in SBFD slots and non-SBFD slots using a same resource. So </w:t>
      </w:r>
      <w:r w:rsidR="00D54232">
        <w:t xml:space="preserve">it is </w:t>
      </w:r>
      <w:r>
        <w:t>better to study separate resources associated with SBFD slots and non-SBFD slots, respectively, to enable two SRS transmi</w:t>
      </w:r>
      <w:r w:rsidR="00D54232">
        <w:rPr>
          <w:rFonts w:hint="eastAsia"/>
        </w:rPr>
        <w:t>ssion</w:t>
      </w:r>
      <w:r>
        <w:t xml:space="preserve"> on UL subband on SBFD slots only and UL BWP</w:t>
      </w:r>
      <w:r>
        <w:rPr>
          <w:rFonts w:hint="eastAsia"/>
        </w:rPr>
        <w:t>/</w:t>
      </w:r>
      <w:r>
        <w:t>carrier on non-SBFD slots only, respectively.</w:t>
      </w:r>
    </w:p>
    <w:p w14:paraId="7EDAA1E6" w14:textId="454AA05C" w:rsidR="00C62779" w:rsidRDefault="00C62779" w:rsidP="00513FF4">
      <w:pPr>
        <w:widowControl/>
        <w:autoSpaceDE w:val="0"/>
        <w:autoSpaceDN w:val="0"/>
        <w:spacing w:before="93" w:after="93" w:line="240" w:lineRule="auto"/>
      </w:pPr>
      <w:r>
        <w:t xml:space="preserve">Furthermore, in current spec, the SRS resources are configured by SRS resource sets. </w:t>
      </w:r>
      <w:r w:rsidR="006E4CA7">
        <w:t xml:space="preserve">A UE can be configured with several </w:t>
      </w:r>
      <w:r w:rsidR="0052435A">
        <w:t xml:space="preserve">SRS resource sets. </w:t>
      </w:r>
      <w:r>
        <w:t>A SRS resource set contains more than one SRS resource, and is configured for a certain usage, such as antenna switching, codebook based PUSCH transmission, non-codebook based PUSCH transmission, beam</w:t>
      </w:r>
      <w:r w:rsidR="00E63207">
        <w:t xml:space="preserve"> management, etc.</w:t>
      </w:r>
      <w:r w:rsidR="0052435A">
        <w:t xml:space="preserve"> For a certain usage, one or more SRS resource sets can be configured depending on the detailed usage. In our view, for a certain usage, the separate SRS resources</w:t>
      </w:r>
      <w:r w:rsidR="004E478A">
        <w:t xml:space="preserve"> for SBFD</w:t>
      </w:r>
      <w:r w:rsidR="0052435A">
        <w:t xml:space="preserve"> can be configured </w:t>
      </w:r>
      <w:r w:rsidR="001E495E">
        <w:rPr>
          <w:rFonts w:hint="eastAsia"/>
        </w:rPr>
        <w:t>by</w:t>
      </w:r>
      <w:r w:rsidR="001E495E">
        <w:t xml:space="preserve"> configuring </w:t>
      </w:r>
      <w:r w:rsidR="0052435A">
        <w:t>separate SRS resource sets</w:t>
      </w:r>
      <w:r w:rsidR="00102539">
        <w:t xml:space="preserve"> </w:t>
      </w:r>
      <w:r w:rsidR="004E478A">
        <w:t xml:space="preserve">for SBFD </w:t>
      </w:r>
      <w:r w:rsidR="00102539">
        <w:t>and some corresponding enhancement can be studied.</w:t>
      </w:r>
      <w:r w:rsidR="004E478A">
        <w:t xml:space="preserve"> For example</w:t>
      </w:r>
      <w:r w:rsidR="004E478A">
        <w:rPr>
          <w:rFonts w:hint="eastAsia"/>
        </w:rPr>
        <w:t>,</w:t>
      </w:r>
      <w:r w:rsidR="00535AA9">
        <w:t xml:space="preserve"> due to the CLI, the channel quality of UL transmissions on SBFD slots </w:t>
      </w:r>
      <w:r w:rsidR="0005277C">
        <w:t xml:space="preserve">are worse </w:t>
      </w:r>
      <w:r w:rsidR="00535AA9">
        <w:t xml:space="preserve">than that of UL transmissions on non-SBFD slots generally, </w:t>
      </w:r>
      <w:r w:rsidR="00535AA9">
        <w:lastRenderedPageBreak/>
        <w:t>thus,</w:t>
      </w:r>
      <w:r w:rsidR="00535AA9">
        <w:rPr>
          <w:rFonts w:hint="eastAsia"/>
        </w:rPr>
        <w:t xml:space="preserve"> </w:t>
      </w:r>
      <w:r w:rsidR="004E478A">
        <w:t>for codebook or non-code book based PUSCH transmission, the indicated SRS resources by DCI SRI field should have the same SBFD or</w:t>
      </w:r>
      <w:r w:rsidR="004E478A">
        <w:rPr>
          <w:rFonts w:hint="eastAsia"/>
        </w:rPr>
        <w:t xml:space="preserve"> </w:t>
      </w:r>
      <w:r w:rsidR="004E478A">
        <w:t>non-SBFD type with the PUSCH scheduled by the DCI</w:t>
      </w:r>
      <w:r w:rsidR="00AD1FAB">
        <w:t>, that can guarantee the PUSCH and associated SRS resource</w:t>
      </w:r>
      <w:r w:rsidR="00333B07">
        <w:t>s have</w:t>
      </w:r>
      <w:r w:rsidR="00AD1FAB">
        <w:t xml:space="preserve"> similar link quality.</w:t>
      </w:r>
    </w:p>
    <w:p w14:paraId="297AA88E" w14:textId="7FDFDCC3" w:rsidR="006B32A6" w:rsidRDefault="006B32A6" w:rsidP="006B32A6">
      <w:pPr>
        <w:spacing w:before="93"/>
        <w:rPr>
          <w:i/>
        </w:rPr>
      </w:pPr>
      <w:r w:rsidRPr="00971B58">
        <w:rPr>
          <w:rFonts w:hint="eastAsia"/>
          <w:b/>
          <w:i/>
        </w:rPr>
        <w:t>P</w:t>
      </w:r>
      <w:r w:rsidRPr="00971B58">
        <w:rPr>
          <w:b/>
          <w:i/>
        </w:rPr>
        <w:t xml:space="preserve">roposal </w:t>
      </w:r>
      <w:r w:rsidR="004543DA">
        <w:rPr>
          <w:b/>
          <w:i/>
        </w:rPr>
        <w:t>2</w:t>
      </w:r>
      <w:r w:rsidR="00B83EA5">
        <w:rPr>
          <w:b/>
          <w:i/>
        </w:rPr>
        <w:t>8</w:t>
      </w:r>
      <w:r w:rsidRPr="00971B58">
        <w:rPr>
          <w:i/>
        </w:rPr>
        <w:t>:</w:t>
      </w:r>
      <w:r>
        <w:rPr>
          <w:i/>
        </w:rPr>
        <w:t xml:space="preserve"> Study separate resources associated with SBFD slots and non-SBFD slots, respectively, to</w:t>
      </w:r>
      <w:r w:rsidRPr="00213E1D">
        <w:t xml:space="preserve"> </w:t>
      </w:r>
      <w:r w:rsidRPr="00213E1D">
        <w:rPr>
          <w:i/>
        </w:rPr>
        <w:t xml:space="preserve">enable two </w:t>
      </w:r>
      <w:r>
        <w:rPr>
          <w:i/>
        </w:rPr>
        <w:t xml:space="preserve">SRS </w:t>
      </w:r>
      <w:r w:rsidRPr="00213E1D">
        <w:rPr>
          <w:i/>
        </w:rPr>
        <w:t>transmi</w:t>
      </w:r>
      <w:r w:rsidR="00851138">
        <w:rPr>
          <w:i/>
        </w:rPr>
        <w:t>ssion</w:t>
      </w:r>
      <w:r w:rsidRPr="00213E1D">
        <w:rPr>
          <w:i/>
        </w:rPr>
        <w:t xml:space="preserve"> on SBFD slots only and non-SBFD slots only, respectively</w:t>
      </w:r>
      <w:r>
        <w:rPr>
          <w:i/>
        </w:rPr>
        <w:t>.</w:t>
      </w:r>
    </w:p>
    <w:p w14:paraId="263D55FF" w14:textId="39BF27F2" w:rsidR="004E478A" w:rsidRDefault="004E478A" w:rsidP="00BC51D9">
      <w:pPr>
        <w:pStyle w:val="a8"/>
        <w:numPr>
          <w:ilvl w:val="0"/>
          <w:numId w:val="19"/>
        </w:numPr>
        <w:spacing w:before="93"/>
        <w:ind w:firstLineChars="0"/>
        <w:rPr>
          <w:i/>
        </w:rPr>
      </w:pPr>
      <w:r>
        <w:rPr>
          <w:rFonts w:hint="eastAsia"/>
          <w:i/>
        </w:rPr>
        <w:t>S</w:t>
      </w:r>
      <w:r>
        <w:rPr>
          <w:i/>
        </w:rPr>
        <w:t xml:space="preserve">tudy separate SRS resource sets for </w:t>
      </w:r>
      <w:r w:rsidRPr="00213E1D">
        <w:rPr>
          <w:i/>
        </w:rPr>
        <w:t>SBFD sl</w:t>
      </w:r>
      <w:r>
        <w:rPr>
          <w:i/>
        </w:rPr>
        <w:t>ots only and non-SBFD slots only.</w:t>
      </w:r>
    </w:p>
    <w:p w14:paraId="1A18EF15" w14:textId="2630EC8D" w:rsidR="004E478A" w:rsidRPr="00BA2570" w:rsidRDefault="00440A7F" w:rsidP="00BC51D9">
      <w:pPr>
        <w:pStyle w:val="a8"/>
        <w:numPr>
          <w:ilvl w:val="0"/>
          <w:numId w:val="19"/>
        </w:numPr>
        <w:spacing w:before="93"/>
        <w:ind w:firstLineChars="0"/>
        <w:rPr>
          <w:i/>
        </w:rPr>
      </w:pPr>
      <w:r>
        <w:rPr>
          <w:i/>
        </w:rPr>
        <w:t>Study</w:t>
      </w:r>
      <w:r w:rsidR="00980021">
        <w:rPr>
          <w:i/>
        </w:rPr>
        <w:t xml:space="preserve"> the association between </w:t>
      </w:r>
      <w:r w:rsidR="00816AB0">
        <w:rPr>
          <w:i/>
        </w:rPr>
        <w:t xml:space="preserve">separate SRS resources and </w:t>
      </w:r>
      <w:r w:rsidR="00980021">
        <w:rPr>
          <w:i/>
        </w:rPr>
        <w:t>corresponding PUSCH transmission</w:t>
      </w:r>
      <w:r w:rsidR="004E478A">
        <w:rPr>
          <w:i/>
        </w:rPr>
        <w:t>.</w:t>
      </w:r>
    </w:p>
    <w:p w14:paraId="6335021A" w14:textId="77777777" w:rsidR="00626999" w:rsidRPr="00D63529" w:rsidRDefault="00626999" w:rsidP="00513FF4">
      <w:pPr>
        <w:widowControl/>
        <w:autoSpaceDE w:val="0"/>
        <w:autoSpaceDN w:val="0"/>
        <w:spacing w:before="93" w:after="93" w:line="240" w:lineRule="auto"/>
      </w:pPr>
    </w:p>
    <w:p w14:paraId="46F9FFD8" w14:textId="267446A3" w:rsidR="00D9487D" w:rsidRPr="00D141AF" w:rsidRDefault="00C2769F" w:rsidP="00D9487D">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 </w:t>
      </w:r>
      <w:r w:rsidR="00D9487D">
        <w:rPr>
          <w:rFonts w:eastAsia="宋体" w:cs="Times New Roman"/>
          <w:b/>
          <w:bCs/>
          <w:kern w:val="0"/>
          <w:sz w:val="28"/>
          <w:szCs w:val="28"/>
        </w:rPr>
        <w:t>SBFD operation on SSB symbols</w:t>
      </w:r>
    </w:p>
    <w:p w14:paraId="0A35633D" w14:textId="5A3C197C" w:rsidR="00863D8D" w:rsidRDefault="00863D8D" w:rsidP="00D9487D">
      <w:pPr>
        <w:widowControl/>
        <w:autoSpaceDE w:val="0"/>
        <w:autoSpaceDN w:val="0"/>
        <w:spacing w:before="93" w:after="93" w:line="240" w:lineRule="auto"/>
      </w:pPr>
      <w:r>
        <w:rPr>
          <w:rFonts w:hint="eastAsia"/>
        </w:rPr>
        <w:t>I</w:t>
      </w:r>
      <w:r>
        <w:t xml:space="preserve">n RAN1#112bis-e [1], </w:t>
      </w:r>
      <w:r w:rsidR="003828ED">
        <w:t xml:space="preserve">we have </w:t>
      </w:r>
      <w:r>
        <w:t>the following agreement</w:t>
      </w:r>
      <w:r w:rsidR="003828ED">
        <w:t xml:space="preserve"> to be further discussed in this meeting</w:t>
      </w:r>
      <w:r>
        <w:t>:</w:t>
      </w:r>
    </w:p>
    <w:tbl>
      <w:tblPr>
        <w:tblStyle w:val="a7"/>
        <w:tblW w:w="0" w:type="auto"/>
        <w:tblLook w:val="04A0" w:firstRow="1" w:lastRow="0" w:firstColumn="1" w:lastColumn="0" w:noHBand="0" w:noVBand="1"/>
      </w:tblPr>
      <w:tblGrid>
        <w:gridCol w:w="9305"/>
      </w:tblGrid>
      <w:tr w:rsidR="003828ED" w14:paraId="41463322" w14:textId="77777777" w:rsidTr="003828ED">
        <w:tc>
          <w:tcPr>
            <w:tcW w:w="9305" w:type="dxa"/>
          </w:tcPr>
          <w:p w14:paraId="6B5BBE6A" w14:textId="77777777" w:rsidR="003828ED" w:rsidRPr="003D6795" w:rsidRDefault="003828ED">
            <w:pPr>
              <w:spacing w:before="93"/>
              <w:rPr>
                <w:rFonts w:eastAsia="Malgun Gothic" w:cs="Times"/>
                <w:b/>
                <w:highlight w:val="green"/>
              </w:rPr>
            </w:pPr>
            <w:r>
              <w:rPr>
                <w:rFonts w:eastAsia="Malgun Gothic" w:cs="Times"/>
                <w:b/>
                <w:highlight w:val="green"/>
              </w:rPr>
              <w:t>Agreement</w:t>
            </w:r>
          </w:p>
          <w:p w14:paraId="39A4DDC5" w14:textId="77777777" w:rsidR="003828ED" w:rsidRPr="003D6795" w:rsidRDefault="003828ED" w:rsidP="00195777">
            <w:pPr>
              <w:pStyle w:val="23"/>
              <w:suppressAutoHyphens w:val="0"/>
              <w:adjustRightInd w:val="0"/>
              <w:snapToGrid w:val="0"/>
              <w:spacing w:beforeLines="30" w:before="93" w:after="0" w:line="60" w:lineRule="atLeast"/>
              <w:ind w:left="0"/>
              <w:rPr>
                <w:rFonts w:ascii="Times" w:eastAsia="Malgun Gothic" w:hAnsi="Times" w:cs="Times"/>
                <w:lang w:eastAsia="zh-CN"/>
              </w:rPr>
            </w:pPr>
            <w:r w:rsidRPr="003D6795">
              <w:rPr>
                <w:rFonts w:ascii="Times" w:eastAsia="Malgun Gothic" w:hAnsi="Times" w:cs="Times"/>
                <w:lang w:eastAsia="zh-CN"/>
              </w:rPr>
              <w:t>Study the following options for SBFD operation in SSB symbols.</w:t>
            </w:r>
          </w:p>
          <w:p w14:paraId="04DCB2C0" w14:textId="77777777" w:rsidR="003828ED" w:rsidRPr="003D6795" w:rsidRDefault="003828ED" w:rsidP="00195777">
            <w:pPr>
              <w:widowControl/>
              <w:numPr>
                <w:ilvl w:val="0"/>
                <w:numId w:val="39"/>
              </w:numPr>
              <w:spacing w:before="93"/>
              <w:jc w:val="left"/>
              <w:rPr>
                <w:rFonts w:eastAsia="Malgun Gothic"/>
              </w:rPr>
            </w:pPr>
            <w:r w:rsidRPr="003D6795">
              <w:rPr>
                <w:rFonts w:eastAsia="Malgun Gothic"/>
              </w:rPr>
              <w:t>Option 1: UL subband cannot be configured in an SSB symbol</w:t>
            </w:r>
          </w:p>
          <w:p w14:paraId="21C21D9C" w14:textId="77777777" w:rsidR="003828ED" w:rsidRPr="003D6795" w:rsidRDefault="003828ED" w:rsidP="00195777">
            <w:pPr>
              <w:widowControl/>
              <w:numPr>
                <w:ilvl w:val="1"/>
                <w:numId w:val="39"/>
              </w:numPr>
              <w:spacing w:before="93"/>
              <w:jc w:val="left"/>
              <w:rPr>
                <w:rFonts w:eastAsia="Malgun Gothic"/>
              </w:rPr>
            </w:pPr>
            <w:r w:rsidRPr="003D6795">
              <w:rPr>
                <w:rFonts w:eastAsia="Malgun Gothic"/>
              </w:rPr>
              <w:t>FFS handling of misaligned periodicities between SSB and semi-static SBFD subband time location configuration</w:t>
            </w:r>
          </w:p>
          <w:p w14:paraId="2EF6A371" w14:textId="77777777" w:rsidR="003828ED" w:rsidRPr="003D6795" w:rsidRDefault="003828ED" w:rsidP="00195777">
            <w:pPr>
              <w:widowControl/>
              <w:numPr>
                <w:ilvl w:val="0"/>
                <w:numId w:val="39"/>
              </w:numPr>
              <w:spacing w:before="93"/>
              <w:jc w:val="left"/>
              <w:rPr>
                <w:rFonts w:eastAsia="Malgun Gothic"/>
              </w:rPr>
            </w:pPr>
            <w:r w:rsidRPr="003D6795">
              <w:rPr>
                <w:rFonts w:eastAsia="Malgun Gothic"/>
              </w:rPr>
              <w:t>Option 2: An UL subband can be configured in an SSB symbol</w:t>
            </w:r>
          </w:p>
          <w:p w14:paraId="18098BD5" w14:textId="18CE8911" w:rsidR="003828ED" w:rsidRPr="00195777" w:rsidRDefault="003828ED" w:rsidP="00195777">
            <w:pPr>
              <w:widowControl/>
              <w:numPr>
                <w:ilvl w:val="1"/>
                <w:numId w:val="39"/>
              </w:numPr>
              <w:spacing w:before="93"/>
              <w:jc w:val="left"/>
              <w:rPr>
                <w:rFonts w:eastAsia="Malgun Gothic"/>
              </w:rPr>
            </w:pPr>
            <w:r w:rsidRPr="003D6795">
              <w:rPr>
                <w:rFonts w:eastAsia="Malgun Gothic"/>
              </w:rPr>
              <w:t>FFS whether/when and/or under which conditions an SBFD-aware UE transmits in the UL subband or may receive SSB in the symbol.</w:t>
            </w:r>
          </w:p>
        </w:tc>
      </w:tr>
    </w:tbl>
    <w:p w14:paraId="048BDFB9" w14:textId="77777777" w:rsidR="007E5B0C" w:rsidRDefault="007E5B0C" w:rsidP="00D9487D">
      <w:pPr>
        <w:widowControl/>
        <w:autoSpaceDE w:val="0"/>
        <w:autoSpaceDN w:val="0"/>
        <w:spacing w:before="93" w:after="93" w:line="240" w:lineRule="auto"/>
      </w:pPr>
    </w:p>
    <w:p w14:paraId="7BA8522B" w14:textId="670D4BAA" w:rsidR="00DD275B" w:rsidRDefault="007E5B0C" w:rsidP="00D9487D">
      <w:pPr>
        <w:widowControl/>
        <w:autoSpaceDE w:val="0"/>
        <w:autoSpaceDN w:val="0"/>
        <w:spacing w:before="93" w:after="93" w:line="240" w:lineRule="auto"/>
      </w:pPr>
      <w:r>
        <w:t xml:space="preserve">The main motivation for option 1 is </w:t>
      </w:r>
      <w:r w:rsidR="00025872">
        <w:t xml:space="preserve">not </w:t>
      </w:r>
      <w:r w:rsidR="002A2F86">
        <w:t>to allow</w:t>
      </w:r>
      <w:r w:rsidR="00025872">
        <w:t xml:space="preserve"> SBFD operation on SSB symbols. However, SSB is usually configured as a short period, such as 5ms to 20ms, to </w:t>
      </w:r>
      <w:r w:rsidR="009E4B06">
        <w:t>ensure</w:t>
      </w:r>
      <w:r w:rsidR="00025872">
        <w:t xml:space="preserve"> a better initial access and mobility management performance. Within a SSB period, the SSB duration can be 5ms at most. It means 25%-100% time within one SSB period cannot be used for SBFD operation; it severely degrades the performances of SBFD operation.</w:t>
      </w:r>
      <w:r w:rsidR="00DD275B">
        <w:t xml:space="preserve"> </w:t>
      </w:r>
    </w:p>
    <w:p w14:paraId="3D2CC917" w14:textId="2712C70D" w:rsidR="00863D8D" w:rsidRDefault="00DD275B" w:rsidP="00D9487D">
      <w:pPr>
        <w:widowControl/>
        <w:autoSpaceDE w:val="0"/>
        <w:autoSpaceDN w:val="0"/>
        <w:spacing w:before="93" w:after="93" w:line="240" w:lineRule="auto"/>
      </w:pPr>
      <w:r>
        <w:t xml:space="preserve">On the other hand, </w:t>
      </w:r>
      <w:r w:rsidR="002153F5">
        <w:t>o</w:t>
      </w:r>
      <w:r>
        <w:t xml:space="preserve">ption 1 </w:t>
      </w:r>
      <w:r w:rsidR="002153F5">
        <w:t xml:space="preserve">may </w:t>
      </w:r>
      <w:r>
        <w:t>lead to more</w:t>
      </w:r>
      <w:r w:rsidR="00452FA6">
        <w:t xml:space="preserve"> unnecessary</w:t>
      </w:r>
      <w:r>
        <w:t xml:space="preserve"> </w:t>
      </w:r>
      <w:r w:rsidRPr="0000149D">
        <w:rPr>
          <w:rFonts w:eastAsia="微软雅黑"/>
        </w:rPr>
        <w:t>standardization effort</w:t>
      </w:r>
      <w:r w:rsidR="00452FA6">
        <w:rPr>
          <w:rFonts w:eastAsia="微软雅黑"/>
        </w:rPr>
        <w:t>s</w:t>
      </w:r>
      <w:r>
        <w:rPr>
          <w:rFonts w:eastAsia="微软雅黑"/>
        </w:rPr>
        <w:t xml:space="preserve"> for subband indication and configuration</w:t>
      </w:r>
      <w:r w:rsidR="002153F5">
        <w:rPr>
          <w:rFonts w:eastAsia="微软雅黑"/>
        </w:rPr>
        <w:t>. The</w:t>
      </w:r>
      <w:r>
        <w:rPr>
          <w:rFonts w:eastAsia="微软雅黑"/>
        </w:rPr>
        <w:t xml:space="preserve"> issue in the FFS</w:t>
      </w:r>
      <w:r w:rsidR="002153F5">
        <w:rPr>
          <w:rFonts w:eastAsia="微软雅黑"/>
        </w:rPr>
        <w:t xml:space="preserve"> should be resolved</w:t>
      </w:r>
      <w:r>
        <w:rPr>
          <w:rFonts w:eastAsia="微软雅黑"/>
        </w:rPr>
        <w:t xml:space="preserve">, i.e., how to hand the misaligned periodicities between SSB and semi-static SBFD subband time location configuration. </w:t>
      </w:r>
      <w:r w:rsidR="00452FA6">
        <w:rPr>
          <w:rFonts w:eastAsia="微软雅黑"/>
        </w:rPr>
        <w:t>T</w:t>
      </w:r>
      <w:r>
        <w:rPr>
          <w:rFonts w:eastAsia="微软雅黑"/>
        </w:rPr>
        <w:t xml:space="preserve">his issue can be easily solved by option 2 </w:t>
      </w:r>
      <w:r w:rsidR="00452FA6">
        <w:rPr>
          <w:rFonts w:eastAsia="微软雅黑"/>
        </w:rPr>
        <w:t>with using</w:t>
      </w:r>
      <w:r>
        <w:rPr>
          <w:rFonts w:eastAsia="微软雅黑"/>
        </w:rPr>
        <w:t xml:space="preserve"> some explicit restrictions, e.g., UL subband can be configured in an SSB symbol but SSB symbols do not support SBFD operation, or UL transmission within UL subband is not </w:t>
      </w:r>
      <w:r w:rsidR="008C0FA9">
        <w:rPr>
          <w:rFonts w:eastAsia="微软雅黑"/>
        </w:rPr>
        <w:t>allowed</w:t>
      </w:r>
      <w:r>
        <w:rPr>
          <w:rFonts w:eastAsia="微软雅黑"/>
        </w:rPr>
        <w:t xml:space="preserve"> in SSB symbols</w:t>
      </w:r>
      <w:r w:rsidR="00452FA6">
        <w:rPr>
          <w:rFonts w:eastAsia="微软雅黑"/>
        </w:rPr>
        <w:t xml:space="preserve"> although UL subband is configured in SSB symbols</w:t>
      </w:r>
      <w:r>
        <w:rPr>
          <w:rFonts w:eastAsia="微软雅黑"/>
        </w:rPr>
        <w:t>, etc.</w:t>
      </w:r>
    </w:p>
    <w:p w14:paraId="6B3C5C60" w14:textId="39ACA7E2" w:rsidR="00117445" w:rsidRDefault="0099391C" w:rsidP="00D9487D">
      <w:pPr>
        <w:widowControl/>
        <w:autoSpaceDE w:val="0"/>
        <w:autoSpaceDN w:val="0"/>
        <w:spacing w:before="93" w:after="93" w:line="240" w:lineRule="auto"/>
      </w:pPr>
      <w:r>
        <w:rPr>
          <w:rFonts w:hint="eastAsia"/>
        </w:rPr>
        <w:t>S</w:t>
      </w:r>
      <w:r>
        <w:t xml:space="preserve">o option </w:t>
      </w:r>
      <w:r w:rsidR="00117445">
        <w:t>2 is preferred,</w:t>
      </w:r>
      <w:r>
        <w:t xml:space="preserve"> </w:t>
      </w:r>
      <w:r w:rsidR="00117445">
        <w:t xml:space="preserve">since </w:t>
      </w:r>
      <w:r w:rsidR="00104FCA">
        <w:t>supporting</w:t>
      </w:r>
      <w:r w:rsidR="00161B99">
        <w:t xml:space="preserve"> SBFD operation on SSB symbols can achieve more benefits for UL. </w:t>
      </w:r>
      <w:r w:rsidR="00117445">
        <w:t xml:space="preserve">However, UL transmission on SSB symbols will affect SSB </w:t>
      </w:r>
      <w:r w:rsidR="00AA60A7">
        <w:t>reception</w:t>
      </w:r>
      <w:r w:rsidR="00117445">
        <w:t xml:space="preserve"> for RRC_CONNECTED UE and </w:t>
      </w:r>
      <w:r w:rsidR="00356EA9">
        <w:t>RRC_</w:t>
      </w:r>
      <w:r w:rsidR="00117445">
        <w:t xml:space="preserve">IDLE </w:t>
      </w:r>
      <w:r w:rsidR="00356EA9">
        <w:t xml:space="preserve">state </w:t>
      </w:r>
      <w:r w:rsidR="00117445">
        <w:t xml:space="preserve">UE. To solve this issue, a potential method is to define </w:t>
      </w:r>
      <w:r w:rsidR="00AA60A7">
        <w:t xml:space="preserve">a set of </w:t>
      </w:r>
      <w:r w:rsidR="00117445">
        <w:t>protected SSB</w:t>
      </w:r>
      <w:r w:rsidR="00AA60A7">
        <w:t>s</w:t>
      </w:r>
      <w:r w:rsidR="00117445">
        <w:t xml:space="preserve"> and</w:t>
      </w:r>
      <w:r w:rsidR="00AA60A7">
        <w:t>/or</w:t>
      </w:r>
      <w:r w:rsidR="00117445">
        <w:t xml:space="preserve"> non-protected SSB, where UL transmission is allowed on non-protected SSB</w:t>
      </w:r>
      <w:r w:rsidR="00AA60A7">
        <w:t>s</w:t>
      </w:r>
      <w:r w:rsidR="00117445">
        <w:t xml:space="preserve"> but prohibited on protected SSB</w:t>
      </w:r>
      <w:r w:rsidR="00AA60A7">
        <w:t>s</w:t>
      </w:r>
      <w:r w:rsidR="00117445">
        <w:t xml:space="preserve">. </w:t>
      </w:r>
      <w:r w:rsidR="00AA60A7">
        <w:t>This</w:t>
      </w:r>
      <w:r w:rsidR="00117445">
        <w:t xml:space="preserve"> can reduce the </w:t>
      </w:r>
      <w:r w:rsidR="00381D87">
        <w:t xml:space="preserve">probability that the UL transmission affects the SSB measurement. On the other hand, </w:t>
      </w:r>
      <w:r w:rsidR="00D40153">
        <w:t xml:space="preserve">it provides a tradeoff between UL performances and </w:t>
      </w:r>
      <w:r w:rsidR="00AA60A7">
        <w:t xml:space="preserve">impact to </w:t>
      </w:r>
      <w:r w:rsidR="00D40153">
        <w:t>SSB measurement.</w:t>
      </w:r>
    </w:p>
    <w:p w14:paraId="3B069288" w14:textId="31097A6B" w:rsidR="00D9487D" w:rsidRDefault="00D9487D" w:rsidP="00D9487D">
      <w:pPr>
        <w:spacing w:before="93"/>
        <w:rPr>
          <w:i/>
        </w:rPr>
      </w:pPr>
      <w:r w:rsidRPr="00971B58">
        <w:rPr>
          <w:rFonts w:hint="eastAsia"/>
          <w:b/>
          <w:i/>
        </w:rPr>
        <w:t>P</w:t>
      </w:r>
      <w:r w:rsidRPr="00971B58">
        <w:rPr>
          <w:b/>
          <w:i/>
        </w:rPr>
        <w:t xml:space="preserve">roposal </w:t>
      </w:r>
      <w:r w:rsidR="007B1D8C">
        <w:rPr>
          <w:b/>
          <w:i/>
        </w:rPr>
        <w:t>2</w:t>
      </w:r>
      <w:r w:rsidR="00B83EA5">
        <w:rPr>
          <w:b/>
          <w:i/>
        </w:rPr>
        <w:t>9</w:t>
      </w:r>
      <w:r w:rsidRPr="00971B58">
        <w:rPr>
          <w:i/>
        </w:rPr>
        <w:t>:</w:t>
      </w:r>
      <w:r>
        <w:rPr>
          <w:i/>
        </w:rPr>
        <w:t xml:space="preserve"> </w:t>
      </w:r>
      <w:r w:rsidR="007F611D">
        <w:rPr>
          <w:i/>
        </w:rPr>
        <w:t>An UL subband can be configured in an SSB symbol.</w:t>
      </w:r>
    </w:p>
    <w:p w14:paraId="2237F7F5" w14:textId="1366ECCF" w:rsidR="00AB36E8" w:rsidRPr="00195777" w:rsidRDefault="00295757" w:rsidP="00195777">
      <w:pPr>
        <w:pStyle w:val="a8"/>
        <w:numPr>
          <w:ilvl w:val="0"/>
          <w:numId w:val="62"/>
        </w:numPr>
        <w:spacing w:before="93"/>
        <w:ind w:firstLineChars="0"/>
        <w:rPr>
          <w:i/>
        </w:rPr>
      </w:pPr>
      <w:r w:rsidRPr="00195777">
        <w:rPr>
          <w:i/>
        </w:rPr>
        <w:t>Define protected SSB and non-protected SSB, where UL transmission is allowed on non-protected SSB but prohibited on protected SSB</w:t>
      </w:r>
      <w:r>
        <w:rPr>
          <w:i/>
        </w:rPr>
        <w:t xml:space="preserve"> to </w:t>
      </w:r>
      <w:r w:rsidRPr="00295757">
        <w:rPr>
          <w:i/>
        </w:rPr>
        <w:t>reduce the probability that the UL transmission affects the SSB measurement</w:t>
      </w:r>
      <w:r>
        <w:rPr>
          <w:i/>
        </w:rPr>
        <w:t>.</w:t>
      </w:r>
    </w:p>
    <w:p w14:paraId="3E0C583F" w14:textId="77777777" w:rsidR="007F611D" w:rsidRPr="00513FF4" w:rsidRDefault="007F611D" w:rsidP="00D9487D">
      <w:pPr>
        <w:spacing w:before="93"/>
      </w:pPr>
    </w:p>
    <w:p w14:paraId="267A4A9C" w14:textId="6C902219" w:rsidR="00D141AF" w:rsidRPr="00D141AF" w:rsidRDefault="002D5202" w:rsidP="00D141AF">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 </w:t>
      </w:r>
      <w:r w:rsidR="00D141AF">
        <w:rPr>
          <w:rFonts w:eastAsia="宋体" w:cs="Times New Roman"/>
          <w:b/>
          <w:bCs/>
          <w:kern w:val="0"/>
          <w:sz w:val="28"/>
          <w:szCs w:val="28"/>
        </w:rPr>
        <w:t xml:space="preserve">Initial access </w:t>
      </w:r>
      <w:r w:rsidR="00F96586">
        <w:rPr>
          <w:rFonts w:eastAsia="宋体" w:cs="Times New Roman"/>
          <w:b/>
          <w:bCs/>
          <w:kern w:val="0"/>
          <w:sz w:val="28"/>
          <w:szCs w:val="28"/>
        </w:rPr>
        <w:t>enhancement</w:t>
      </w:r>
    </w:p>
    <w:p w14:paraId="7F34DE14" w14:textId="19EB91B8" w:rsidR="00D02656" w:rsidRDefault="00D02656" w:rsidP="00A04F19">
      <w:pPr>
        <w:widowControl/>
        <w:autoSpaceDE w:val="0"/>
        <w:autoSpaceDN w:val="0"/>
        <w:spacing w:before="93" w:after="93" w:line="240" w:lineRule="auto"/>
      </w:pPr>
      <w:r>
        <w:t>T</w:t>
      </w:r>
      <w:r w:rsidR="002D6A3B">
        <w:t>he main benefit of SBFD operation is that it has more UL resources</w:t>
      </w:r>
      <w:r>
        <w:t xml:space="preserve"> than legacy TDD operation</w:t>
      </w:r>
      <w:r w:rsidR="002D6A3B">
        <w:t xml:space="preserve">. So </w:t>
      </w:r>
      <w:r w:rsidR="003D0F7F">
        <w:t xml:space="preserve">allowing </w:t>
      </w:r>
      <w:r>
        <w:t xml:space="preserve">SBFD operation </w:t>
      </w:r>
      <w:r w:rsidR="00A8540B">
        <w:t>during</w:t>
      </w:r>
      <w:r>
        <w:t xml:space="preserve"> initial access</w:t>
      </w:r>
      <w:r w:rsidR="003D0F7F">
        <w:t xml:space="preserve"> means</w:t>
      </w:r>
      <w:r>
        <w:t xml:space="preserve">, more UL resources </w:t>
      </w:r>
      <w:r w:rsidR="003D0F7F">
        <w:t xml:space="preserve">can be used for initial access which </w:t>
      </w:r>
      <w:r>
        <w:t>increase</w:t>
      </w:r>
      <w:r w:rsidR="003D0F7F">
        <w:t>s</w:t>
      </w:r>
      <w:r>
        <w:t xml:space="preserve"> the RACH capacity </w:t>
      </w:r>
      <w:r w:rsidR="00A8540B">
        <w:t xml:space="preserve">to reduce the </w:t>
      </w:r>
      <w:r w:rsidR="00A63CD2">
        <w:t>R</w:t>
      </w:r>
      <w:r w:rsidR="00A8540B">
        <w:t xml:space="preserve">ACH collision </w:t>
      </w:r>
      <w:r>
        <w:t xml:space="preserve">and </w:t>
      </w:r>
      <w:r w:rsidR="00A8540B">
        <w:t xml:space="preserve">reduce the </w:t>
      </w:r>
      <w:r>
        <w:t xml:space="preserve">initial access latency. </w:t>
      </w:r>
      <w:r w:rsidR="00723E16">
        <w:t>For example, more ROs allocated on UL subband</w:t>
      </w:r>
      <w:r w:rsidR="006F01D0">
        <w:t xml:space="preserve"> can be achieved</w:t>
      </w:r>
      <w:r w:rsidR="00723E16">
        <w:t xml:space="preserve"> </w:t>
      </w:r>
      <w:r w:rsidR="006F01D0">
        <w:t xml:space="preserve">by SBFD operation than TDD operation, </w:t>
      </w:r>
      <w:r w:rsidR="00723E16">
        <w:lastRenderedPageBreak/>
        <w:t xml:space="preserve">as shown in Fig. </w:t>
      </w:r>
      <w:r w:rsidR="00AB6F4C">
        <w:t>8</w:t>
      </w:r>
      <w:r w:rsidR="00723E16">
        <w:t xml:space="preserve">. </w:t>
      </w:r>
      <w:r>
        <w:t xml:space="preserve">On the other hand, </w:t>
      </w:r>
      <w:r w:rsidR="00D85C76">
        <w:t>more UL resources</w:t>
      </w:r>
      <w:r>
        <w:t xml:space="preserve"> can also improve</w:t>
      </w:r>
      <w:r w:rsidR="00D85C76">
        <w:t xml:space="preserve"> the</w:t>
      </w:r>
      <w:r>
        <w:t xml:space="preserve"> UL coverage for MSG3</w:t>
      </w:r>
      <w:r w:rsidR="00A8540B">
        <w:t xml:space="preserve"> and PRACH</w:t>
      </w:r>
      <w:r>
        <w:t xml:space="preserve"> via repetition</w:t>
      </w:r>
      <w:r w:rsidR="00A8540B">
        <w:t xml:space="preserve"> which are specified and discussed in Rel-17 and Rel-18 coverage enhancement, respectively</w:t>
      </w:r>
      <w:r>
        <w:t xml:space="preserve">. </w:t>
      </w:r>
      <w:r w:rsidR="00C906EE">
        <w:t>At the same time</w:t>
      </w:r>
      <w:r w:rsidR="00356EA9">
        <w:t>, subband configuration should be configured in SIBs for UEs in RRC_IDLE state to support SBFD operation for initial access.</w:t>
      </w:r>
      <w:r w:rsidR="00200D2E">
        <w:t xml:space="preserve"> </w:t>
      </w:r>
      <w:r>
        <w:t>As discussed above, the initial access for SBFD operation should be studied.</w:t>
      </w:r>
    </w:p>
    <w:p w14:paraId="2FA03AC9" w14:textId="7D41F351" w:rsidR="00D02656" w:rsidRDefault="00D02656" w:rsidP="00D02656">
      <w:pPr>
        <w:spacing w:before="93"/>
        <w:rPr>
          <w:i/>
        </w:rPr>
      </w:pPr>
      <w:r w:rsidRPr="00971B58">
        <w:rPr>
          <w:rFonts w:hint="eastAsia"/>
          <w:b/>
          <w:i/>
        </w:rPr>
        <w:t>P</w:t>
      </w:r>
      <w:r w:rsidRPr="00971B58">
        <w:rPr>
          <w:b/>
          <w:i/>
        </w:rPr>
        <w:t xml:space="preserve">roposal </w:t>
      </w:r>
      <w:r w:rsidR="00B83EA5">
        <w:rPr>
          <w:b/>
          <w:i/>
        </w:rPr>
        <w:t>30</w:t>
      </w:r>
      <w:r w:rsidRPr="00971B58">
        <w:rPr>
          <w:i/>
        </w:rPr>
        <w:t>:</w:t>
      </w:r>
      <w:r>
        <w:rPr>
          <w:i/>
        </w:rPr>
        <w:t xml:space="preserve"> Study </w:t>
      </w:r>
      <w:r w:rsidR="0063420D">
        <w:rPr>
          <w:i/>
        </w:rPr>
        <w:t xml:space="preserve">following </w:t>
      </w:r>
      <w:r w:rsidR="00A46618">
        <w:rPr>
          <w:i/>
        </w:rPr>
        <w:t>potential enhancement</w:t>
      </w:r>
      <w:r w:rsidR="0063420D">
        <w:rPr>
          <w:i/>
        </w:rPr>
        <w:t>s</w:t>
      </w:r>
      <w:r w:rsidR="00A46618">
        <w:rPr>
          <w:i/>
        </w:rPr>
        <w:t xml:space="preserve"> of </w:t>
      </w:r>
      <w:r>
        <w:rPr>
          <w:i/>
        </w:rPr>
        <w:t>initial access enhancement for SBFD operation.</w:t>
      </w:r>
    </w:p>
    <w:p w14:paraId="155D1937" w14:textId="596DAD7F" w:rsidR="0063420D" w:rsidRDefault="0063420D" w:rsidP="00195777">
      <w:pPr>
        <w:pStyle w:val="a8"/>
        <w:numPr>
          <w:ilvl w:val="0"/>
          <w:numId w:val="62"/>
        </w:numPr>
        <w:spacing w:before="93"/>
        <w:ind w:firstLineChars="0"/>
        <w:rPr>
          <w:i/>
        </w:rPr>
      </w:pPr>
      <w:r>
        <w:rPr>
          <w:rFonts w:hint="eastAsia"/>
          <w:i/>
        </w:rPr>
        <w:t>S</w:t>
      </w:r>
      <w:r>
        <w:rPr>
          <w:i/>
        </w:rPr>
        <w:t>ubband configuration in SIBs.</w:t>
      </w:r>
    </w:p>
    <w:p w14:paraId="23B8831D" w14:textId="182797CA" w:rsidR="0063420D" w:rsidRPr="00195777" w:rsidRDefault="0063420D" w:rsidP="00195777">
      <w:pPr>
        <w:pStyle w:val="a8"/>
        <w:numPr>
          <w:ilvl w:val="0"/>
          <w:numId w:val="62"/>
        </w:numPr>
        <w:spacing w:before="93"/>
        <w:ind w:firstLineChars="0"/>
        <w:rPr>
          <w:i/>
        </w:rPr>
      </w:pPr>
      <w:r>
        <w:rPr>
          <w:i/>
        </w:rPr>
        <w:t>ROs configurations within UL subband.</w:t>
      </w:r>
    </w:p>
    <w:p w14:paraId="32675A93" w14:textId="77777777" w:rsidR="009C7169" w:rsidRDefault="009C7169" w:rsidP="00D1095F">
      <w:pPr>
        <w:widowControl/>
        <w:autoSpaceDE w:val="0"/>
        <w:autoSpaceDN w:val="0"/>
        <w:spacing w:before="93" w:after="93" w:line="240" w:lineRule="auto"/>
        <w:jc w:val="center"/>
      </w:pPr>
    </w:p>
    <w:p w14:paraId="546978E7" w14:textId="36DBA9DA" w:rsidR="00F66607" w:rsidRDefault="00F66607" w:rsidP="00D1095F">
      <w:pPr>
        <w:widowControl/>
        <w:autoSpaceDE w:val="0"/>
        <w:autoSpaceDN w:val="0"/>
        <w:spacing w:before="93" w:after="93" w:line="240" w:lineRule="auto"/>
        <w:jc w:val="center"/>
      </w:pPr>
      <w:r>
        <w:rPr>
          <w:noProof/>
        </w:rPr>
        <w:drawing>
          <wp:inline distT="0" distB="0" distL="0" distR="0" wp14:anchorId="240FDC79" wp14:editId="45F09FD8">
            <wp:extent cx="2822400" cy="1454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22400" cy="1454400"/>
                    </a:xfrm>
                    <a:prstGeom prst="rect">
                      <a:avLst/>
                    </a:prstGeom>
                  </pic:spPr>
                </pic:pic>
              </a:graphicData>
            </a:graphic>
          </wp:inline>
        </w:drawing>
      </w:r>
    </w:p>
    <w:p w14:paraId="00276B3C" w14:textId="66206275" w:rsidR="00F66607" w:rsidRDefault="00F66607" w:rsidP="00F66607">
      <w:pPr>
        <w:widowControl/>
        <w:autoSpaceDE w:val="0"/>
        <w:autoSpaceDN w:val="0"/>
        <w:spacing w:before="93" w:line="240" w:lineRule="auto"/>
        <w:jc w:val="center"/>
      </w:pPr>
      <w:r>
        <w:rPr>
          <w:rFonts w:hint="eastAsia"/>
        </w:rPr>
        <w:t>F</w:t>
      </w:r>
      <w:r>
        <w:t xml:space="preserve">ig. </w:t>
      </w:r>
      <w:r w:rsidR="00AB6F4C">
        <w:t>8</w:t>
      </w:r>
      <w:r>
        <w:t xml:space="preserve"> </w:t>
      </w:r>
      <w:r w:rsidR="0084531E">
        <w:t>Initial access enhancement for SBFD operation</w:t>
      </w:r>
      <w:r>
        <w:t>.</w:t>
      </w:r>
    </w:p>
    <w:p w14:paraId="166CD0C5" w14:textId="77777777" w:rsidR="00A63CD2" w:rsidRDefault="00A63CD2" w:rsidP="00F66607">
      <w:pPr>
        <w:widowControl/>
        <w:autoSpaceDE w:val="0"/>
        <w:autoSpaceDN w:val="0"/>
        <w:spacing w:before="93" w:line="240" w:lineRule="auto"/>
        <w:jc w:val="center"/>
      </w:pPr>
    </w:p>
    <w:p w14:paraId="7D152BD6" w14:textId="70790C9E" w:rsidR="00D141AF" w:rsidRPr="00286B4E" w:rsidRDefault="002D5202" w:rsidP="00BC2F81">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 </w:t>
      </w:r>
      <w:r w:rsidR="00D141AF">
        <w:rPr>
          <w:rFonts w:eastAsia="宋体" w:cs="Times New Roman"/>
          <w:b/>
          <w:bCs/>
          <w:kern w:val="0"/>
          <w:sz w:val="28"/>
          <w:szCs w:val="28"/>
        </w:rPr>
        <w:t xml:space="preserve">Collision handling </w:t>
      </w:r>
      <w:r w:rsidR="0048494E">
        <w:rPr>
          <w:rFonts w:eastAsia="宋体" w:cs="Times New Roman"/>
          <w:b/>
          <w:bCs/>
          <w:kern w:val="0"/>
          <w:sz w:val="28"/>
          <w:szCs w:val="28"/>
        </w:rPr>
        <w:t>enhancement</w:t>
      </w:r>
    </w:p>
    <w:p w14:paraId="303FAC60" w14:textId="77777777" w:rsidR="00D141AF" w:rsidRDefault="00D141AF" w:rsidP="00D141AF">
      <w:pPr>
        <w:spacing w:before="93"/>
      </w:pPr>
      <w:r>
        <w:t xml:space="preserve">According to the SID, the UE is supposed to operate in half duplex mode. In Rel-15, how to handle the different UL/DL indicating signaling for the same OFDM symbol are defined for single carrier, e.g. the same symbol cannot be indicated as UL symbol by scheduling grant if this symbol is configured as DL symbol by </w:t>
      </w:r>
      <w:proofErr w:type="spellStart"/>
      <w:r w:rsidRPr="00A6704D">
        <w:rPr>
          <w:i/>
        </w:rPr>
        <w:t>tdd</w:t>
      </w:r>
      <w:proofErr w:type="spellEnd"/>
      <w:r w:rsidRPr="00A6704D">
        <w:rPr>
          <w:i/>
        </w:rPr>
        <w:t>-UL-DL-</w:t>
      </w:r>
      <w:proofErr w:type="spellStart"/>
      <w:r w:rsidRPr="00A6704D">
        <w:rPr>
          <w:i/>
        </w:rPr>
        <w:t>ConfigurationCommon</w:t>
      </w:r>
      <w:proofErr w:type="spellEnd"/>
      <w:r>
        <w:t xml:space="preserve"> in SIB1.</w:t>
      </w:r>
    </w:p>
    <w:p w14:paraId="15C4ADA1" w14:textId="036E2269" w:rsidR="00D141AF" w:rsidRDefault="00D141AF" w:rsidP="00D141AF">
      <w:pPr>
        <w:spacing w:before="93"/>
      </w:pPr>
      <w:r>
        <w:t xml:space="preserve">In a Rel-16 TEI, the UE behavior is specified for UEs not capable of simultaneous UL transmission and DL reception on the same symbol on different TDD carriers. In the TEI, a UE capability to handle the conflict signaling of UL/DL indication of the same symbol is defined, as well as the UE behavior to decide the </w:t>
      </w:r>
      <w:r w:rsidR="009B0CE4">
        <w:t xml:space="preserve">symbol </w:t>
      </w:r>
      <w:r>
        <w:t xml:space="preserve">as DL or UL when conflict signaling is indicated in different cells for the same OFDM symbol. In SBFD, conflict signaling will happen, how to handle the conflict signaling should also be studied. </w:t>
      </w:r>
    </w:p>
    <w:p w14:paraId="3545A94B" w14:textId="332ACBF2" w:rsidR="00D141AF" w:rsidRDefault="00D141AF" w:rsidP="00D141AF">
      <w:pPr>
        <w:spacing w:before="93"/>
      </w:pPr>
      <w:r>
        <w:t>Some UL</w:t>
      </w:r>
      <w:r>
        <w:rPr>
          <w:rFonts w:hint="eastAsia"/>
        </w:rPr>
        <w:t>/</w:t>
      </w:r>
      <w:r>
        <w:t xml:space="preserve">DL signal collisions with legacy actions are listed in Table </w:t>
      </w:r>
      <w:r w:rsidR="00836C09">
        <w:t>3</w:t>
      </w:r>
      <w:r>
        <w:t>, where the terminologies are defined as follows:</w:t>
      </w:r>
    </w:p>
    <w:p w14:paraId="4C7C77BD" w14:textId="77777777" w:rsidR="00D141AF" w:rsidRPr="00C44D47" w:rsidRDefault="00D141AF" w:rsidP="001E359B">
      <w:pPr>
        <w:pStyle w:val="a8"/>
        <w:numPr>
          <w:ilvl w:val="0"/>
          <w:numId w:val="4"/>
        </w:numPr>
        <w:spacing w:before="93"/>
        <w:ind w:firstLineChars="0"/>
      </w:pPr>
      <w:r>
        <w:rPr>
          <w:rFonts w:hint="eastAsia"/>
        </w:rPr>
        <w:t>S</w:t>
      </w:r>
      <w:r>
        <w:t xml:space="preserve">emi-U/Semi-D: UL/DL symbols/slots configured by </w:t>
      </w:r>
      <w:proofErr w:type="spellStart"/>
      <w:r>
        <w:rPr>
          <w:i/>
          <w:iCs/>
        </w:rPr>
        <w:t>tdd</w:t>
      </w:r>
      <w:proofErr w:type="spellEnd"/>
      <w:r>
        <w:rPr>
          <w:i/>
          <w:iCs/>
        </w:rPr>
        <w:t>-UL-DL-</w:t>
      </w:r>
      <w:proofErr w:type="spellStart"/>
      <w:r>
        <w:rPr>
          <w:i/>
          <w:iCs/>
        </w:rPr>
        <w:t>ConfigurationCommon</w:t>
      </w:r>
      <w:proofErr w:type="spellEnd"/>
      <w:r w:rsidRPr="004A1305">
        <w:rPr>
          <w:i/>
          <w:iCs/>
        </w:rPr>
        <w:t xml:space="preserve"> </w:t>
      </w:r>
      <w:r>
        <w:rPr>
          <w:i/>
          <w:iCs/>
        </w:rPr>
        <w:t>and</w:t>
      </w:r>
      <w:r>
        <w:rPr>
          <w:rFonts w:hint="eastAsia"/>
          <w:i/>
          <w:iCs/>
        </w:rPr>
        <w:t>/</w:t>
      </w:r>
      <w:r>
        <w:rPr>
          <w:i/>
          <w:iCs/>
        </w:rPr>
        <w:t xml:space="preserve">or </w:t>
      </w:r>
      <w:proofErr w:type="spellStart"/>
      <w:r w:rsidRPr="004A1305">
        <w:rPr>
          <w:i/>
          <w:iCs/>
        </w:rPr>
        <w:t>tdd</w:t>
      </w:r>
      <w:proofErr w:type="spellEnd"/>
      <w:r w:rsidRPr="004A1305">
        <w:rPr>
          <w:i/>
          <w:iCs/>
        </w:rPr>
        <w:t>-UL-DL-</w:t>
      </w:r>
      <w:proofErr w:type="spellStart"/>
      <w:r w:rsidRPr="004A1305">
        <w:rPr>
          <w:i/>
          <w:iCs/>
        </w:rPr>
        <w:t>ConfigurationDedicated</w:t>
      </w:r>
      <w:proofErr w:type="spellEnd"/>
      <w:r>
        <w:rPr>
          <w:i/>
          <w:iCs/>
        </w:rPr>
        <w:t>.</w:t>
      </w:r>
    </w:p>
    <w:p w14:paraId="5E0A712A" w14:textId="77777777" w:rsidR="00D141AF" w:rsidRDefault="00D141AF" w:rsidP="001E359B">
      <w:pPr>
        <w:pStyle w:val="a8"/>
        <w:numPr>
          <w:ilvl w:val="0"/>
          <w:numId w:val="4"/>
        </w:numPr>
        <w:spacing w:before="93"/>
        <w:ind w:firstLineChars="0"/>
      </w:pPr>
      <w:r>
        <w:t>Any-D: any DL signals or channels scheduled by DCI and RRC, such as DG PDSCH, SPS PDSCH, PDCCH, SSB, etc.</w:t>
      </w:r>
    </w:p>
    <w:p w14:paraId="51A43A7D" w14:textId="77777777" w:rsidR="00D141AF" w:rsidRDefault="00D141AF" w:rsidP="001E359B">
      <w:pPr>
        <w:pStyle w:val="a8"/>
        <w:numPr>
          <w:ilvl w:val="0"/>
          <w:numId w:val="4"/>
        </w:numPr>
        <w:spacing w:before="93"/>
        <w:ind w:firstLineChars="0"/>
      </w:pPr>
      <w:r>
        <w:t>Any-U: any UL signals or channels scheduled by DCI and RRC, such as DG PUSCH, CG PUSCH, PUCCH, SRS, etc.</w:t>
      </w:r>
    </w:p>
    <w:p w14:paraId="2464AC45" w14:textId="77777777" w:rsidR="00D141AF" w:rsidRDefault="00D141AF" w:rsidP="00D141AF">
      <w:pPr>
        <w:spacing w:before="93"/>
      </w:pPr>
      <w:r>
        <w:t>The legacy rules may be problematic for SBFD</w:t>
      </w:r>
      <w:r>
        <w:rPr>
          <w:rFonts w:hint="eastAsia"/>
        </w:rPr>
        <w:t>,</w:t>
      </w:r>
      <w:r>
        <w:t xml:space="preserve"> e.g.,</w:t>
      </w:r>
    </w:p>
    <w:p w14:paraId="4531AB42" w14:textId="77777777" w:rsidR="00D141AF" w:rsidRDefault="00D141AF" w:rsidP="001E359B">
      <w:pPr>
        <w:pStyle w:val="a8"/>
        <w:numPr>
          <w:ilvl w:val="0"/>
          <w:numId w:val="7"/>
        </w:numPr>
        <w:spacing w:before="93"/>
        <w:ind w:firstLineChars="0"/>
      </w:pPr>
      <w:r>
        <w:rPr>
          <w:rFonts w:hint="eastAsia"/>
        </w:rPr>
        <w:t>F</w:t>
      </w:r>
      <w:r>
        <w:t>or legacy behavior, any DL signals or channels will be dropped in a symbol configured as semi-U. If it is reused for SBFD, the DL signals or channels cannot be transmitted on DL subband in the symbol configured as semi-U.</w:t>
      </w:r>
    </w:p>
    <w:p w14:paraId="1D83D4CD" w14:textId="77777777" w:rsidR="00D141AF" w:rsidRDefault="00D141AF" w:rsidP="001E359B">
      <w:pPr>
        <w:pStyle w:val="a8"/>
        <w:numPr>
          <w:ilvl w:val="0"/>
          <w:numId w:val="7"/>
        </w:numPr>
        <w:spacing w:before="93"/>
        <w:ind w:firstLineChars="0"/>
      </w:pPr>
      <w:r>
        <w:rPr>
          <w:rFonts w:hint="eastAsia"/>
        </w:rPr>
        <w:t>F</w:t>
      </w:r>
      <w:r>
        <w:t>or legacy behavior, any UL signals or channels will be dropped in a symbol configured as semi-D. If it is reused for SBFD, the UL signals or channels cannot be transmitted on UL subband in the symbol configured as semi-D.</w:t>
      </w:r>
    </w:p>
    <w:p w14:paraId="65877D6F" w14:textId="77777777" w:rsidR="00D141AF" w:rsidRDefault="00D141AF" w:rsidP="001E359B">
      <w:pPr>
        <w:pStyle w:val="a8"/>
        <w:numPr>
          <w:ilvl w:val="0"/>
          <w:numId w:val="7"/>
        </w:numPr>
        <w:spacing w:before="93"/>
        <w:ind w:firstLineChars="0"/>
      </w:pPr>
      <w:r>
        <w:rPr>
          <w:rFonts w:hint="eastAsia"/>
        </w:rPr>
        <w:t>F</w:t>
      </w:r>
      <w:r>
        <w:t xml:space="preserve">or legacy behavior, any UL signals or channels will be dropped in a symbol indicated to receive SSB. If it is reused for SBFD, the UL signals or channels cannot be transmitted on the UL subband in the symbol indicated to receive SSB on the DL subband even if the UE does not require to receive the </w:t>
      </w:r>
      <w:r>
        <w:lastRenderedPageBreak/>
        <w:t>SSB; it will increase the feedback delay.</w:t>
      </w:r>
    </w:p>
    <w:p w14:paraId="19E3F7AC" w14:textId="77777777" w:rsidR="00D141AF" w:rsidRDefault="00D141AF" w:rsidP="001E359B">
      <w:pPr>
        <w:pStyle w:val="a8"/>
        <w:numPr>
          <w:ilvl w:val="0"/>
          <w:numId w:val="7"/>
        </w:numPr>
        <w:spacing w:before="93"/>
        <w:ind w:firstLineChars="0"/>
      </w:pPr>
      <w:r>
        <w:rPr>
          <w:rFonts w:hint="eastAsia"/>
        </w:rPr>
        <w:t>F</w:t>
      </w:r>
      <w:r>
        <w:t>or legacy behavior, the SSB cannot be received in a symbol configured as semi-U. If it is reused for SBFD, it means SSB cannot be received on the DL subband in a symbol configured as semi-U. It limits the flexibility of SBFD.</w:t>
      </w:r>
    </w:p>
    <w:p w14:paraId="59A14DFC" w14:textId="77777777" w:rsidR="00D141AF" w:rsidRDefault="00D141AF" w:rsidP="001E359B">
      <w:pPr>
        <w:pStyle w:val="a8"/>
        <w:numPr>
          <w:ilvl w:val="0"/>
          <w:numId w:val="7"/>
        </w:numPr>
        <w:spacing w:before="93"/>
        <w:ind w:firstLineChars="0"/>
      </w:pPr>
      <w:r>
        <w:t>For legacy behavior, the valid PRACH cannot be transmitted in a symbol configured as semi-D. If it is reused for SBFD, the valid PRACH cannot be transmitted on the UL subband in a symbol configured as semi-D; it will degrade the initial access performance.</w:t>
      </w:r>
    </w:p>
    <w:p w14:paraId="1C39A7D9" w14:textId="77777777" w:rsidR="00D141AF" w:rsidRDefault="00D141AF" w:rsidP="001E359B">
      <w:pPr>
        <w:pStyle w:val="a8"/>
        <w:numPr>
          <w:ilvl w:val="0"/>
          <w:numId w:val="7"/>
        </w:numPr>
        <w:spacing w:before="93"/>
        <w:ind w:firstLineChars="0"/>
      </w:pPr>
      <w:r>
        <w:rPr>
          <w:rFonts w:hint="eastAsia"/>
        </w:rPr>
        <w:t>F</w:t>
      </w:r>
      <w:r>
        <w:t>or legacy behavior, CORESET 0 cannot be configured in a symbol configured as semi-U. If it is reused for SBFD, CORESET 0 cannot be configured on the DL subband in a symbol configured as semi-U; it will affect the flexibility of scheduler.</w:t>
      </w:r>
    </w:p>
    <w:p w14:paraId="6AE8E780" w14:textId="0BDEC66E" w:rsidR="00D141AF" w:rsidRDefault="00D141AF" w:rsidP="00D141AF">
      <w:pPr>
        <w:spacing w:before="93"/>
        <w:rPr>
          <w:i/>
        </w:rPr>
      </w:pPr>
      <w:r w:rsidRPr="00A728B1">
        <w:rPr>
          <w:b/>
          <w:i/>
        </w:rPr>
        <w:t xml:space="preserve">Proposal </w:t>
      </w:r>
      <w:r w:rsidR="00AD7810">
        <w:rPr>
          <w:b/>
          <w:i/>
        </w:rPr>
        <w:t>3</w:t>
      </w:r>
      <w:r w:rsidR="00B83EA5">
        <w:rPr>
          <w:b/>
          <w:i/>
        </w:rPr>
        <w:t>1</w:t>
      </w:r>
      <w:r w:rsidRPr="00C44D47">
        <w:rPr>
          <w:b/>
          <w:i/>
        </w:rPr>
        <w:t xml:space="preserve">: </w:t>
      </w:r>
      <w:r w:rsidRPr="00C44D47">
        <w:rPr>
          <w:i/>
        </w:rPr>
        <w:t>UE half-duplex on handling conflict UL/DL indicating signaling for the same OFDM symbol should be stu</w:t>
      </w:r>
      <w:r>
        <w:rPr>
          <w:i/>
        </w:rPr>
        <w:t>died, e.g.,</w:t>
      </w:r>
    </w:p>
    <w:p w14:paraId="04061822" w14:textId="77777777" w:rsidR="00D141AF" w:rsidRPr="00A96621" w:rsidRDefault="00D141AF" w:rsidP="001E359B">
      <w:pPr>
        <w:pStyle w:val="a8"/>
        <w:numPr>
          <w:ilvl w:val="0"/>
          <w:numId w:val="8"/>
        </w:numPr>
        <w:spacing w:before="93"/>
        <w:ind w:firstLineChars="0"/>
        <w:rPr>
          <w:i/>
        </w:rPr>
      </w:pPr>
      <w:r w:rsidRPr="00A96621">
        <w:rPr>
          <w:i/>
        </w:rPr>
        <w:t>Any DL signals or channels are indicated to transmit on the DL subband in a symbol configured as semi-U.</w:t>
      </w:r>
    </w:p>
    <w:p w14:paraId="78D882ED" w14:textId="77777777" w:rsidR="00D141AF" w:rsidRPr="00A96621" w:rsidRDefault="00D141AF" w:rsidP="001E359B">
      <w:pPr>
        <w:pStyle w:val="a8"/>
        <w:numPr>
          <w:ilvl w:val="0"/>
          <w:numId w:val="8"/>
        </w:numPr>
        <w:spacing w:before="93"/>
        <w:ind w:firstLineChars="0"/>
        <w:rPr>
          <w:i/>
        </w:rPr>
      </w:pPr>
      <w:r w:rsidRPr="00A96621">
        <w:rPr>
          <w:i/>
        </w:rPr>
        <w:t xml:space="preserve">Any UL signals or channels are </w:t>
      </w:r>
      <w:r>
        <w:rPr>
          <w:i/>
        </w:rPr>
        <w:t>indicated to transmit on the U</w:t>
      </w:r>
      <w:r w:rsidRPr="00A96621">
        <w:rPr>
          <w:i/>
        </w:rPr>
        <w:t>L subband in a symbol configured as semi-</w:t>
      </w:r>
      <w:r>
        <w:rPr>
          <w:i/>
        </w:rPr>
        <w:t>D</w:t>
      </w:r>
      <w:r w:rsidRPr="00A96621">
        <w:rPr>
          <w:i/>
        </w:rPr>
        <w:t>.</w:t>
      </w:r>
    </w:p>
    <w:p w14:paraId="2523AF3E" w14:textId="77777777" w:rsidR="00D141AF" w:rsidRDefault="00D141AF" w:rsidP="001E359B">
      <w:pPr>
        <w:pStyle w:val="a8"/>
        <w:numPr>
          <w:ilvl w:val="0"/>
          <w:numId w:val="8"/>
        </w:numPr>
        <w:spacing w:before="93"/>
        <w:ind w:firstLineChars="0"/>
        <w:rPr>
          <w:i/>
        </w:rPr>
      </w:pPr>
      <w:r>
        <w:rPr>
          <w:rFonts w:hint="eastAsia"/>
          <w:i/>
        </w:rPr>
        <w:t>A</w:t>
      </w:r>
      <w:r>
        <w:rPr>
          <w:i/>
        </w:rPr>
        <w:t>ny UL signals or channels are indicated to transmit on the UL subband in a symbol indicated to receive SSB on the DL subband.</w:t>
      </w:r>
    </w:p>
    <w:p w14:paraId="65069BC9" w14:textId="77777777" w:rsidR="00D141AF" w:rsidRDefault="00D141AF" w:rsidP="001E359B">
      <w:pPr>
        <w:pStyle w:val="a8"/>
        <w:numPr>
          <w:ilvl w:val="0"/>
          <w:numId w:val="8"/>
        </w:numPr>
        <w:spacing w:before="93"/>
        <w:ind w:firstLineChars="0"/>
        <w:rPr>
          <w:i/>
        </w:rPr>
      </w:pPr>
      <w:r>
        <w:rPr>
          <w:rFonts w:hint="eastAsia"/>
          <w:i/>
        </w:rPr>
        <w:t>S</w:t>
      </w:r>
      <w:r>
        <w:rPr>
          <w:i/>
        </w:rPr>
        <w:t>SB is indicated to receive on the DL subband in a symbol configured as semi-U.</w:t>
      </w:r>
    </w:p>
    <w:p w14:paraId="49936C0C" w14:textId="77777777" w:rsidR="00D141AF" w:rsidRDefault="00D141AF" w:rsidP="001E359B">
      <w:pPr>
        <w:pStyle w:val="a8"/>
        <w:numPr>
          <w:ilvl w:val="0"/>
          <w:numId w:val="8"/>
        </w:numPr>
        <w:spacing w:before="93"/>
        <w:ind w:firstLineChars="0"/>
        <w:rPr>
          <w:i/>
        </w:rPr>
      </w:pPr>
      <w:r>
        <w:rPr>
          <w:rFonts w:hint="eastAsia"/>
          <w:i/>
        </w:rPr>
        <w:t>V</w:t>
      </w:r>
      <w:r>
        <w:rPr>
          <w:i/>
        </w:rPr>
        <w:t>alid PRACH is indicated to transmit on UL subband in a symbol configured as semi-D.</w:t>
      </w:r>
    </w:p>
    <w:p w14:paraId="37A4F621" w14:textId="77777777" w:rsidR="00D141AF" w:rsidRPr="00A96621" w:rsidRDefault="00D141AF" w:rsidP="001E359B">
      <w:pPr>
        <w:pStyle w:val="a8"/>
        <w:numPr>
          <w:ilvl w:val="0"/>
          <w:numId w:val="8"/>
        </w:numPr>
        <w:spacing w:before="93"/>
        <w:ind w:firstLineChars="0"/>
        <w:rPr>
          <w:i/>
        </w:rPr>
      </w:pPr>
      <w:r>
        <w:rPr>
          <w:rFonts w:hint="eastAsia"/>
          <w:i/>
        </w:rPr>
        <w:t>C</w:t>
      </w:r>
      <w:r>
        <w:rPr>
          <w:i/>
        </w:rPr>
        <w:t>ORESET 0 configured in the DL subband in a symbol configured as semi-U.</w:t>
      </w:r>
    </w:p>
    <w:p w14:paraId="4E832DCC" w14:textId="77777777" w:rsidR="00D141AF" w:rsidRDefault="00D141AF" w:rsidP="00D141AF">
      <w:pPr>
        <w:spacing w:before="93"/>
        <w:jc w:val="center"/>
      </w:pPr>
    </w:p>
    <w:p w14:paraId="1980D4D6" w14:textId="7C6F1052" w:rsidR="00D141AF" w:rsidRDefault="00D141AF" w:rsidP="00D141AF">
      <w:pPr>
        <w:spacing w:before="93"/>
        <w:jc w:val="center"/>
      </w:pPr>
      <w:r>
        <w:t xml:space="preserve">Table </w:t>
      </w:r>
      <w:r w:rsidR="00836C09">
        <w:t>3</w:t>
      </w:r>
      <w:r>
        <w:t xml:space="preserve"> UL/DL signal collision</w:t>
      </w:r>
    </w:p>
    <w:tbl>
      <w:tblPr>
        <w:tblStyle w:val="a7"/>
        <w:tblW w:w="0" w:type="auto"/>
        <w:tblLook w:val="04A0" w:firstRow="1" w:lastRow="0" w:firstColumn="1" w:lastColumn="0" w:noHBand="0" w:noVBand="1"/>
      </w:tblPr>
      <w:tblGrid>
        <w:gridCol w:w="3101"/>
        <w:gridCol w:w="3102"/>
        <w:gridCol w:w="3102"/>
      </w:tblGrid>
      <w:tr w:rsidR="00D141AF" w14:paraId="1EC81842" w14:textId="77777777" w:rsidTr="0011271F">
        <w:tc>
          <w:tcPr>
            <w:tcW w:w="3101" w:type="dxa"/>
          </w:tcPr>
          <w:p w14:paraId="7E71D487" w14:textId="77777777" w:rsidR="00D141AF" w:rsidRPr="00C44D47" w:rsidRDefault="00D141AF" w:rsidP="0011271F">
            <w:pPr>
              <w:spacing w:before="93"/>
              <w:jc w:val="center"/>
              <w:rPr>
                <w:sz w:val="20"/>
              </w:rPr>
            </w:pPr>
            <w:r w:rsidRPr="00C44D47">
              <w:rPr>
                <w:sz w:val="20"/>
              </w:rPr>
              <w:t>Signaling A</w:t>
            </w:r>
          </w:p>
        </w:tc>
        <w:tc>
          <w:tcPr>
            <w:tcW w:w="3102" w:type="dxa"/>
          </w:tcPr>
          <w:p w14:paraId="6FF3477C" w14:textId="77777777" w:rsidR="00D141AF" w:rsidRPr="00C44D47" w:rsidRDefault="00D141AF" w:rsidP="0011271F">
            <w:pPr>
              <w:spacing w:before="93"/>
              <w:jc w:val="center"/>
              <w:rPr>
                <w:sz w:val="20"/>
              </w:rPr>
            </w:pPr>
            <w:r w:rsidRPr="00C44D47">
              <w:rPr>
                <w:sz w:val="20"/>
              </w:rPr>
              <w:t>Signaling B</w:t>
            </w:r>
          </w:p>
        </w:tc>
        <w:tc>
          <w:tcPr>
            <w:tcW w:w="3102" w:type="dxa"/>
          </w:tcPr>
          <w:p w14:paraId="630A5768" w14:textId="77777777" w:rsidR="00D141AF" w:rsidRPr="00C44D47" w:rsidRDefault="00D141AF" w:rsidP="0011271F">
            <w:pPr>
              <w:spacing w:before="93"/>
              <w:jc w:val="center"/>
              <w:rPr>
                <w:sz w:val="20"/>
              </w:rPr>
            </w:pPr>
            <w:r w:rsidRPr="00C44D47">
              <w:rPr>
                <w:sz w:val="20"/>
              </w:rPr>
              <w:t>Legacy actions</w:t>
            </w:r>
          </w:p>
        </w:tc>
      </w:tr>
      <w:tr w:rsidR="00D141AF" w14:paraId="7FA6F088" w14:textId="77777777" w:rsidTr="0011271F">
        <w:tc>
          <w:tcPr>
            <w:tcW w:w="3101" w:type="dxa"/>
          </w:tcPr>
          <w:p w14:paraId="7D576FE5" w14:textId="77777777" w:rsidR="00D141AF" w:rsidRPr="00C44D47" w:rsidRDefault="00D141AF" w:rsidP="0011271F">
            <w:pPr>
              <w:spacing w:before="93"/>
              <w:jc w:val="center"/>
              <w:rPr>
                <w:sz w:val="20"/>
              </w:rPr>
            </w:pPr>
            <w:r w:rsidRPr="00C44D47">
              <w:rPr>
                <w:iCs/>
              </w:rPr>
              <w:t>Semi-U</w:t>
            </w:r>
          </w:p>
        </w:tc>
        <w:tc>
          <w:tcPr>
            <w:tcW w:w="3102" w:type="dxa"/>
          </w:tcPr>
          <w:p w14:paraId="1E6C8ED1" w14:textId="77777777" w:rsidR="00D141AF" w:rsidRPr="00C44D47" w:rsidRDefault="00D141AF" w:rsidP="0011271F">
            <w:pPr>
              <w:spacing w:before="93"/>
              <w:jc w:val="center"/>
              <w:rPr>
                <w:sz w:val="20"/>
              </w:rPr>
            </w:pPr>
            <w:r w:rsidRPr="00940813">
              <w:rPr>
                <w:sz w:val="20"/>
              </w:rPr>
              <w:t>Any-D</w:t>
            </w:r>
          </w:p>
        </w:tc>
        <w:tc>
          <w:tcPr>
            <w:tcW w:w="3102" w:type="dxa"/>
          </w:tcPr>
          <w:p w14:paraId="45AFADAF" w14:textId="77777777" w:rsidR="00D141AF" w:rsidRPr="00C44D47" w:rsidRDefault="00D141AF" w:rsidP="0011271F">
            <w:pPr>
              <w:spacing w:before="93"/>
              <w:jc w:val="center"/>
              <w:rPr>
                <w:sz w:val="20"/>
              </w:rPr>
            </w:pPr>
            <w:r>
              <w:rPr>
                <w:rFonts w:hint="eastAsia"/>
                <w:sz w:val="20"/>
              </w:rPr>
              <w:t>D</w:t>
            </w:r>
            <w:r>
              <w:rPr>
                <w:sz w:val="20"/>
              </w:rPr>
              <w:t>rop D</w:t>
            </w:r>
          </w:p>
        </w:tc>
      </w:tr>
      <w:tr w:rsidR="00D141AF" w14:paraId="0DCEA66D" w14:textId="77777777" w:rsidTr="0011271F">
        <w:tc>
          <w:tcPr>
            <w:tcW w:w="3101" w:type="dxa"/>
          </w:tcPr>
          <w:p w14:paraId="42668911" w14:textId="77777777" w:rsidR="00D141AF" w:rsidRPr="00C44D47" w:rsidRDefault="00D141AF" w:rsidP="0011271F">
            <w:pPr>
              <w:spacing w:before="93"/>
              <w:jc w:val="center"/>
              <w:rPr>
                <w:iCs/>
              </w:rPr>
            </w:pPr>
            <w:r w:rsidRPr="00C44D47">
              <w:rPr>
                <w:iCs/>
              </w:rPr>
              <w:t>Semi-D</w:t>
            </w:r>
          </w:p>
        </w:tc>
        <w:tc>
          <w:tcPr>
            <w:tcW w:w="3102" w:type="dxa"/>
          </w:tcPr>
          <w:p w14:paraId="72A52E29" w14:textId="77777777" w:rsidR="00D141AF" w:rsidRPr="00940813" w:rsidRDefault="00D141AF" w:rsidP="0011271F">
            <w:pPr>
              <w:spacing w:before="93"/>
              <w:jc w:val="center"/>
              <w:rPr>
                <w:sz w:val="20"/>
              </w:rPr>
            </w:pPr>
            <w:r>
              <w:rPr>
                <w:sz w:val="20"/>
              </w:rPr>
              <w:t>Any-U</w:t>
            </w:r>
          </w:p>
        </w:tc>
        <w:tc>
          <w:tcPr>
            <w:tcW w:w="3102" w:type="dxa"/>
          </w:tcPr>
          <w:p w14:paraId="45E8C4B1" w14:textId="77777777" w:rsidR="00D141AF" w:rsidRPr="00940813" w:rsidRDefault="00D141AF" w:rsidP="0011271F">
            <w:pPr>
              <w:spacing w:before="93"/>
              <w:jc w:val="center"/>
              <w:rPr>
                <w:sz w:val="20"/>
              </w:rPr>
            </w:pPr>
            <w:r>
              <w:rPr>
                <w:rFonts w:hint="eastAsia"/>
                <w:sz w:val="20"/>
              </w:rPr>
              <w:t>D</w:t>
            </w:r>
            <w:r>
              <w:rPr>
                <w:sz w:val="20"/>
              </w:rPr>
              <w:t>rop U</w:t>
            </w:r>
          </w:p>
        </w:tc>
      </w:tr>
      <w:tr w:rsidR="00D141AF" w14:paraId="4B63021F" w14:textId="77777777" w:rsidTr="0011271F">
        <w:tc>
          <w:tcPr>
            <w:tcW w:w="3101" w:type="dxa"/>
          </w:tcPr>
          <w:p w14:paraId="4BD35B32" w14:textId="77777777" w:rsidR="00D141AF" w:rsidRPr="00C44D47" w:rsidRDefault="00D141AF" w:rsidP="0011271F">
            <w:pPr>
              <w:spacing w:before="93"/>
              <w:jc w:val="center"/>
              <w:rPr>
                <w:sz w:val="20"/>
              </w:rPr>
            </w:pPr>
            <w:r>
              <w:rPr>
                <w:rFonts w:hint="eastAsia"/>
                <w:sz w:val="20"/>
              </w:rPr>
              <w:t>S</w:t>
            </w:r>
            <w:r>
              <w:rPr>
                <w:sz w:val="20"/>
              </w:rPr>
              <w:t>SB</w:t>
            </w:r>
          </w:p>
        </w:tc>
        <w:tc>
          <w:tcPr>
            <w:tcW w:w="3102" w:type="dxa"/>
          </w:tcPr>
          <w:p w14:paraId="065E5E77" w14:textId="77777777" w:rsidR="00D141AF" w:rsidRPr="00C44D47" w:rsidRDefault="00D141AF" w:rsidP="0011271F">
            <w:pPr>
              <w:spacing w:before="93"/>
              <w:jc w:val="center"/>
              <w:rPr>
                <w:sz w:val="20"/>
              </w:rPr>
            </w:pPr>
            <w:r>
              <w:rPr>
                <w:rFonts w:hint="eastAsia"/>
                <w:sz w:val="20"/>
              </w:rPr>
              <w:t>An</w:t>
            </w:r>
            <w:r>
              <w:rPr>
                <w:sz w:val="20"/>
              </w:rPr>
              <w:t>y-U</w:t>
            </w:r>
          </w:p>
        </w:tc>
        <w:tc>
          <w:tcPr>
            <w:tcW w:w="3102" w:type="dxa"/>
          </w:tcPr>
          <w:p w14:paraId="6D5AB1C7" w14:textId="77777777" w:rsidR="00D141AF" w:rsidRPr="00C44D47" w:rsidRDefault="00D141AF" w:rsidP="0011271F">
            <w:pPr>
              <w:spacing w:before="93"/>
              <w:jc w:val="center"/>
              <w:rPr>
                <w:sz w:val="20"/>
              </w:rPr>
            </w:pPr>
            <w:r>
              <w:rPr>
                <w:rFonts w:hint="eastAsia"/>
                <w:sz w:val="20"/>
              </w:rPr>
              <w:t>D</w:t>
            </w:r>
            <w:r>
              <w:rPr>
                <w:sz w:val="20"/>
              </w:rPr>
              <w:t>rop U</w:t>
            </w:r>
          </w:p>
        </w:tc>
      </w:tr>
      <w:tr w:rsidR="00D141AF" w14:paraId="024FA5F1" w14:textId="77777777" w:rsidTr="0011271F">
        <w:tc>
          <w:tcPr>
            <w:tcW w:w="3101" w:type="dxa"/>
          </w:tcPr>
          <w:p w14:paraId="30554F95" w14:textId="77777777" w:rsidR="00D141AF" w:rsidRPr="00C44D47" w:rsidRDefault="00D141AF" w:rsidP="0011271F">
            <w:pPr>
              <w:spacing w:before="93"/>
              <w:jc w:val="center"/>
              <w:rPr>
                <w:sz w:val="20"/>
              </w:rPr>
            </w:pPr>
            <w:r>
              <w:rPr>
                <w:rFonts w:hint="eastAsia"/>
                <w:sz w:val="20"/>
              </w:rPr>
              <w:t>S</w:t>
            </w:r>
            <w:r>
              <w:rPr>
                <w:sz w:val="20"/>
              </w:rPr>
              <w:t>SB</w:t>
            </w:r>
          </w:p>
        </w:tc>
        <w:tc>
          <w:tcPr>
            <w:tcW w:w="3102" w:type="dxa"/>
          </w:tcPr>
          <w:p w14:paraId="53DAC552" w14:textId="77777777" w:rsidR="00D141AF" w:rsidRPr="00C44D47" w:rsidRDefault="00D141AF" w:rsidP="0011271F">
            <w:pPr>
              <w:spacing w:before="93"/>
              <w:jc w:val="center"/>
              <w:rPr>
                <w:sz w:val="20"/>
              </w:rPr>
            </w:pPr>
            <w:r>
              <w:rPr>
                <w:sz w:val="20"/>
              </w:rPr>
              <w:t>Semi-U</w:t>
            </w:r>
          </w:p>
        </w:tc>
        <w:tc>
          <w:tcPr>
            <w:tcW w:w="3102" w:type="dxa"/>
          </w:tcPr>
          <w:p w14:paraId="0AD0AB7E" w14:textId="77777777" w:rsidR="00D141AF" w:rsidRPr="00C44D47" w:rsidRDefault="00D141AF" w:rsidP="0011271F">
            <w:pPr>
              <w:spacing w:before="93"/>
              <w:jc w:val="center"/>
              <w:rPr>
                <w:sz w:val="20"/>
              </w:rPr>
            </w:pPr>
            <w:r>
              <w:rPr>
                <w:rFonts w:hint="eastAsia"/>
                <w:sz w:val="20"/>
              </w:rPr>
              <w:t>E</w:t>
            </w:r>
            <w:r>
              <w:rPr>
                <w:sz w:val="20"/>
              </w:rPr>
              <w:t>rror case</w:t>
            </w:r>
          </w:p>
        </w:tc>
      </w:tr>
      <w:tr w:rsidR="00D141AF" w14:paraId="4E5DFFC4" w14:textId="77777777" w:rsidTr="0011271F">
        <w:tc>
          <w:tcPr>
            <w:tcW w:w="3101" w:type="dxa"/>
          </w:tcPr>
          <w:p w14:paraId="449DC5A0" w14:textId="77777777" w:rsidR="00D141AF" w:rsidRPr="00C44D47" w:rsidRDefault="00D141AF" w:rsidP="0011271F">
            <w:pPr>
              <w:spacing w:before="93"/>
              <w:jc w:val="center"/>
              <w:rPr>
                <w:sz w:val="20"/>
              </w:rPr>
            </w:pPr>
            <w:r>
              <w:rPr>
                <w:sz w:val="20"/>
              </w:rPr>
              <w:t>Valid PRACH</w:t>
            </w:r>
          </w:p>
        </w:tc>
        <w:tc>
          <w:tcPr>
            <w:tcW w:w="3102" w:type="dxa"/>
          </w:tcPr>
          <w:p w14:paraId="73B35202" w14:textId="77777777" w:rsidR="00D141AF" w:rsidRPr="00C44D47" w:rsidRDefault="00D141AF" w:rsidP="0011271F">
            <w:pPr>
              <w:spacing w:before="93"/>
              <w:jc w:val="center"/>
              <w:rPr>
                <w:sz w:val="20"/>
              </w:rPr>
            </w:pPr>
            <w:r>
              <w:rPr>
                <w:rFonts w:hint="eastAsia"/>
                <w:sz w:val="20"/>
              </w:rPr>
              <w:t>S</w:t>
            </w:r>
            <w:r>
              <w:rPr>
                <w:sz w:val="20"/>
              </w:rPr>
              <w:t>emi-D</w:t>
            </w:r>
          </w:p>
        </w:tc>
        <w:tc>
          <w:tcPr>
            <w:tcW w:w="3102" w:type="dxa"/>
          </w:tcPr>
          <w:p w14:paraId="415E0120" w14:textId="77777777" w:rsidR="00D141AF" w:rsidRPr="00C44D47" w:rsidRDefault="00D141AF" w:rsidP="0011271F">
            <w:pPr>
              <w:spacing w:before="93"/>
              <w:jc w:val="center"/>
              <w:rPr>
                <w:sz w:val="20"/>
              </w:rPr>
            </w:pPr>
            <w:r>
              <w:rPr>
                <w:rFonts w:hint="eastAsia"/>
                <w:sz w:val="20"/>
              </w:rPr>
              <w:t>E</w:t>
            </w:r>
            <w:r>
              <w:rPr>
                <w:sz w:val="20"/>
              </w:rPr>
              <w:t>rror case</w:t>
            </w:r>
          </w:p>
        </w:tc>
      </w:tr>
      <w:tr w:rsidR="00D141AF" w14:paraId="31D3E991" w14:textId="77777777" w:rsidTr="0011271F">
        <w:tc>
          <w:tcPr>
            <w:tcW w:w="3101" w:type="dxa"/>
          </w:tcPr>
          <w:p w14:paraId="0729E590" w14:textId="77777777" w:rsidR="00D141AF" w:rsidRPr="00C44D47" w:rsidRDefault="00D141AF" w:rsidP="0011271F">
            <w:pPr>
              <w:spacing w:before="93"/>
              <w:jc w:val="center"/>
              <w:rPr>
                <w:sz w:val="20"/>
              </w:rPr>
            </w:pPr>
            <w:r>
              <w:rPr>
                <w:rFonts w:hint="eastAsia"/>
                <w:sz w:val="20"/>
              </w:rPr>
              <w:t>C</w:t>
            </w:r>
            <w:r>
              <w:rPr>
                <w:sz w:val="20"/>
              </w:rPr>
              <w:t>ORESET 0</w:t>
            </w:r>
          </w:p>
        </w:tc>
        <w:tc>
          <w:tcPr>
            <w:tcW w:w="3102" w:type="dxa"/>
          </w:tcPr>
          <w:p w14:paraId="6D58733E" w14:textId="77777777" w:rsidR="00D141AF" w:rsidRPr="00C44D47" w:rsidRDefault="00D141AF" w:rsidP="0011271F">
            <w:pPr>
              <w:spacing w:before="93"/>
              <w:jc w:val="center"/>
              <w:rPr>
                <w:sz w:val="20"/>
              </w:rPr>
            </w:pPr>
            <w:r>
              <w:rPr>
                <w:rFonts w:hint="eastAsia"/>
                <w:sz w:val="20"/>
              </w:rPr>
              <w:t>S</w:t>
            </w:r>
            <w:r>
              <w:rPr>
                <w:sz w:val="20"/>
              </w:rPr>
              <w:t>emi-U</w:t>
            </w:r>
          </w:p>
        </w:tc>
        <w:tc>
          <w:tcPr>
            <w:tcW w:w="3102" w:type="dxa"/>
          </w:tcPr>
          <w:p w14:paraId="7549F89F" w14:textId="77777777" w:rsidR="00D141AF" w:rsidRPr="00C44D47" w:rsidRDefault="00D141AF" w:rsidP="0011271F">
            <w:pPr>
              <w:spacing w:before="93"/>
              <w:jc w:val="center"/>
              <w:rPr>
                <w:sz w:val="20"/>
              </w:rPr>
            </w:pPr>
            <w:r>
              <w:rPr>
                <w:rFonts w:hint="eastAsia"/>
                <w:sz w:val="20"/>
              </w:rPr>
              <w:t>E</w:t>
            </w:r>
            <w:r>
              <w:rPr>
                <w:sz w:val="20"/>
              </w:rPr>
              <w:t>rror case</w:t>
            </w:r>
          </w:p>
        </w:tc>
      </w:tr>
    </w:tbl>
    <w:p w14:paraId="2AD814BF" w14:textId="77777777" w:rsidR="008C68F4" w:rsidRPr="00843D8B" w:rsidRDefault="008C68F4" w:rsidP="00F24103">
      <w:pPr>
        <w:widowControl/>
        <w:autoSpaceDE w:val="0"/>
        <w:autoSpaceDN w:val="0"/>
        <w:spacing w:before="93" w:after="93" w:line="240" w:lineRule="auto"/>
        <w:jc w:val="center"/>
      </w:pPr>
    </w:p>
    <w:p w14:paraId="7B24E11F" w14:textId="759D1101" w:rsidR="009B19F4" w:rsidRDefault="002E647F" w:rsidP="00286B4E">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I</w:t>
      </w:r>
      <w:r w:rsidR="00743952">
        <w:rPr>
          <w:rFonts w:eastAsia="宋体" w:cs="Times New Roman"/>
          <w:b/>
          <w:bCs/>
          <w:kern w:val="0"/>
          <w:sz w:val="28"/>
          <w:szCs w:val="28"/>
        </w:rPr>
        <w:t xml:space="preserve">nterference </w:t>
      </w:r>
      <w:r w:rsidR="00D835A8">
        <w:rPr>
          <w:rFonts w:eastAsia="宋体" w:cs="Times New Roman"/>
          <w:b/>
          <w:bCs/>
          <w:kern w:val="0"/>
          <w:sz w:val="28"/>
          <w:szCs w:val="28"/>
        </w:rPr>
        <w:t xml:space="preserve">handling </w:t>
      </w:r>
      <w:r w:rsidR="00BF0B8C">
        <w:rPr>
          <w:rFonts w:eastAsia="宋体" w:cs="Times New Roman"/>
          <w:b/>
          <w:bCs/>
          <w:kern w:val="0"/>
          <w:sz w:val="28"/>
          <w:szCs w:val="28"/>
        </w:rPr>
        <w:t>at</w:t>
      </w:r>
      <w:r w:rsidR="00D835A8">
        <w:rPr>
          <w:rFonts w:eastAsia="宋体" w:cs="Times New Roman"/>
          <w:b/>
          <w:bCs/>
          <w:kern w:val="0"/>
          <w:sz w:val="28"/>
          <w:szCs w:val="28"/>
        </w:rPr>
        <w:t xml:space="preserve"> gNB</w:t>
      </w:r>
      <w:r w:rsidR="00C64E8A">
        <w:rPr>
          <w:rFonts w:eastAsia="宋体" w:cs="Times New Roman"/>
          <w:b/>
          <w:bCs/>
          <w:kern w:val="0"/>
          <w:sz w:val="28"/>
          <w:szCs w:val="28"/>
        </w:rPr>
        <w:t xml:space="preserve"> side</w:t>
      </w:r>
    </w:p>
    <w:p w14:paraId="118DA862" w14:textId="3ADAC402" w:rsidR="00167E89" w:rsidRDefault="00167E89" w:rsidP="007539FD">
      <w:pPr>
        <w:spacing w:before="93"/>
      </w:pPr>
      <w:r>
        <w:rPr>
          <w:rFonts w:hint="eastAsia"/>
        </w:rPr>
        <w:t>A</w:t>
      </w:r>
      <w:r>
        <w:t xml:space="preserve">s discussed in </w:t>
      </w:r>
      <w:r w:rsidR="00BC1B3C">
        <w:t>RAN1</w:t>
      </w:r>
      <w:r w:rsidR="00BC1B3C">
        <w:rPr>
          <w:rFonts w:hint="eastAsia"/>
        </w:rPr>
        <w:t>#</w:t>
      </w:r>
      <w:r w:rsidR="00BC1B3C">
        <w:t>109-</w:t>
      </w:r>
      <w:r w:rsidR="00BC1B3C">
        <w:rPr>
          <w:rFonts w:hint="eastAsia"/>
        </w:rPr>
        <w:t>e</w:t>
      </w:r>
      <w:r w:rsidR="00BC1B3C">
        <w:t xml:space="preserve"> </w:t>
      </w:r>
      <w:r>
        <w:t>[2], the gNB-gNB co-channel inter-subband</w:t>
      </w:r>
      <w:r w:rsidR="000271FD">
        <w:t xml:space="preserve"> and adjacent-channel</w:t>
      </w:r>
      <w:r>
        <w:t xml:space="preserve"> CLI is serious so that the</w:t>
      </w:r>
      <w:r w:rsidR="00086E78">
        <w:t xml:space="preserve"> potential</w:t>
      </w:r>
      <w:r>
        <w:t xml:space="preserve"> benefits of SBFD</w:t>
      </w:r>
      <w:r w:rsidR="00BE0038">
        <w:t xml:space="preserve"> cannot be obtained</w:t>
      </w:r>
      <w:r>
        <w:t>, e.g., UL coverage enhancements, low latency, etc. Therefore, it is import</w:t>
      </w:r>
      <w:r w:rsidR="00A76C62">
        <w:t>ant</w:t>
      </w:r>
      <w:r>
        <w:t xml:space="preserve"> to study potential </w:t>
      </w:r>
      <w:r w:rsidR="00A86C27">
        <w:t>solutions</w:t>
      </w:r>
      <w:r>
        <w:t xml:space="preserve"> of interference handling at gNB side.</w:t>
      </w:r>
    </w:p>
    <w:p w14:paraId="3FA55455" w14:textId="4BD219FE" w:rsidR="00743952" w:rsidRPr="0040782E" w:rsidRDefault="00A240F7" w:rsidP="00743952">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UL r</w:t>
      </w:r>
      <w:r w:rsidR="006C34A0">
        <w:rPr>
          <w:rFonts w:eastAsia="宋体" w:cs="Times New Roman"/>
          <w:b/>
          <w:bCs/>
          <w:kern w:val="0"/>
          <w:sz w:val="28"/>
          <w:szCs w:val="28"/>
        </w:rPr>
        <w:t>esources muting for gNB-gNB co-channel CLI measurement</w:t>
      </w:r>
    </w:p>
    <w:p w14:paraId="16E67D62" w14:textId="25F0B45B" w:rsidR="006C34A0" w:rsidRDefault="006C34A0" w:rsidP="00743952">
      <w:pPr>
        <w:spacing w:before="93"/>
      </w:pPr>
      <w:r>
        <w:t>In RAN1</w:t>
      </w:r>
      <w:r>
        <w:rPr>
          <w:rFonts w:hint="eastAsia"/>
        </w:rPr>
        <w:t>#</w:t>
      </w:r>
      <w:r>
        <w:t>110bis-e [</w:t>
      </w:r>
      <w:r w:rsidR="00E70112">
        <w:t>3</w:t>
      </w:r>
      <w:r>
        <w:t xml:space="preserve">], the following agreement about resources muting </w:t>
      </w:r>
      <w:r w:rsidR="0013686F">
        <w:t>for gNB-gNB co-channel CLI measurement was achieved.</w:t>
      </w:r>
    </w:p>
    <w:tbl>
      <w:tblPr>
        <w:tblStyle w:val="a7"/>
        <w:tblW w:w="0" w:type="auto"/>
        <w:tblLook w:val="04A0" w:firstRow="1" w:lastRow="0" w:firstColumn="1" w:lastColumn="0" w:noHBand="0" w:noVBand="1"/>
      </w:tblPr>
      <w:tblGrid>
        <w:gridCol w:w="9305"/>
      </w:tblGrid>
      <w:tr w:rsidR="00434C8E" w14:paraId="09514471" w14:textId="77777777" w:rsidTr="00195777">
        <w:trPr>
          <w:trHeight w:val="1908"/>
        </w:trPr>
        <w:tc>
          <w:tcPr>
            <w:tcW w:w="9305" w:type="dxa"/>
          </w:tcPr>
          <w:p w14:paraId="2A8F8018" w14:textId="77777777" w:rsidR="00434C8E" w:rsidRPr="00D1095F" w:rsidRDefault="00434C8E" w:rsidP="00434C8E">
            <w:pPr>
              <w:spacing w:before="93"/>
              <w:rPr>
                <w:b/>
              </w:rPr>
            </w:pPr>
            <w:r w:rsidRPr="00D1095F">
              <w:rPr>
                <w:b/>
                <w:highlight w:val="green"/>
              </w:rPr>
              <w:t>Agreement</w:t>
            </w:r>
          </w:p>
          <w:p w14:paraId="5E31E5BE" w14:textId="77777777" w:rsidR="00434C8E" w:rsidRDefault="00434C8E" w:rsidP="00434C8E">
            <w:pPr>
              <w:spacing w:before="93"/>
            </w:pPr>
            <w:r>
              <w:t>For gNB-to-gNB co-channel CLI measurement, the potential benefit of uplink resources muting can be studied further.</w:t>
            </w:r>
          </w:p>
          <w:p w14:paraId="333EBFCF" w14:textId="3B479FBD" w:rsidR="00434C8E" w:rsidRDefault="00434C8E" w:rsidP="00434C8E">
            <w:pPr>
              <w:spacing w:before="93"/>
            </w:pPr>
            <w:r>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tc>
      </w:tr>
    </w:tbl>
    <w:p w14:paraId="55098F8C" w14:textId="563BF705" w:rsidR="001E0BFD" w:rsidRDefault="001E0BFD" w:rsidP="001E0BFD">
      <w:pPr>
        <w:spacing w:before="93"/>
      </w:pPr>
      <w:r>
        <w:rPr>
          <w:rFonts w:hint="eastAsia"/>
        </w:rPr>
        <w:lastRenderedPageBreak/>
        <w:t>T</w:t>
      </w:r>
      <w:r>
        <w:t xml:space="preserve">o measure the UL and DL channel without being contaminated by gNB-gNB and UE-UE co-channel CLI, these CLI should be managed not to affect the channel estimation on UL DMRS and DL DMRS, respectively. So one potential way is to use orthogonal UL DMRS and DL DMRS in time domain. For example, the DL DMRS and UL DMRS are allocated in the third and fourth symbol, as shown in Fig. </w:t>
      </w:r>
      <w:r w:rsidR="00845583">
        <w:t>9</w:t>
      </w:r>
      <w:r>
        <w:t>, and the REs in the third symbol in UL subband and the REs in the fourth symbol in DL subband are muted. So the UL and DL channel estimation will not be affected by the gNB-gNB and UE-UE co-channel CLI. Meanwhile, the UL and DL inter-cell interference can also be measured in the UL DMRS and DL DMRS with a high precision.</w:t>
      </w:r>
    </w:p>
    <w:p w14:paraId="6AD4CA52" w14:textId="55805B2C" w:rsidR="001E0BFD" w:rsidRDefault="001E0BFD" w:rsidP="001E0BFD">
      <w:pPr>
        <w:spacing w:before="93"/>
      </w:pPr>
      <w:r>
        <w:t xml:space="preserve">To measure the gNB-gNB co-channel CLI without being contaminated by </w:t>
      </w:r>
      <w:r>
        <w:rPr>
          <w:rFonts w:hint="eastAsia"/>
        </w:rPr>
        <w:t>UL</w:t>
      </w:r>
      <w:r>
        <w:t xml:space="preserve"> interferences from UEs in other cells, the UL interferences should be managed not to affect the CLI estimation. One potential way is to define specific muting resources for the CLI measurement. Since the UL signal will not be transmitted on these muting resources from UE, and only</w:t>
      </w:r>
      <w:r w:rsidRPr="00552CDA">
        <w:t xml:space="preserve"> </w:t>
      </w:r>
      <w:r>
        <w:t xml:space="preserve">the CLI is present on these muting resources, so the CLI can be accurately measured on these muting resources. An example is shown in Fig. </w:t>
      </w:r>
      <w:r w:rsidR="00845583">
        <w:t>9</w:t>
      </w:r>
      <w:r>
        <w:t>. Some REs in the first/fifth symbol in UL subband are muted, and gNB can thus measure the gNB-gNB co-channel CLI (PDSCH and PDCCH) in these muting REs with a high precision.</w:t>
      </w:r>
    </w:p>
    <w:p w14:paraId="6245F27C" w14:textId="38369774" w:rsidR="00873070" w:rsidRDefault="00873070" w:rsidP="00873070">
      <w:pPr>
        <w:spacing w:before="93"/>
        <w:rPr>
          <w:i/>
        </w:rPr>
      </w:pPr>
      <w:r w:rsidRPr="0087440C">
        <w:rPr>
          <w:b/>
          <w:i/>
        </w:rPr>
        <w:t xml:space="preserve">Proposal </w:t>
      </w:r>
      <w:r w:rsidR="00A971D9">
        <w:rPr>
          <w:b/>
          <w:i/>
        </w:rPr>
        <w:t>3</w:t>
      </w:r>
      <w:r w:rsidR="00B83EA5">
        <w:rPr>
          <w:b/>
          <w:i/>
        </w:rPr>
        <w:t>2</w:t>
      </w:r>
      <w:r w:rsidRPr="00AC6E09">
        <w:rPr>
          <w:i/>
        </w:rPr>
        <w:t>:</w:t>
      </w:r>
      <w:r w:rsidRPr="008E091C">
        <w:rPr>
          <w:i/>
        </w:rPr>
        <w:t xml:space="preserve"> </w:t>
      </w:r>
      <w:r w:rsidR="006F548E" w:rsidRPr="00513FF4">
        <w:rPr>
          <w:i/>
        </w:rPr>
        <w:t>U</w:t>
      </w:r>
      <w:r w:rsidR="006F548E" w:rsidRPr="00C32810">
        <w:rPr>
          <w:i/>
        </w:rPr>
        <w:t>plink resources muting</w:t>
      </w:r>
      <w:r w:rsidR="006F548E">
        <w:rPr>
          <w:i/>
        </w:rPr>
        <w:t xml:space="preserve"> provides at least the following benefits f</w:t>
      </w:r>
      <w:r w:rsidR="009F6CA3" w:rsidRPr="00513FF4">
        <w:rPr>
          <w:i/>
        </w:rPr>
        <w:t>or gNB-to-gNB co-channel CLI measurement</w:t>
      </w:r>
      <w:r w:rsidR="006F548E">
        <w:rPr>
          <w:i/>
        </w:rPr>
        <w:t xml:space="preserve"> in SBFD operation</w:t>
      </w:r>
    </w:p>
    <w:p w14:paraId="30746FD1" w14:textId="27C24A35" w:rsidR="00873070" w:rsidRDefault="006F548E" w:rsidP="00873070">
      <w:pPr>
        <w:pStyle w:val="a8"/>
        <w:numPr>
          <w:ilvl w:val="0"/>
          <w:numId w:val="3"/>
        </w:numPr>
        <w:spacing w:before="93"/>
        <w:ind w:firstLineChars="0"/>
        <w:rPr>
          <w:i/>
        </w:rPr>
      </w:pPr>
      <w:r>
        <w:rPr>
          <w:i/>
        </w:rPr>
        <w:t>M</w:t>
      </w:r>
      <w:r w:rsidR="00873070">
        <w:rPr>
          <w:i/>
        </w:rPr>
        <w:t>uting the REs on the DL subband in UL DMRS symbols and</w:t>
      </w:r>
      <w:r w:rsidR="00031E31">
        <w:rPr>
          <w:i/>
        </w:rPr>
        <w:t>/or</w:t>
      </w:r>
      <w:r w:rsidR="00873070">
        <w:rPr>
          <w:i/>
        </w:rPr>
        <w:t xml:space="preserve"> the REs on the UL subband in DL DMRS </w:t>
      </w:r>
      <w:r>
        <w:rPr>
          <w:i/>
        </w:rPr>
        <w:t>can</w:t>
      </w:r>
      <w:r w:rsidR="00873070">
        <w:rPr>
          <w:i/>
        </w:rPr>
        <w:t xml:space="preserve"> improve channel estimation and inter-cell interference estimation and suppression.</w:t>
      </w:r>
    </w:p>
    <w:p w14:paraId="7DF2668F" w14:textId="7B43315E" w:rsidR="00873070" w:rsidRDefault="006F548E" w:rsidP="00873070">
      <w:pPr>
        <w:pStyle w:val="a8"/>
        <w:numPr>
          <w:ilvl w:val="0"/>
          <w:numId w:val="3"/>
        </w:numPr>
        <w:spacing w:before="93"/>
        <w:ind w:firstLineChars="0"/>
        <w:rPr>
          <w:i/>
        </w:rPr>
      </w:pPr>
      <w:r>
        <w:rPr>
          <w:i/>
        </w:rPr>
        <w:t>Introducing dedicated UL muting resources for gNB-to-gNB</w:t>
      </w:r>
      <w:r w:rsidR="00873070">
        <w:rPr>
          <w:i/>
        </w:rPr>
        <w:t xml:space="preserve"> CLI measurement </w:t>
      </w:r>
      <w:r>
        <w:rPr>
          <w:i/>
        </w:rPr>
        <w:t>can</w:t>
      </w:r>
      <w:r w:rsidR="00873070">
        <w:rPr>
          <w:i/>
        </w:rPr>
        <w:t xml:space="preserve"> improve </w:t>
      </w:r>
      <w:r w:rsidR="00FE2801">
        <w:rPr>
          <w:i/>
        </w:rPr>
        <w:t xml:space="preserve">the </w:t>
      </w:r>
      <w:r w:rsidR="00873070">
        <w:rPr>
          <w:i/>
        </w:rPr>
        <w:t>gNB-</w:t>
      </w:r>
      <w:r w:rsidR="00FE2801">
        <w:rPr>
          <w:i/>
        </w:rPr>
        <w:t>to-</w:t>
      </w:r>
      <w:r w:rsidR="00873070">
        <w:rPr>
          <w:i/>
        </w:rPr>
        <w:t>gNB co-channel and adjacent-channel inter-subband CLI estimation and suppression.</w:t>
      </w:r>
    </w:p>
    <w:p w14:paraId="445B718F" w14:textId="77777777" w:rsidR="00F47C63" w:rsidRDefault="00F47C63" w:rsidP="00FB3FEE">
      <w:pPr>
        <w:spacing w:before="93"/>
        <w:jc w:val="center"/>
      </w:pPr>
    </w:p>
    <w:p w14:paraId="2DF47865" w14:textId="77777777" w:rsidR="00FB3FEE" w:rsidRDefault="00FB3FEE" w:rsidP="00FB3FEE">
      <w:pPr>
        <w:spacing w:before="93"/>
        <w:jc w:val="center"/>
      </w:pPr>
      <w:r>
        <w:rPr>
          <w:noProof/>
        </w:rPr>
        <w:drawing>
          <wp:inline distT="0" distB="0" distL="0" distR="0" wp14:anchorId="310DC751" wp14:editId="1C12876B">
            <wp:extent cx="3780000" cy="2282400"/>
            <wp:effectExtent l="0" t="0" r="0" b="381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80000" cy="2282400"/>
                    </a:xfrm>
                    <a:prstGeom prst="rect">
                      <a:avLst/>
                    </a:prstGeom>
                  </pic:spPr>
                </pic:pic>
              </a:graphicData>
            </a:graphic>
          </wp:inline>
        </w:drawing>
      </w:r>
    </w:p>
    <w:p w14:paraId="16BB7896" w14:textId="215D0945" w:rsidR="00FB3FEE" w:rsidRDefault="00FB3FEE" w:rsidP="00FB3FEE">
      <w:pPr>
        <w:spacing w:before="93"/>
        <w:jc w:val="center"/>
      </w:pPr>
      <w:r>
        <w:rPr>
          <w:rFonts w:hint="eastAsia"/>
        </w:rPr>
        <w:t>F</w:t>
      </w:r>
      <w:r>
        <w:t xml:space="preserve">ig. </w:t>
      </w:r>
      <w:r w:rsidR="00845583">
        <w:t>9</w:t>
      </w:r>
      <w:r w:rsidR="00572E28">
        <w:t xml:space="preserve"> Resource muting for gNB-gNB co-channel CLI measurement</w:t>
      </w:r>
      <w:r>
        <w:t>.</w:t>
      </w:r>
    </w:p>
    <w:p w14:paraId="2FD9C9D3" w14:textId="77777777" w:rsidR="00B71AF9" w:rsidRPr="00571C75" w:rsidRDefault="00B71AF9" w:rsidP="00FB3FEE">
      <w:pPr>
        <w:spacing w:before="93"/>
        <w:jc w:val="center"/>
      </w:pPr>
    </w:p>
    <w:p w14:paraId="2D36DA93" w14:textId="09396487" w:rsidR="00572E28" w:rsidRPr="00D1095F" w:rsidRDefault="00AE4076" w:rsidP="00572E28">
      <w:pPr>
        <w:spacing w:before="93"/>
      </w:pPr>
      <w:r>
        <w:t>Based on</w:t>
      </w:r>
      <w:r w:rsidR="00572E28">
        <w:t xml:space="preserve"> </w:t>
      </w:r>
      <w:r w:rsidR="005C0DA5">
        <w:t xml:space="preserve">the </w:t>
      </w:r>
      <w:r w:rsidR="00572E28">
        <w:t xml:space="preserve">above </w:t>
      </w:r>
      <w:r w:rsidR="001C438B">
        <w:t>scheme</w:t>
      </w:r>
      <w:r w:rsidR="00572E28">
        <w:t xml:space="preserve">, </w:t>
      </w:r>
      <w:r w:rsidR="00585942">
        <w:t xml:space="preserve">the </w:t>
      </w:r>
      <w:r w:rsidR="00572E28">
        <w:t xml:space="preserve">accurate channel and interference covariance matrix can be measured. And these measurement quantities </w:t>
      </w:r>
      <w:r w:rsidR="00572E28">
        <w:rPr>
          <w:rFonts w:hint="eastAsia"/>
        </w:rPr>
        <w:t>c</w:t>
      </w:r>
      <w:r w:rsidR="00572E28">
        <w:t xml:space="preserve">an be used </w:t>
      </w:r>
      <w:r>
        <w:t>to improve</w:t>
      </w:r>
      <w:r w:rsidR="00572E28">
        <w:t xml:space="preserve"> </w:t>
      </w:r>
      <w:r>
        <w:t>performance at the receiver</w:t>
      </w:r>
      <w:r w:rsidR="00572E28">
        <w:t>, e.g. MMSE-IRC receiver, which can</w:t>
      </w:r>
      <w:r w:rsidR="008001AE">
        <w:t xml:space="preserve"> effectively</w:t>
      </w:r>
      <w:r w:rsidR="00572E28">
        <w:t xml:space="preserve"> suppress the</w:t>
      </w:r>
      <w:r w:rsidR="00572E28" w:rsidRPr="00D1095F" w:rsidDel="00FB3FEE">
        <w:t xml:space="preserve"> </w:t>
      </w:r>
      <w:r w:rsidR="00F05954">
        <w:t xml:space="preserve">gNB-gNB </w:t>
      </w:r>
      <w:r w:rsidR="008001AE">
        <w:t>co-channel CLI</w:t>
      </w:r>
      <w:r w:rsidR="00487812">
        <w:t xml:space="preserve">. The </w:t>
      </w:r>
      <w:r>
        <w:t xml:space="preserve">signal model at receiver </w:t>
      </w:r>
      <w:r w:rsidR="00487812">
        <w:t>is given as follows</w:t>
      </w:r>
      <w:r w:rsidR="00487812">
        <w:rPr>
          <w:rFonts w:hint="eastAsia"/>
        </w:rPr>
        <w:t>,</w:t>
      </w:r>
      <w:r w:rsidR="00487812">
        <w:t xml:space="preserve"> and the evaluation results are provided in our contribution [</w:t>
      </w:r>
      <w:r w:rsidR="00AE0B6E">
        <w:t>5</w:t>
      </w:r>
      <w:r w:rsidR="00487812">
        <w:t>].</w:t>
      </w:r>
    </w:p>
    <w:p w14:paraId="3EF82C66" w14:textId="217C82F1" w:rsidR="000C1FAB" w:rsidRDefault="006311D2" w:rsidP="00743952">
      <w:pPr>
        <w:spacing w:before="93"/>
      </w:pPr>
      <w:r w:rsidRPr="00D1095F">
        <w:t>T</w:t>
      </w:r>
      <w:r w:rsidR="000C1FAB">
        <w:t xml:space="preserve">he received signal at gNB of victim </w:t>
      </w:r>
      <w:r w:rsidR="00505663">
        <w:t>can be modeled</w:t>
      </w:r>
      <w:r w:rsidR="000C1FAB">
        <w:t xml:space="preserve"> as follows</w:t>
      </w:r>
      <w:r w:rsidR="00CD10A7">
        <w:t>:</w:t>
      </w:r>
      <w:r w:rsidR="00AE4076">
        <w:t xml:space="preserve"> </w:t>
      </w:r>
    </w:p>
    <w:p w14:paraId="1179F7B7" w14:textId="450FB0DB" w:rsidR="00AB15AB" w:rsidRDefault="003D2178" w:rsidP="00743952">
      <w:pPr>
        <w:spacing w:before="93"/>
      </w:pPr>
      <m:oMathPara>
        <m:oMath>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m:rPr>
                  <m:sty m:val="b"/>
                </m:rPr>
                <w:rPr>
                  <w:rFonts w:ascii="Cambria Math" w:hAnsi="Cambria Math"/>
                </w:rPr>
                <m:t>S</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Intra-Cell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Inter-Cell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cs="Times New Roman"/>
                </w:rPr>
                <m:t>Inter-Site-CLI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cs="Times New Roman"/>
                </w:rPr>
                <m:t>Co-Site-CLI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SI</m:t>
              </m:r>
            </m:sub>
          </m:sSub>
          <m:r>
            <m:rPr>
              <m:sty m:val="b"/>
            </m:rPr>
            <w:rPr>
              <w:rFonts w:ascii="Cambria Math" w:hAnsi="Cambria Math"/>
            </w:rPr>
            <m:t>+n,</m:t>
          </m:r>
        </m:oMath>
      </m:oMathPara>
    </w:p>
    <w:p w14:paraId="0859ABA1" w14:textId="497DD778" w:rsidR="00055EC9" w:rsidRDefault="00E06809" w:rsidP="00055EC9">
      <w:pPr>
        <w:spacing w:before="93"/>
      </w:pPr>
      <w:r>
        <w:t xml:space="preserve">Assuming a </w:t>
      </w:r>
      <w:r w:rsidR="004B16DE">
        <w:t xml:space="preserve">MMSE-IRC receiver, </w:t>
      </w:r>
      <w:r w:rsidR="004255B6">
        <w:t xml:space="preserve">the </w:t>
      </w:r>
      <w:r w:rsidR="00B70265">
        <w:t>signal after MMSE-IRC receiver can be derived as follows:</w:t>
      </w:r>
    </w:p>
    <w:p w14:paraId="7222A5BC" w14:textId="72922599" w:rsidR="006943E8" w:rsidRDefault="003D2178" w:rsidP="006943E8">
      <w:pPr>
        <w:spacing w:before="93"/>
      </w:pPr>
      <m:oMathPara>
        <m:oMath>
          <m:sSub>
            <m:sSubPr>
              <m:ctrlPr>
                <w:rPr>
                  <w:rFonts w:ascii="Cambria Math" w:hAnsi="Cambria Math"/>
                  <w:i/>
                </w:rPr>
              </m:ctrlPr>
            </m:sSubPr>
            <m:e>
              <m:acc>
                <m:accPr>
                  <m:ctrlPr>
                    <w:rPr>
                      <w:rFonts w:ascii="Cambria Math" w:hAnsi="Cambria Math"/>
                      <w:b/>
                    </w:rPr>
                  </m:ctrlPr>
                </m:accPr>
                <m:e>
                  <m:r>
                    <m:rPr>
                      <m:sty m:val="b"/>
                    </m:rPr>
                    <w:rPr>
                      <w:rFonts w:ascii="Cambria Math" w:hAnsi="Cambria Math"/>
                    </w:rPr>
                    <m:t>r</m:t>
                  </m:r>
                </m:e>
              </m:acc>
            </m:e>
            <m:sub>
              <m:r>
                <w:rPr>
                  <w:rFonts w:ascii="Cambria Math" w:hAnsi="Cambria Math"/>
                </w:rPr>
                <m:t>n</m:t>
              </m:r>
            </m:sub>
          </m:sSub>
          <m:r>
            <w:rPr>
              <w:rFonts w:ascii="Cambria Math" w:hAnsi="Cambria Math"/>
            </w:rPr>
            <m:t>=</m:t>
          </m:r>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r>
                    <w:rPr>
                      <w:rFonts w:ascii="Cambria Math" w:hAnsi="Cambria Math"/>
                    </w:rPr>
                    <m:t>+</m:t>
                  </m:r>
                  <m:nary>
                    <m:naryPr>
                      <m:chr m:val="∑"/>
                      <m:limLoc m:val="subSup"/>
                      <m:supHide m:val="1"/>
                      <m:ctrlPr>
                        <w:rPr>
                          <w:rFonts w:ascii="Cambria Math" w:hAnsi="Cambria Math"/>
                          <w:i/>
                        </w:rPr>
                      </m:ctrlPr>
                    </m:naryPr>
                    <m:sub>
                      <m:eqArr>
                        <m:eqArrPr>
                          <m:ctrlPr>
                            <w:rPr>
                              <w:rFonts w:ascii="Cambria Math" w:hAnsi="Cambria Math"/>
                              <w:i/>
                            </w:rPr>
                          </m:ctrlPr>
                        </m:eqArrPr>
                        <m:e>
                          <m:r>
                            <w:rPr>
                              <w:rFonts w:ascii="Cambria Math" w:hAnsi="Cambria Math"/>
                            </w:rPr>
                            <m:t>i≠k</m:t>
                          </m:r>
                        </m:e>
                        <m:e>
                          <m:r>
                            <w:rPr>
                              <w:rFonts w:ascii="Cambria Math" w:hAnsi="Cambria Math"/>
                            </w:rPr>
                            <m:t>i∈UEs from same cell</m:t>
                          </m:r>
                        </m:e>
                      </m:eqArr>
                    </m:sub>
                    <m:sup/>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up>
                          <m:r>
                            <w:rPr>
                              <w:rFonts w:ascii="Cambria Math" w:hAnsi="Cambria Math"/>
                            </w:rPr>
                            <m:t>H</m:t>
                          </m:r>
                        </m:sup>
                      </m:sSubSup>
                    </m:e>
                  </m:nary>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m:t>
                      </m:r>
                      <m:r>
                        <m:rPr>
                          <m:sty m:val="p"/>
                        </m:rPr>
                        <w:rPr>
                          <w:rFonts w:ascii="MS Gothic" w:hAnsi="MS Gothic" w:cs="MS Gothic"/>
                        </w:rPr>
                        <m:t>-</m:t>
                      </m:r>
                      <m:r>
                        <m:rPr>
                          <m:sty m:val="p"/>
                        </m:rPr>
                        <w:rPr>
                          <w:rFonts w:ascii="Cambria Math" w:hAnsi="Cambria Math"/>
                        </w:rPr>
                        <m:t>CLI</m:t>
                      </m:r>
                    </m:sub>
                  </m:sSub>
                  <m:r>
                    <w:rPr>
                      <w:rFonts w:ascii="Cambria Math" w:hAnsi="Cambria Math"/>
                    </w:rPr>
                    <m:t>+</m:t>
                  </m:r>
                  <m:sSubSup>
                    <m:sSubSupPr>
                      <m:ctrlPr>
                        <w:rPr>
                          <w:rFonts w:ascii="Cambria Math" w:hAnsi="Cambria Math" w:cs="Times New Roman"/>
                        </w:rPr>
                      </m:ctrlPr>
                    </m:sSubSupPr>
                    <m:e>
                      <m:r>
                        <w:rPr>
                          <w:rFonts w:ascii="Cambria Math" w:hAnsi="Cambria Math" w:cs="Times New Roman"/>
                        </w:rPr>
                        <m:t>σ</m:t>
                      </m:r>
                    </m:e>
                    <m:sub>
                      <m:r>
                        <w:rPr>
                          <w:rFonts w:ascii="Cambria Math" w:hAnsi="Cambria Math" w:cs="Times New Roman"/>
                        </w:rPr>
                        <m:t>all</m:t>
                      </m:r>
                    </m:sub>
                    <m:sup>
                      <m:r>
                        <w:rPr>
                          <w:rFonts w:ascii="Cambria Math" w:hAnsi="Cambria Math" w:cs="Times New Roman"/>
                        </w:rPr>
                        <m:t>2</m:t>
                      </m:r>
                    </m:sup>
                  </m:sSubSup>
                  <m:r>
                    <m:rPr>
                      <m:sty m:val="b"/>
                    </m:rPr>
                    <w:rPr>
                      <w:rFonts w:ascii="Cambria Math" w:hAnsi="Cambria Math" w:cs="Times New Roman"/>
                    </w:rPr>
                    <m:t>I</m:t>
                  </m:r>
                </m:e>
              </m:d>
            </m:e>
            <m:sup>
              <m:r>
                <w:rPr>
                  <w:rFonts w:ascii="Cambria Math" w:hAnsi="Cambria Math"/>
                </w:rPr>
                <m:t>-1</m:t>
              </m:r>
            </m:sup>
          </m:sSup>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m:rPr>
              <m:sty m:val="b"/>
            </m:rPr>
            <w:rPr>
              <w:rFonts w:ascii="Cambria Math" w:hAnsi="Cambria Math"/>
            </w:rPr>
            <m:t>,</m:t>
          </m:r>
        </m:oMath>
      </m:oMathPara>
    </w:p>
    <w:p w14:paraId="3AFA5489" w14:textId="27AAD131" w:rsidR="00055EC9" w:rsidRDefault="00BD25F7" w:rsidP="00055EC9">
      <w:pPr>
        <w:spacing w:before="93"/>
      </w:pPr>
      <w:r>
        <w:rPr>
          <w:rFonts w:hint="eastAsia"/>
        </w:rPr>
        <w:t>w</w:t>
      </w:r>
      <w:r>
        <w:t>here,</w:t>
      </w:r>
    </w:p>
    <w:p w14:paraId="3089E78F" w14:textId="7BC00064" w:rsidR="00055EC9" w:rsidRDefault="003D2178" w:rsidP="001E359B">
      <w:pPr>
        <w:pStyle w:val="a8"/>
        <w:numPr>
          <w:ilvl w:val="0"/>
          <w:numId w:val="6"/>
        </w:numPr>
        <w:spacing w:before="93"/>
        <w:ind w:firstLineChars="0"/>
      </w:pPr>
      <m:oMath>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r>
          <m:rPr>
            <m:sty m:val="p"/>
          </m:rP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k</m:t>
                </m:r>
              </m:sub>
            </m:sSub>
          </m:e>
        </m:rad>
        <m:sSub>
          <m:sSubPr>
            <m:ctrlPr>
              <w:rPr>
                <w:rFonts w:ascii="Cambria Math" w:hAnsi="Cambria Math"/>
              </w:rPr>
            </m:ctrlPr>
          </m:sSubPr>
          <m:e>
            <m:r>
              <m:rPr>
                <m:sty m:val="b"/>
              </m:rPr>
              <w:rPr>
                <w:rFonts w:ascii="Cambria Math" w:hAnsi="Cambria Math"/>
              </w:rPr>
              <m:t>H</m:t>
            </m:r>
          </m:e>
          <m:sub>
            <m:r>
              <w:rPr>
                <w:rFonts w:ascii="Cambria Math" w:hAnsi="Cambria Math"/>
              </w:rPr>
              <m:t>k</m:t>
            </m:r>
          </m:sub>
        </m:sSub>
      </m:oMath>
      <w:r w:rsidR="00BD25F7">
        <w:rPr>
          <w:rFonts w:hint="eastAsia"/>
        </w:rPr>
        <w:t>,</w:t>
      </w:r>
      <w:r w:rsidR="00BD25F7">
        <w:t xml:space="preserve"> </w:t>
      </w:r>
      <m:oMath>
        <m:sSub>
          <m:sSubPr>
            <m:ctrlPr>
              <w:rPr>
                <w:rFonts w:ascii="Cambria Math" w:hAnsi="Cambria Math"/>
              </w:rPr>
            </m:ctrlPr>
          </m:sSubPr>
          <m:e>
            <m:r>
              <w:rPr>
                <w:rFonts w:ascii="Cambria Math" w:hAnsi="Cambria Math"/>
              </w:rPr>
              <m:t>P</m:t>
            </m:r>
          </m:e>
          <m:sub>
            <m:r>
              <w:rPr>
                <w:rFonts w:ascii="Cambria Math" w:hAnsi="Cambria Math"/>
              </w:rPr>
              <m:t>k</m:t>
            </m:r>
          </m:sub>
        </m:sSub>
      </m:oMath>
      <w:r w:rsidR="00085F37">
        <w:rPr>
          <w:rFonts w:hint="eastAsia"/>
        </w:rPr>
        <w:t xml:space="preserve"> </w:t>
      </w:r>
      <w:r w:rsidR="00BD25F7">
        <w:t xml:space="preserve">is the UL power transmitted from the target UE </w:t>
      </w:r>
      <m:oMath>
        <m:r>
          <w:rPr>
            <w:rFonts w:ascii="Cambria Math" w:hAnsi="Cambria Math"/>
          </w:rPr>
          <m:t>k</m:t>
        </m:r>
      </m:oMath>
      <w:r w:rsidR="00BD25F7">
        <w:rPr>
          <w:rFonts w:hint="eastAsia"/>
        </w:rPr>
        <w:t>,</w:t>
      </w:r>
    </w:p>
    <w:p w14:paraId="4F009CA4" w14:textId="0FDBE874" w:rsidR="00BD25F7" w:rsidRDefault="003D2178" w:rsidP="001E359B">
      <w:pPr>
        <w:pStyle w:val="a8"/>
        <w:numPr>
          <w:ilvl w:val="0"/>
          <w:numId w:val="6"/>
        </w:numPr>
        <w:spacing w:before="93"/>
        <w:ind w:firstLineChars="0"/>
      </w:pPr>
      <m:oMath>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r>
          <m:rPr>
            <m:sty m:val="p"/>
          </m:rPr>
          <w:rPr>
            <w:rFonts w:ascii="Cambria Math" w:hAnsi="Cambria Math"/>
          </w:rPr>
          <m:t>=</m:t>
        </m:r>
        <m:rad>
          <m:radPr>
            <m:degHide m:val="1"/>
            <m:ctrlPr>
              <w:rPr>
                <w:rFonts w:ascii="Cambria Math" w:hAnsi="Cambria Math"/>
                <w:i/>
              </w:rPr>
            </m:ctrlPr>
          </m:radPr>
          <m:deg/>
          <m:e>
            <m:sSub>
              <m:sSubPr>
                <m:ctrlPr>
                  <w:rPr>
                    <w:rFonts w:ascii="Cambria Math" w:hAnsi="Cambria Math"/>
                  </w:rPr>
                </m:ctrlPr>
              </m:sSubPr>
              <m:e>
                <m:r>
                  <w:rPr>
                    <w:rFonts w:ascii="Cambria Math" w:hAnsi="Cambria Math"/>
                  </w:rPr>
                  <m:t>P</m:t>
                </m:r>
              </m:e>
              <m:sub>
                <m:r>
                  <w:rPr>
                    <w:rFonts w:ascii="Cambria Math" w:hAnsi="Cambria Math"/>
                  </w:rPr>
                  <m:t>i</m:t>
                </m:r>
              </m:sub>
            </m:sSub>
          </m:e>
        </m:rad>
        <m:sSub>
          <m:sSubPr>
            <m:ctrlPr>
              <w:rPr>
                <w:rFonts w:ascii="Cambria Math" w:hAnsi="Cambria Math"/>
              </w:rPr>
            </m:ctrlPr>
          </m:sSubPr>
          <m:e>
            <m:r>
              <m:rPr>
                <m:sty m:val="b"/>
              </m:rPr>
              <w:rPr>
                <w:rFonts w:ascii="Cambria Math" w:hAnsi="Cambria Math"/>
              </w:rPr>
              <m:t>H</m:t>
            </m:r>
          </m:e>
          <m:sub>
            <m:r>
              <w:rPr>
                <w:rFonts w:ascii="Cambria Math" w:hAnsi="Cambria Math"/>
              </w:rPr>
              <m:t>i</m:t>
            </m:r>
          </m:sub>
        </m:sSub>
      </m:oMath>
      <w:r w:rsidR="00BD25F7">
        <w:rPr>
          <w:rFonts w:hint="eastAsia"/>
        </w:rPr>
        <w:t>,</w:t>
      </w:r>
      <w:r w:rsidR="00BD25F7">
        <w:t xml:space="preserv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00022134">
        <w:rPr>
          <w:rFonts w:hint="eastAsia"/>
        </w:rPr>
        <w:t xml:space="preserve"> </w:t>
      </w:r>
      <w:r w:rsidR="00BD25F7">
        <w:t xml:space="preserve">is the UL power transmitted from the UE </w:t>
      </w:r>
      <m:oMath>
        <m:r>
          <w:rPr>
            <w:rFonts w:ascii="Cambria Math" w:hAnsi="Cambria Math"/>
          </w:rPr>
          <m:t>i</m:t>
        </m:r>
      </m:oMath>
      <w:r w:rsidR="00BD25F7">
        <w:rPr>
          <w:rFonts w:hint="eastAsia"/>
        </w:rPr>
        <w:t>,</w:t>
      </w:r>
    </w:p>
    <w:p w14:paraId="10FFD555" w14:textId="1268583F" w:rsidR="00BD25F7" w:rsidRDefault="003D2178" w:rsidP="001E359B">
      <w:pPr>
        <w:pStyle w:val="a8"/>
        <w:numPr>
          <w:ilvl w:val="0"/>
          <w:numId w:val="6"/>
        </w:numPr>
        <w:spacing w:before="93"/>
        <w:ind w:firstLineChars="0"/>
      </w:pP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oMath>
      <w:r w:rsidR="00BD25F7">
        <w:rPr>
          <w:rFonts w:hint="eastAsia"/>
        </w:rPr>
        <w:t xml:space="preserve"> </w:t>
      </w:r>
      <w:r w:rsidR="00BD25F7">
        <w:t>is the legacy inter-cell UE interference,</w:t>
      </w:r>
    </w:p>
    <w:p w14:paraId="4587BB35" w14:textId="603E50C8" w:rsidR="00BD25F7" w:rsidRDefault="003D2178" w:rsidP="001E359B">
      <w:pPr>
        <w:pStyle w:val="a8"/>
        <w:numPr>
          <w:ilvl w:val="0"/>
          <w:numId w:val="6"/>
        </w:numPr>
        <w:spacing w:before="93"/>
        <w:ind w:firstLineChars="0"/>
      </w:pP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m:t>
            </m:r>
            <m:r>
              <m:rPr>
                <m:sty m:val="p"/>
              </m:rPr>
              <w:rPr>
                <w:rFonts w:ascii="MS Gothic" w:hAnsi="MS Gothic" w:cs="MS Gothic"/>
              </w:rPr>
              <m:t>-</m:t>
            </m:r>
            <m:r>
              <m:rPr>
                <m:sty m:val="p"/>
              </m:rPr>
              <w:rPr>
                <w:rFonts w:ascii="Cambria Math" w:hAnsi="Cambria Math"/>
              </w:rPr>
              <m:t>CLI</m:t>
            </m:r>
          </m:sub>
        </m:sSub>
        <m:r>
          <w:rPr>
            <w:rFonts w:ascii="Cambria Math" w:hAnsi="Cambria Math"/>
          </w:rPr>
          <m:t>=</m:t>
        </m:r>
        <m:nary>
          <m:naryPr>
            <m:chr m:val="∑"/>
            <m:limLoc m:val="subSup"/>
            <m:supHide m:val="1"/>
            <m:ctrlPr>
              <w:rPr>
                <w:rFonts w:ascii="Cambria Math" w:hAnsi="Cambria Math"/>
              </w:rPr>
            </m:ctrlPr>
          </m:naryPr>
          <m:sub>
            <m:r>
              <w:rPr>
                <w:rFonts w:ascii="Cambria Math" w:hAnsi="Cambria Math"/>
              </w:rPr>
              <m:t>m∈Inter-site gNBs</m:t>
            </m:r>
          </m:sub>
          <m:sup/>
          <m:e>
            <m:d>
              <m:dPr>
                <m:ctrlPr>
                  <w:rPr>
                    <w:rFonts w:ascii="Cambria Math" w:hAnsi="Cambria Math"/>
                    <w:i/>
                  </w:rPr>
                </m:ctrlPr>
              </m:dPr>
              <m:e>
                <m:sSub>
                  <m:sSubPr>
                    <m:ctrlPr>
                      <w:rPr>
                        <w:rFonts w:ascii="Cambria Math" w:hAnsi="Cambria Math"/>
                        <w:i/>
                      </w:rPr>
                    </m:ctrlPr>
                  </m:sSubPr>
                  <m:e>
                    <m:r>
                      <m:rPr>
                        <m:sty m:val="b"/>
                      </m:rPr>
                      <w:rPr>
                        <w:rFonts w:ascii="Cambria Math" w:hAnsi="Cambria Math" w:cs="Times New Roman"/>
                      </w:rPr>
                      <m:t>R</m:t>
                    </m:r>
                  </m:e>
                  <m:sub>
                    <m:r>
                      <w:rPr>
                        <w:rFonts w:ascii="Cambria Math" w:hAnsi="Cambria Math" w:cs="Times New Roman"/>
                      </w:rPr>
                      <m:t>uu,</m:t>
                    </m:r>
                    <m:r>
                      <m:rPr>
                        <m:sty m:val="p"/>
                      </m:rPr>
                      <w:rPr>
                        <w:rFonts w:ascii="Cambria Math" w:hAnsi="Cambria Math" w:cs="Times New Roman"/>
                      </w:rPr>
                      <m:t>leakage,</m:t>
                    </m:r>
                    <m:r>
                      <w:rPr>
                        <w:rFonts w:ascii="Cambria Math" w:hAnsi="Cambria Math" w:cs="Times New Roman"/>
                      </w:rPr>
                      <m:t>m</m:t>
                    </m:r>
                  </m:sub>
                </m:sSub>
                <m:r>
                  <w:rPr>
                    <w:rFonts w:ascii="Cambria Math" w:hAnsi="Cambria Math" w:cs="Times New Roman"/>
                  </w:rPr>
                  <m:t>+</m:t>
                </m:r>
                <m:sSub>
                  <m:sSubPr>
                    <m:ctrlPr>
                      <w:rPr>
                        <w:rFonts w:ascii="Cambria Math" w:hAnsi="Cambria Math"/>
                        <w:i/>
                      </w:rPr>
                    </m:ctrlPr>
                  </m:sSubPr>
                  <m:e>
                    <m:r>
                      <m:rPr>
                        <m:sty m:val="b"/>
                      </m:rPr>
                      <w:rPr>
                        <w:rFonts w:ascii="Cambria Math" w:hAnsi="Cambria Math" w:cs="Times New Roman"/>
                      </w:rPr>
                      <m:t>R</m:t>
                    </m:r>
                  </m:e>
                  <m:sub>
                    <m:r>
                      <w:rPr>
                        <w:rFonts w:ascii="Cambria Math" w:hAnsi="Cambria Math" w:cs="Times New Roman"/>
                      </w:rPr>
                      <m:t>uu,</m:t>
                    </m:r>
                    <m:r>
                      <m:rPr>
                        <m:sty m:val="p"/>
                      </m:rPr>
                      <w:rPr>
                        <w:rFonts w:ascii="Cambria Math" w:hAnsi="Cambria Math" w:cs="Times New Roman"/>
                      </w:rPr>
                      <m:t>selectivity,</m:t>
                    </m:r>
                    <m:r>
                      <w:rPr>
                        <w:rFonts w:ascii="Cambria Math" w:hAnsi="Cambria Math" w:cs="Times New Roman"/>
                      </w:rPr>
                      <m:t>m</m:t>
                    </m:r>
                  </m:sub>
                </m:sSub>
              </m:e>
            </m:d>
          </m:e>
        </m:nary>
      </m:oMath>
      <w:r w:rsidR="005E10E5">
        <w:t>.</w:t>
      </w:r>
    </w:p>
    <w:p w14:paraId="311ABD34" w14:textId="5E8B4619" w:rsidR="00BD25F7" w:rsidRDefault="003D2178" w:rsidP="001E359B">
      <w:pPr>
        <w:pStyle w:val="a8"/>
        <w:numPr>
          <w:ilvl w:val="0"/>
          <w:numId w:val="6"/>
        </w:numPr>
        <w:spacing w:before="93"/>
        <w:ind w:firstLineChars="0"/>
      </w:pPr>
      <m:oMath>
        <m:sSubSup>
          <m:sSubSupPr>
            <m:ctrlPr>
              <w:rPr>
                <w:rFonts w:ascii="Cambria Math" w:hAnsi="Cambria Math" w:cs="Times New Roman"/>
              </w:rPr>
            </m:ctrlPr>
          </m:sSubSupPr>
          <m:e>
            <m:r>
              <w:rPr>
                <w:rFonts w:ascii="Cambria Math" w:hAnsi="Cambria Math" w:cs="Times New Roman"/>
              </w:rPr>
              <m:t>σ</m:t>
            </m:r>
          </m:e>
          <m:sub>
            <m:r>
              <w:rPr>
                <w:rFonts w:ascii="Cambria Math" w:hAnsi="Cambria Math" w:cs="Times New Roman"/>
              </w:rPr>
              <m:t>all</m:t>
            </m:r>
          </m:sub>
          <m:sup>
            <m:r>
              <w:rPr>
                <w:rFonts w:ascii="Cambria Math" w:hAnsi="Cambria Math" w:cs="Times New Roman"/>
              </w:rPr>
              <m:t>2</m:t>
            </m:r>
          </m:sup>
        </m:sSubSup>
        <m:r>
          <w:rPr>
            <w:rFonts w:ascii="Cambria Math" w:hAnsi="Cambria Math" w:cs="Times New Roman"/>
          </w:rPr>
          <m:t>=</m:t>
        </m:r>
        <m:nary>
          <m:naryPr>
            <m:chr m:val="∑"/>
            <m:limLoc m:val="subSup"/>
            <m:supHide m:val="1"/>
            <m:ctrlPr>
              <w:rPr>
                <w:rFonts w:ascii="Cambria Math" w:hAnsi="Cambria Math"/>
              </w:rPr>
            </m:ctrlPr>
          </m:naryPr>
          <m:sub>
            <m:eqArr>
              <m:eqArrPr>
                <m:ctrlPr>
                  <w:rPr>
                    <w:rFonts w:ascii="Cambria Math" w:hAnsi="Cambria Math"/>
                    <w:i/>
                  </w:rPr>
                </m:ctrlPr>
              </m:eqArrPr>
              <m:e>
                <m:r>
                  <w:rPr>
                    <w:rFonts w:ascii="Cambria Math" w:hAnsi="Cambria Math"/>
                  </w:rPr>
                  <m:t>l≠n</m:t>
                </m:r>
              </m:e>
              <m:e>
                <m:r>
                  <w:rPr>
                    <w:rFonts w:ascii="Cambria Math" w:hAnsi="Cambria Math"/>
                  </w:rPr>
                  <m:t>l∈Co-site gNBs</m:t>
                </m:r>
              </m:e>
            </m:eqArr>
          </m:sub>
          <m:sup/>
          <m:e>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c</m:t>
                </m:r>
              </m:sub>
              <m:sup>
                <m:r>
                  <w:rPr>
                    <w:rFonts w:ascii="Cambria Math" w:hAnsi="Cambria Math" w:cs="Times New Roman"/>
                  </w:rPr>
                  <m:t>2</m:t>
                </m:r>
              </m:sup>
            </m:sSubSup>
          </m:e>
        </m:nary>
        <m:r>
          <m:rPr>
            <m:sty m:val="p"/>
          </m:rPr>
          <w:rPr>
            <w:rFonts w:ascii="Cambria Math" w:hAnsi="Cambria Math"/>
          </w:rPr>
          <m:t>+</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x</m:t>
            </m:r>
          </m:sub>
          <m:sup>
            <m:r>
              <w:rPr>
                <w:rFonts w:ascii="Cambria Math" w:hAnsi="Cambria Math" w:cs="Times New Roman"/>
              </w:rPr>
              <m:t>2</m:t>
            </m:r>
          </m:sup>
        </m:sSubSup>
        <m:r>
          <m:rPr>
            <m:sty m:val="p"/>
          </m:rPr>
          <w:rPr>
            <w:rFonts w:ascii="Cambria Math" w:hAnsi="Cambria Math"/>
          </w:rPr>
          <m:t>+</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n</m:t>
            </m:r>
          </m:sub>
          <m:sup>
            <m:r>
              <w:rPr>
                <w:rFonts w:ascii="Cambria Math" w:hAnsi="Cambria Math" w:cs="Times New Roman"/>
              </w:rPr>
              <m:t>2</m:t>
            </m:r>
          </m:sup>
        </m:sSubSup>
      </m:oMath>
      <w:r w:rsidR="007D6684">
        <w:rPr>
          <w:rFonts w:hint="eastAsia"/>
        </w:rPr>
        <w:t>,</w:t>
      </w:r>
      <w:r w:rsidR="007D6684">
        <w:t xml:space="preserve"> where </w:t>
      </w:r>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c</m:t>
            </m:r>
          </m:sub>
          <m:sup>
            <m:r>
              <w:rPr>
                <w:rFonts w:ascii="Cambria Math" w:hAnsi="Cambria Math" w:cs="Times New Roman"/>
              </w:rPr>
              <m:t>2</m:t>
            </m:r>
          </m:sup>
        </m:sSubSup>
      </m:oMath>
      <w:r w:rsidR="007D6684">
        <w:rPr>
          <w:rFonts w:hint="eastAsia"/>
        </w:rPr>
        <w:t xml:space="preserve"> </w:t>
      </w:r>
      <w:r w:rsidR="007D6684">
        <w:t xml:space="preserve">is the power of co-site inter-sector gNB-gNB co-channel CLI, </w:t>
      </w:r>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x</m:t>
            </m:r>
          </m:sub>
          <m:sup>
            <m:r>
              <w:rPr>
                <w:rFonts w:ascii="Cambria Math" w:hAnsi="Cambria Math" w:cs="Times New Roman"/>
              </w:rPr>
              <m:t>2</m:t>
            </m:r>
          </m:sup>
        </m:sSubSup>
      </m:oMath>
      <w:r w:rsidR="007D6684">
        <w:rPr>
          <w:rFonts w:hint="eastAsia"/>
        </w:rPr>
        <w:t xml:space="preserve"> </w:t>
      </w:r>
      <w:r w:rsidR="007D6684">
        <w:t xml:space="preserve">is the power of self-interference, and </w:t>
      </w:r>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n</m:t>
            </m:r>
          </m:sub>
          <m:sup>
            <m:r>
              <w:rPr>
                <w:rFonts w:ascii="Cambria Math" w:hAnsi="Cambria Math" w:cs="Times New Roman"/>
              </w:rPr>
              <m:t>2</m:t>
            </m:r>
          </m:sup>
        </m:sSubSup>
      </m:oMath>
      <w:r w:rsidR="007D6684">
        <w:rPr>
          <w:rFonts w:hint="eastAsia"/>
        </w:rPr>
        <w:t xml:space="preserve"> </w:t>
      </w:r>
      <w:r w:rsidR="007D6684">
        <w:t>is the power of noise</w:t>
      </w:r>
      <w:r w:rsidR="00BD25F7">
        <w:t>.</w:t>
      </w:r>
    </w:p>
    <w:p w14:paraId="7A9DCB48" w14:textId="0BC64875" w:rsidR="00ED677D" w:rsidRDefault="003D08D8" w:rsidP="00513FF4">
      <w:pPr>
        <w:spacing w:before="93"/>
      </w:pPr>
      <w:r>
        <w:t xml:space="preserve">The performance of UL resource muting based gNB-gNB CLI handling was evaluated in both SLS and LSL in our companion contribution </w:t>
      </w:r>
      <w:r>
        <w:fldChar w:fldCharType="begin"/>
      </w:r>
      <w:r>
        <w:instrText xml:space="preserve"> REF _Ref134888637 \r \h </w:instrText>
      </w:r>
      <w:r>
        <w:fldChar w:fldCharType="separate"/>
      </w:r>
      <w:r>
        <w:t>[5]</w:t>
      </w:r>
      <w:r>
        <w:fldChar w:fldCharType="end"/>
      </w:r>
      <w:r>
        <w:t>.</w:t>
      </w:r>
    </w:p>
    <w:p w14:paraId="1ED11924" w14:textId="77777777" w:rsidR="003D08D8" w:rsidRDefault="003D08D8" w:rsidP="00513FF4">
      <w:pPr>
        <w:spacing w:before="93"/>
      </w:pPr>
    </w:p>
    <w:p w14:paraId="56F92C11" w14:textId="2148814E" w:rsidR="00C53195" w:rsidRPr="0040782E" w:rsidRDefault="00A673C1" w:rsidP="00C53195">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Beam nulling between gNBs</w:t>
      </w:r>
    </w:p>
    <w:p w14:paraId="2CDCFE85" w14:textId="10467166" w:rsidR="00C53195" w:rsidRDefault="00C53195" w:rsidP="00C53195">
      <w:pPr>
        <w:spacing w:before="93"/>
      </w:pPr>
      <w:r>
        <w:t>As analyzed in [</w:t>
      </w:r>
      <w:r w:rsidR="00AE0B6E">
        <w:t>5</w:t>
      </w:r>
      <w:r>
        <w:t xml:space="preserve">], there </w:t>
      </w:r>
      <w:r w:rsidR="001026C8">
        <w:t>could be</w:t>
      </w:r>
      <w:r>
        <w:t xml:space="preserve"> potential blocking when the receiver is using wideband filter. And the blocking may cause severe demodulation performance degradation at the receiver (there is a corresponding in-band block requirement in RAN4). This is because we are assuming a wideband filter to receive the </w:t>
      </w:r>
      <w:r w:rsidR="00356502">
        <w:t>UL</w:t>
      </w:r>
      <w:r>
        <w:t xml:space="preserve"> signal on the </w:t>
      </w:r>
      <w:r w:rsidR="008A4656">
        <w:t>SBFD</w:t>
      </w:r>
      <w:r>
        <w:t xml:space="preserve"> slots, where the </w:t>
      </w:r>
      <w:r w:rsidR="00356502">
        <w:t>DL</w:t>
      </w:r>
      <w:r>
        <w:t xml:space="preserve"> signal will fall into the receiving bandwidth of the </w:t>
      </w:r>
      <w:r w:rsidR="00356502">
        <w:t>UL</w:t>
      </w:r>
      <w:r>
        <w:t xml:space="preserve"> receiver, as shown in Fig. </w:t>
      </w:r>
      <w:r w:rsidR="00845583">
        <w:t>10</w:t>
      </w:r>
      <w:r>
        <w:t xml:space="preserve">. Although the </w:t>
      </w:r>
      <w:r w:rsidR="00356502">
        <w:t>DL</w:t>
      </w:r>
      <w:r>
        <w:t xml:space="preserve"> signal and the </w:t>
      </w:r>
      <w:r w:rsidR="00356502">
        <w:t>UL</w:t>
      </w:r>
      <w:r>
        <w:t xml:space="preserve"> desired signal are in different RBs, the strength of the </w:t>
      </w:r>
      <w:r w:rsidR="00356502">
        <w:t>DL</w:t>
      </w:r>
      <w:r>
        <w:t xml:space="preserve"> signal is much higher than the </w:t>
      </w:r>
      <w:r w:rsidR="00356502">
        <w:t>UL</w:t>
      </w:r>
      <w:r>
        <w:t xml:space="preserve"> desired signal, and the strong </w:t>
      </w:r>
      <w:r w:rsidR="00356502">
        <w:t>DL</w:t>
      </w:r>
      <w:r>
        <w:t xml:space="preserve"> signal will have blocking effect to degrade the receiver performance.</w:t>
      </w:r>
    </w:p>
    <w:p w14:paraId="2DB16494" w14:textId="77777777" w:rsidR="00286125" w:rsidRDefault="00286125" w:rsidP="00D1095F">
      <w:pPr>
        <w:spacing w:before="93"/>
        <w:jc w:val="center"/>
      </w:pPr>
    </w:p>
    <w:p w14:paraId="7F6F7CDC" w14:textId="77777777" w:rsidR="00ED0D1A" w:rsidRDefault="00ED0D1A" w:rsidP="00ED0D1A">
      <w:pPr>
        <w:spacing w:before="93"/>
        <w:jc w:val="center"/>
      </w:pPr>
      <w:r>
        <w:rPr>
          <w:noProof/>
        </w:rPr>
        <w:drawing>
          <wp:inline distT="0" distB="0" distL="0" distR="0" wp14:anchorId="2E0AF869" wp14:editId="096C4581">
            <wp:extent cx="3880800" cy="1396800"/>
            <wp:effectExtent l="0" t="0" r="571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t="2984" b="3271"/>
                    <a:stretch/>
                  </pic:blipFill>
                  <pic:spPr bwMode="auto">
                    <a:xfrm>
                      <a:off x="0" y="0"/>
                      <a:ext cx="3880800" cy="1396800"/>
                    </a:xfrm>
                    <a:prstGeom prst="rect">
                      <a:avLst/>
                    </a:prstGeom>
                    <a:ln>
                      <a:noFill/>
                    </a:ln>
                    <a:extLst>
                      <a:ext uri="{53640926-AAD7-44D8-BBD7-CCE9431645EC}">
                        <a14:shadowObscured xmlns:a14="http://schemas.microsoft.com/office/drawing/2010/main"/>
                      </a:ext>
                    </a:extLst>
                  </pic:spPr>
                </pic:pic>
              </a:graphicData>
            </a:graphic>
          </wp:inline>
        </w:drawing>
      </w:r>
    </w:p>
    <w:p w14:paraId="73160000" w14:textId="79791A29" w:rsidR="00ED0D1A" w:rsidRDefault="00ED0D1A" w:rsidP="00ED0D1A">
      <w:pPr>
        <w:spacing w:before="93"/>
        <w:jc w:val="center"/>
      </w:pPr>
      <w:r>
        <w:t xml:space="preserve">Fig. </w:t>
      </w:r>
      <w:r w:rsidR="00845583">
        <w:t>10</w:t>
      </w:r>
      <w:r>
        <w:t xml:space="preserve"> Illustration of the DL signal and UL signal assuming wideband UL front end filter.</w:t>
      </w:r>
    </w:p>
    <w:p w14:paraId="6DA35F7C" w14:textId="77777777" w:rsidR="00D4321A" w:rsidRDefault="00D4321A" w:rsidP="00D4321A">
      <w:pPr>
        <w:spacing w:before="93"/>
        <w:jc w:val="center"/>
      </w:pPr>
      <w:r>
        <w:rPr>
          <w:noProof/>
        </w:rPr>
        <w:drawing>
          <wp:inline distT="0" distB="0" distL="0" distR="0" wp14:anchorId="3880A7B9" wp14:editId="19B32122">
            <wp:extent cx="4006800" cy="1512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006800" cy="1512000"/>
                    </a:xfrm>
                    <a:prstGeom prst="rect">
                      <a:avLst/>
                    </a:prstGeom>
                  </pic:spPr>
                </pic:pic>
              </a:graphicData>
            </a:graphic>
          </wp:inline>
        </w:drawing>
      </w:r>
    </w:p>
    <w:p w14:paraId="2F93145B" w14:textId="77777777" w:rsidR="00D4321A" w:rsidRDefault="00D4321A" w:rsidP="00D4321A">
      <w:pPr>
        <w:spacing w:before="93"/>
        <w:jc w:val="center"/>
      </w:pPr>
      <w:r>
        <w:rPr>
          <w:rFonts w:hint="eastAsia"/>
        </w:rPr>
        <w:t>F</w:t>
      </w:r>
      <w:r>
        <w:t>ig. 11 CBF to suppress blocking interference.</w:t>
      </w:r>
    </w:p>
    <w:p w14:paraId="54ACB0CD" w14:textId="77777777" w:rsidR="00F123F5" w:rsidRDefault="00F123F5" w:rsidP="00D4321A">
      <w:pPr>
        <w:spacing w:before="93"/>
        <w:jc w:val="center"/>
      </w:pPr>
    </w:p>
    <w:p w14:paraId="3F4604DD" w14:textId="45DA580F" w:rsidR="0062349C" w:rsidRDefault="00C53195" w:rsidP="00C53195">
      <w:pPr>
        <w:spacing w:before="93"/>
      </w:pPr>
      <w:r>
        <w:t xml:space="preserve">To suppress the </w:t>
      </w:r>
      <w:r w:rsidR="00356502">
        <w:t>DL</w:t>
      </w:r>
      <w:r>
        <w:t xml:space="preserve"> blocking signal, beam</w:t>
      </w:r>
      <w:r w:rsidR="001B3624">
        <w:t xml:space="preserve"> nulling between gNBs</w:t>
      </w:r>
      <w:r>
        <w:t>, e.g. if the channel between transmitter and receiver can be measured, the DL beamforming weights can be manipulated to avoid transmitting i</w:t>
      </w:r>
      <w:r w:rsidR="0062349C">
        <w:t>n the direction of the receiver by using coordinated beamforming (</w:t>
      </w:r>
      <w:r w:rsidR="0093798F">
        <w:t>CBF</w:t>
      </w:r>
      <w:r w:rsidR="0062349C">
        <w:t>)</w:t>
      </w:r>
      <w:r w:rsidR="002A01C9">
        <w:t xml:space="preserve"> as discussed in</w:t>
      </w:r>
      <w:r w:rsidR="00E3335F">
        <w:t>. Based</w:t>
      </w:r>
      <w:r w:rsidR="007E6527">
        <w:t xml:space="preserve"> </w:t>
      </w:r>
      <w:r w:rsidR="00E3335F">
        <w:t>on</w:t>
      </w:r>
      <w:r w:rsidR="007E6527">
        <w:t xml:space="preserve"> </w:t>
      </w:r>
      <w:r w:rsidR="00DC0608">
        <w:t>nulling between gNBs</w:t>
      </w:r>
      <w:r w:rsidR="007E6527">
        <w:t xml:space="preserve">, the </w:t>
      </w:r>
      <w:r w:rsidR="00882331">
        <w:t xml:space="preserve">null of transmit beam at gNB of aggressor will point to the gNB of victim </w:t>
      </w:r>
      <w:r w:rsidR="00B12C34">
        <w:t xml:space="preserve">as shown in Fig. </w:t>
      </w:r>
      <w:r w:rsidR="00845583">
        <w:t>11</w:t>
      </w:r>
      <w:r w:rsidR="00882331">
        <w:t>, thus reducing the blocking power at the gNB of victim.</w:t>
      </w:r>
    </w:p>
    <w:p w14:paraId="61A3C8EA" w14:textId="6471000E" w:rsidR="00B04451" w:rsidRPr="008D4C1D" w:rsidRDefault="00B04451" w:rsidP="00B04451">
      <w:pPr>
        <w:spacing w:before="93"/>
        <w:rPr>
          <w:i/>
        </w:rPr>
      </w:pPr>
      <w:r w:rsidRPr="00AC6E09">
        <w:rPr>
          <w:b/>
          <w:i/>
        </w:rPr>
        <w:t xml:space="preserve">Proposal </w:t>
      </w:r>
      <w:r w:rsidR="00A971D9">
        <w:rPr>
          <w:b/>
          <w:i/>
        </w:rPr>
        <w:t>3</w:t>
      </w:r>
      <w:r w:rsidR="00B83EA5">
        <w:rPr>
          <w:b/>
          <w:i/>
        </w:rPr>
        <w:t>3</w:t>
      </w:r>
      <w:r w:rsidRPr="00AC6E09">
        <w:rPr>
          <w:i/>
        </w:rPr>
        <w:t>:</w:t>
      </w:r>
      <w:r>
        <w:rPr>
          <w:i/>
        </w:rPr>
        <w:t xml:space="preserve"> </w:t>
      </w:r>
      <w:r w:rsidR="00513A9A" w:rsidRPr="00513A9A">
        <w:rPr>
          <w:i/>
        </w:rPr>
        <w:t>Study the feasibility and performance of beam nulling for gNB-to-gNB CLI suppression with gNB-to-gNB channel.</w:t>
      </w:r>
    </w:p>
    <w:p w14:paraId="3697EF94" w14:textId="2FF51BBF" w:rsidR="00F724B0" w:rsidRPr="00A6704D" w:rsidRDefault="0027682E" w:rsidP="008850EB">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lastRenderedPageBreak/>
        <w:t>I</w:t>
      </w:r>
      <w:r w:rsidRPr="00A6704D">
        <w:rPr>
          <w:rFonts w:eastAsia="宋体" w:cs="Times New Roman"/>
          <w:b/>
          <w:bCs/>
          <w:kern w:val="0"/>
          <w:sz w:val="28"/>
          <w:szCs w:val="28"/>
        </w:rPr>
        <w:t xml:space="preserve">nterference suppression </w:t>
      </w:r>
      <w:r>
        <w:rPr>
          <w:rFonts w:eastAsia="宋体" w:cs="Times New Roman"/>
          <w:b/>
          <w:bCs/>
          <w:kern w:val="0"/>
          <w:sz w:val="28"/>
          <w:szCs w:val="28"/>
        </w:rPr>
        <w:t xml:space="preserve">based on </w:t>
      </w:r>
      <w:r w:rsidR="008850EB" w:rsidRPr="008850EB">
        <w:rPr>
          <w:rFonts w:eastAsia="宋体" w:cs="Times New Roman"/>
          <w:b/>
          <w:bCs/>
          <w:kern w:val="0"/>
          <w:sz w:val="28"/>
          <w:szCs w:val="28"/>
        </w:rPr>
        <w:t xml:space="preserve">analogue </w:t>
      </w:r>
      <w:r>
        <w:rPr>
          <w:rFonts w:eastAsia="宋体" w:cs="Times New Roman"/>
          <w:b/>
          <w:bCs/>
          <w:kern w:val="0"/>
          <w:sz w:val="28"/>
          <w:szCs w:val="28"/>
        </w:rPr>
        <w:t>f</w:t>
      </w:r>
      <w:r w:rsidR="00F724B0" w:rsidRPr="00A6704D">
        <w:rPr>
          <w:rFonts w:eastAsia="宋体" w:cs="Times New Roman"/>
          <w:b/>
          <w:bCs/>
          <w:kern w:val="0"/>
          <w:sz w:val="28"/>
          <w:szCs w:val="28"/>
        </w:rPr>
        <w:t>ilte</w:t>
      </w:r>
      <w:r>
        <w:rPr>
          <w:rFonts w:eastAsia="宋体" w:cs="Times New Roman"/>
          <w:b/>
          <w:bCs/>
          <w:kern w:val="0"/>
          <w:sz w:val="28"/>
          <w:szCs w:val="28"/>
        </w:rPr>
        <w:t>r</w:t>
      </w:r>
    </w:p>
    <w:p w14:paraId="01C2AA2B" w14:textId="7BD69E08" w:rsidR="004F5B75" w:rsidRDefault="00064457" w:rsidP="004F5B75">
      <w:pPr>
        <w:spacing w:before="93"/>
      </w:pPr>
      <w:r>
        <w:t>Analogue filters are efficient to suppress both the linear and non-linear interference at the cost of additional hardware complexity. T</w:t>
      </w:r>
      <w:r w:rsidR="00F724B0">
        <w:t xml:space="preserve">wo </w:t>
      </w:r>
      <w:r>
        <w:t xml:space="preserve">kinds of </w:t>
      </w:r>
      <w:r w:rsidR="00F724B0">
        <w:t>analogue filters may be applicable</w:t>
      </w:r>
      <w:r w:rsidR="00A875D8">
        <w:t xml:space="preserve"> for SBFD operation</w:t>
      </w:r>
      <w:r w:rsidR="00F724B0">
        <w:t xml:space="preserve">, one is the filter at the transmitter and the other is the filter at the receiver. For the filter at the transmitter, it can help to reduce the leakage interference to the </w:t>
      </w:r>
      <w:r w:rsidR="00356502">
        <w:t>UL</w:t>
      </w:r>
      <w:r w:rsidR="00F724B0">
        <w:t xml:space="preserve"> subband. For the filter at the receiver, it can help to reduce the blocking interference, so that the </w:t>
      </w:r>
      <w:r w:rsidR="00356502">
        <w:t>DL</w:t>
      </w:r>
      <w:r w:rsidR="00F724B0">
        <w:t xml:space="preserve"> signal on the </w:t>
      </w:r>
      <w:r w:rsidR="00356502">
        <w:t>DL</w:t>
      </w:r>
      <w:r w:rsidR="00F724B0">
        <w:t xml:space="preserve"> RBs will not fall into the receiving bandwidth. However</w:t>
      </w:r>
      <w:r w:rsidR="00451F92">
        <w:t>,</w:t>
      </w:r>
      <w:r w:rsidR="00F724B0">
        <w:t xml:space="preserve"> </w:t>
      </w:r>
      <w:r w:rsidR="00451F92">
        <w:t xml:space="preserve">additional </w:t>
      </w:r>
      <w:r w:rsidR="00F724B0">
        <w:t xml:space="preserve">guard band </w:t>
      </w:r>
      <w:r w:rsidR="00451F92">
        <w:t>will</w:t>
      </w:r>
      <w:r w:rsidR="00F724B0">
        <w:t xml:space="preserve"> be needed for the filter, and the amount of the guard band may degrade the overall system performance.</w:t>
      </w:r>
      <w:r w:rsidR="004F5B75">
        <w:t xml:space="preserve"> This study should be started by RAN4, and the performances should be provided to RAN1 to check the feasibility as well as the performance of </w:t>
      </w:r>
      <w:r w:rsidR="008A4656">
        <w:t>SBFD</w:t>
      </w:r>
      <w:r w:rsidR="004F5B75">
        <w:t>.</w:t>
      </w:r>
    </w:p>
    <w:p w14:paraId="04975FAE" w14:textId="7F88FBEB" w:rsidR="009640DE" w:rsidRDefault="00425669" w:rsidP="00F724B0">
      <w:pPr>
        <w:spacing w:before="93"/>
        <w:rPr>
          <w:i/>
        </w:rPr>
      </w:pPr>
      <w:r w:rsidRPr="00AC6E09">
        <w:rPr>
          <w:b/>
          <w:i/>
        </w:rPr>
        <w:t>Proposal</w:t>
      </w:r>
      <w:r w:rsidR="0025236C" w:rsidRPr="00AC6E09">
        <w:rPr>
          <w:b/>
          <w:i/>
        </w:rPr>
        <w:t xml:space="preserve"> </w:t>
      </w:r>
      <w:r w:rsidR="00A971D9">
        <w:rPr>
          <w:b/>
          <w:i/>
        </w:rPr>
        <w:t>3</w:t>
      </w:r>
      <w:r w:rsidR="00B83EA5">
        <w:rPr>
          <w:b/>
          <w:i/>
        </w:rPr>
        <w:t>4</w:t>
      </w:r>
      <w:r w:rsidRPr="00AC6E09">
        <w:rPr>
          <w:i/>
        </w:rPr>
        <w:t>:</w:t>
      </w:r>
      <w:r w:rsidRPr="001B0054">
        <w:rPr>
          <w:i/>
        </w:rPr>
        <w:t xml:space="preserve"> </w:t>
      </w:r>
      <w:r w:rsidR="001B0054" w:rsidRPr="00CE05AC">
        <w:rPr>
          <w:i/>
        </w:rPr>
        <w:t xml:space="preserve">Study the feasibility and performance of applying filters at both transmitter and receiver sides in </w:t>
      </w:r>
      <w:r w:rsidR="008A4656">
        <w:rPr>
          <w:i/>
        </w:rPr>
        <w:t>SBFD</w:t>
      </w:r>
      <w:r w:rsidR="001B0054" w:rsidRPr="00CE05AC">
        <w:rPr>
          <w:i/>
        </w:rPr>
        <w:t xml:space="preserve"> involving RAN4 on the following aspects</w:t>
      </w:r>
      <w:r w:rsidR="008E2A69">
        <w:rPr>
          <w:i/>
        </w:rPr>
        <w:t>.</w:t>
      </w:r>
    </w:p>
    <w:p w14:paraId="6C7C0A6B" w14:textId="3345DB13" w:rsidR="0025236C" w:rsidRDefault="0025236C" w:rsidP="001E359B">
      <w:pPr>
        <w:pStyle w:val="a8"/>
        <w:numPr>
          <w:ilvl w:val="0"/>
          <w:numId w:val="5"/>
        </w:numPr>
        <w:spacing w:before="93"/>
        <w:ind w:firstLineChars="0"/>
        <w:rPr>
          <w:i/>
        </w:rPr>
      </w:pPr>
      <w:r>
        <w:rPr>
          <w:rFonts w:hint="eastAsia"/>
          <w:i/>
        </w:rPr>
        <w:t>F</w:t>
      </w:r>
      <w:r>
        <w:rPr>
          <w:i/>
        </w:rPr>
        <w:t xml:space="preserve">ilter at transmitter to </w:t>
      </w:r>
      <w:r w:rsidR="004B564D">
        <w:rPr>
          <w:i/>
        </w:rPr>
        <w:t>suppress</w:t>
      </w:r>
      <w:r>
        <w:rPr>
          <w:i/>
        </w:rPr>
        <w:t xml:space="preserve"> the leakage interference</w:t>
      </w:r>
      <w:r w:rsidR="003F6BCC">
        <w:rPr>
          <w:i/>
        </w:rPr>
        <w:t>.</w:t>
      </w:r>
    </w:p>
    <w:p w14:paraId="45D48F36" w14:textId="19F24424" w:rsidR="0025236C" w:rsidRDefault="0025236C" w:rsidP="001E359B">
      <w:pPr>
        <w:pStyle w:val="a8"/>
        <w:numPr>
          <w:ilvl w:val="0"/>
          <w:numId w:val="5"/>
        </w:numPr>
        <w:spacing w:before="93"/>
        <w:ind w:firstLineChars="0"/>
        <w:rPr>
          <w:i/>
        </w:rPr>
      </w:pPr>
      <w:r>
        <w:rPr>
          <w:i/>
        </w:rPr>
        <w:t xml:space="preserve">Filter at receiver to </w:t>
      </w:r>
      <w:r w:rsidR="004B564D">
        <w:rPr>
          <w:i/>
        </w:rPr>
        <w:t>suppress</w:t>
      </w:r>
      <w:r w:rsidR="009640DE">
        <w:rPr>
          <w:i/>
        </w:rPr>
        <w:t xml:space="preserve"> the blocking interference</w:t>
      </w:r>
      <w:r w:rsidR="003F6BCC">
        <w:rPr>
          <w:i/>
        </w:rPr>
        <w:t>.</w:t>
      </w:r>
    </w:p>
    <w:p w14:paraId="16D17D0C" w14:textId="3232C53D" w:rsidR="00E07C70" w:rsidRDefault="00E07C70" w:rsidP="001E359B">
      <w:pPr>
        <w:pStyle w:val="a8"/>
        <w:numPr>
          <w:ilvl w:val="0"/>
          <w:numId w:val="5"/>
        </w:numPr>
        <w:spacing w:before="93"/>
        <w:ind w:firstLineChars="0"/>
        <w:rPr>
          <w:i/>
        </w:rPr>
      </w:pPr>
      <w:r>
        <w:rPr>
          <w:i/>
        </w:rPr>
        <w:t xml:space="preserve">Guard band for </w:t>
      </w:r>
      <w:r w:rsidR="009640DE">
        <w:rPr>
          <w:i/>
        </w:rPr>
        <w:t>filters</w:t>
      </w:r>
      <w:r w:rsidR="003F6BCC">
        <w:rPr>
          <w:i/>
        </w:rPr>
        <w:t>.</w:t>
      </w:r>
    </w:p>
    <w:p w14:paraId="46FF039F" w14:textId="77777777" w:rsidR="006E4AFB" w:rsidRDefault="006E4AFB" w:rsidP="00CE05AC">
      <w:pPr>
        <w:spacing w:before="93"/>
      </w:pPr>
    </w:p>
    <w:p w14:paraId="4B560B24" w14:textId="77777777" w:rsidR="00E97806" w:rsidRDefault="00E97806" w:rsidP="007D1D89">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Interference management for inter-slot interference</w:t>
      </w:r>
    </w:p>
    <w:p w14:paraId="3EF64808" w14:textId="453558C9" w:rsidR="00E97806" w:rsidRDefault="00E97806" w:rsidP="00E97806">
      <w:pPr>
        <w:spacing w:before="93"/>
      </w:pPr>
      <w:r>
        <w:t xml:space="preserve">In legacy TDD system, </w:t>
      </w:r>
      <w:r w:rsidR="00A875D8">
        <w:t xml:space="preserve">a </w:t>
      </w:r>
      <w:r>
        <w:t xml:space="preserve">UE is provided a value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t xml:space="preserve">, a timing advance offset for a serving cell. It is used to reserve enough time for UL/DL switching, as shown in Fig. </w:t>
      </w:r>
      <w:r w:rsidR="00A971D9">
        <w:t>1</w:t>
      </w:r>
      <w:r w:rsidR="00845583">
        <w:t>2</w:t>
      </w:r>
      <w:r>
        <w:t>(a), where DL/UL switching is done during the GP in S slot.</w:t>
      </w:r>
    </w:p>
    <w:p w14:paraId="09364096" w14:textId="2A9BFEF2" w:rsidR="00E97806" w:rsidRDefault="00E97806" w:rsidP="00E97806">
      <w:pPr>
        <w:spacing w:before="93"/>
      </w:pPr>
      <w:r>
        <w:t xml:space="preserve">In case of subband non-overlapping full duplex, from the base station point of view, a non-zero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t xml:space="preserve"> will result in inter-slot interference. As shown in Fig. </w:t>
      </w:r>
      <w:r w:rsidR="00A971D9">
        <w:t>1</w:t>
      </w:r>
      <w:r w:rsidR="00845583">
        <w:t>2</w:t>
      </w:r>
      <w:r>
        <w:t xml:space="preserve">(b), the UL signals in UL slot and DL signals in DL slot are interfered by each other. To avoid the inter-slot interference, one potential solution is to configure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r>
          <m:rPr>
            <m:sty m:val="p"/>
          </m:rPr>
          <w:rPr>
            <w:rFonts w:ascii="Cambria Math" w:hAnsi="Cambria Math"/>
          </w:rPr>
          <m:t>=0</m:t>
        </m:r>
      </m:oMath>
      <w:r>
        <w:t>.</w:t>
      </w:r>
    </w:p>
    <w:p w14:paraId="6395E15A" w14:textId="77777777" w:rsidR="00F123F5" w:rsidRDefault="00F123F5" w:rsidP="00F123F5">
      <w:pPr>
        <w:spacing w:before="93"/>
        <w:rPr>
          <w:i/>
        </w:rPr>
      </w:pPr>
      <w:r>
        <w:rPr>
          <w:b/>
          <w:i/>
        </w:rPr>
        <w:t>Proposal 35</w:t>
      </w:r>
      <w:r>
        <w:rPr>
          <w:i/>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i/>
        </w:rPr>
        <w:t xml:space="preserve"> can be configured as 0 to avoid the inter-slot interference.</w:t>
      </w:r>
    </w:p>
    <w:p w14:paraId="1C32CAAC" w14:textId="77777777" w:rsidR="00F123F5" w:rsidRPr="00F123F5" w:rsidRDefault="00F123F5" w:rsidP="00195777">
      <w:pPr>
        <w:spacing w:before="93"/>
        <w:jc w:val="center"/>
      </w:pPr>
    </w:p>
    <w:p w14:paraId="53F7FB5E" w14:textId="47D52411" w:rsidR="00E97806" w:rsidRDefault="00E97806" w:rsidP="00E97806">
      <w:pPr>
        <w:spacing w:before="93"/>
        <w:jc w:val="center"/>
      </w:pPr>
      <w:r>
        <w:rPr>
          <w:noProof/>
        </w:rPr>
        <w:drawing>
          <wp:inline distT="0" distB="0" distL="0" distR="0" wp14:anchorId="3A499E14" wp14:editId="07B2B002">
            <wp:extent cx="3286800" cy="824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86800" cy="824400"/>
                    </a:xfrm>
                    <a:prstGeom prst="rect">
                      <a:avLst/>
                    </a:prstGeom>
                    <a:noFill/>
                    <a:ln>
                      <a:noFill/>
                    </a:ln>
                  </pic:spPr>
                </pic:pic>
              </a:graphicData>
            </a:graphic>
          </wp:inline>
        </w:drawing>
      </w:r>
    </w:p>
    <w:p w14:paraId="6B732F65" w14:textId="12D2F1C8" w:rsidR="00E97806" w:rsidRDefault="00E97806" w:rsidP="00E97806">
      <w:pPr>
        <w:spacing w:before="93"/>
        <w:jc w:val="center"/>
      </w:pPr>
      <w:r>
        <w:t>(a) Legacy TDD</w:t>
      </w:r>
    </w:p>
    <w:p w14:paraId="3CEE2543" w14:textId="5F190F6A" w:rsidR="00E97806" w:rsidRDefault="00E97806" w:rsidP="00E97806">
      <w:pPr>
        <w:spacing w:before="93"/>
        <w:jc w:val="center"/>
      </w:pPr>
      <w:r>
        <w:rPr>
          <w:noProof/>
        </w:rPr>
        <w:drawing>
          <wp:inline distT="0" distB="0" distL="0" distR="0" wp14:anchorId="35424B78" wp14:editId="6D16EE67">
            <wp:extent cx="3380400" cy="138600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80400" cy="1386000"/>
                    </a:xfrm>
                    <a:prstGeom prst="rect">
                      <a:avLst/>
                    </a:prstGeom>
                    <a:noFill/>
                    <a:ln>
                      <a:noFill/>
                    </a:ln>
                  </pic:spPr>
                </pic:pic>
              </a:graphicData>
            </a:graphic>
          </wp:inline>
        </w:drawing>
      </w:r>
    </w:p>
    <w:p w14:paraId="171840A7" w14:textId="41923B61" w:rsidR="00E97806" w:rsidRDefault="00E97806" w:rsidP="00E97806">
      <w:pPr>
        <w:spacing w:before="93"/>
        <w:jc w:val="center"/>
      </w:pPr>
      <w:r>
        <w:t>(b) Subband non-overlapping full duplex</w:t>
      </w:r>
    </w:p>
    <w:p w14:paraId="1874FAD2" w14:textId="4191D0FF" w:rsidR="00E97806" w:rsidRDefault="00E97806" w:rsidP="00E97806">
      <w:pPr>
        <w:spacing w:before="93"/>
        <w:jc w:val="center"/>
      </w:pPr>
      <w:r>
        <w:t xml:space="preserve">Fig. </w:t>
      </w:r>
      <w:r w:rsidR="00A971D9">
        <w:t>1</w:t>
      </w:r>
      <w:r w:rsidR="00845583">
        <w:t>2</w:t>
      </w:r>
      <w:r>
        <w:t xml:space="preserve"> Inter-slot interference for subband </w:t>
      </w:r>
      <w:r w:rsidR="00BB31BF">
        <w:t>non</w:t>
      </w:r>
      <w:r>
        <w:t>-overlapping full duplex.</w:t>
      </w:r>
    </w:p>
    <w:p w14:paraId="5C9B9892" w14:textId="77777777" w:rsidR="00142F23" w:rsidRPr="00A72FA6" w:rsidRDefault="00142F23" w:rsidP="00E97806">
      <w:pPr>
        <w:spacing w:before="93"/>
        <w:jc w:val="center"/>
      </w:pPr>
    </w:p>
    <w:p w14:paraId="1750689C" w14:textId="4F180A50" w:rsidR="00907430" w:rsidRPr="00286B4E" w:rsidRDefault="002E647F" w:rsidP="00907430">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I</w:t>
      </w:r>
      <w:r w:rsidR="00907430">
        <w:rPr>
          <w:rFonts w:eastAsia="宋体" w:cs="Times New Roman"/>
          <w:b/>
          <w:bCs/>
          <w:kern w:val="0"/>
          <w:sz w:val="28"/>
          <w:szCs w:val="28"/>
        </w:rPr>
        <w:t xml:space="preserve">nterference </w:t>
      </w:r>
      <w:r w:rsidR="0053341A">
        <w:rPr>
          <w:rFonts w:eastAsia="宋体" w:cs="Times New Roman"/>
          <w:b/>
          <w:bCs/>
          <w:kern w:val="0"/>
          <w:sz w:val="28"/>
          <w:szCs w:val="28"/>
        </w:rPr>
        <w:t>handling at UE side</w:t>
      </w:r>
    </w:p>
    <w:p w14:paraId="75F1CBFA" w14:textId="120BA0C7" w:rsidR="001A55ED" w:rsidRDefault="001A55ED" w:rsidP="00F11B52">
      <w:pPr>
        <w:spacing w:before="93" w:afterLines="30" w:after="93"/>
      </w:pPr>
      <w:r>
        <w:rPr>
          <w:rFonts w:hint="eastAsia"/>
        </w:rPr>
        <w:t>In</w:t>
      </w:r>
      <w:r>
        <w:t xml:space="preserve"> the </w:t>
      </w:r>
      <w:r w:rsidR="009B1D07">
        <w:t>p</w:t>
      </w:r>
      <w:r>
        <w:t>ast several meetings, for interference handling at UE side, UE-to-UE co-channel CLI measurement has been discussed, the following agreement was achieved.</w:t>
      </w:r>
    </w:p>
    <w:tbl>
      <w:tblPr>
        <w:tblStyle w:val="a7"/>
        <w:tblW w:w="0" w:type="auto"/>
        <w:tblLook w:val="04A0" w:firstRow="1" w:lastRow="0" w:firstColumn="1" w:lastColumn="0" w:noHBand="0" w:noVBand="1"/>
      </w:tblPr>
      <w:tblGrid>
        <w:gridCol w:w="9305"/>
      </w:tblGrid>
      <w:tr w:rsidR="001A55ED" w14:paraId="7576E6D8" w14:textId="77777777" w:rsidTr="00F11B52">
        <w:trPr>
          <w:trHeight w:val="3960"/>
        </w:trPr>
        <w:tc>
          <w:tcPr>
            <w:tcW w:w="9305" w:type="dxa"/>
          </w:tcPr>
          <w:p w14:paraId="582B2264" w14:textId="77777777" w:rsidR="001A55ED" w:rsidRPr="002704CD" w:rsidRDefault="001A55ED" w:rsidP="002C0EFF">
            <w:pPr>
              <w:spacing w:before="93"/>
              <w:rPr>
                <w:bCs/>
                <w:highlight w:val="green"/>
              </w:rPr>
            </w:pPr>
            <w:r w:rsidRPr="002704CD">
              <w:rPr>
                <w:bCs/>
                <w:highlight w:val="green"/>
              </w:rPr>
              <w:lastRenderedPageBreak/>
              <w:t>Agreement</w:t>
            </w:r>
          </w:p>
          <w:p w14:paraId="09D337D0" w14:textId="77777777" w:rsidR="001A55ED" w:rsidRPr="002704CD" w:rsidRDefault="001A55ED" w:rsidP="002C0EFF">
            <w:pPr>
              <w:spacing w:before="93"/>
              <w:rPr>
                <w:lang w:eastAsia="ko-KR"/>
              </w:rPr>
            </w:pPr>
            <w:r w:rsidRPr="002704CD">
              <w:rPr>
                <w:lang w:eastAsia="ko-KR"/>
              </w:rPr>
              <w:t xml:space="preserve">Study the feasibility and potential benefit of UE-to-UE co-channel CLI measurement and reporting, which can be specific for SBFD, </w:t>
            </w:r>
            <w:r w:rsidRPr="002704CD">
              <w:t>at least includes:</w:t>
            </w:r>
          </w:p>
          <w:p w14:paraId="0710E61B" w14:textId="77777777" w:rsidR="001A55ED" w:rsidRPr="002704CD" w:rsidRDefault="001A55ED" w:rsidP="00BC51D9">
            <w:pPr>
              <w:pStyle w:val="a8"/>
              <w:widowControl/>
              <w:numPr>
                <w:ilvl w:val="0"/>
                <w:numId w:val="20"/>
              </w:numPr>
              <w:overflowPunct w:val="0"/>
              <w:snapToGrid/>
              <w:spacing w:beforeLines="0" w:before="0" w:after="180" w:line="240" w:lineRule="auto"/>
              <w:ind w:firstLineChars="0"/>
              <w:contextualSpacing/>
              <w:jc w:val="left"/>
              <w:textAlignment w:val="baseline"/>
              <w:rPr>
                <w:lang w:eastAsia="ko-KR"/>
              </w:rPr>
            </w:pPr>
            <w:r w:rsidRPr="002704CD">
              <w:rPr>
                <w:lang w:eastAsia="ko-KR"/>
              </w:rPr>
              <w:t>Measurement resource/reporting configuration</w:t>
            </w:r>
          </w:p>
          <w:p w14:paraId="2E584E7C" w14:textId="77777777" w:rsidR="001A55ED" w:rsidRPr="002704CD" w:rsidRDefault="001A55ED" w:rsidP="00BC51D9">
            <w:pPr>
              <w:pStyle w:val="a8"/>
              <w:widowControl/>
              <w:numPr>
                <w:ilvl w:val="0"/>
                <w:numId w:val="20"/>
              </w:numPr>
              <w:overflowPunct w:val="0"/>
              <w:snapToGrid/>
              <w:spacing w:beforeLines="0" w:before="0" w:after="180" w:line="240" w:lineRule="auto"/>
              <w:ind w:firstLineChars="0"/>
              <w:contextualSpacing/>
              <w:jc w:val="left"/>
              <w:textAlignment w:val="baseline"/>
              <w:rPr>
                <w:lang w:eastAsia="ko-KR"/>
              </w:rPr>
            </w:pPr>
            <w:r w:rsidRPr="002704CD">
              <w:rPr>
                <w:lang w:eastAsia="ko-KR"/>
              </w:rPr>
              <w:t>Measurement/reporting details (including UE processing delay)</w:t>
            </w:r>
          </w:p>
          <w:p w14:paraId="0CC7B920" w14:textId="77777777" w:rsidR="001A55ED" w:rsidRPr="002704CD" w:rsidRDefault="001A55ED" w:rsidP="00BC51D9">
            <w:pPr>
              <w:pStyle w:val="a8"/>
              <w:widowControl/>
              <w:numPr>
                <w:ilvl w:val="0"/>
                <w:numId w:val="20"/>
              </w:numPr>
              <w:overflowPunct w:val="0"/>
              <w:snapToGrid/>
              <w:spacing w:beforeLines="0" w:before="0" w:after="180" w:line="240" w:lineRule="auto"/>
              <w:ind w:firstLineChars="0"/>
              <w:contextualSpacing/>
              <w:jc w:val="left"/>
              <w:textAlignment w:val="baseline"/>
              <w:rPr>
                <w:lang w:eastAsia="ko-KR"/>
              </w:rPr>
            </w:pPr>
            <w:r w:rsidRPr="002704CD">
              <w:rPr>
                <w:lang w:eastAsia="ko-KR"/>
              </w:rPr>
              <w:t>Relevant information exchange (between gNBs) if needed</w:t>
            </w:r>
          </w:p>
          <w:p w14:paraId="6515BE70" w14:textId="77777777" w:rsidR="001A55ED" w:rsidRPr="002704CD" w:rsidRDefault="001A55ED" w:rsidP="00BC51D9">
            <w:pPr>
              <w:pStyle w:val="a8"/>
              <w:widowControl/>
              <w:numPr>
                <w:ilvl w:val="0"/>
                <w:numId w:val="20"/>
              </w:numPr>
              <w:overflowPunct w:val="0"/>
              <w:snapToGrid/>
              <w:spacing w:beforeLines="0" w:before="0" w:after="180" w:line="240" w:lineRule="auto"/>
              <w:ind w:firstLineChars="0"/>
              <w:contextualSpacing/>
              <w:jc w:val="left"/>
              <w:textAlignment w:val="baseline"/>
              <w:rPr>
                <w:lang w:eastAsia="ko-KR"/>
              </w:rPr>
            </w:pPr>
            <w:r w:rsidRPr="002704CD">
              <w:rPr>
                <w:lang w:eastAsia="ko-KR"/>
              </w:rPr>
              <w:t>Usage of measurement at gNB</w:t>
            </w:r>
          </w:p>
          <w:p w14:paraId="0E37C946" w14:textId="77777777" w:rsidR="001A55ED" w:rsidRPr="00C11AA4" w:rsidRDefault="001A55ED" w:rsidP="002C0EFF">
            <w:pPr>
              <w:spacing w:before="93"/>
            </w:pPr>
            <w:r w:rsidRPr="002704CD">
              <w:t>Note: other enhancement(s)</w:t>
            </w:r>
            <w:r w:rsidRPr="002704CD">
              <w:rPr>
                <w:rFonts w:hint="eastAsia"/>
              </w:rPr>
              <w:t xml:space="preserve"> for gNB-to-gNB and UE-to-UE CLI handling </w:t>
            </w:r>
            <w:r w:rsidRPr="002704CD">
              <w:rPr>
                <w:lang w:eastAsia="ko-KR"/>
              </w:rPr>
              <w:t>specific for SBFD</w:t>
            </w:r>
            <w:r w:rsidRPr="002704CD">
              <w:t xml:space="preserve"> are not precluded.</w:t>
            </w:r>
          </w:p>
          <w:p w14:paraId="0D313C34" w14:textId="77777777" w:rsidR="001A55ED" w:rsidRPr="00011137" w:rsidRDefault="001A55ED" w:rsidP="002C0EFF">
            <w:pPr>
              <w:spacing w:before="93"/>
              <w:rPr>
                <w:highlight w:val="green"/>
              </w:rPr>
            </w:pPr>
            <w:r w:rsidRPr="00011137">
              <w:rPr>
                <w:highlight w:val="green"/>
              </w:rPr>
              <w:t>Agreement:</w:t>
            </w:r>
          </w:p>
          <w:p w14:paraId="34DF4C17" w14:textId="77777777" w:rsidR="001A55ED" w:rsidRPr="00C11AA4" w:rsidRDefault="001A55ED" w:rsidP="002C0EFF">
            <w:pPr>
              <w:spacing w:before="93"/>
            </w:pPr>
            <w:r w:rsidRPr="00011137">
              <w:t xml:space="preserve">Study impact/potential enhancements for UE-to-UE CLI-RSSI measurement/report considering non-contiguous </w:t>
            </w:r>
            <w:r w:rsidRPr="00011137">
              <w:rPr>
                <w:lang w:eastAsia="ko-KR"/>
              </w:rPr>
              <w:t>measurement resource in frequency</w:t>
            </w:r>
            <w:r w:rsidRPr="00011137">
              <w:t>.</w:t>
            </w:r>
          </w:p>
        </w:tc>
      </w:tr>
    </w:tbl>
    <w:p w14:paraId="07F334BB" w14:textId="77777777" w:rsidR="00F123F5" w:rsidRDefault="00F123F5" w:rsidP="001A55ED">
      <w:pPr>
        <w:spacing w:before="93"/>
      </w:pPr>
    </w:p>
    <w:p w14:paraId="4FF85419" w14:textId="6323B979" w:rsidR="001A55ED" w:rsidRDefault="001A55ED" w:rsidP="001A55ED">
      <w:pPr>
        <w:spacing w:before="93"/>
      </w:pPr>
      <w:r>
        <w:t xml:space="preserve">The framework of UE-to-UE co-channel CLI measurement for SBFD and dynamic TDD can be common. </w:t>
      </w:r>
      <w:r w:rsidR="00197862">
        <w:t>T</w:t>
      </w:r>
      <w:r>
        <w:t xml:space="preserve">he </w:t>
      </w:r>
      <w:r w:rsidR="00181946">
        <w:t>general</w:t>
      </w:r>
      <w:r>
        <w:t xml:space="preserve"> </w:t>
      </w:r>
      <w:r w:rsidR="00181946">
        <w:t>aspects on UE-to-UE CLI measurement</w:t>
      </w:r>
      <w:r>
        <w:t xml:space="preserve"> </w:t>
      </w:r>
      <w:r w:rsidR="00181946">
        <w:t xml:space="preserve">can be found </w:t>
      </w:r>
      <w:r>
        <w:t xml:space="preserve">in </w:t>
      </w:r>
      <w:r w:rsidR="00BA3E80">
        <w:t>our</w:t>
      </w:r>
      <w:r>
        <w:t xml:space="preserve"> contribution [</w:t>
      </w:r>
      <w:r w:rsidR="00AE0B6E">
        <w:t>6</w:t>
      </w:r>
      <w:r>
        <w:t xml:space="preserve">]. In this </w:t>
      </w:r>
      <w:r w:rsidR="00BA3E80">
        <w:t>section</w:t>
      </w:r>
      <w:r>
        <w:t xml:space="preserve">, we mainly </w:t>
      </w:r>
      <w:r w:rsidR="00BA3E80">
        <w:t>focus on the</w:t>
      </w:r>
      <w:r w:rsidR="00181946">
        <w:t xml:space="preserve"> potential</w:t>
      </w:r>
      <w:r>
        <w:t xml:space="preserve"> enhancements specific for SBFD:</w:t>
      </w:r>
    </w:p>
    <w:p w14:paraId="04BF3101" w14:textId="77777777" w:rsidR="001A55ED" w:rsidRPr="002704CD" w:rsidRDefault="001A55ED" w:rsidP="00BC51D9">
      <w:pPr>
        <w:pStyle w:val="a8"/>
        <w:numPr>
          <w:ilvl w:val="0"/>
          <w:numId w:val="17"/>
        </w:numPr>
        <w:spacing w:before="93"/>
        <w:ind w:firstLineChars="0"/>
      </w:pPr>
      <w:r w:rsidRPr="002704CD">
        <w:t>Measurement resource/reporting configuration</w:t>
      </w:r>
    </w:p>
    <w:p w14:paraId="35C7B8BF" w14:textId="469FC4DE" w:rsidR="001A55ED" w:rsidRDefault="001A55ED" w:rsidP="001A55ED">
      <w:pPr>
        <w:spacing w:before="93"/>
        <w:rPr>
          <w:rFonts w:eastAsia="Malgun Gothic"/>
        </w:rPr>
      </w:pPr>
      <w:r>
        <w:t xml:space="preserve">For SBFD, the </w:t>
      </w:r>
      <w:r w:rsidR="00197862">
        <w:t>basic</w:t>
      </w:r>
      <w:r>
        <w:t xml:space="preserve"> measurement </w:t>
      </w:r>
      <w:r w:rsidR="00BA3E80">
        <w:t>procedure</w:t>
      </w:r>
      <w:r>
        <w:t xml:space="preserve"> is that</w:t>
      </w:r>
      <w:r w:rsidR="00197862">
        <w:t xml:space="preserve"> the</w:t>
      </w:r>
      <w:r>
        <w:t xml:space="preserve"> aggressor UEs transmit measurement signals</w:t>
      </w:r>
      <w:r w:rsidR="00BA3E80">
        <w:t xml:space="preserve"> or </w:t>
      </w:r>
      <w:r>
        <w:rPr>
          <w:rFonts w:hint="eastAsia"/>
        </w:rPr>
        <w:t>channels,</w:t>
      </w:r>
      <w:r>
        <w:t xml:space="preserve"> e.g., SRS</w:t>
      </w:r>
      <w:r w:rsidR="00EB4869">
        <w:t>,</w:t>
      </w:r>
      <w:r>
        <w:t xml:space="preserve"> in </w:t>
      </w:r>
      <w:r>
        <w:rPr>
          <w:rFonts w:eastAsia="Malgun Gothic"/>
        </w:rPr>
        <w:t>UL subband in the SBFD symbols</w:t>
      </w:r>
      <w:r w:rsidR="00BA3E80">
        <w:rPr>
          <w:rFonts w:eastAsia="Malgun Gothic"/>
        </w:rPr>
        <w:t>,</w:t>
      </w:r>
      <w:r>
        <w:rPr>
          <w:rFonts w:eastAsia="Malgun Gothic"/>
        </w:rPr>
        <w:t xml:space="preserve"> and </w:t>
      </w:r>
      <w:r w:rsidR="00197862">
        <w:rPr>
          <w:rFonts w:eastAsia="Malgun Gothic"/>
        </w:rPr>
        <w:t xml:space="preserve">the </w:t>
      </w:r>
      <w:r>
        <w:rPr>
          <w:rFonts w:eastAsia="Malgun Gothic"/>
        </w:rPr>
        <w:t xml:space="preserve">victim UEs perform corresponding CLI measurement </w:t>
      </w:r>
      <w:r>
        <w:t>in UL</w:t>
      </w:r>
      <w:r w:rsidR="00181946">
        <w:t xml:space="preserve"> or </w:t>
      </w:r>
      <w:r>
        <w:rPr>
          <w:rFonts w:eastAsia="Malgun Gothic"/>
        </w:rPr>
        <w:t>DL subbands at same time.</w:t>
      </w:r>
    </w:p>
    <w:p w14:paraId="08DF5644" w14:textId="3F51BDD4" w:rsidR="001A55ED" w:rsidRDefault="00181946" w:rsidP="00F11B52">
      <w:pPr>
        <w:spacing w:before="93"/>
      </w:pPr>
      <w:r>
        <w:t>In</w:t>
      </w:r>
      <w:r w:rsidR="001A55ED">
        <w:t xml:space="preserve"> case of subband pattern {DUD}, non-</w:t>
      </w:r>
      <w:r>
        <w:t>contiguous</w:t>
      </w:r>
      <w:r w:rsidR="001A55ED">
        <w:t xml:space="preserve"> CLI-RSSI measurement may</w:t>
      </w:r>
      <w:r>
        <w:t xml:space="preserve"> </w:t>
      </w:r>
      <w:r w:rsidR="001A55ED">
        <w:t xml:space="preserve">be required. </w:t>
      </w:r>
      <w:r w:rsidR="00197862">
        <w:t>In particular, one may need to c</w:t>
      </w:r>
      <w:r w:rsidR="001A55ED">
        <w:t xml:space="preserve">onfigure CLI-RSSI measurement resources in both DL subbands. </w:t>
      </w:r>
      <w:r w:rsidR="00197862">
        <w:t>T</w:t>
      </w:r>
      <w:r w:rsidR="001A55ED">
        <w:t>here</w:t>
      </w:r>
      <w:r w:rsidR="00197862">
        <w:t xml:space="preserve"> can</w:t>
      </w:r>
      <w:r w:rsidR="00BA3E80">
        <w:t xml:space="preserve"> </w:t>
      </w:r>
      <w:r w:rsidR="001A55ED">
        <w:t>be multiple</w:t>
      </w:r>
      <w:r w:rsidR="00BA3E80">
        <w:t xml:space="preserve"> ways to </w:t>
      </w:r>
      <w:r w:rsidR="006A7DAB">
        <w:t>achieve</w:t>
      </w:r>
      <w:r w:rsidR="00BA3E80">
        <w:t xml:space="preserve"> this</w:t>
      </w:r>
      <w:r w:rsidR="001A55ED">
        <w:t>:</w:t>
      </w:r>
    </w:p>
    <w:p w14:paraId="7AFD1669" w14:textId="77777777" w:rsidR="001A55ED" w:rsidRPr="00D1095F" w:rsidRDefault="001A55ED" w:rsidP="00BC51D9">
      <w:pPr>
        <w:pStyle w:val="a8"/>
        <w:numPr>
          <w:ilvl w:val="1"/>
          <w:numId w:val="17"/>
        </w:numPr>
        <w:spacing w:before="93"/>
        <w:ind w:firstLineChars="0"/>
      </w:pPr>
      <w:r>
        <w:t>Option 2-1</w:t>
      </w:r>
      <w:r w:rsidRPr="00D1095F">
        <w:t xml:space="preserve">: Configure </w:t>
      </w:r>
      <w:r>
        <w:t xml:space="preserve">two non-consecutive </w:t>
      </w:r>
      <w:r w:rsidRPr="00C30DAF">
        <w:rPr>
          <w:rFonts w:eastAsia="Malgun Gothic"/>
          <w:szCs w:val="20"/>
        </w:rPr>
        <w:t>CLI-RSSI</w:t>
      </w:r>
      <w:r w:rsidRPr="00D1095F">
        <w:t xml:space="preserve"> resources</w:t>
      </w:r>
      <w:r>
        <w:t xml:space="preserve"> across two DL subbands</w:t>
      </w:r>
      <w:r w:rsidRPr="00D1095F">
        <w:t xml:space="preserve"> associated with </w:t>
      </w:r>
      <w:r>
        <w:t>two</w:t>
      </w:r>
      <w:r w:rsidRPr="00D1095F">
        <w:t xml:space="preserve"> </w:t>
      </w:r>
      <w:r w:rsidRPr="00C30DAF">
        <w:rPr>
          <w:rFonts w:eastAsia="Malgun Gothic"/>
          <w:szCs w:val="20"/>
        </w:rPr>
        <w:t>CLI-RSSI</w:t>
      </w:r>
      <w:r w:rsidRPr="00D1095F">
        <w:t xml:space="preserve"> </w:t>
      </w:r>
      <w:r>
        <w:t>resource</w:t>
      </w:r>
      <w:r w:rsidRPr="00D1095F">
        <w:t xml:space="preserve"> ID.</w:t>
      </w:r>
    </w:p>
    <w:p w14:paraId="5A51C4B0" w14:textId="77777777" w:rsidR="001A55ED" w:rsidRDefault="001A55ED" w:rsidP="00BC51D9">
      <w:pPr>
        <w:pStyle w:val="a8"/>
        <w:numPr>
          <w:ilvl w:val="1"/>
          <w:numId w:val="17"/>
        </w:numPr>
        <w:spacing w:before="93"/>
        <w:ind w:firstLineChars="0"/>
      </w:pPr>
      <w:r w:rsidRPr="00D1095F">
        <w:t>Option</w:t>
      </w:r>
      <w:r>
        <w:t xml:space="preserve"> </w:t>
      </w:r>
      <w:r w:rsidRPr="00D1095F">
        <w:t>2</w:t>
      </w:r>
      <w:r>
        <w:t>-2</w:t>
      </w:r>
      <w:r w:rsidRPr="00D1095F">
        <w:t xml:space="preserve">: Configure </w:t>
      </w:r>
      <w:r>
        <w:t>two non-consecutive</w:t>
      </w:r>
      <w:r w:rsidRPr="00D1095F">
        <w:t xml:space="preserve"> </w:t>
      </w:r>
      <w:r w:rsidRPr="00C30DAF">
        <w:rPr>
          <w:rFonts w:eastAsia="Malgun Gothic"/>
          <w:szCs w:val="20"/>
        </w:rPr>
        <w:t>CLI-RSSI</w:t>
      </w:r>
      <w:r w:rsidRPr="00D1095F">
        <w:t xml:space="preserve"> resources </w:t>
      </w:r>
      <w:r>
        <w:t>across two DL subbands</w:t>
      </w:r>
      <w:r w:rsidRPr="00D1095F">
        <w:t xml:space="preserve"> associated with </w:t>
      </w:r>
      <w:r>
        <w:t>one</w:t>
      </w:r>
      <w:r w:rsidRPr="00D1095F">
        <w:t xml:space="preserve"> </w:t>
      </w:r>
      <w:r w:rsidRPr="00C30DAF">
        <w:rPr>
          <w:rFonts w:eastAsia="Malgun Gothic"/>
          <w:szCs w:val="20"/>
        </w:rPr>
        <w:t>CLI-RSSI</w:t>
      </w:r>
      <w:r w:rsidRPr="00D1095F">
        <w:t xml:space="preserve"> </w:t>
      </w:r>
      <w:r>
        <w:t>resource</w:t>
      </w:r>
      <w:r w:rsidRPr="00D1095F">
        <w:t xml:space="preserve"> ID.</w:t>
      </w:r>
    </w:p>
    <w:p w14:paraId="0DF3683C" w14:textId="6C8F4639" w:rsidR="001A55ED" w:rsidRPr="00C11AA4" w:rsidRDefault="001A55ED" w:rsidP="00BC51D9">
      <w:pPr>
        <w:pStyle w:val="a8"/>
        <w:numPr>
          <w:ilvl w:val="1"/>
          <w:numId w:val="17"/>
        </w:numPr>
        <w:spacing w:before="93"/>
        <w:ind w:firstLineChars="0"/>
      </w:pPr>
      <w:r w:rsidRPr="00C11AA4">
        <w:t xml:space="preserve">Option </w:t>
      </w:r>
      <w:r>
        <w:t>2-</w:t>
      </w:r>
      <w:r w:rsidRPr="00C11AA4">
        <w:t>3</w:t>
      </w:r>
      <w:r w:rsidRPr="00C11AA4">
        <w:rPr>
          <w:rFonts w:hint="eastAsia"/>
        </w:rPr>
        <w:t>:</w:t>
      </w:r>
      <w:r w:rsidRPr="00C11AA4">
        <w:t xml:space="preserve"> </w:t>
      </w:r>
      <w:r w:rsidRPr="00D1095F">
        <w:t>Configure two</w:t>
      </w:r>
      <w:r>
        <w:t xml:space="preserve"> non-consecutive</w:t>
      </w:r>
      <w:r w:rsidRPr="00D1095F">
        <w:t xml:space="preserve"> </w:t>
      </w:r>
      <w:r w:rsidRPr="00C30DAF">
        <w:rPr>
          <w:rFonts w:eastAsia="Malgun Gothic"/>
          <w:szCs w:val="20"/>
        </w:rPr>
        <w:t>CLI-RSSI</w:t>
      </w:r>
      <w:r w:rsidRPr="00D1095F">
        <w:t xml:space="preserve"> resources </w:t>
      </w:r>
      <w:r>
        <w:t>across two DL subbands</w:t>
      </w:r>
      <w:r w:rsidRPr="00D1095F">
        <w:t xml:space="preserve"> </w:t>
      </w:r>
      <w:r>
        <w:t xml:space="preserve">as two subbands </w:t>
      </w:r>
      <w:r w:rsidRPr="00D1095F">
        <w:t xml:space="preserve">associated with </w:t>
      </w:r>
      <w:r>
        <w:t>one</w:t>
      </w:r>
      <w:r w:rsidRPr="00D1095F">
        <w:t xml:space="preserve"> </w:t>
      </w:r>
      <w:r w:rsidRPr="00C30DAF">
        <w:rPr>
          <w:rFonts w:eastAsia="Malgun Gothic"/>
          <w:szCs w:val="20"/>
        </w:rPr>
        <w:t>CLI-RSSI</w:t>
      </w:r>
      <w:r w:rsidRPr="00D1095F">
        <w:t xml:space="preserve"> </w:t>
      </w:r>
      <w:r>
        <w:t>resource</w:t>
      </w:r>
      <w:r w:rsidRPr="00D1095F">
        <w:t xml:space="preserve"> ID</w:t>
      </w:r>
      <w:r w:rsidRPr="00C11AA4">
        <w:t>.</w:t>
      </w:r>
    </w:p>
    <w:p w14:paraId="4DF28689" w14:textId="01F7CA0D" w:rsidR="001A55ED" w:rsidRDefault="001A55ED" w:rsidP="001A55ED">
      <w:pPr>
        <w:spacing w:before="93"/>
      </w:pPr>
      <w:r>
        <w:t xml:space="preserve">In addition, in order to </w:t>
      </w:r>
      <w:r w:rsidR="006A7DAB">
        <w:t>reduce</w:t>
      </w:r>
      <w:r>
        <w:t xml:space="preserve"> </w:t>
      </w:r>
      <w:r w:rsidR="006A7DAB">
        <w:t xml:space="preserve">the </w:t>
      </w:r>
      <w:r>
        <w:t>complexity of CLI measurement, only the CLI measurement resource within active BWP is valid, that means a UE only perform CLI measurement within active BWP.</w:t>
      </w:r>
    </w:p>
    <w:p w14:paraId="6C200D35" w14:textId="77777777" w:rsidR="001A55ED" w:rsidRDefault="001A55ED" w:rsidP="00BC51D9">
      <w:pPr>
        <w:pStyle w:val="a8"/>
        <w:numPr>
          <w:ilvl w:val="0"/>
          <w:numId w:val="17"/>
        </w:numPr>
        <w:spacing w:before="93"/>
        <w:ind w:firstLineChars="0"/>
      </w:pPr>
      <w:r w:rsidRPr="002704CD">
        <w:t>Measurement/reporting details (including UE processing delay)</w:t>
      </w:r>
    </w:p>
    <w:p w14:paraId="3DA86805" w14:textId="531F9D93" w:rsidR="00F009A6" w:rsidRDefault="001A55ED" w:rsidP="00F009A6">
      <w:pPr>
        <w:spacing w:before="93"/>
      </w:pPr>
      <w:r>
        <w:t xml:space="preserve">For CLI measurement, </w:t>
      </w:r>
      <w:r w:rsidR="006D231D">
        <w:t>at least</w:t>
      </w:r>
      <w:r>
        <w:t xml:space="preserve"> CLI-RSSI measurement should be supported. From the perspective of interference measurement, it seems sufficient. </w:t>
      </w:r>
      <w:r w:rsidR="00AC1CCB">
        <w:t>I</w:t>
      </w:r>
      <w:r>
        <w:t xml:space="preserve">n </w:t>
      </w:r>
      <w:r w:rsidR="00EB4869">
        <w:t xml:space="preserve">the </w:t>
      </w:r>
      <w:r w:rsidR="002C2E2E">
        <w:t>previous</w:t>
      </w:r>
      <w:r>
        <w:t xml:space="preserve"> meeting, some companies </w:t>
      </w:r>
      <w:r w:rsidR="00DF63AF">
        <w:t xml:space="preserve">also </w:t>
      </w:r>
      <w:r>
        <w:t xml:space="preserve">propose SRS-RSRP measurement. SRS-RSRP measurement requires UE perform </w:t>
      </w:r>
      <w:r w:rsidR="006D231D">
        <w:t xml:space="preserve">DL </w:t>
      </w:r>
      <w:r>
        <w:t xml:space="preserve">measurement in UL subband in SBFD symbols. </w:t>
      </w:r>
      <w:r w:rsidR="00F009A6">
        <w:t>The necessity/benefit compared with measurement within DL subband is yet to be proved. In addition</w:t>
      </w:r>
      <w:r w:rsidR="00C41279">
        <w:t>, further details such as w</w:t>
      </w:r>
      <w:r w:rsidR="00F009A6">
        <w:t>hether/how to estimate CLI from RSRP/RSSI measurements within UL subband/guardband</w:t>
      </w:r>
      <w:r w:rsidR="00C41279">
        <w:t xml:space="preserve">, whether UE is required to measure RSRP/RSSI within UL subband and receive DL in DL subband(s) simultaneously are still unclear. </w:t>
      </w:r>
    </w:p>
    <w:p w14:paraId="4548D976" w14:textId="4FAE6347" w:rsidR="00F009A6" w:rsidRPr="00F009A6" w:rsidRDefault="00F009A6" w:rsidP="00F009A6">
      <w:pPr>
        <w:spacing w:before="93"/>
      </w:pPr>
    </w:p>
    <w:p w14:paraId="4F1DBE02" w14:textId="439C2610" w:rsidR="001A55ED" w:rsidRPr="002704CD" w:rsidRDefault="001A55ED" w:rsidP="001A55ED">
      <w:pPr>
        <w:spacing w:before="93"/>
      </w:pPr>
      <w:r>
        <w:t>For the issue of CLI measurement in the case of {DUD}</w:t>
      </w:r>
      <w:r w:rsidR="009D5809">
        <w:t xml:space="preserve"> subband allocation</w:t>
      </w:r>
      <w:r>
        <w:t xml:space="preserve">, if non-consecutive </w:t>
      </w:r>
      <w:r w:rsidRPr="00C30DAF">
        <w:rPr>
          <w:rFonts w:eastAsia="Malgun Gothic"/>
          <w:szCs w:val="20"/>
        </w:rPr>
        <w:t>CLI-RSSI</w:t>
      </w:r>
      <w:r w:rsidRPr="00D1095F">
        <w:t xml:space="preserve"> resources</w:t>
      </w:r>
      <w:r>
        <w:t xml:space="preserve"> are supported, how the UE report the measurement results on the two non-consecutive </w:t>
      </w:r>
      <w:r w:rsidRPr="00C30DAF">
        <w:rPr>
          <w:rFonts w:eastAsia="Malgun Gothic"/>
          <w:szCs w:val="20"/>
        </w:rPr>
        <w:t>CLI-RSSI</w:t>
      </w:r>
      <w:r w:rsidRPr="00D1095F">
        <w:t xml:space="preserve"> resources</w:t>
      </w:r>
      <w:r>
        <w:t xml:space="preserve"> is an</w:t>
      </w:r>
      <w:r w:rsidR="006A7DAB">
        <w:t>other</w:t>
      </w:r>
      <w:r>
        <w:t xml:space="preserve"> problem. The UE can either </w:t>
      </w:r>
      <w:r w:rsidR="00DF63AF">
        <w:t xml:space="preserve">be configured to </w:t>
      </w:r>
      <w:r>
        <w:t xml:space="preserve">report </w:t>
      </w:r>
      <w:r w:rsidR="00DF63AF">
        <w:t>two</w:t>
      </w:r>
      <w:r>
        <w:t xml:space="preserve"> measurement results</w:t>
      </w:r>
      <w:r w:rsidR="00DF63AF">
        <w:t xml:space="preserve"> separately</w:t>
      </w:r>
      <w:r>
        <w:t xml:space="preserve">, or report </w:t>
      </w:r>
      <w:r w:rsidR="00DF63AF">
        <w:t>the two</w:t>
      </w:r>
      <w:r>
        <w:t xml:space="preserve"> measurement result</w:t>
      </w:r>
      <w:r w:rsidR="00DF63AF">
        <w:t>s in one measurement report</w:t>
      </w:r>
      <w:r>
        <w:t xml:space="preserve">. </w:t>
      </w:r>
    </w:p>
    <w:p w14:paraId="430F22E6" w14:textId="77777777" w:rsidR="001A55ED" w:rsidRDefault="001A55ED" w:rsidP="00BC51D9">
      <w:pPr>
        <w:pStyle w:val="a8"/>
        <w:numPr>
          <w:ilvl w:val="0"/>
          <w:numId w:val="17"/>
        </w:numPr>
        <w:spacing w:before="93"/>
        <w:ind w:firstLineChars="0"/>
      </w:pPr>
      <w:r w:rsidRPr="002704CD">
        <w:t>Relevant information exchange (between gNBs) if needed</w:t>
      </w:r>
    </w:p>
    <w:p w14:paraId="36BAB908" w14:textId="3BBDD628" w:rsidR="001A55ED" w:rsidRPr="002704CD" w:rsidRDefault="001A55ED" w:rsidP="001A55ED">
      <w:pPr>
        <w:spacing w:before="93"/>
      </w:pPr>
      <w:r>
        <w:lastRenderedPageBreak/>
        <w:t xml:space="preserve">For UE-to-UE </w:t>
      </w:r>
      <w:r w:rsidRPr="002704CD">
        <w:rPr>
          <w:lang w:eastAsia="ko-KR"/>
        </w:rPr>
        <w:t>co-channel CLI measurement</w:t>
      </w:r>
      <w:r>
        <w:rPr>
          <w:lang w:eastAsia="ko-KR"/>
        </w:rPr>
        <w:t>, at least the configuration of measurement signals</w:t>
      </w:r>
      <w:r>
        <w:rPr>
          <w:rFonts w:hint="eastAsia"/>
        </w:rPr>
        <w:t>/</w:t>
      </w:r>
      <w:r>
        <w:t xml:space="preserve">channels </w:t>
      </w:r>
      <w:r w:rsidR="006E26E5">
        <w:t xml:space="preserve">can </w:t>
      </w:r>
      <w:r>
        <w:t>be exchanged between aggressor gNBs and victim gNBs. In addition, the CLI measurement reports can also be exchanged between aggressor gNBs and victim gNBs.</w:t>
      </w:r>
      <w:r w:rsidR="005C09FE">
        <w:t xml:space="preserve"> Whether the information exchange needs to be specified can be further discussed.</w:t>
      </w:r>
      <w:r>
        <w:t xml:space="preserve"> </w:t>
      </w:r>
      <w:r w:rsidR="006E26E5">
        <w:t>In some cases, i</w:t>
      </w:r>
      <w:r>
        <w:t xml:space="preserve">t </w:t>
      </w:r>
      <w:r w:rsidR="006E26E5">
        <w:t>can be</w:t>
      </w:r>
      <w:r>
        <w:t xml:space="preserve"> helpful for coordinated scheduling at aggressor gNBs.</w:t>
      </w:r>
    </w:p>
    <w:p w14:paraId="34593BD4" w14:textId="77777777" w:rsidR="001A55ED" w:rsidRPr="002704CD" w:rsidRDefault="001A55ED" w:rsidP="00BC51D9">
      <w:pPr>
        <w:pStyle w:val="a8"/>
        <w:numPr>
          <w:ilvl w:val="0"/>
          <w:numId w:val="17"/>
        </w:numPr>
        <w:spacing w:before="93"/>
        <w:ind w:firstLineChars="0"/>
      </w:pPr>
      <w:r w:rsidRPr="002704CD">
        <w:t>Usage of measurement at gNB</w:t>
      </w:r>
    </w:p>
    <w:p w14:paraId="5E58F846" w14:textId="77777777" w:rsidR="001A55ED" w:rsidRPr="00D1095F" w:rsidRDefault="001A55ED" w:rsidP="001A55ED">
      <w:pPr>
        <w:spacing w:before="93"/>
      </w:pPr>
      <w:r>
        <w:t>In our view, the measurement reports from UE can be used for coordinated scheduling at gNBs. For example, if the CLI is too strong, the gNB(s) can schedule the victim UE and aggressor UE within different time-frequency resources to avoid the CLI.</w:t>
      </w:r>
    </w:p>
    <w:p w14:paraId="1639817B" w14:textId="7CCD8B34" w:rsidR="001A55ED" w:rsidRDefault="001A55ED" w:rsidP="001A55ED">
      <w:pPr>
        <w:spacing w:before="93"/>
        <w:rPr>
          <w:i/>
        </w:rPr>
      </w:pPr>
      <w:r w:rsidRPr="00971B58">
        <w:rPr>
          <w:rFonts w:hint="eastAsia"/>
          <w:b/>
          <w:i/>
        </w:rPr>
        <w:t>P</w:t>
      </w:r>
      <w:r w:rsidRPr="00971B58">
        <w:rPr>
          <w:b/>
          <w:i/>
        </w:rPr>
        <w:t xml:space="preserve">roposal </w:t>
      </w:r>
      <w:r w:rsidR="00A971D9">
        <w:rPr>
          <w:b/>
          <w:i/>
        </w:rPr>
        <w:t>3</w:t>
      </w:r>
      <w:r w:rsidR="00B83EA5">
        <w:rPr>
          <w:b/>
          <w:i/>
        </w:rPr>
        <w:t>6</w:t>
      </w:r>
      <w:r w:rsidRPr="00971B58">
        <w:rPr>
          <w:i/>
        </w:rPr>
        <w:t>:</w:t>
      </w:r>
      <w:r>
        <w:rPr>
          <w:i/>
        </w:rPr>
        <w:t xml:space="preserve"> Study following potential enhancement of </w:t>
      </w:r>
      <w:r w:rsidRPr="00113209">
        <w:rPr>
          <w:i/>
        </w:rPr>
        <w:t>UE-UE CLI-RSSI</w:t>
      </w:r>
      <w:r>
        <w:rPr>
          <w:i/>
        </w:rPr>
        <w:t xml:space="preserve"> measurement and report for SBFD operation in the case of subband pattern {DUD}:</w:t>
      </w:r>
    </w:p>
    <w:p w14:paraId="3A645E7B" w14:textId="724F180B" w:rsidR="001A55ED" w:rsidRPr="00C11AA4" w:rsidRDefault="001A55ED" w:rsidP="00BC51D9">
      <w:pPr>
        <w:pStyle w:val="a8"/>
        <w:numPr>
          <w:ilvl w:val="0"/>
          <w:numId w:val="17"/>
        </w:numPr>
        <w:spacing w:before="93"/>
        <w:ind w:firstLineChars="0"/>
        <w:rPr>
          <w:i/>
        </w:rPr>
      </w:pPr>
      <w:r w:rsidRPr="00C11AA4">
        <w:rPr>
          <w:i/>
        </w:rPr>
        <w:t xml:space="preserve">Configure CLI-RSSI measurement resources in both of the two DL subbands. </w:t>
      </w:r>
    </w:p>
    <w:p w14:paraId="37897139" w14:textId="29AB92F7" w:rsidR="001A55ED" w:rsidRPr="00C11AA4" w:rsidRDefault="001A55ED" w:rsidP="00195777">
      <w:pPr>
        <w:pStyle w:val="a8"/>
        <w:numPr>
          <w:ilvl w:val="1"/>
          <w:numId w:val="64"/>
        </w:numPr>
        <w:spacing w:before="93"/>
        <w:ind w:firstLineChars="0"/>
        <w:rPr>
          <w:i/>
        </w:rPr>
      </w:pPr>
      <w:r w:rsidRPr="00C11AA4">
        <w:rPr>
          <w:i/>
        </w:rPr>
        <w:t xml:space="preserve">Option 1: Configure two non-consecutive </w:t>
      </w:r>
      <w:r w:rsidRPr="00C11AA4">
        <w:rPr>
          <w:rFonts w:eastAsia="Malgun Gothic"/>
          <w:i/>
          <w:szCs w:val="20"/>
        </w:rPr>
        <w:t>CLI-RSSI</w:t>
      </w:r>
      <w:r w:rsidRPr="00C11AA4">
        <w:rPr>
          <w:i/>
        </w:rPr>
        <w:t xml:space="preserve"> resources across two DL subbands associated with two </w:t>
      </w:r>
      <w:r w:rsidRPr="00C11AA4">
        <w:rPr>
          <w:rFonts w:eastAsia="Malgun Gothic"/>
          <w:i/>
          <w:szCs w:val="20"/>
        </w:rPr>
        <w:t>CLI-RSSI</w:t>
      </w:r>
      <w:r w:rsidRPr="00C11AA4">
        <w:rPr>
          <w:i/>
        </w:rPr>
        <w:t xml:space="preserve"> resource ID.</w:t>
      </w:r>
    </w:p>
    <w:p w14:paraId="2EC957B2" w14:textId="74623F73" w:rsidR="001A55ED" w:rsidRPr="00C11AA4" w:rsidRDefault="001A55ED" w:rsidP="00195777">
      <w:pPr>
        <w:pStyle w:val="a8"/>
        <w:numPr>
          <w:ilvl w:val="1"/>
          <w:numId w:val="64"/>
        </w:numPr>
        <w:spacing w:before="93"/>
        <w:ind w:firstLineChars="0"/>
        <w:rPr>
          <w:i/>
        </w:rPr>
      </w:pPr>
      <w:r w:rsidRPr="00C11AA4">
        <w:rPr>
          <w:i/>
        </w:rPr>
        <w:t>Option 2:</w:t>
      </w:r>
      <w:r w:rsidR="00BC52B0">
        <w:rPr>
          <w:i/>
        </w:rPr>
        <w:t xml:space="preserve"> </w:t>
      </w:r>
      <w:r w:rsidRPr="00C11AA4">
        <w:rPr>
          <w:i/>
        </w:rPr>
        <w:t xml:space="preserve">Configure two non-consecutive </w:t>
      </w:r>
      <w:r w:rsidRPr="00C11AA4">
        <w:rPr>
          <w:rFonts w:eastAsia="Malgun Gothic"/>
          <w:i/>
          <w:szCs w:val="20"/>
        </w:rPr>
        <w:t>CLI-RSSI</w:t>
      </w:r>
      <w:r w:rsidRPr="00C11AA4">
        <w:rPr>
          <w:i/>
        </w:rPr>
        <w:t xml:space="preserve"> resources across two DL subbands associated with one </w:t>
      </w:r>
      <w:r w:rsidRPr="00C11AA4">
        <w:rPr>
          <w:rFonts w:eastAsia="Malgun Gothic"/>
          <w:i/>
          <w:szCs w:val="20"/>
        </w:rPr>
        <w:t>CLI-RSSI</w:t>
      </w:r>
      <w:r w:rsidRPr="00C11AA4">
        <w:rPr>
          <w:i/>
        </w:rPr>
        <w:t xml:space="preserve"> resource ID.</w:t>
      </w:r>
    </w:p>
    <w:p w14:paraId="7D362625" w14:textId="78291ED4" w:rsidR="001A55ED" w:rsidRPr="00C11AA4" w:rsidRDefault="001A55ED" w:rsidP="00195777">
      <w:pPr>
        <w:pStyle w:val="a8"/>
        <w:numPr>
          <w:ilvl w:val="1"/>
          <w:numId w:val="64"/>
        </w:numPr>
        <w:spacing w:before="93"/>
        <w:ind w:firstLineChars="0"/>
        <w:rPr>
          <w:i/>
        </w:rPr>
      </w:pPr>
      <w:r w:rsidRPr="00C11AA4">
        <w:rPr>
          <w:i/>
        </w:rPr>
        <w:t>Option 3</w:t>
      </w:r>
      <w:r w:rsidRPr="00C11AA4">
        <w:rPr>
          <w:rFonts w:hint="eastAsia"/>
          <w:i/>
        </w:rPr>
        <w:t>:</w:t>
      </w:r>
      <w:r w:rsidRPr="00C11AA4">
        <w:rPr>
          <w:i/>
        </w:rPr>
        <w:t xml:space="preserve"> Configure two non-consecutive </w:t>
      </w:r>
      <w:r w:rsidRPr="00C11AA4">
        <w:rPr>
          <w:rFonts w:eastAsia="Malgun Gothic"/>
          <w:i/>
          <w:szCs w:val="20"/>
        </w:rPr>
        <w:t>CLI-RSSI</w:t>
      </w:r>
      <w:r w:rsidRPr="00C11AA4">
        <w:rPr>
          <w:i/>
        </w:rPr>
        <w:t xml:space="preserve"> resources across two DL subbands as two subbands associated with one </w:t>
      </w:r>
      <w:r w:rsidRPr="00C11AA4">
        <w:rPr>
          <w:rFonts w:eastAsia="Malgun Gothic"/>
          <w:i/>
          <w:szCs w:val="20"/>
        </w:rPr>
        <w:t>CLI-RSSI</w:t>
      </w:r>
      <w:r w:rsidRPr="00C11AA4">
        <w:rPr>
          <w:i/>
        </w:rPr>
        <w:t xml:space="preserve"> resource ID.</w:t>
      </w:r>
    </w:p>
    <w:p w14:paraId="114B8EF7" w14:textId="77777777" w:rsidR="00BB0518" w:rsidRPr="00BB0518" w:rsidRDefault="00BB0518" w:rsidP="00BB0518">
      <w:pPr>
        <w:spacing w:before="93"/>
      </w:pPr>
    </w:p>
    <w:p w14:paraId="1436FF80" w14:textId="77777777" w:rsidR="00E53F1F" w:rsidRDefault="00E53F1F" w:rsidP="00BF6241">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64549F13" w:rsidR="009F6180" w:rsidRDefault="009F6180" w:rsidP="00D906B2">
      <w:pPr>
        <w:spacing w:before="93"/>
        <w:rPr>
          <w:lang w:eastAsia="en-US"/>
        </w:rPr>
      </w:pPr>
      <w:r w:rsidRPr="00A562B7">
        <w:rPr>
          <w:lang w:eastAsia="en-US"/>
        </w:rPr>
        <w:t>In</w:t>
      </w:r>
      <w:r w:rsidR="00D1319F">
        <w:rPr>
          <w:lang w:eastAsia="en-US"/>
        </w:rPr>
        <w:t xml:space="preserve"> </w:t>
      </w:r>
      <w:r w:rsidRPr="00A562B7">
        <w:rPr>
          <w:lang w:eastAsia="en-US"/>
        </w:rPr>
        <w:t>this</w:t>
      </w:r>
      <w:r w:rsidR="00D1319F">
        <w:rPr>
          <w:lang w:eastAsia="en-US"/>
        </w:rPr>
        <w:t xml:space="preserve"> </w:t>
      </w:r>
      <w:r w:rsidRPr="00A562B7">
        <w:rPr>
          <w:lang w:eastAsia="en-US"/>
        </w:rPr>
        <w:t>contribution,</w:t>
      </w:r>
      <w:r w:rsidR="00D1319F">
        <w:rPr>
          <w:lang w:eastAsia="en-US"/>
        </w:rPr>
        <w:t xml:space="preserve"> </w:t>
      </w:r>
      <w:r w:rsidRPr="00A562B7">
        <w:rPr>
          <w:lang w:eastAsia="en-US"/>
        </w:rPr>
        <w:t>we</w:t>
      </w:r>
      <w:r w:rsidR="00D1319F">
        <w:rPr>
          <w:lang w:eastAsia="en-US"/>
        </w:rPr>
        <w:t xml:space="preserve"> </w:t>
      </w:r>
      <w:r w:rsidRPr="00A562B7">
        <w:rPr>
          <w:rFonts w:hint="eastAsia"/>
          <w:lang w:eastAsia="en-US"/>
        </w:rPr>
        <w:t>provide</w:t>
      </w:r>
      <w:r w:rsidR="00D1319F">
        <w:rPr>
          <w:lang w:eastAsia="en-US"/>
        </w:rPr>
        <w:t xml:space="preserve"> </w:t>
      </w:r>
      <w:r w:rsidR="00274946">
        <w:rPr>
          <w:lang w:eastAsia="en-US"/>
        </w:rPr>
        <w:t>our</w:t>
      </w:r>
      <w:r w:rsidR="00D1319F">
        <w:rPr>
          <w:lang w:eastAsia="en-US"/>
        </w:rPr>
        <w:t xml:space="preserve"> </w:t>
      </w:r>
      <w:r w:rsidR="00274946">
        <w:rPr>
          <w:lang w:eastAsia="en-US"/>
        </w:rPr>
        <w:t>views</w:t>
      </w:r>
      <w:r w:rsidR="00D1319F">
        <w:rPr>
          <w:lang w:eastAsia="en-US"/>
        </w:rPr>
        <w:t xml:space="preserve"> </w:t>
      </w:r>
      <w:r w:rsidRPr="00A562B7">
        <w:rPr>
          <w:lang w:eastAsia="en-US"/>
        </w:rPr>
        <w:t>on</w:t>
      </w:r>
      <w:r w:rsidR="00D1319F">
        <w:rPr>
          <w:lang w:eastAsia="en-US"/>
        </w:rPr>
        <w:t xml:space="preserve"> </w:t>
      </w:r>
      <w:r w:rsidR="008A4656">
        <w:rPr>
          <w:lang w:eastAsia="en-US"/>
        </w:rPr>
        <w:t>SBFD</w:t>
      </w:r>
      <w:r w:rsidR="00A31C04">
        <w:rPr>
          <w:lang w:eastAsia="en-US"/>
        </w:rPr>
        <w:t xml:space="preserve"> </w:t>
      </w:r>
      <w:r w:rsidRPr="00A562B7">
        <w:rPr>
          <w:lang w:eastAsia="en-US"/>
        </w:rPr>
        <w:t>with</w:t>
      </w:r>
      <w:r w:rsidR="00D1319F">
        <w:rPr>
          <w:lang w:eastAsia="en-US"/>
        </w:rPr>
        <w:t xml:space="preserve"> </w:t>
      </w:r>
      <w:r w:rsidRPr="00A562B7">
        <w:rPr>
          <w:lang w:eastAsia="en-US"/>
        </w:rPr>
        <w:t>following</w:t>
      </w:r>
      <w:r w:rsidR="00D1319F">
        <w:rPr>
          <w:lang w:eastAsia="en-US"/>
        </w:rPr>
        <w:t xml:space="preserve"> </w:t>
      </w:r>
      <w:r w:rsidRPr="00A562B7">
        <w:rPr>
          <w:lang w:eastAsia="en-US"/>
        </w:rPr>
        <w:t>proposals:</w:t>
      </w:r>
    </w:p>
    <w:p w14:paraId="46E6599A" w14:textId="77777777" w:rsidR="00083366" w:rsidRDefault="00083366" w:rsidP="00083366">
      <w:pPr>
        <w:spacing w:before="93"/>
        <w:rPr>
          <w:i/>
        </w:rPr>
      </w:pPr>
      <w:r w:rsidRPr="007D1D89">
        <w:rPr>
          <w:b/>
          <w:i/>
        </w:rPr>
        <w:t>Observation 1:</w:t>
      </w:r>
      <w:r w:rsidRPr="007D1D89">
        <w:rPr>
          <w:i/>
        </w:rPr>
        <w:t xml:space="preserve"> SBFD operation across carriers require </w:t>
      </w:r>
      <w:r>
        <w:rPr>
          <w:i/>
        </w:rPr>
        <w:t>less specific standardization effort compared to the support of SBFD operation within a carrier.</w:t>
      </w:r>
    </w:p>
    <w:p w14:paraId="0E083CCB" w14:textId="77777777" w:rsidR="00083366" w:rsidRPr="0069281E" w:rsidRDefault="00083366" w:rsidP="00083366">
      <w:pPr>
        <w:pStyle w:val="a8"/>
        <w:numPr>
          <w:ilvl w:val="0"/>
          <w:numId w:val="50"/>
        </w:numPr>
        <w:spacing w:before="93"/>
        <w:ind w:firstLineChars="0"/>
        <w:rPr>
          <w:i/>
        </w:rPr>
      </w:pPr>
      <w:r>
        <w:rPr>
          <w:rFonts w:hint="eastAsia"/>
          <w:i/>
        </w:rPr>
        <w:t>T</w:t>
      </w:r>
      <w:r>
        <w:rPr>
          <w:i/>
        </w:rPr>
        <w:t>he potential spec impact is that the collision handling rules for Rel-16 half-duplex CA needs to be updated for SBFD operation across carriers, as listed in Table 1.</w:t>
      </w:r>
    </w:p>
    <w:p w14:paraId="6500B3CC" w14:textId="77777777" w:rsidR="00083366" w:rsidRDefault="00083366" w:rsidP="00083366">
      <w:pPr>
        <w:spacing w:before="93"/>
        <w:rPr>
          <w:i/>
        </w:rPr>
      </w:pPr>
      <w:r w:rsidRPr="002A5425">
        <w:rPr>
          <w:b/>
          <w:i/>
        </w:rPr>
        <w:t xml:space="preserve">Observation </w:t>
      </w:r>
      <w:r>
        <w:rPr>
          <w:b/>
          <w:i/>
        </w:rPr>
        <w:t>2</w:t>
      </w:r>
      <w:r w:rsidRPr="002A5425">
        <w:rPr>
          <w:b/>
          <w:i/>
        </w:rPr>
        <w:t>:</w:t>
      </w:r>
      <w:r w:rsidRPr="0032313A">
        <w:rPr>
          <w:i/>
        </w:rPr>
        <w:t xml:space="preserve"> Option 1</w:t>
      </w:r>
      <w:r>
        <w:rPr>
          <w:i/>
        </w:rPr>
        <w:t xml:space="preserve"> follows the legacy design logic that the flexible subbands configured by RRC can be override by dynamic signaling as DL reception</w:t>
      </w:r>
      <w:r w:rsidRPr="00C30355">
        <w:rPr>
          <w:i/>
        </w:rPr>
        <w:t xml:space="preserve"> </w:t>
      </w:r>
      <w:r>
        <w:rPr>
          <w:i/>
        </w:rPr>
        <w:t>or UL transmission</w:t>
      </w:r>
      <w:r w:rsidRPr="002A5425">
        <w:rPr>
          <w:i/>
        </w:rPr>
        <w:t>.</w:t>
      </w:r>
    </w:p>
    <w:p w14:paraId="66FE85AE" w14:textId="77777777" w:rsidR="00083366" w:rsidRDefault="00083366" w:rsidP="00083366">
      <w:pPr>
        <w:spacing w:before="93"/>
        <w:rPr>
          <w:i/>
        </w:rPr>
      </w:pPr>
      <w:r w:rsidRPr="002A5425">
        <w:rPr>
          <w:b/>
          <w:i/>
        </w:rPr>
        <w:t xml:space="preserve">Observation </w:t>
      </w:r>
      <w:r>
        <w:rPr>
          <w:b/>
          <w:i/>
        </w:rPr>
        <w:t>3</w:t>
      </w:r>
      <w:r w:rsidRPr="002A5425">
        <w:rPr>
          <w:b/>
          <w:i/>
        </w:rPr>
        <w:t>:</w:t>
      </w:r>
      <w:r w:rsidRPr="00313EC5">
        <w:rPr>
          <w:i/>
        </w:rPr>
        <w:t xml:space="preserve"> </w:t>
      </w:r>
      <w:r>
        <w:rPr>
          <w:i/>
        </w:rPr>
        <w:t>Option 2 and 3 contradict with the legacy design logic since UL/DL subbands configured by RRC are override by dynamic signaling as DL reception</w:t>
      </w:r>
      <w:r w:rsidRPr="00ED4874">
        <w:rPr>
          <w:i/>
        </w:rPr>
        <w:t xml:space="preserve"> </w:t>
      </w:r>
      <w:r>
        <w:rPr>
          <w:i/>
        </w:rPr>
        <w:t>or UL transmission</w:t>
      </w:r>
      <w:r w:rsidRPr="002A5425">
        <w:rPr>
          <w:i/>
        </w:rPr>
        <w:t>.</w:t>
      </w:r>
    </w:p>
    <w:p w14:paraId="112EB948" w14:textId="77777777" w:rsidR="00083366" w:rsidRDefault="00083366" w:rsidP="00AF17CD">
      <w:pPr>
        <w:spacing w:before="93"/>
        <w:rPr>
          <w:b/>
          <w:i/>
        </w:rPr>
      </w:pPr>
    </w:p>
    <w:p w14:paraId="4886B0C2" w14:textId="77777777" w:rsidR="00083366" w:rsidRPr="00662846" w:rsidRDefault="00083366" w:rsidP="00083366">
      <w:pPr>
        <w:spacing w:before="93"/>
        <w:rPr>
          <w:i/>
        </w:rPr>
      </w:pPr>
      <w:r w:rsidRPr="007462EC">
        <w:rPr>
          <w:b/>
          <w:i/>
        </w:rPr>
        <w:t>Proposal</w:t>
      </w:r>
      <w:r>
        <w:rPr>
          <w:b/>
          <w:i/>
        </w:rPr>
        <w:t xml:space="preserve"> 1</w:t>
      </w:r>
      <w:r w:rsidRPr="007462EC">
        <w:rPr>
          <w:b/>
          <w:i/>
        </w:rPr>
        <w:t>:</w:t>
      </w:r>
      <w:r>
        <w:rPr>
          <w:i/>
        </w:rPr>
        <w:t xml:space="preserve"> SBFD operation across carriers is supported by enhancing the UE collision handling for intra </w:t>
      </w:r>
      <w:r w:rsidRPr="00D73974">
        <w:rPr>
          <w:i/>
        </w:rPr>
        <w:t>intra-band TDD CA with different TDD configurations</w:t>
      </w:r>
      <w:r>
        <w:rPr>
          <w:i/>
        </w:rPr>
        <w:t>.</w:t>
      </w:r>
    </w:p>
    <w:p w14:paraId="62591AFB" w14:textId="77777777" w:rsidR="00217B92" w:rsidRDefault="00217B92" w:rsidP="00217B92">
      <w:pPr>
        <w:spacing w:before="93"/>
        <w:rPr>
          <w:i/>
        </w:rPr>
      </w:pPr>
      <w:r w:rsidRPr="00971B58">
        <w:rPr>
          <w:rFonts w:hint="eastAsia"/>
          <w:b/>
          <w:i/>
        </w:rPr>
        <w:t>P</w:t>
      </w:r>
      <w:r w:rsidRPr="00971B58">
        <w:rPr>
          <w:b/>
          <w:i/>
        </w:rPr>
        <w:t xml:space="preserve">roposal </w:t>
      </w:r>
      <w:r>
        <w:rPr>
          <w:b/>
          <w:i/>
        </w:rPr>
        <w:t>2</w:t>
      </w:r>
      <w:r w:rsidRPr="00971B58">
        <w:rPr>
          <w:i/>
        </w:rPr>
        <w:t>:</w:t>
      </w:r>
      <w:r>
        <w:rPr>
          <w:i/>
        </w:rPr>
        <w:t xml:space="preserve"> </w:t>
      </w:r>
      <w:r w:rsidRPr="0069281E">
        <w:rPr>
          <w:i/>
        </w:rPr>
        <w:t xml:space="preserve">Dynamic SBFD is achieved by scheduling DCI which is used to indicate whether the RBs in flexible subband used for UL transmission or DL reception. </w:t>
      </w:r>
    </w:p>
    <w:p w14:paraId="098DCF82" w14:textId="77777777" w:rsidR="00217B92" w:rsidRDefault="00217B92" w:rsidP="00217B92">
      <w:pPr>
        <w:spacing w:before="93"/>
        <w:rPr>
          <w:i/>
        </w:rPr>
      </w:pPr>
      <w:r w:rsidRPr="00971B58">
        <w:rPr>
          <w:rFonts w:hint="eastAsia"/>
          <w:b/>
          <w:i/>
        </w:rPr>
        <w:t>P</w:t>
      </w:r>
      <w:r w:rsidRPr="00971B58">
        <w:rPr>
          <w:b/>
          <w:i/>
        </w:rPr>
        <w:t xml:space="preserve">roposal </w:t>
      </w:r>
      <w:r>
        <w:rPr>
          <w:b/>
          <w:i/>
        </w:rPr>
        <w:t>3</w:t>
      </w:r>
      <w:r w:rsidRPr="00971B58">
        <w:rPr>
          <w:i/>
        </w:rPr>
        <w:t>:</w:t>
      </w:r>
      <w:r>
        <w:rPr>
          <w:i/>
        </w:rPr>
        <w:t xml:space="preserve"> Flexible subband is defined as a set of consecutive flexible RBs, where</w:t>
      </w:r>
    </w:p>
    <w:p w14:paraId="205E617B" w14:textId="77777777" w:rsidR="00217B92" w:rsidRDefault="00217B92" w:rsidP="00217B92">
      <w:pPr>
        <w:pStyle w:val="a8"/>
        <w:numPr>
          <w:ilvl w:val="0"/>
          <w:numId w:val="12"/>
        </w:numPr>
        <w:spacing w:before="93"/>
        <w:ind w:firstLineChars="0"/>
        <w:rPr>
          <w:i/>
        </w:rPr>
      </w:pPr>
      <w:r w:rsidRPr="00BD1889">
        <w:rPr>
          <w:i/>
        </w:rPr>
        <w:t xml:space="preserve">the flexible RB can be used for UL transmission, DL </w:t>
      </w:r>
      <w:r>
        <w:rPr>
          <w:i/>
        </w:rPr>
        <w:t>reception</w:t>
      </w:r>
      <w:r w:rsidRPr="00BD1889">
        <w:rPr>
          <w:i/>
        </w:rPr>
        <w:t>, and guard band,</w:t>
      </w:r>
      <w:r>
        <w:rPr>
          <w:i/>
        </w:rPr>
        <w:t xml:space="preserve"> </w:t>
      </w:r>
      <w:r w:rsidRPr="00987D15">
        <w:rPr>
          <w:i/>
        </w:rPr>
        <w:t>and</w:t>
      </w:r>
    </w:p>
    <w:p w14:paraId="5FCE6873" w14:textId="77777777" w:rsidR="00217B92" w:rsidRPr="00381568" w:rsidRDefault="00217B92" w:rsidP="00217B92">
      <w:pPr>
        <w:pStyle w:val="a8"/>
        <w:numPr>
          <w:ilvl w:val="0"/>
          <w:numId w:val="12"/>
        </w:numPr>
        <w:spacing w:before="93"/>
        <w:ind w:firstLineChars="0"/>
        <w:rPr>
          <w:i/>
        </w:rPr>
      </w:pPr>
      <w:r w:rsidRPr="00381568">
        <w:rPr>
          <w:i/>
        </w:rPr>
        <w:t xml:space="preserve">the </w:t>
      </w:r>
      <w:r>
        <w:rPr>
          <w:i/>
        </w:rPr>
        <w:t>link</w:t>
      </w:r>
      <w:r w:rsidRPr="00381568">
        <w:rPr>
          <w:i/>
        </w:rPr>
        <w:t xml:space="preserve"> direction of flexible RB is determined based on scheduling, and</w:t>
      </w:r>
    </w:p>
    <w:p w14:paraId="0C89E989" w14:textId="77777777" w:rsidR="00217B92" w:rsidRPr="00210EBF" w:rsidRDefault="00217B92" w:rsidP="00217B92">
      <w:pPr>
        <w:pStyle w:val="a8"/>
        <w:numPr>
          <w:ilvl w:val="0"/>
          <w:numId w:val="12"/>
        </w:numPr>
        <w:spacing w:before="93"/>
        <w:ind w:firstLineChars="0"/>
        <w:rPr>
          <w:i/>
        </w:rPr>
      </w:pPr>
      <w:r w:rsidRPr="00381568">
        <w:rPr>
          <w:i/>
        </w:rPr>
        <w:t>the direction for all flexible RBs within the flexible subband is the same</w:t>
      </w:r>
      <w:r>
        <w:rPr>
          <w:i/>
        </w:rPr>
        <w:t xml:space="preserve"> from both perspectives of gNB and UE</w:t>
      </w:r>
      <w:r w:rsidRPr="00381568">
        <w:rPr>
          <w:i/>
        </w:rPr>
        <w:t>.</w:t>
      </w:r>
    </w:p>
    <w:p w14:paraId="126E2DE3" w14:textId="77777777" w:rsidR="00217B92" w:rsidRDefault="00217B92" w:rsidP="00217B92">
      <w:pPr>
        <w:spacing w:before="93"/>
        <w:rPr>
          <w:rFonts w:cs="Times"/>
          <w:i/>
          <w:iCs/>
        </w:rPr>
      </w:pPr>
      <w:r w:rsidRPr="00971B58">
        <w:rPr>
          <w:rFonts w:hint="eastAsia"/>
          <w:b/>
          <w:i/>
        </w:rPr>
        <w:t>P</w:t>
      </w:r>
      <w:r w:rsidRPr="00971B58">
        <w:rPr>
          <w:b/>
          <w:i/>
        </w:rPr>
        <w:t xml:space="preserve">roposal </w:t>
      </w:r>
      <w:r>
        <w:rPr>
          <w:b/>
          <w:i/>
        </w:rPr>
        <w:t>4</w:t>
      </w:r>
      <w:r w:rsidRPr="00971B58">
        <w:rPr>
          <w:i/>
        </w:rPr>
        <w:t>:</w:t>
      </w:r>
      <w:r>
        <w:rPr>
          <w:i/>
        </w:rPr>
        <w:t xml:space="preserve"> The flexible subband </w:t>
      </w:r>
      <w:r>
        <w:rPr>
          <w:rFonts w:hint="eastAsia"/>
          <w:i/>
        </w:rPr>
        <w:t>is</w:t>
      </w:r>
      <w:r>
        <w:rPr>
          <w:i/>
        </w:rPr>
        <w:t xml:space="preserve"> supported in a SBFD symbol configured as flexible in </w:t>
      </w:r>
      <w:r w:rsidRPr="004470F2">
        <w:rPr>
          <w:i/>
          <w:iCs/>
        </w:rPr>
        <w:t>TDD-UL-DL-</w:t>
      </w:r>
      <w:proofErr w:type="spellStart"/>
      <w:r w:rsidRPr="004470F2">
        <w:rPr>
          <w:i/>
          <w:iCs/>
        </w:rPr>
        <w:t>ConfigCommon</w:t>
      </w:r>
      <w:proofErr w:type="spellEnd"/>
      <w:r>
        <w:rPr>
          <w:i/>
          <w:iCs/>
        </w:rPr>
        <w:t>.</w:t>
      </w:r>
    </w:p>
    <w:p w14:paraId="27E32972" w14:textId="77777777" w:rsidR="00217B92" w:rsidRPr="00A85786" w:rsidRDefault="00217B92" w:rsidP="00217B92">
      <w:pPr>
        <w:pStyle w:val="a8"/>
        <w:numPr>
          <w:ilvl w:val="0"/>
          <w:numId w:val="12"/>
        </w:numPr>
        <w:spacing w:before="93"/>
        <w:ind w:firstLineChars="0"/>
        <w:rPr>
          <w:i/>
        </w:rPr>
      </w:pPr>
      <w:r w:rsidRPr="00A85786">
        <w:rPr>
          <w:rFonts w:hint="eastAsia"/>
          <w:i/>
        </w:rPr>
        <w:t>I</w:t>
      </w:r>
      <w:r w:rsidRPr="00A85786">
        <w:rPr>
          <w:i/>
        </w:rPr>
        <w:t>f UL and DL subband are not configured in flexible symbols, it has the same behavior as legacy TDD.</w:t>
      </w:r>
    </w:p>
    <w:p w14:paraId="50B9B4EF" w14:textId="77777777" w:rsidR="00217B92" w:rsidRPr="00A85786" w:rsidRDefault="00217B92" w:rsidP="00217B92">
      <w:pPr>
        <w:pStyle w:val="a8"/>
        <w:numPr>
          <w:ilvl w:val="0"/>
          <w:numId w:val="12"/>
        </w:numPr>
        <w:spacing w:before="93"/>
        <w:ind w:firstLineChars="0"/>
        <w:rPr>
          <w:i/>
        </w:rPr>
      </w:pPr>
      <w:r w:rsidRPr="00A85786">
        <w:rPr>
          <w:rFonts w:hint="eastAsia"/>
          <w:i/>
        </w:rPr>
        <w:t>I</w:t>
      </w:r>
      <w:r w:rsidRPr="00A85786">
        <w:rPr>
          <w:i/>
        </w:rPr>
        <w:t xml:space="preserve">f only UL (or DL) subband is configured in flexible symbols, the RBs outside the UL (or DL) subband are flexible </w:t>
      </w:r>
      <w:r>
        <w:rPr>
          <w:i/>
        </w:rPr>
        <w:t xml:space="preserve">subband </w:t>
      </w:r>
      <w:r w:rsidRPr="00A85786">
        <w:rPr>
          <w:i/>
        </w:rPr>
        <w:t>by default.</w:t>
      </w:r>
    </w:p>
    <w:p w14:paraId="7F5F0957" w14:textId="77777777" w:rsidR="00217B92" w:rsidRDefault="00217B92" w:rsidP="00217B92">
      <w:pPr>
        <w:pStyle w:val="a8"/>
        <w:numPr>
          <w:ilvl w:val="0"/>
          <w:numId w:val="12"/>
        </w:numPr>
        <w:spacing w:before="93"/>
        <w:ind w:firstLineChars="0"/>
        <w:rPr>
          <w:i/>
        </w:rPr>
      </w:pPr>
      <w:r w:rsidRPr="00A85786">
        <w:rPr>
          <w:i/>
        </w:rPr>
        <w:t xml:space="preserve">If UL subband and DL subbands are configured in flexible symbols, the RBs outside the UL subband </w:t>
      </w:r>
      <w:r w:rsidRPr="00A85786">
        <w:rPr>
          <w:i/>
        </w:rPr>
        <w:lastRenderedPageBreak/>
        <w:t xml:space="preserve">and DL subband(s) are flexible </w:t>
      </w:r>
      <w:r>
        <w:rPr>
          <w:i/>
        </w:rPr>
        <w:t xml:space="preserve">subband </w:t>
      </w:r>
      <w:r w:rsidRPr="00A85786">
        <w:rPr>
          <w:i/>
        </w:rPr>
        <w:t>by default</w:t>
      </w:r>
      <w:r>
        <w:rPr>
          <w:i/>
        </w:rPr>
        <w:t>, which can be used for guard band</w:t>
      </w:r>
      <w:r w:rsidRPr="00A85786">
        <w:rPr>
          <w:i/>
        </w:rPr>
        <w:t>.</w:t>
      </w:r>
    </w:p>
    <w:p w14:paraId="7BF64A9C" w14:textId="77777777" w:rsidR="00217B92" w:rsidRPr="00A85786" w:rsidRDefault="00217B92" w:rsidP="00217B92">
      <w:pPr>
        <w:pStyle w:val="a8"/>
        <w:numPr>
          <w:ilvl w:val="0"/>
          <w:numId w:val="12"/>
        </w:numPr>
        <w:spacing w:before="93"/>
        <w:ind w:firstLineChars="0"/>
        <w:rPr>
          <w:i/>
        </w:rPr>
      </w:pPr>
      <w:r>
        <w:rPr>
          <w:i/>
        </w:rPr>
        <w:t>The</w:t>
      </w:r>
      <w:r w:rsidRPr="005A1465">
        <w:t xml:space="preserve"> </w:t>
      </w:r>
      <w:r w:rsidRPr="005A1465">
        <w:rPr>
          <w:i/>
        </w:rPr>
        <w:t xml:space="preserve">candidate subband patterns </w:t>
      </w:r>
      <w:r>
        <w:rPr>
          <w:i/>
        </w:rPr>
        <w:t>for a SBFD aware UE</w:t>
      </w:r>
      <w:r w:rsidRPr="005A1465">
        <w:rPr>
          <w:i/>
        </w:rPr>
        <w:t xml:space="preserve"> </w:t>
      </w:r>
      <w:r>
        <w:rPr>
          <w:i/>
        </w:rPr>
        <w:t>are</w:t>
      </w:r>
      <w:r w:rsidRPr="005A1465">
        <w:rPr>
          <w:i/>
        </w:rPr>
        <w:t xml:space="preserve"> </w:t>
      </w:r>
      <w:r>
        <w:rPr>
          <w:i/>
        </w:rPr>
        <w:t xml:space="preserve">{FU}, {UF}, {FUF}, {DF}, {FD}, {DFD}, </w:t>
      </w:r>
      <w:r w:rsidRPr="005A1465">
        <w:rPr>
          <w:i/>
        </w:rPr>
        <w:t>{DU</w:t>
      </w:r>
      <w:r>
        <w:rPr>
          <w:i/>
        </w:rPr>
        <w:t>}, {UD}, and {DUD}</w:t>
      </w:r>
      <w:r w:rsidRPr="005A1465">
        <w:rPr>
          <w:i/>
        </w:rPr>
        <w:t>, where ‘F’ denotes flexible subband, ‘U’ denotes UL subband, and ‘D’ denotes DL subband</w:t>
      </w:r>
      <w:r>
        <w:rPr>
          <w:i/>
        </w:rPr>
        <w:t>.</w:t>
      </w:r>
    </w:p>
    <w:p w14:paraId="7BCC69DF" w14:textId="77777777" w:rsidR="00217B92" w:rsidRDefault="00217B92" w:rsidP="00217B92">
      <w:pPr>
        <w:spacing w:before="93"/>
        <w:rPr>
          <w:rFonts w:cs="Times"/>
          <w:i/>
          <w:iCs/>
        </w:rPr>
      </w:pPr>
      <w:r w:rsidRPr="00971B58">
        <w:rPr>
          <w:rFonts w:hint="eastAsia"/>
          <w:b/>
          <w:i/>
        </w:rPr>
        <w:t>P</w:t>
      </w:r>
      <w:r w:rsidRPr="00971B58">
        <w:rPr>
          <w:b/>
          <w:i/>
        </w:rPr>
        <w:t xml:space="preserve">roposal </w:t>
      </w:r>
      <w:r>
        <w:rPr>
          <w:b/>
          <w:i/>
        </w:rPr>
        <w:t>5</w:t>
      </w:r>
      <w:r w:rsidRPr="00971B58">
        <w:rPr>
          <w:i/>
        </w:rPr>
        <w:t>:</w:t>
      </w:r>
      <w:r>
        <w:rPr>
          <w:i/>
        </w:rPr>
        <w:t xml:space="preserve"> The flexible subband </w:t>
      </w:r>
      <w:r>
        <w:rPr>
          <w:rFonts w:hint="eastAsia"/>
          <w:i/>
        </w:rPr>
        <w:t>is</w:t>
      </w:r>
      <w:r>
        <w:rPr>
          <w:i/>
        </w:rPr>
        <w:t xml:space="preserve"> supported in a SBFD symbol configured as DL in </w:t>
      </w:r>
      <w:r w:rsidRPr="004470F2">
        <w:rPr>
          <w:i/>
          <w:iCs/>
        </w:rPr>
        <w:t>TDD-UL-DL-</w:t>
      </w:r>
      <w:proofErr w:type="spellStart"/>
      <w:r w:rsidRPr="004470F2">
        <w:rPr>
          <w:i/>
          <w:iCs/>
        </w:rPr>
        <w:t>ConfigCommon</w:t>
      </w:r>
      <w:proofErr w:type="spellEnd"/>
      <w:r>
        <w:rPr>
          <w:i/>
          <w:iCs/>
        </w:rPr>
        <w:t>.</w:t>
      </w:r>
    </w:p>
    <w:p w14:paraId="6C0684D3" w14:textId="77777777" w:rsidR="00217B92" w:rsidRPr="00A85786" w:rsidRDefault="00217B92" w:rsidP="00217B92">
      <w:pPr>
        <w:pStyle w:val="a8"/>
        <w:numPr>
          <w:ilvl w:val="0"/>
          <w:numId w:val="12"/>
        </w:numPr>
        <w:spacing w:before="93"/>
        <w:ind w:firstLineChars="0"/>
        <w:rPr>
          <w:i/>
        </w:rPr>
      </w:pPr>
      <w:r>
        <w:rPr>
          <w:i/>
        </w:rPr>
        <w:t>The</w:t>
      </w:r>
      <w:r w:rsidRPr="005A1465">
        <w:t xml:space="preserve"> </w:t>
      </w:r>
      <w:r w:rsidRPr="005A1465">
        <w:rPr>
          <w:i/>
        </w:rPr>
        <w:t>candidate subband patterns</w:t>
      </w:r>
      <w:r>
        <w:rPr>
          <w:i/>
        </w:rPr>
        <w:t xml:space="preserve"> for a SBFD aware UE</w:t>
      </w:r>
      <w:r w:rsidRPr="005A1465">
        <w:rPr>
          <w:i/>
        </w:rPr>
        <w:t xml:space="preserve"> </w:t>
      </w:r>
      <w:r>
        <w:rPr>
          <w:i/>
        </w:rPr>
        <w:t>are</w:t>
      </w:r>
      <w:r w:rsidRPr="005A1465">
        <w:rPr>
          <w:i/>
        </w:rPr>
        <w:t xml:space="preserve"> {DU}, {UD}, {DUD}, {DF}, {FD}, and {DFD}, where ‘F’ denotes flexible subband, ‘U’ denotes UL subband, and ‘D’ denotes DL subband</w:t>
      </w:r>
      <w:r w:rsidRPr="00A85786">
        <w:rPr>
          <w:i/>
        </w:rPr>
        <w:t>.</w:t>
      </w:r>
    </w:p>
    <w:p w14:paraId="2C8CFDB5" w14:textId="77777777" w:rsidR="00217B92" w:rsidRDefault="00217B92" w:rsidP="00217B92">
      <w:pPr>
        <w:spacing w:before="93"/>
        <w:rPr>
          <w:i/>
        </w:rPr>
      </w:pPr>
      <w:r w:rsidRPr="00971B58">
        <w:rPr>
          <w:rFonts w:hint="eastAsia"/>
          <w:b/>
          <w:i/>
        </w:rPr>
        <w:t>P</w:t>
      </w:r>
      <w:r w:rsidRPr="00971B58">
        <w:rPr>
          <w:b/>
          <w:i/>
        </w:rPr>
        <w:t xml:space="preserve">roposal </w:t>
      </w:r>
      <w:r>
        <w:rPr>
          <w:b/>
          <w:i/>
        </w:rPr>
        <w:t>6</w:t>
      </w:r>
      <w:r w:rsidRPr="00971B58">
        <w:rPr>
          <w:i/>
        </w:rPr>
        <w:t>:</w:t>
      </w:r>
      <w:r>
        <w:rPr>
          <w:i/>
        </w:rPr>
        <w:t xml:space="preserve"> The frequency-domain location indication of DL subband, flexible subband, and guard band are given as follows:</w:t>
      </w:r>
    </w:p>
    <w:p w14:paraId="37EDC0BA" w14:textId="77777777" w:rsidR="00217B92" w:rsidRDefault="00217B92" w:rsidP="00217B92">
      <w:pPr>
        <w:pStyle w:val="a8"/>
        <w:numPr>
          <w:ilvl w:val="0"/>
          <w:numId w:val="14"/>
        </w:numPr>
        <w:spacing w:before="93"/>
        <w:ind w:firstLineChars="0"/>
        <w:rPr>
          <w:i/>
        </w:rPr>
      </w:pPr>
      <w:r w:rsidRPr="00AE551D">
        <w:rPr>
          <w:rFonts w:hint="eastAsia"/>
          <w:i/>
        </w:rPr>
        <w:t>D</w:t>
      </w:r>
      <w:r>
        <w:rPr>
          <w:i/>
        </w:rPr>
        <w:t>L subband should be explicitly indicated if configured, at least for the length of DL subband;</w:t>
      </w:r>
    </w:p>
    <w:p w14:paraId="37076D59" w14:textId="77777777" w:rsidR="00217B92" w:rsidRDefault="00217B92" w:rsidP="00217B92">
      <w:pPr>
        <w:pStyle w:val="a8"/>
        <w:numPr>
          <w:ilvl w:val="0"/>
          <w:numId w:val="14"/>
        </w:numPr>
        <w:spacing w:before="93"/>
        <w:ind w:firstLineChars="0"/>
        <w:rPr>
          <w:i/>
        </w:rPr>
      </w:pPr>
      <w:r>
        <w:rPr>
          <w:i/>
        </w:rPr>
        <w:t>Flexible subband can be implicitly indicated as a set of consecutive of RBs which are not included in UL subband and DL subband;</w:t>
      </w:r>
    </w:p>
    <w:p w14:paraId="32FAB7A4" w14:textId="77777777" w:rsidR="00217B92" w:rsidRDefault="00217B92" w:rsidP="00217B92">
      <w:pPr>
        <w:pStyle w:val="a8"/>
        <w:numPr>
          <w:ilvl w:val="0"/>
          <w:numId w:val="14"/>
        </w:numPr>
        <w:spacing w:before="93"/>
        <w:ind w:firstLineChars="0"/>
        <w:rPr>
          <w:i/>
        </w:rPr>
      </w:pPr>
      <w:r>
        <w:rPr>
          <w:i/>
        </w:rPr>
        <w:t>Guard band can be implicitly derived based on scheduling, i.e., gNB will not schedule UL and DL transmission on guard band;</w:t>
      </w:r>
    </w:p>
    <w:p w14:paraId="5763CCEB" w14:textId="77777777" w:rsidR="00217B92" w:rsidRPr="00BC6DBE" w:rsidRDefault="00217B92" w:rsidP="00217B92">
      <w:pPr>
        <w:pStyle w:val="a8"/>
        <w:numPr>
          <w:ilvl w:val="0"/>
          <w:numId w:val="14"/>
        </w:numPr>
        <w:spacing w:before="93"/>
        <w:ind w:firstLineChars="0"/>
        <w:rPr>
          <w:i/>
        </w:rPr>
      </w:pPr>
      <w:r>
        <w:rPr>
          <w:i/>
        </w:rPr>
        <w:t>The subband frequency-domain locations is indicated by granularity of RB.</w:t>
      </w:r>
    </w:p>
    <w:p w14:paraId="4C5A2815" w14:textId="77777777" w:rsidR="00217B92" w:rsidRDefault="00217B92" w:rsidP="00217B92">
      <w:pPr>
        <w:spacing w:before="93"/>
        <w:rPr>
          <w:i/>
        </w:rPr>
      </w:pPr>
      <w:r w:rsidRPr="00971B58">
        <w:rPr>
          <w:rFonts w:hint="eastAsia"/>
          <w:b/>
          <w:i/>
        </w:rPr>
        <w:t>P</w:t>
      </w:r>
      <w:r w:rsidRPr="00971B58">
        <w:rPr>
          <w:b/>
          <w:i/>
        </w:rPr>
        <w:t xml:space="preserve">roposal </w:t>
      </w:r>
      <w:r>
        <w:rPr>
          <w:b/>
          <w:i/>
        </w:rPr>
        <w:t>7</w:t>
      </w:r>
      <w:r w:rsidRPr="00971B58">
        <w:rPr>
          <w:i/>
        </w:rPr>
        <w:t>:</w:t>
      </w:r>
      <w:r>
        <w:rPr>
          <w:i/>
        </w:rPr>
        <w:t xml:space="preserve"> A slot </w:t>
      </w:r>
      <w:r>
        <w:rPr>
          <w:rFonts w:hint="eastAsia"/>
          <w:i/>
        </w:rPr>
        <w:t>can</w:t>
      </w:r>
      <w:r>
        <w:rPr>
          <w:i/>
        </w:rPr>
        <w:t xml:space="preserve"> consist of SBFD symbols and non-SBFD symbols.</w:t>
      </w:r>
    </w:p>
    <w:p w14:paraId="54B06F0A" w14:textId="77777777" w:rsidR="00217B92" w:rsidRDefault="00217B92" w:rsidP="00217B92">
      <w:pPr>
        <w:spacing w:before="93"/>
        <w:rPr>
          <w:i/>
        </w:rPr>
      </w:pPr>
      <w:r w:rsidRPr="00971B58">
        <w:rPr>
          <w:rFonts w:hint="eastAsia"/>
          <w:b/>
          <w:i/>
        </w:rPr>
        <w:t>P</w:t>
      </w:r>
      <w:r w:rsidRPr="00971B58">
        <w:rPr>
          <w:b/>
          <w:i/>
        </w:rPr>
        <w:t xml:space="preserve">roposal </w:t>
      </w:r>
      <w:r>
        <w:rPr>
          <w:b/>
          <w:i/>
        </w:rPr>
        <w:t>8</w:t>
      </w:r>
      <w:r w:rsidRPr="00971B58">
        <w:rPr>
          <w:i/>
        </w:rPr>
        <w:t>:</w:t>
      </w:r>
      <w:r>
        <w:rPr>
          <w:i/>
        </w:rPr>
        <w:t xml:space="preserve"> The semi-static subband time-domain locations should be configured within a period, and the period</w:t>
      </w:r>
      <w:r w:rsidDel="00A93EDE">
        <w:rPr>
          <w:i/>
        </w:rPr>
        <w:t xml:space="preserve"> </w:t>
      </w:r>
      <w:r>
        <w:rPr>
          <w:i/>
        </w:rPr>
        <w:t>of subband should align to the period</w:t>
      </w:r>
      <w:r w:rsidDel="00A93EDE">
        <w:rPr>
          <w:i/>
        </w:rPr>
        <w:t xml:space="preserve"> </w:t>
      </w:r>
      <w:r>
        <w:rPr>
          <w:i/>
        </w:rPr>
        <w:t>of TDD UL-DL patterns configured in TDD-UL-DL-</w:t>
      </w:r>
      <w:proofErr w:type="spellStart"/>
      <w:r>
        <w:rPr>
          <w:i/>
        </w:rPr>
        <w:t>ConfigCommon</w:t>
      </w:r>
      <w:proofErr w:type="spellEnd"/>
      <w:r>
        <w:rPr>
          <w:i/>
        </w:rPr>
        <w:t>.</w:t>
      </w:r>
    </w:p>
    <w:p w14:paraId="0FA0A92E" w14:textId="77777777" w:rsidR="00217B92" w:rsidRDefault="00217B92" w:rsidP="00217B92">
      <w:pPr>
        <w:spacing w:before="93"/>
        <w:rPr>
          <w:i/>
        </w:rPr>
      </w:pPr>
      <w:r w:rsidRPr="00971B58">
        <w:rPr>
          <w:rFonts w:hint="eastAsia"/>
          <w:b/>
          <w:i/>
        </w:rPr>
        <w:t>P</w:t>
      </w:r>
      <w:r w:rsidRPr="00971B58">
        <w:rPr>
          <w:b/>
          <w:i/>
        </w:rPr>
        <w:t xml:space="preserve">roposal </w:t>
      </w:r>
      <w:r>
        <w:rPr>
          <w:b/>
          <w:i/>
        </w:rPr>
        <w:t>9</w:t>
      </w:r>
      <w:r w:rsidRPr="00971B58">
        <w:rPr>
          <w:i/>
        </w:rPr>
        <w:t>:</w:t>
      </w:r>
      <w:r>
        <w:rPr>
          <w:i/>
        </w:rPr>
        <w:t xml:space="preserve"> The semi-static subband time-domain locations within a period can be indicated by a time-domain window.</w:t>
      </w:r>
    </w:p>
    <w:p w14:paraId="2186F552" w14:textId="77777777" w:rsidR="00217B92" w:rsidRPr="00513FF4" w:rsidRDefault="00217B92" w:rsidP="00217B92">
      <w:pPr>
        <w:spacing w:before="93"/>
        <w:rPr>
          <w:i/>
        </w:rPr>
      </w:pPr>
      <w:r w:rsidRPr="00971B58">
        <w:rPr>
          <w:rFonts w:hint="eastAsia"/>
          <w:b/>
          <w:i/>
        </w:rPr>
        <w:t>P</w:t>
      </w:r>
      <w:r w:rsidRPr="00971B58">
        <w:rPr>
          <w:b/>
          <w:i/>
        </w:rPr>
        <w:t xml:space="preserve">roposal </w:t>
      </w:r>
      <w:r>
        <w:rPr>
          <w:b/>
          <w:i/>
        </w:rPr>
        <w:t>10</w:t>
      </w:r>
      <w:r w:rsidRPr="00971B58">
        <w:rPr>
          <w:i/>
        </w:rPr>
        <w:t>:</w:t>
      </w:r>
      <w:r>
        <w:rPr>
          <w:i/>
        </w:rPr>
        <w:t xml:space="preserve"> The semi-static subband time-domain locations is indicated by granularity of slot/symbol.</w:t>
      </w:r>
    </w:p>
    <w:p w14:paraId="47C71635" w14:textId="77777777" w:rsidR="00217B92" w:rsidRDefault="00217B92" w:rsidP="00217B92">
      <w:pPr>
        <w:spacing w:before="93"/>
        <w:rPr>
          <w:i/>
        </w:rPr>
      </w:pPr>
      <w:r w:rsidRPr="00971B58">
        <w:rPr>
          <w:rFonts w:hint="eastAsia"/>
          <w:b/>
          <w:i/>
        </w:rPr>
        <w:t>P</w:t>
      </w:r>
      <w:r w:rsidRPr="00971B58">
        <w:rPr>
          <w:b/>
          <w:i/>
        </w:rPr>
        <w:t xml:space="preserve">roposal </w:t>
      </w:r>
      <w:r>
        <w:rPr>
          <w:b/>
          <w:i/>
        </w:rPr>
        <w:t>11</w:t>
      </w:r>
      <w:r w:rsidRPr="00971B58">
        <w:rPr>
          <w:i/>
        </w:rPr>
        <w:t>:</w:t>
      </w:r>
      <w:r>
        <w:rPr>
          <w:i/>
        </w:rPr>
        <w:t xml:space="preserve"> For SBFD/non-SBFD switching point, support at most one switching point within one slot, and at most two switching points within one TDD UL/DL pattern period.</w:t>
      </w:r>
    </w:p>
    <w:p w14:paraId="451B1C0E" w14:textId="77777777" w:rsidR="00217B92" w:rsidRDefault="00217B92" w:rsidP="00217B92">
      <w:pPr>
        <w:spacing w:before="93"/>
        <w:rPr>
          <w:i/>
        </w:rPr>
      </w:pPr>
      <w:r w:rsidRPr="00971B58">
        <w:rPr>
          <w:rFonts w:hint="eastAsia"/>
          <w:b/>
          <w:i/>
        </w:rPr>
        <w:t>P</w:t>
      </w:r>
      <w:r w:rsidRPr="00971B58">
        <w:rPr>
          <w:b/>
          <w:i/>
        </w:rPr>
        <w:t xml:space="preserve">roposal </w:t>
      </w:r>
      <w:r>
        <w:rPr>
          <w:b/>
          <w:i/>
        </w:rPr>
        <w:t>12</w:t>
      </w:r>
      <w:r w:rsidRPr="00971B58">
        <w:rPr>
          <w:i/>
        </w:rPr>
        <w:t>:</w:t>
      </w:r>
      <w:r>
        <w:rPr>
          <w:i/>
        </w:rPr>
        <w:t xml:space="preserve"> A UE cannot transmit or receive a physical channel/signal in the occasion mapped to SBFD symbols and non-SBFD symbols, except for PUSCH repetition type B.</w:t>
      </w:r>
    </w:p>
    <w:p w14:paraId="3C1013FD" w14:textId="77777777" w:rsidR="00217B92" w:rsidRPr="002879B5" w:rsidRDefault="00217B92" w:rsidP="00217B92">
      <w:pPr>
        <w:pStyle w:val="a8"/>
        <w:numPr>
          <w:ilvl w:val="0"/>
          <w:numId w:val="43"/>
        </w:numPr>
        <w:spacing w:before="93"/>
        <w:ind w:firstLineChars="0"/>
        <w:rPr>
          <w:i/>
        </w:rPr>
      </w:pPr>
      <w:r>
        <w:rPr>
          <w:i/>
        </w:rPr>
        <w:t xml:space="preserve">For </w:t>
      </w:r>
      <w:r>
        <w:rPr>
          <w:rFonts w:hint="eastAsia"/>
          <w:i/>
        </w:rPr>
        <w:t>P</w:t>
      </w:r>
      <w:r>
        <w:rPr>
          <w:i/>
        </w:rPr>
        <w:t>USCH repetition type B, study actual repetitions derivation from one nominal repetition across SBFD symbols and non-SBFD symbols within one slot.</w:t>
      </w:r>
    </w:p>
    <w:p w14:paraId="20D63828" w14:textId="77777777" w:rsidR="00217B92" w:rsidRDefault="00217B92" w:rsidP="00217B92">
      <w:pPr>
        <w:spacing w:before="93"/>
        <w:rPr>
          <w:i/>
        </w:rPr>
      </w:pPr>
      <w:r w:rsidRPr="00971B58">
        <w:rPr>
          <w:rFonts w:hint="eastAsia"/>
          <w:b/>
          <w:i/>
        </w:rPr>
        <w:t>P</w:t>
      </w:r>
      <w:r w:rsidRPr="00971B58">
        <w:rPr>
          <w:b/>
          <w:i/>
        </w:rPr>
        <w:t xml:space="preserve">roposal </w:t>
      </w:r>
      <w:r>
        <w:rPr>
          <w:b/>
          <w:i/>
        </w:rPr>
        <w:t>13</w:t>
      </w:r>
      <w:r w:rsidRPr="00971B58">
        <w:rPr>
          <w:i/>
        </w:rPr>
        <w:t>:</w:t>
      </w:r>
      <w:r>
        <w:rPr>
          <w:i/>
        </w:rPr>
        <w:t xml:space="preserve"> </w:t>
      </w:r>
      <w:r w:rsidRPr="00A53AF7">
        <w:rPr>
          <w:i/>
        </w:rPr>
        <w:t>Whe</w:t>
      </w:r>
      <w:r>
        <w:rPr>
          <w:i/>
        </w:rPr>
        <w:t>ther the transmission</w:t>
      </w:r>
      <w:r w:rsidRPr="00A53AF7">
        <w:rPr>
          <w:i/>
        </w:rPr>
        <w:t xml:space="preserve"> occasion of a physical channel/signal can be mapped to SBFD and non-SBFD symbols within a slot</w:t>
      </w:r>
      <w:r>
        <w:rPr>
          <w:i/>
        </w:rPr>
        <w:t xml:space="preserve"> is related to slot counting:</w:t>
      </w:r>
    </w:p>
    <w:p w14:paraId="55351CD0" w14:textId="77777777" w:rsidR="00217B92" w:rsidRDefault="00217B92" w:rsidP="00217B92">
      <w:pPr>
        <w:pStyle w:val="a8"/>
        <w:numPr>
          <w:ilvl w:val="0"/>
          <w:numId w:val="42"/>
        </w:numPr>
        <w:spacing w:before="93"/>
        <w:ind w:firstLineChars="0"/>
        <w:rPr>
          <w:i/>
        </w:rPr>
      </w:pPr>
      <w:r>
        <w:rPr>
          <w:rFonts w:hint="eastAsia"/>
          <w:i/>
        </w:rPr>
        <w:t>F</w:t>
      </w:r>
      <w:r>
        <w:rPr>
          <w:i/>
        </w:rPr>
        <w:t>or physical slot counting, the transmission occasion of a physical channel/signal can be mapped to SBFD symbols and non-SBFD symbols within a slot.</w:t>
      </w:r>
    </w:p>
    <w:p w14:paraId="719F3FEF" w14:textId="77777777" w:rsidR="00217B92" w:rsidRDefault="00217B92" w:rsidP="00217B92">
      <w:pPr>
        <w:pStyle w:val="a8"/>
        <w:numPr>
          <w:ilvl w:val="0"/>
          <w:numId w:val="42"/>
        </w:numPr>
        <w:spacing w:before="93"/>
        <w:ind w:firstLineChars="0"/>
        <w:rPr>
          <w:i/>
        </w:rPr>
      </w:pPr>
      <w:r>
        <w:rPr>
          <w:i/>
        </w:rPr>
        <w:t>For available slot counting, the transmission occasion of a physical channel signal cannot be mapped to SBFD symbols and non-SBFD symbols within a slot.</w:t>
      </w:r>
    </w:p>
    <w:p w14:paraId="4DBAFB6A" w14:textId="77777777" w:rsidR="00217B92" w:rsidRPr="0069281E" w:rsidRDefault="00217B92" w:rsidP="00217B92">
      <w:pPr>
        <w:spacing w:before="93"/>
        <w:rPr>
          <w:i/>
        </w:rPr>
      </w:pPr>
      <w:r w:rsidRPr="0069281E">
        <w:rPr>
          <w:b/>
          <w:i/>
        </w:rPr>
        <w:t>Proposal 14</w:t>
      </w:r>
      <w:r w:rsidRPr="0069281E">
        <w:rPr>
          <w:i/>
        </w:rPr>
        <w:t>: For UL transmissions and DL receptions across SBFD symbols and non-SBFD symbols in different slots (each transmission/reception within a slot has either all SBFD or all non-SBFD symbols), the transmission/receptions are restricted to SBFD symbols only or non-SBFD symbols only.</w:t>
      </w:r>
    </w:p>
    <w:p w14:paraId="0B03ABE7" w14:textId="77777777" w:rsidR="003F5789" w:rsidRDefault="003F5789" w:rsidP="003F5789">
      <w:pPr>
        <w:spacing w:before="93"/>
        <w:rPr>
          <w:i/>
        </w:rPr>
      </w:pPr>
      <w:r w:rsidRPr="00971B58">
        <w:rPr>
          <w:rFonts w:hint="eastAsia"/>
          <w:b/>
          <w:i/>
        </w:rPr>
        <w:t>P</w:t>
      </w:r>
      <w:r w:rsidRPr="00971B58">
        <w:rPr>
          <w:b/>
          <w:i/>
        </w:rPr>
        <w:t xml:space="preserve">roposal </w:t>
      </w:r>
      <w:r>
        <w:rPr>
          <w:b/>
          <w:i/>
        </w:rPr>
        <w:t>15</w:t>
      </w:r>
      <w:r w:rsidRPr="00971B58">
        <w:rPr>
          <w:i/>
        </w:rPr>
        <w:t>:</w:t>
      </w:r>
      <w:r>
        <w:rPr>
          <w:i/>
        </w:rPr>
        <w:t xml:space="preserve"> For option 1 where transmission/receptions are restricted to SBFD symbols only or non-SBFD symbols only, study the following aspects for PUSCH enhancement:</w:t>
      </w:r>
    </w:p>
    <w:p w14:paraId="26E66FF2" w14:textId="77777777" w:rsidR="003F5789" w:rsidRDefault="003F5789" w:rsidP="003F5789">
      <w:pPr>
        <w:pStyle w:val="a8"/>
        <w:numPr>
          <w:ilvl w:val="0"/>
          <w:numId w:val="46"/>
        </w:numPr>
        <w:spacing w:before="93"/>
        <w:ind w:firstLineChars="0"/>
        <w:rPr>
          <w:i/>
        </w:rPr>
      </w:pPr>
      <w:r>
        <w:rPr>
          <w:i/>
        </w:rPr>
        <w:t>Slot counting enhancement.</w:t>
      </w:r>
    </w:p>
    <w:p w14:paraId="71616523" w14:textId="77777777" w:rsidR="003F5789" w:rsidRDefault="003F5789" w:rsidP="003F5789">
      <w:pPr>
        <w:pStyle w:val="a8"/>
        <w:numPr>
          <w:ilvl w:val="0"/>
          <w:numId w:val="46"/>
        </w:numPr>
        <w:spacing w:before="93"/>
        <w:ind w:firstLineChars="0"/>
        <w:rPr>
          <w:i/>
        </w:rPr>
      </w:pPr>
      <w:r>
        <w:rPr>
          <w:rFonts w:hint="eastAsia"/>
          <w:i/>
        </w:rPr>
        <w:t>C</w:t>
      </w:r>
      <w:r>
        <w:rPr>
          <w:i/>
        </w:rPr>
        <w:t>ollision rules handling enhancement.</w:t>
      </w:r>
    </w:p>
    <w:p w14:paraId="4071E1D5" w14:textId="77777777" w:rsidR="003F5789" w:rsidRDefault="003F5789" w:rsidP="003F5789">
      <w:pPr>
        <w:pStyle w:val="a8"/>
        <w:numPr>
          <w:ilvl w:val="0"/>
          <w:numId w:val="46"/>
        </w:numPr>
        <w:spacing w:before="93"/>
        <w:ind w:firstLineChars="0"/>
        <w:rPr>
          <w:i/>
        </w:rPr>
      </w:pPr>
      <w:r w:rsidRPr="0069281E">
        <w:rPr>
          <w:i/>
        </w:rPr>
        <w:t>For CG-PUSCH, separate CG-PUSCH resources can be configured for SBFD slots and non-SBFD slots.</w:t>
      </w:r>
    </w:p>
    <w:p w14:paraId="4DA5D208" w14:textId="77777777" w:rsidR="003F5789" w:rsidRDefault="003F5789" w:rsidP="003F5789">
      <w:pPr>
        <w:spacing w:before="93"/>
        <w:rPr>
          <w:i/>
        </w:rPr>
      </w:pPr>
      <w:r w:rsidRPr="00971B58">
        <w:rPr>
          <w:rFonts w:hint="eastAsia"/>
          <w:b/>
          <w:i/>
        </w:rPr>
        <w:t>P</w:t>
      </w:r>
      <w:r w:rsidRPr="00971B58">
        <w:rPr>
          <w:b/>
          <w:i/>
        </w:rPr>
        <w:t xml:space="preserve">roposal </w:t>
      </w:r>
      <w:r>
        <w:rPr>
          <w:b/>
          <w:i/>
        </w:rPr>
        <w:t>16</w:t>
      </w:r>
      <w:r w:rsidRPr="00971B58">
        <w:rPr>
          <w:i/>
        </w:rPr>
        <w:t>:</w:t>
      </w:r>
      <w:r>
        <w:rPr>
          <w:i/>
        </w:rPr>
        <w:t xml:space="preserve"> Study the following aspects for PUSCH frequency hopping for SBFD operation.</w:t>
      </w:r>
    </w:p>
    <w:p w14:paraId="6D775FF6" w14:textId="77777777" w:rsidR="003F5789" w:rsidRDefault="003F5789" w:rsidP="003F5789">
      <w:pPr>
        <w:pStyle w:val="a8"/>
        <w:widowControl/>
        <w:numPr>
          <w:ilvl w:val="0"/>
          <w:numId w:val="19"/>
        </w:numPr>
        <w:autoSpaceDE w:val="0"/>
        <w:autoSpaceDN w:val="0"/>
        <w:spacing w:before="93" w:after="93" w:line="240" w:lineRule="auto"/>
        <w:ind w:firstLineChars="0"/>
        <w:rPr>
          <w:i/>
        </w:rPr>
      </w:pPr>
      <w:r>
        <w:rPr>
          <w:rFonts w:hint="eastAsia"/>
          <w:i/>
        </w:rPr>
        <w:lastRenderedPageBreak/>
        <w:t>S</w:t>
      </w:r>
      <w:r>
        <w:rPr>
          <w:i/>
        </w:rPr>
        <w:t>eparate frequency hopping offsets for SBFD symbols and non-SBFD symbols</w:t>
      </w:r>
    </w:p>
    <w:p w14:paraId="17A93F27" w14:textId="77777777" w:rsidR="003F5789" w:rsidRPr="00F11B52" w:rsidRDefault="003F5789" w:rsidP="003F5789">
      <w:pPr>
        <w:pStyle w:val="a8"/>
        <w:widowControl/>
        <w:numPr>
          <w:ilvl w:val="0"/>
          <w:numId w:val="19"/>
        </w:numPr>
        <w:autoSpaceDE w:val="0"/>
        <w:autoSpaceDN w:val="0"/>
        <w:spacing w:before="93" w:after="93" w:line="240" w:lineRule="auto"/>
        <w:ind w:firstLineChars="0"/>
        <w:rPr>
          <w:i/>
        </w:rPr>
      </w:pPr>
      <w:r>
        <w:rPr>
          <w:rFonts w:hint="eastAsia"/>
          <w:i/>
        </w:rPr>
        <w:t>U</w:t>
      </w:r>
      <w:r>
        <w:rPr>
          <w:i/>
        </w:rPr>
        <w:t>pdate PUSCH frequency hopping pattern/formula to ensure the PUSCH hopping is always within the UL subband in SBFD symbols.</w:t>
      </w:r>
    </w:p>
    <w:p w14:paraId="03228BBD" w14:textId="77777777" w:rsidR="003F5789" w:rsidRDefault="003F5789" w:rsidP="003F5789">
      <w:pPr>
        <w:spacing w:before="93"/>
        <w:rPr>
          <w:i/>
        </w:rPr>
      </w:pPr>
      <w:r w:rsidRPr="00971B58">
        <w:rPr>
          <w:rFonts w:hint="eastAsia"/>
          <w:b/>
          <w:i/>
        </w:rPr>
        <w:t>P</w:t>
      </w:r>
      <w:r w:rsidRPr="00971B58">
        <w:rPr>
          <w:b/>
          <w:i/>
        </w:rPr>
        <w:t xml:space="preserve">roposal </w:t>
      </w:r>
      <w:r>
        <w:rPr>
          <w:b/>
          <w:i/>
        </w:rPr>
        <w:t>17</w:t>
      </w:r>
      <w:r w:rsidRPr="00971B58">
        <w:rPr>
          <w:i/>
        </w:rPr>
        <w:t>:</w:t>
      </w:r>
      <w:r>
        <w:rPr>
          <w:i/>
        </w:rPr>
        <w:t xml:space="preserve"> For option 1</w:t>
      </w:r>
      <w:r w:rsidRPr="00A06951">
        <w:rPr>
          <w:i/>
        </w:rPr>
        <w:t xml:space="preserve"> </w:t>
      </w:r>
      <w:r>
        <w:rPr>
          <w:i/>
        </w:rPr>
        <w:t>where transmission/receptions are restricted to SBFD symbols only or non-SBFD symbols only, study the following PUCCH enhancement:</w:t>
      </w:r>
    </w:p>
    <w:p w14:paraId="5F578249" w14:textId="77777777" w:rsidR="003F5789" w:rsidRDefault="003F5789" w:rsidP="003F5789">
      <w:pPr>
        <w:pStyle w:val="a8"/>
        <w:numPr>
          <w:ilvl w:val="0"/>
          <w:numId w:val="46"/>
        </w:numPr>
        <w:spacing w:before="93"/>
        <w:ind w:firstLineChars="0"/>
        <w:rPr>
          <w:i/>
        </w:rPr>
      </w:pPr>
      <w:r>
        <w:rPr>
          <w:i/>
        </w:rPr>
        <w:t>Slot counting enhancement.</w:t>
      </w:r>
    </w:p>
    <w:p w14:paraId="3B2E264E" w14:textId="77777777" w:rsidR="003F5789" w:rsidRDefault="003F5789" w:rsidP="003F5789">
      <w:pPr>
        <w:pStyle w:val="a8"/>
        <w:numPr>
          <w:ilvl w:val="0"/>
          <w:numId w:val="46"/>
        </w:numPr>
        <w:spacing w:before="93"/>
        <w:ind w:firstLineChars="0"/>
        <w:rPr>
          <w:i/>
        </w:rPr>
      </w:pPr>
      <w:r>
        <w:rPr>
          <w:rFonts w:hint="eastAsia"/>
          <w:i/>
        </w:rPr>
        <w:t>C</w:t>
      </w:r>
      <w:r>
        <w:rPr>
          <w:i/>
        </w:rPr>
        <w:t>ollision rules enhancement.</w:t>
      </w:r>
    </w:p>
    <w:p w14:paraId="74804B82" w14:textId="77777777" w:rsidR="003F5789" w:rsidRPr="00B62CB8" w:rsidRDefault="003F5789" w:rsidP="003F5789">
      <w:pPr>
        <w:pStyle w:val="a8"/>
        <w:numPr>
          <w:ilvl w:val="0"/>
          <w:numId w:val="46"/>
        </w:numPr>
        <w:spacing w:before="93"/>
        <w:ind w:firstLineChars="0"/>
        <w:rPr>
          <w:i/>
        </w:rPr>
      </w:pPr>
      <w:r>
        <w:rPr>
          <w:i/>
        </w:rPr>
        <w:t>For periodic/semi-persistent PUCCH, s</w:t>
      </w:r>
      <w:r w:rsidRPr="00B62CB8">
        <w:rPr>
          <w:i/>
        </w:rPr>
        <w:t xml:space="preserve">eparate </w:t>
      </w:r>
      <w:r>
        <w:rPr>
          <w:i/>
        </w:rPr>
        <w:t xml:space="preserve">PUCCH </w:t>
      </w:r>
      <w:r w:rsidRPr="00B62CB8">
        <w:rPr>
          <w:i/>
        </w:rPr>
        <w:t>resources</w:t>
      </w:r>
      <w:r>
        <w:rPr>
          <w:i/>
        </w:rPr>
        <w:t xml:space="preserve"> can be configured</w:t>
      </w:r>
      <w:r w:rsidRPr="00B62CB8">
        <w:rPr>
          <w:i/>
        </w:rPr>
        <w:t xml:space="preserve"> </w:t>
      </w:r>
      <w:r>
        <w:rPr>
          <w:i/>
        </w:rPr>
        <w:t>for</w:t>
      </w:r>
      <w:r w:rsidRPr="00B62CB8">
        <w:rPr>
          <w:i/>
        </w:rPr>
        <w:t xml:space="preserve"> SBFD slots and non-SBFD slots.</w:t>
      </w:r>
    </w:p>
    <w:p w14:paraId="2C70FAF3" w14:textId="721642BA" w:rsidR="00476E05" w:rsidRDefault="003F5789" w:rsidP="00AF17CD">
      <w:pPr>
        <w:spacing w:before="93"/>
        <w:rPr>
          <w:b/>
          <w:i/>
        </w:rPr>
      </w:pPr>
      <w:r w:rsidRPr="00971B58">
        <w:rPr>
          <w:rFonts w:hint="eastAsia"/>
          <w:b/>
          <w:i/>
        </w:rPr>
        <w:t>P</w:t>
      </w:r>
      <w:r w:rsidRPr="00971B58">
        <w:rPr>
          <w:b/>
          <w:i/>
        </w:rPr>
        <w:t xml:space="preserve">roposal </w:t>
      </w:r>
      <w:r>
        <w:rPr>
          <w:b/>
          <w:i/>
        </w:rPr>
        <w:t>18</w:t>
      </w:r>
      <w:r w:rsidRPr="00971B58">
        <w:rPr>
          <w:i/>
        </w:rPr>
        <w:t>:</w:t>
      </w:r>
      <w:r>
        <w:rPr>
          <w:i/>
        </w:rPr>
        <w:t xml:space="preserve"> Study the potential enhancements for UCI multiplexing on PUSCH in SBFD </w:t>
      </w:r>
      <w:r w:rsidRPr="00513FF4">
        <w:rPr>
          <w:i/>
        </w:rPr>
        <w:t>symbols</w:t>
      </w:r>
      <w:r>
        <w:rPr>
          <w:i/>
        </w:rPr>
        <w:t>.</w:t>
      </w:r>
    </w:p>
    <w:p w14:paraId="580139F2" w14:textId="77777777" w:rsidR="003F5789" w:rsidRDefault="003F5789" w:rsidP="003F5789">
      <w:pPr>
        <w:spacing w:before="93"/>
        <w:rPr>
          <w:i/>
        </w:rPr>
      </w:pPr>
      <w:r w:rsidRPr="00971B58">
        <w:rPr>
          <w:rFonts w:hint="eastAsia"/>
          <w:b/>
          <w:i/>
        </w:rPr>
        <w:t>P</w:t>
      </w:r>
      <w:r w:rsidRPr="00971B58">
        <w:rPr>
          <w:b/>
          <w:i/>
        </w:rPr>
        <w:t xml:space="preserve">roposal </w:t>
      </w:r>
      <w:r>
        <w:rPr>
          <w:b/>
          <w:i/>
        </w:rPr>
        <w:t>19</w:t>
      </w:r>
      <w:r w:rsidRPr="00971B58">
        <w:rPr>
          <w:i/>
        </w:rPr>
        <w:t>:</w:t>
      </w:r>
      <w:r>
        <w:rPr>
          <w:i/>
        </w:rPr>
        <w:t xml:space="preserve"> For option 1</w:t>
      </w:r>
      <w:r w:rsidRPr="00A06951">
        <w:rPr>
          <w:i/>
        </w:rPr>
        <w:t xml:space="preserve"> </w:t>
      </w:r>
      <w:r>
        <w:rPr>
          <w:i/>
        </w:rPr>
        <w:t>where transmission/receptions are restricted to SBFD symbols only or non-SBFD symbols only, study the following PDSCH enhancement:</w:t>
      </w:r>
    </w:p>
    <w:p w14:paraId="4218EFD3" w14:textId="77777777" w:rsidR="003F5789" w:rsidRDefault="003F5789" w:rsidP="003F5789">
      <w:pPr>
        <w:pStyle w:val="a8"/>
        <w:numPr>
          <w:ilvl w:val="0"/>
          <w:numId w:val="46"/>
        </w:numPr>
        <w:spacing w:before="93"/>
        <w:ind w:firstLineChars="0"/>
        <w:rPr>
          <w:i/>
        </w:rPr>
      </w:pPr>
      <w:r>
        <w:rPr>
          <w:i/>
        </w:rPr>
        <w:t>Slot counting enhancement.</w:t>
      </w:r>
    </w:p>
    <w:p w14:paraId="51B5559B" w14:textId="77777777" w:rsidR="003F5789" w:rsidRDefault="003F5789" w:rsidP="003F5789">
      <w:pPr>
        <w:pStyle w:val="a8"/>
        <w:numPr>
          <w:ilvl w:val="0"/>
          <w:numId w:val="46"/>
        </w:numPr>
        <w:spacing w:before="93"/>
        <w:ind w:firstLineChars="0"/>
        <w:rPr>
          <w:i/>
        </w:rPr>
      </w:pPr>
      <w:r>
        <w:rPr>
          <w:rFonts w:hint="eastAsia"/>
          <w:i/>
        </w:rPr>
        <w:t>C</w:t>
      </w:r>
      <w:r>
        <w:rPr>
          <w:i/>
        </w:rPr>
        <w:t>ollision rules enhancement.</w:t>
      </w:r>
    </w:p>
    <w:p w14:paraId="34A200FD" w14:textId="77777777" w:rsidR="003F5789" w:rsidRPr="0069281E" w:rsidRDefault="003F5789" w:rsidP="003F5789">
      <w:pPr>
        <w:pStyle w:val="a8"/>
        <w:numPr>
          <w:ilvl w:val="0"/>
          <w:numId w:val="46"/>
        </w:numPr>
        <w:spacing w:before="93"/>
        <w:ind w:firstLineChars="0"/>
        <w:rPr>
          <w:i/>
        </w:rPr>
      </w:pPr>
      <w:r w:rsidRPr="00FF5AE1">
        <w:rPr>
          <w:i/>
        </w:rPr>
        <w:t xml:space="preserve">For </w:t>
      </w:r>
      <w:r>
        <w:rPr>
          <w:i/>
        </w:rPr>
        <w:t xml:space="preserve">SPS </w:t>
      </w:r>
      <w:r w:rsidRPr="0069281E">
        <w:rPr>
          <w:i/>
        </w:rPr>
        <w:t>P</w:t>
      </w:r>
      <w:r>
        <w:rPr>
          <w:i/>
        </w:rPr>
        <w:t>D</w:t>
      </w:r>
      <w:r w:rsidRPr="0069281E">
        <w:rPr>
          <w:i/>
        </w:rPr>
        <w:t xml:space="preserve">SCH, separate </w:t>
      </w:r>
      <w:r>
        <w:rPr>
          <w:i/>
        </w:rPr>
        <w:t xml:space="preserve">SPS </w:t>
      </w:r>
      <w:r w:rsidRPr="00FF5AE1">
        <w:rPr>
          <w:i/>
        </w:rPr>
        <w:t>P</w:t>
      </w:r>
      <w:r>
        <w:rPr>
          <w:i/>
        </w:rPr>
        <w:t>D</w:t>
      </w:r>
      <w:r w:rsidRPr="0069281E">
        <w:rPr>
          <w:i/>
        </w:rPr>
        <w:t xml:space="preserve">SCH resources </w:t>
      </w:r>
      <w:r>
        <w:rPr>
          <w:i/>
        </w:rPr>
        <w:t xml:space="preserve">can be configured </w:t>
      </w:r>
      <w:r w:rsidRPr="0069281E">
        <w:rPr>
          <w:i/>
        </w:rPr>
        <w:t>for SBFD slots and non-SBFD slots.</w:t>
      </w:r>
    </w:p>
    <w:p w14:paraId="5EEC4524" w14:textId="77777777" w:rsidR="003F5789" w:rsidRDefault="003F5789" w:rsidP="003F5789">
      <w:pPr>
        <w:spacing w:before="93"/>
        <w:rPr>
          <w:i/>
        </w:rPr>
      </w:pPr>
      <w:r w:rsidRPr="00971B58">
        <w:rPr>
          <w:rFonts w:hint="eastAsia"/>
          <w:b/>
          <w:i/>
        </w:rPr>
        <w:t>P</w:t>
      </w:r>
      <w:r w:rsidRPr="00971B58">
        <w:rPr>
          <w:b/>
          <w:i/>
        </w:rPr>
        <w:t xml:space="preserve">roposal </w:t>
      </w:r>
      <w:r>
        <w:rPr>
          <w:b/>
          <w:i/>
        </w:rPr>
        <w:t>20</w:t>
      </w:r>
      <w:r w:rsidRPr="00971B58">
        <w:rPr>
          <w:i/>
        </w:rPr>
        <w:t>:</w:t>
      </w:r>
      <w:r>
        <w:rPr>
          <w:i/>
        </w:rPr>
        <w:t xml:space="preserve"> Study RA type 1 enhancement for PDSCH transmission across DL subbands in the case of subband pattern {DUD} for SBFD operation.</w:t>
      </w:r>
    </w:p>
    <w:p w14:paraId="18D4874A" w14:textId="77777777" w:rsidR="00FA293D" w:rsidRDefault="00FA293D" w:rsidP="00FA293D">
      <w:pPr>
        <w:widowControl/>
        <w:autoSpaceDE w:val="0"/>
        <w:autoSpaceDN w:val="0"/>
        <w:spacing w:before="93" w:after="93" w:line="240" w:lineRule="auto"/>
        <w:rPr>
          <w:color w:val="000000"/>
        </w:rPr>
      </w:pPr>
      <w:r w:rsidRPr="00971B58">
        <w:rPr>
          <w:rFonts w:hint="eastAsia"/>
          <w:b/>
          <w:i/>
        </w:rPr>
        <w:t>P</w:t>
      </w:r>
      <w:r w:rsidRPr="00971B58">
        <w:rPr>
          <w:b/>
          <w:i/>
        </w:rPr>
        <w:t xml:space="preserve">roposal </w:t>
      </w:r>
      <w:r>
        <w:rPr>
          <w:b/>
          <w:i/>
        </w:rPr>
        <w:t>21</w:t>
      </w:r>
      <w:r w:rsidRPr="00971B58">
        <w:rPr>
          <w:i/>
        </w:rPr>
        <w:t>:</w:t>
      </w:r>
      <w:r>
        <w:rPr>
          <w:i/>
        </w:rPr>
        <w:t xml:space="preserve"> Study new RM pattern for PDSCH, which is associated with UL subband</w:t>
      </w:r>
      <w:r>
        <w:rPr>
          <w:color w:val="000000"/>
        </w:rPr>
        <w:t xml:space="preserve">. </w:t>
      </w:r>
      <w:r w:rsidRPr="00F11B52">
        <w:rPr>
          <w:rFonts w:eastAsia="微软雅黑"/>
          <w:i/>
        </w:rPr>
        <w:t>Unaligned boundaries between UL subband and allocated RBs for PDSCH should be considered.</w:t>
      </w:r>
    </w:p>
    <w:p w14:paraId="5FE8B0A9" w14:textId="77777777" w:rsidR="00FA293D" w:rsidRDefault="00FA293D" w:rsidP="00FA293D">
      <w:pPr>
        <w:widowControl/>
        <w:autoSpaceDE w:val="0"/>
        <w:autoSpaceDN w:val="0"/>
        <w:spacing w:before="93" w:after="93" w:line="240" w:lineRule="auto"/>
      </w:pPr>
      <w:r w:rsidRPr="00971B58">
        <w:rPr>
          <w:rFonts w:hint="eastAsia"/>
          <w:b/>
          <w:i/>
        </w:rPr>
        <w:t>P</w:t>
      </w:r>
      <w:r w:rsidRPr="00971B58">
        <w:rPr>
          <w:b/>
          <w:i/>
        </w:rPr>
        <w:t xml:space="preserve">roposal </w:t>
      </w:r>
      <w:r>
        <w:rPr>
          <w:b/>
          <w:i/>
        </w:rPr>
        <w:t>22</w:t>
      </w:r>
      <w:r w:rsidRPr="00971B58">
        <w:rPr>
          <w:i/>
        </w:rPr>
        <w:t>:</w:t>
      </w:r>
      <w:r>
        <w:rPr>
          <w:i/>
        </w:rPr>
        <w:t xml:space="preserve"> Study</w:t>
      </w:r>
      <w:r w:rsidRPr="00427B91">
        <w:rPr>
          <w:i/>
        </w:rPr>
        <w:t xml:space="preserve"> the </w:t>
      </w:r>
      <w:r>
        <w:rPr>
          <w:i/>
        </w:rPr>
        <w:t>enhancement</w:t>
      </w:r>
      <w:r w:rsidRPr="00427B91">
        <w:rPr>
          <w:i/>
        </w:rPr>
        <w:t xml:space="preserve"> for the TBS </w:t>
      </w:r>
      <w:r>
        <w:rPr>
          <w:i/>
        </w:rPr>
        <w:t>determination</w:t>
      </w:r>
      <w:r w:rsidRPr="00427B91">
        <w:rPr>
          <w:i/>
        </w:rPr>
        <w:t xml:space="preserve"> for </w:t>
      </w:r>
      <w:r>
        <w:rPr>
          <w:i/>
        </w:rPr>
        <w:t xml:space="preserve">PDSCH in case of </w:t>
      </w:r>
      <w:r w:rsidRPr="00427B91">
        <w:rPr>
          <w:i/>
        </w:rPr>
        <w:t>SBFD operation.</w:t>
      </w:r>
    </w:p>
    <w:p w14:paraId="7CBAF11E" w14:textId="77777777" w:rsidR="00FA293D" w:rsidRPr="0069281E" w:rsidRDefault="00FA293D" w:rsidP="00FA293D">
      <w:pPr>
        <w:widowControl/>
        <w:autoSpaceDE w:val="0"/>
        <w:autoSpaceDN w:val="0"/>
        <w:spacing w:before="93" w:after="93" w:line="240" w:lineRule="auto"/>
        <w:rPr>
          <w:i/>
        </w:rPr>
      </w:pPr>
      <w:r w:rsidRPr="00F11B52">
        <w:rPr>
          <w:b/>
          <w:i/>
        </w:rPr>
        <w:t xml:space="preserve">Proposal </w:t>
      </w:r>
      <w:r>
        <w:rPr>
          <w:b/>
          <w:i/>
        </w:rPr>
        <w:t>23</w:t>
      </w:r>
      <w:r w:rsidRPr="00F11B52">
        <w:rPr>
          <w:b/>
          <w:i/>
        </w:rPr>
        <w:t>:</w:t>
      </w:r>
      <w:r w:rsidRPr="00F11B52">
        <w:rPr>
          <w:i/>
        </w:rPr>
        <w:t xml:space="preserve"> </w:t>
      </w:r>
      <w:r w:rsidRPr="00E55F77">
        <w:rPr>
          <w:i/>
        </w:rPr>
        <w:t>If PRG is determined as wideband, non-contiguous frequency resources across two DL subbands but contiguous frequency resource within each DL subband can be allocated</w:t>
      </w:r>
      <w:r>
        <w:t xml:space="preserve">. </w:t>
      </w:r>
    </w:p>
    <w:p w14:paraId="3E6F1D44" w14:textId="05418F9D" w:rsidR="00FA293D" w:rsidRDefault="00FA293D" w:rsidP="00FA293D">
      <w:pPr>
        <w:widowControl/>
        <w:autoSpaceDE w:val="0"/>
        <w:autoSpaceDN w:val="0"/>
        <w:spacing w:before="93"/>
        <w:rPr>
          <w:i/>
        </w:rPr>
      </w:pPr>
      <w:r w:rsidRPr="00F11B52">
        <w:rPr>
          <w:b/>
          <w:i/>
        </w:rPr>
        <w:t xml:space="preserve">Proposal </w:t>
      </w:r>
      <w:r>
        <w:rPr>
          <w:b/>
          <w:i/>
        </w:rPr>
        <w:t>24</w:t>
      </w:r>
      <w:r w:rsidRPr="00F11B52">
        <w:rPr>
          <w:b/>
          <w:i/>
        </w:rPr>
        <w:t>:</w:t>
      </w:r>
      <w:r>
        <w:rPr>
          <w:b/>
          <w:i/>
        </w:rPr>
        <w:t xml:space="preserve"> </w:t>
      </w:r>
      <w:r w:rsidRPr="0069281E">
        <w:rPr>
          <w:i/>
        </w:rPr>
        <w:t xml:space="preserve">For PDCCH, compared with option 3/4/5, option 1 or option 2 are </w:t>
      </w:r>
      <w:r w:rsidR="009A3EA8">
        <w:rPr>
          <w:i/>
        </w:rPr>
        <w:t>preferred</w:t>
      </w:r>
      <w:r w:rsidRPr="0069281E">
        <w:rPr>
          <w:i/>
        </w:rPr>
        <w:t>.</w:t>
      </w:r>
    </w:p>
    <w:p w14:paraId="08CE5E76" w14:textId="77777777" w:rsidR="00FA293D" w:rsidRPr="00F11B52" w:rsidRDefault="00FA293D" w:rsidP="00FA293D">
      <w:pPr>
        <w:widowControl/>
        <w:autoSpaceDE w:val="0"/>
        <w:autoSpaceDN w:val="0"/>
        <w:spacing w:before="93" w:after="93" w:line="240" w:lineRule="auto"/>
        <w:rPr>
          <w:i/>
        </w:rPr>
      </w:pPr>
      <w:r w:rsidRPr="00F11B52">
        <w:rPr>
          <w:b/>
          <w:i/>
        </w:rPr>
        <w:t xml:space="preserve">Proposal </w:t>
      </w:r>
      <w:r>
        <w:rPr>
          <w:b/>
          <w:i/>
        </w:rPr>
        <w:t>25</w:t>
      </w:r>
      <w:r w:rsidRPr="00F11B52">
        <w:rPr>
          <w:b/>
          <w:i/>
        </w:rPr>
        <w:t>:</w:t>
      </w:r>
      <w:r w:rsidRPr="00F11B52">
        <w:rPr>
          <w:i/>
        </w:rPr>
        <w:t xml:space="preserve"> S</w:t>
      </w:r>
      <w:r>
        <w:rPr>
          <w:i/>
        </w:rPr>
        <w:t>upport Option 2-1 for CSI-RS resource enhancement for SBFD operation.</w:t>
      </w:r>
    </w:p>
    <w:p w14:paraId="700A892A" w14:textId="77777777" w:rsidR="00FA293D" w:rsidRPr="00F3646F" w:rsidRDefault="00FA293D" w:rsidP="00FA293D">
      <w:pPr>
        <w:pStyle w:val="a8"/>
        <w:widowControl/>
        <w:numPr>
          <w:ilvl w:val="0"/>
          <w:numId w:val="19"/>
        </w:numPr>
        <w:autoSpaceDE w:val="0"/>
        <w:autoSpaceDN w:val="0"/>
        <w:spacing w:before="93" w:after="93" w:line="240" w:lineRule="auto"/>
        <w:ind w:firstLineChars="0"/>
        <w:rPr>
          <w:i/>
        </w:rPr>
      </w:pPr>
      <w:r w:rsidRPr="00F3646F">
        <w:rPr>
          <w:i/>
        </w:rPr>
        <w:t>Option 2-1</w:t>
      </w:r>
      <w:r>
        <w:rPr>
          <w:i/>
        </w:rPr>
        <w:t>:</w:t>
      </w:r>
      <w:r w:rsidRPr="00F3646F">
        <w:rPr>
          <w:i/>
        </w:rPr>
        <w:t xml:space="preserve"> non-consecutive CSI-RS frequency-domain resources allocation across two DL subbands by one CSI-RS resource</w:t>
      </w:r>
      <w:r>
        <w:rPr>
          <w:i/>
        </w:rPr>
        <w:t>.</w:t>
      </w:r>
    </w:p>
    <w:p w14:paraId="71DEF1E8" w14:textId="77777777" w:rsidR="00FA293D" w:rsidRDefault="00FA293D" w:rsidP="00FA293D">
      <w:pPr>
        <w:spacing w:before="93"/>
        <w:rPr>
          <w:i/>
        </w:rPr>
      </w:pPr>
      <w:r w:rsidRPr="00971B58">
        <w:rPr>
          <w:rFonts w:hint="eastAsia"/>
          <w:b/>
          <w:i/>
        </w:rPr>
        <w:t>P</w:t>
      </w:r>
      <w:r w:rsidRPr="00971B58">
        <w:rPr>
          <w:b/>
          <w:i/>
        </w:rPr>
        <w:t xml:space="preserve">roposal </w:t>
      </w:r>
      <w:r>
        <w:rPr>
          <w:b/>
          <w:i/>
        </w:rPr>
        <w:t>26</w:t>
      </w:r>
      <w:r w:rsidRPr="00971B58">
        <w:rPr>
          <w:i/>
        </w:rPr>
        <w:t>:</w:t>
      </w:r>
      <w:r>
        <w:rPr>
          <w:i/>
        </w:rPr>
        <w:t xml:space="preserve"> Periodic/semi-persistent CSI-RS should not allocated across SBFD symbols and non-SBFD symbols.</w:t>
      </w:r>
    </w:p>
    <w:p w14:paraId="50B92F22" w14:textId="77777777" w:rsidR="00FA293D" w:rsidRDefault="00FA293D" w:rsidP="00FA293D">
      <w:pPr>
        <w:spacing w:before="93"/>
        <w:rPr>
          <w:i/>
        </w:rPr>
      </w:pPr>
      <w:r w:rsidRPr="00971B58">
        <w:rPr>
          <w:rFonts w:hint="eastAsia"/>
          <w:b/>
          <w:i/>
        </w:rPr>
        <w:t>P</w:t>
      </w:r>
      <w:r w:rsidRPr="00971B58">
        <w:rPr>
          <w:b/>
          <w:i/>
        </w:rPr>
        <w:t xml:space="preserve">roposal </w:t>
      </w:r>
      <w:r>
        <w:rPr>
          <w:b/>
          <w:i/>
        </w:rPr>
        <w:t>27</w:t>
      </w:r>
      <w:r w:rsidRPr="00971B58">
        <w:rPr>
          <w:i/>
        </w:rPr>
        <w:t>:</w:t>
      </w:r>
      <w:r>
        <w:rPr>
          <w:i/>
        </w:rPr>
        <w:t xml:space="preserve"> Study CSI report enhancement as follows:</w:t>
      </w:r>
    </w:p>
    <w:p w14:paraId="6B521C44" w14:textId="77777777" w:rsidR="00FA293D" w:rsidRDefault="00FA293D" w:rsidP="00FA293D">
      <w:pPr>
        <w:pStyle w:val="a8"/>
        <w:numPr>
          <w:ilvl w:val="0"/>
          <w:numId w:val="19"/>
        </w:numPr>
        <w:spacing w:before="93"/>
        <w:ind w:firstLineChars="0"/>
        <w:rPr>
          <w:i/>
        </w:rPr>
      </w:pPr>
      <w:r>
        <w:rPr>
          <w:rFonts w:hint="eastAsia"/>
          <w:i/>
        </w:rPr>
        <w:t>S</w:t>
      </w:r>
      <w:r>
        <w:rPr>
          <w:i/>
        </w:rPr>
        <w:t>tudy separate CSI reporting for SBFD symbols and non-SBFD symbols.</w:t>
      </w:r>
    </w:p>
    <w:p w14:paraId="481352A4" w14:textId="77777777" w:rsidR="00FA293D" w:rsidRPr="00BA2570" w:rsidRDefault="00FA293D" w:rsidP="00FA293D">
      <w:pPr>
        <w:pStyle w:val="a8"/>
        <w:numPr>
          <w:ilvl w:val="0"/>
          <w:numId w:val="19"/>
        </w:numPr>
        <w:spacing w:before="93"/>
        <w:ind w:firstLineChars="0"/>
        <w:rPr>
          <w:i/>
        </w:rPr>
      </w:pPr>
      <w:r>
        <w:rPr>
          <w:rFonts w:hint="eastAsia"/>
          <w:i/>
        </w:rPr>
        <w:t>S</w:t>
      </w:r>
      <w:r>
        <w:rPr>
          <w:i/>
        </w:rPr>
        <w:t>tudy CSI report subbands division mechanism to ensure that each subband only contains DL RBs in the DL subband.</w:t>
      </w:r>
    </w:p>
    <w:p w14:paraId="0568763A" w14:textId="77777777" w:rsidR="00FA293D" w:rsidRDefault="00FA293D" w:rsidP="00FA293D">
      <w:pPr>
        <w:spacing w:before="93"/>
        <w:rPr>
          <w:i/>
        </w:rPr>
      </w:pPr>
      <w:r w:rsidRPr="00971B58">
        <w:rPr>
          <w:rFonts w:hint="eastAsia"/>
          <w:b/>
          <w:i/>
        </w:rPr>
        <w:t>P</w:t>
      </w:r>
      <w:r w:rsidRPr="00971B58">
        <w:rPr>
          <w:b/>
          <w:i/>
        </w:rPr>
        <w:t xml:space="preserve">roposal </w:t>
      </w:r>
      <w:r>
        <w:rPr>
          <w:b/>
          <w:i/>
        </w:rPr>
        <w:t>28</w:t>
      </w:r>
      <w:r w:rsidRPr="00971B58">
        <w:rPr>
          <w:i/>
        </w:rPr>
        <w:t>:</w:t>
      </w:r>
      <w:r>
        <w:rPr>
          <w:i/>
        </w:rPr>
        <w:t xml:space="preserve"> Study separate resources associated with SBFD slots and non-SBFD slots, respectively, to</w:t>
      </w:r>
      <w:r w:rsidRPr="00213E1D">
        <w:t xml:space="preserve"> </w:t>
      </w:r>
      <w:r w:rsidRPr="00213E1D">
        <w:rPr>
          <w:i/>
        </w:rPr>
        <w:t xml:space="preserve">enable two </w:t>
      </w:r>
      <w:r>
        <w:rPr>
          <w:i/>
        </w:rPr>
        <w:t xml:space="preserve">SRS </w:t>
      </w:r>
      <w:r w:rsidRPr="00213E1D">
        <w:rPr>
          <w:i/>
        </w:rPr>
        <w:t>transmi</w:t>
      </w:r>
      <w:r>
        <w:rPr>
          <w:i/>
        </w:rPr>
        <w:t>ssion</w:t>
      </w:r>
      <w:r w:rsidRPr="00213E1D">
        <w:rPr>
          <w:i/>
        </w:rPr>
        <w:t xml:space="preserve"> on SBFD slots only and non-SBFD slots only, respectively</w:t>
      </w:r>
      <w:r>
        <w:rPr>
          <w:i/>
        </w:rPr>
        <w:t>.</w:t>
      </w:r>
    </w:p>
    <w:p w14:paraId="138C55A8" w14:textId="77777777" w:rsidR="00FA293D" w:rsidRDefault="00FA293D" w:rsidP="00FA293D">
      <w:pPr>
        <w:pStyle w:val="a8"/>
        <w:numPr>
          <w:ilvl w:val="0"/>
          <w:numId w:val="19"/>
        </w:numPr>
        <w:spacing w:before="93"/>
        <w:ind w:firstLineChars="0"/>
        <w:rPr>
          <w:i/>
        </w:rPr>
      </w:pPr>
      <w:r>
        <w:rPr>
          <w:rFonts w:hint="eastAsia"/>
          <w:i/>
        </w:rPr>
        <w:t>S</w:t>
      </w:r>
      <w:r>
        <w:rPr>
          <w:i/>
        </w:rPr>
        <w:t xml:space="preserve">tudy separate SRS resource sets for </w:t>
      </w:r>
      <w:r w:rsidRPr="00213E1D">
        <w:rPr>
          <w:i/>
        </w:rPr>
        <w:t>SBFD sl</w:t>
      </w:r>
      <w:r>
        <w:rPr>
          <w:i/>
        </w:rPr>
        <w:t>ots only and non-SBFD slots only.</w:t>
      </w:r>
    </w:p>
    <w:p w14:paraId="09BEC58F" w14:textId="77777777" w:rsidR="00FA293D" w:rsidRPr="00BA2570" w:rsidRDefault="00FA293D" w:rsidP="00FA293D">
      <w:pPr>
        <w:pStyle w:val="a8"/>
        <w:numPr>
          <w:ilvl w:val="0"/>
          <w:numId w:val="19"/>
        </w:numPr>
        <w:spacing w:before="93"/>
        <w:ind w:firstLineChars="0"/>
        <w:rPr>
          <w:i/>
        </w:rPr>
      </w:pPr>
      <w:r>
        <w:rPr>
          <w:i/>
        </w:rPr>
        <w:t>Study the association between separate SRS resources and corresponding PUSCH transmission.</w:t>
      </w:r>
    </w:p>
    <w:p w14:paraId="1BA03EC1" w14:textId="77777777" w:rsidR="00FA293D" w:rsidRDefault="00FA293D" w:rsidP="00FA293D">
      <w:pPr>
        <w:spacing w:before="93"/>
        <w:rPr>
          <w:i/>
        </w:rPr>
      </w:pPr>
      <w:r w:rsidRPr="00971B58">
        <w:rPr>
          <w:rFonts w:hint="eastAsia"/>
          <w:b/>
          <w:i/>
        </w:rPr>
        <w:t>P</w:t>
      </w:r>
      <w:r w:rsidRPr="00971B58">
        <w:rPr>
          <w:b/>
          <w:i/>
        </w:rPr>
        <w:t xml:space="preserve">roposal </w:t>
      </w:r>
      <w:r>
        <w:rPr>
          <w:b/>
          <w:i/>
        </w:rPr>
        <w:t>29</w:t>
      </w:r>
      <w:r w:rsidRPr="00971B58">
        <w:rPr>
          <w:i/>
        </w:rPr>
        <w:t>:</w:t>
      </w:r>
      <w:r>
        <w:rPr>
          <w:i/>
        </w:rPr>
        <w:t xml:space="preserve"> An UL subband can be configured in an SSB symbol.</w:t>
      </w:r>
    </w:p>
    <w:p w14:paraId="6D943A1E" w14:textId="77777777" w:rsidR="00FA293D" w:rsidRPr="0069281E" w:rsidRDefault="00FA293D" w:rsidP="00FA293D">
      <w:pPr>
        <w:pStyle w:val="a8"/>
        <w:numPr>
          <w:ilvl w:val="0"/>
          <w:numId w:val="62"/>
        </w:numPr>
        <w:spacing w:before="93"/>
        <w:ind w:firstLineChars="0"/>
        <w:rPr>
          <w:i/>
        </w:rPr>
      </w:pPr>
      <w:r w:rsidRPr="0069281E">
        <w:rPr>
          <w:i/>
        </w:rPr>
        <w:t>Define protected SSB and non-protected SSB, where UL transmission is allowed on non-protected SSB but prohibited on protected SSB</w:t>
      </w:r>
      <w:r>
        <w:rPr>
          <w:i/>
        </w:rPr>
        <w:t xml:space="preserve"> to </w:t>
      </w:r>
      <w:r w:rsidRPr="00295757">
        <w:rPr>
          <w:i/>
        </w:rPr>
        <w:t>reduce the probability that the UL transmission affects the SSB measurement</w:t>
      </w:r>
      <w:r>
        <w:rPr>
          <w:i/>
        </w:rPr>
        <w:t>.</w:t>
      </w:r>
    </w:p>
    <w:p w14:paraId="2097136F" w14:textId="77777777" w:rsidR="00FA293D" w:rsidRDefault="00FA293D" w:rsidP="00FA293D">
      <w:pPr>
        <w:spacing w:before="93"/>
        <w:rPr>
          <w:i/>
        </w:rPr>
      </w:pPr>
      <w:r w:rsidRPr="00971B58">
        <w:rPr>
          <w:rFonts w:hint="eastAsia"/>
          <w:b/>
          <w:i/>
        </w:rPr>
        <w:t>P</w:t>
      </w:r>
      <w:r w:rsidRPr="00971B58">
        <w:rPr>
          <w:b/>
          <w:i/>
        </w:rPr>
        <w:t xml:space="preserve">roposal </w:t>
      </w:r>
      <w:r>
        <w:rPr>
          <w:b/>
          <w:i/>
        </w:rPr>
        <w:t>30</w:t>
      </w:r>
      <w:r w:rsidRPr="00971B58">
        <w:rPr>
          <w:i/>
        </w:rPr>
        <w:t>:</w:t>
      </w:r>
      <w:r>
        <w:rPr>
          <w:i/>
        </w:rPr>
        <w:t xml:space="preserve"> Study following potential enhancements of initial access enhancement for SBFD operation.</w:t>
      </w:r>
    </w:p>
    <w:p w14:paraId="5ED13AB3" w14:textId="77777777" w:rsidR="00FA293D" w:rsidRDefault="00FA293D" w:rsidP="00FA293D">
      <w:pPr>
        <w:pStyle w:val="a8"/>
        <w:numPr>
          <w:ilvl w:val="0"/>
          <w:numId w:val="62"/>
        </w:numPr>
        <w:spacing w:before="93"/>
        <w:ind w:firstLineChars="0"/>
        <w:rPr>
          <w:i/>
        </w:rPr>
      </w:pPr>
      <w:r>
        <w:rPr>
          <w:rFonts w:hint="eastAsia"/>
          <w:i/>
        </w:rPr>
        <w:t>S</w:t>
      </w:r>
      <w:r>
        <w:rPr>
          <w:i/>
        </w:rPr>
        <w:t>ubband configuration in SIBs.</w:t>
      </w:r>
    </w:p>
    <w:p w14:paraId="1BC5D9C5" w14:textId="77777777" w:rsidR="00FA293D" w:rsidRPr="0069281E" w:rsidRDefault="00FA293D" w:rsidP="00FA293D">
      <w:pPr>
        <w:pStyle w:val="a8"/>
        <w:numPr>
          <w:ilvl w:val="0"/>
          <w:numId w:val="62"/>
        </w:numPr>
        <w:spacing w:before="93"/>
        <w:ind w:firstLineChars="0"/>
        <w:rPr>
          <w:i/>
        </w:rPr>
      </w:pPr>
      <w:r>
        <w:rPr>
          <w:i/>
        </w:rPr>
        <w:t>ROs configurations within UL subband.</w:t>
      </w:r>
    </w:p>
    <w:p w14:paraId="47CA78E5" w14:textId="77777777" w:rsidR="00FA293D" w:rsidRDefault="00FA293D" w:rsidP="00FA293D">
      <w:pPr>
        <w:spacing w:before="93"/>
        <w:rPr>
          <w:i/>
        </w:rPr>
      </w:pPr>
      <w:r w:rsidRPr="00A728B1">
        <w:rPr>
          <w:b/>
          <w:i/>
        </w:rPr>
        <w:lastRenderedPageBreak/>
        <w:t xml:space="preserve">Proposal </w:t>
      </w:r>
      <w:r>
        <w:rPr>
          <w:b/>
          <w:i/>
        </w:rPr>
        <w:t>31</w:t>
      </w:r>
      <w:r w:rsidRPr="00C44D47">
        <w:rPr>
          <w:b/>
          <w:i/>
        </w:rPr>
        <w:t xml:space="preserve">: </w:t>
      </w:r>
      <w:r w:rsidRPr="00C44D47">
        <w:rPr>
          <w:i/>
        </w:rPr>
        <w:t>UE half-duplex on handling conflict UL/DL indicating signaling for the same OFDM symbol should be stu</w:t>
      </w:r>
      <w:r>
        <w:rPr>
          <w:i/>
        </w:rPr>
        <w:t>died, e.g.,</w:t>
      </w:r>
    </w:p>
    <w:p w14:paraId="3D8CC0EF" w14:textId="77777777" w:rsidR="00FA293D" w:rsidRPr="00A96621" w:rsidRDefault="00FA293D" w:rsidP="00FA293D">
      <w:pPr>
        <w:pStyle w:val="a8"/>
        <w:numPr>
          <w:ilvl w:val="0"/>
          <w:numId w:val="8"/>
        </w:numPr>
        <w:spacing w:before="93"/>
        <w:ind w:firstLineChars="0"/>
        <w:rPr>
          <w:i/>
        </w:rPr>
      </w:pPr>
      <w:r w:rsidRPr="00A96621">
        <w:rPr>
          <w:i/>
        </w:rPr>
        <w:t>Any DL signals or channels are indicated to transmit on the DL subband in a symbol configured as semi-U.</w:t>
      </w:r>
    </w:p>
    <w:p w14:paraId="5BD25F33" w14:textId="77777777" w:rsidR="00FA293D" w:rsidRPr="00A96621" w:rsidRDefault="00FA293D" w:rsidP="00FA293D">
      <w:pPr>
        <w:pStyle w:val="a8"/>
        <w:numPr>
          <w:ilvl w:val="0"/>
          <w:numId w:val="8"/>
        </w:numPr>
        <w:spacing w:before="93"/>
        <w:ind w:firstLineChars="0"/>
        <w:rPr>
          <w:i/>
        </w:rPr>
      </w:pPr>
      <w:r w:rsidRPr="00A96621">
        <w:rPr>
          <w:i/>
        </w:rPr>
        <w:t xml:space="preserve">Any UL signals or channels are </w:t>
      </w:r>
      <w:r>
        <w:rPr>
          <w:i/>
        </w:rPr>
        <w:t>indicated to transmit on the U</w:t>
      </w:r>
      <w:r w:rsidRPr="00A96621">
        <w:rPr>
          <w:i/>
        </w:rPr>
        <w:t>L subband in a symbol configured as semi-</w:t>
      </w:r>
      <w:r>
        <w:rPr>
          <w:i/>
        </w:rPr>
        <w:t>D</w:t>
      </w:r>
      <w:r w:rsidRPr="00A96621">
        <w:rPr>
          <w:i/>
        </w:rPr>
        <w:t>.</w:t>
      </w:r>
    </w:p>
    <w:p w14:paraId="309B0138" w14:textId="77777777" w:rsidR="00FA293D" w:rsidRDefault="00FA293D" w:rsidP="00FA293D">
      <w:pPr>
        <w:pStyle w:val="a8"/>
        <w:numPr>
          <w:ilvl w:val="0"/>
          <w:numId w:val="8"/>
        </w:numPr>
        <w:spacing w:before="93"/>
        <w:ind w:firstLineChars="0"/>
        <w:rPr>
          <w:i/>
        </w:rPr>
      </w:pPr>
      <w:r>
        <w:rPr>
          <w:rFonts w:hint="eastAsia"/>
          <w:i/>
        </w:rPr>
        <w:t>A</w:t>
      </w:r>
      <w:r>
        <w:rPr>
          <w:i/>
        </w:rPr>
        <w:t>ny UL signals or channels are indicated to transmit on the UL subband in a symbol indicated to receive SSB on the DL subband.</w:t>
      </w:r>
    </w:p>
    <w:p w14:paraId="458A8514" w14:textId="77777777" w:rsidR="00FA293D" w:rsidRDefault="00FA293D" w:rsidP="00FA293D">
      <w:pPr>
        <w:pStyle w:val="a8"/>
        <w:numPr>
          <w:ilvl w:val="0"/>
          <w:numId w:val="8"/>
        </w:numPr>
        <w:spacing w:before="93"/>
        <w:ind w:firstLineChars="0"/>
        <w:rPr>
          <w:i/>
        </w:rPr>
      </w:pPr>
      <w:r>
        <w:rPr>
          <w:rFonts w:hint="eastAsia"/>
          <w:i/>
        </w:rPr>
        <w:t>S</w:t>
      </w:r>
      <w:r>
        <w:rPr>
          <w:i/>
        </w:rPr>
        <w:t>SB is indicated to receive on the DL subband in a symbol configured as semi-U.</w:t>
      </w:r>
    </w:p>
    <w:p w14:paraId="6E2031E5" w14:textId="77777777" w:rsidR="00FA293D" w:rsidRDefault="00FA293D" w:rsidP="00FA293D">
      <w:pPr>
        <w:pStyle w:val="a8"/>
        <w:numPr>
          <w:ilvl w:val="0"/>
          <w:numId w:val="8"/>
        </w:numPr>
        <w:spacing w:before="93"/>
        <w:ind w:firstLineChars="0"/>
        <w:rPr>
          <w:i/>
        </w:rPr>
      </w:pPr>
      <w:r>
        <w:rPr>
          <w:rFonts w:hint="eastAsia"/>
          <w:i/>
        </w:rPr>
        <w:t>V</w:t>
      </w:r>
      <w:r>
        <w:rPr>
          <w:i/>
        </w:rPr>
        <w:t>alid PRACH is indicated to transmit on UL subband in a symbol configured as semi-D.</w:t>
      </w:r>
    </w:p>
    <w:p w14:paraId="64271207" w14:textId="77777777" w:rsidR="00FA293D" w:rsidRPr="00A96621" w:rsidRDefault="00FA293D" w:rsidP="00FA293D">
      <w:pPr>
        <w:pStyle w:val="a8"/>
        <w:numPr>
          <w:ilvl w:val="0"/>
          <w:numId w:val="8"/>
        </w:numPr>
        <w:spacing w:before="93"/>
        <w:ind w:firstLineChars="0"/>
        <w:rPr>
          <w:i/>
        </w:rPr>
      </w:pPr>
      <w:r>
        <w:rPr>
          <w:rFonts w:hint="eastAsia"/>
          <w:i/>
        </w:rPr>
        <w:t>C</w:t>
      </w:r>
      <w:r>
        <w:rPr>
          <w:i/>
        </w:rPr>
        <w:t>ORESET 0 configured in the DL subband in a symbol configured as semi-U.</w:t>
      </w:r>
    </w:p>
    <w:p w14:paraId="68F44610" w14:textId="77777777" w:rsidR="00100D18" w:rsidRDefault="00100D18" w:rsidP="00100D18">
      <w:pPr>
        <w:spacing w:before="93"/>
        <w:rPr>
          <w:i/>
        </w:rPr>
      </w:pPr>
      <w:r w:rsidRPr="0087440C">
        <w:rPr>
          <w:b/>
          <w:i/>
        </w:rPr>
        <w:t xml:space="preserve">Proposal </w:t>
      </w:r>
      <w:r>
        <w:rPr>
          <w:b/>
          <w:i/>
        </w:rPr>
        <w:t>32</w:t>
      </w:r>
      <w:r w:rsidRPr="00AC6E09">
        <w:rPr>
          <w:i/>
        </w:rPr>
        <w:t>:</w:t>
      </w:r>
      <w:r w:rsidRPr="008E091C">
        <w:rPr>
          <w:i/>
        </w:rPr>
        <w:t xml:space="preserve"> </w:t>
      </w:r>
      <w:r w:rsidRPr="00513FF4">
        <w:rPr>
          <w:i/>
        </w:rPr>
        <w:t>U</w:t>
      </w:r>
      <w:r w:rsidRPr="00C32810">
        <w:rPr>
          <w:i/>
        </w:rPr>
        <w:t>plink resources muting</w:t>
      </w:r>
      <w:r>
        <w:rPr>
          <w:i/>
        </w:rPr>
        <w:t xml:space="preserve"> provides at least the following benefits f</w:t>
      </w:r>
      <w:r w:rsidRPr="00513FF4">
        <w:rPr>
          <w:i/>
        </w:rPr>
        <w:t>or gNB-to-gNB co-channel CLI measurement</w:t>
      </w:r>
      <w:r>
        <w:rPr>
          <w:i/>
        </w:rPr>
        <w:t xml:space="preserve"> in SBFD operation</w:t>
      </w:r>
    </w:p>
    <w:p w14:paraId="7E30BD4F" w14:textId="77777777" w:rsidR="00100D18" w:rsidRDefault="00100D18" w:rsidP="00100D18">
      <w:pPr>
        <w:pStyle w:val="a8"/>
        <w:numPr>
          <w:ilvl w:val="0"/>
          <w:numId w:val="3"/>
        </w:numPr>
        <w:spacing w:before="93"/>
        <w:ind w:firstLineChars="0"/>
        <w:rPr>
          <w:i/>
        </w:rPr>
      </w:pPr>
      <w:r>
        <w:rPr>
          <w:i/>
        </w:rPr>
        <w:t>Muting the REs on the DL subband in UL DMRS symbols and/or the REs on the UL subband in DL DMRS can improve channel estimation and inter-cell interference estimation and suppression.</w:t>
      </w:r>
    </w:p>
    <w:p w14:paraId="2EDB7650" w14:textId="77777777" w:rsidR="00100D18" w:rsidRDefault="00100D18" w:rsidP="00100D18">
      <w:pPr>
        <w:pStyle w:val="a8"/>
        <w:numPr>
          <w:ilvl w:val="0"/>
          <w:numId w:val="3"/>
        </w:numPr>
        <w:spacing w:before="93"/>
        <w:ind w:firstLineChars="0"/>
        <w:rPr>
          <w:i/>
        </w:rPr>
      </w:pPr>
      <w:r>
        <w:rPr>
          <w:i/>
        </w:rPr>
        <w:t>Introducing dedicated UL muting resources for gNB-to-gNB CLI measurement can improve the gNB-to-gNB co-channel and adjacent-channel inter-subband CLI estimation and suppression.</w:t>
      </w:r>
    </w:p>
    <w:p w14:paraId="4A7DCED5" w14:textId="77777777" w:rsidR="00100D18" w:rsidRPr="008D4C1D" w:rsidRDefault="00100D18" w:rsidP="00100D18">
      <w:pPr>
        <w:spacing w:before="93"/>
        <w:rPr>
          <w:i/>
        </w:rPr>
      </w:pPr>
      <w:r w:rsidRPr="00AC6E09">
        <w:rPr>
          <w:b/>
          <w:i/>
        </w:rPr>
        <w:t xml:space="preserve">Proposal </w:t>
      </w:r>
      <w:r>
        <w:rPr>
          <w:b/>
          <w:i/>
        </w:rPr>
        <w:t>33</w:t>
      </w:r>
      <w:r w:rsidRPr="00AC6E09">
        <w:rPr>
          <w:i/>
        </w:rPr>
        <w:t>:</w:t>
      </w:r>
      <w:r>
        <w:rPr>
          <w:i/>
        </w:rPr>
        <w:t xml:space="preserve"> </w:t>
      </w:r>
      <w:r w:rsidRPr="00513A9A">
        <w:rPr>
          <w:i/>
        </w:rPr>
        <w:t>Study the feasibility and performance of beam nulling for gNB-to-gNB CLI suppression with gNB-to-gNB channel.</w:t>
      </w:r>
    </w:p>
    <w:p w14:paraId="73240BD8" w14:textId="77777777" w:rsidR="00100D18" w:rsidRDefault="00100D18" w:rsidP="00100D18">
      <w:pPr>
        <w:spacing w:before="93"/>
        <w:rPr>
          <w:i/>
        </w:rPr>
      </w:pPr>
      <w:r w:rsidRPr="00AC6E09">
        <w:rPr>
          <w:b/>
          <w:i/>
        </w:rPr>
        <w:t xml:space="preserve">Proposal </w:t>
      </w:r>
      <w:r>
        <w:rPr>
          <w:b/>
          <w:i/>
        </w:rPr>
        <w:t>34</w:t>
      </w:r>
      <w:r w:rsidRPr="00AC6E09">
        <w:rPr>
          <w:i/>
        </w:rPr>
        <w:t>:</w:t>
      </w:r>
      <w:r w:rsidRPr="001B0054">
        <w:rPr>
          <w:i/>
        </w:rPr>
        <w:t xml:space="preserve"> </w:t>
      </w:r>
      <w:r w:rsidRPr="00CE05AC">
        <w:rPr>
          <w:i/>
        </w:rPr>
        <w:t xml:space="preserve">Study the feasibility and performance of applying filters at both transmitter and receiver sides in </w:t>
      </w:r>
      <w:r>
        <w:rPr>
          <w:i/>
        </w:rPr>
        <w:t>SBFD</w:t>
      </w:r>
      <w:r w:rsidRPr="00CE05AC">
        <w:rPr>
          <w:i/>
        </w:rPr>
        <w:t xml:space="preserve"> involving RAN4 on the following aspects</w:t>
      </w:r>
      <w:r>
        <w:rPr>
          <w:i/>
        </w:rPr>
        <w:t>.</w:t>
      </w:r>
    </w:p>
    <w:p w14:paraId="48E744B8" w14:textId="77777777" w:rsidR="00100D18" w:rsidRDefault="00100D18" w:rsidP="00100D18">
      <w:pPr>
        <w:pStyle w:val="a8"/>
        <w:numPr>
          <w:ilvl w:val="0"/>
          <w:numId w:val="5"/>
        </w:numPr>
        <w:spacing w:before="93"/>
        <w:ind w:firstLineChars="0"/>
        <w:rPr>
          <w:i/>
        </w:rPr>
      </w:pPr>
      <w:r>
        <w:rPr>
          <w:rFonts w:hint="eastAsia"/>
          <w:i/>
        </w:rPr>
        <w:t>F</w:t>
      </w:r>
      <w:r>
        <w:rPr>
          <w:i/>
        </w:rPr>
        <w:t>ilter at transmitter to suppress the leakage interference.</w:t>
      </w:r>
    </w:p>
    <w:p w14:paraId="6B442C5F" w14:textId="77777777" w:rsidR="00100D18" w:rsidRDefault="00100D18" w:rsidP="00100D18">
      <w:pPr>
        <w:pStyle w:val="a8"/>
        <w:numPr>
          <w:ilvl w:val="0"/>
          <w:numId w:val="5"/>
        </w:numPr>
        <w:spacing w:before="93"/>
        <w:ind w:firstLineChars="0"/>
        <w:rPr>
          <w:i/>
        </w:rPr>
      </w:pPr>
      <w:r>
        <w:rPr>
          <w:i/>
        </w:rPr>
        <w:t>Filter at receiver to suppress the blocking interference.</w:t>
      </w:r>
    </w:p>
    <w:p w14:paraId="31671713" w14:textId="77777777" w:rsidR="00100D18" w:rsidRDefault="00100D18" w:rsidP="00100D18">
      <w:pPr>
        <w:pStyle w:val="a8"/>
        <w:numPr>
          <w:ilvl w:val="0"/>
          <w:numId w:val="5"/>
        </w:numPr>
        <w:spacing w:before="93"/>
        <w:ind w:firstLineChars="0"/>
        <w:rPr>
          <w:i/>
        </w:rPr>
      </w:pPr>
      <w:r>
        <w:rPr>
          <w:i/>
        </w:rPr>
        <w:t>Guard band for filters.</w:t>
      </w:r>
    </w:p>
    <w:p w14:paraId="7E4A20D3" w14:textId="77777777" w:rsidR="00100D18" w:rsidRDefault="00100D18" w:rsidP="00100D18">
      <w:pPr>
        <w:spacing w:before="93"/>
        <w:rPr>
          <w:i/>
        </w:rPr>
      </w:pPr>
      <w:r>
        <w:rPr>
          <w:b/>
          <w:i/>
        </w:rPr>
        <w:t>Proposal 35</w:t>
      </w:r>
      <w:r>
        <w:rPr>
          <w:i/>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i/>
        </w:rPr>
        <w:t xml:space="preserve"> can be configured as 0 to avoid the inter-slot interference.</w:t>
      </w:r>
    </w:p>
    <w:p w14:paraId="28F82193" w14:textId="77777777" w:rsidR="00100D18" w:rsidRDefault="00100D18" w:rsidP="00100D18">
      <w:pPr>
        <w:spacing w:before="93"/>
        <w:rPr>
          <w:i/>
        </w:rPr>
      </w:pPr>
      <w:r w:rsidRPr="00971B58">
        <w:rPr>
          <w:rFonts w:hint="eastAsia"/>
          <w:b/>
          <w:i/>
        </w:rPr>
        <w:t>P</w:t>
      </w:r>
      <w:r w:rsidRPr="00971B58">
        <w:rPr>
          <w:b/>
          <w:i/>
        </w:rPr>
        <w:t xml:space="preserve">roposal </w:t>
      </w:r>
      <w:r>
        <w:rPr>
          <w:b/>
          <w:i/>
        </w:rPr>
        <w:t>36</w:t>
      </w:r>
      <w:r w:rsidRPr="00971B58">
        <w:rPr>
          <w:i/>
        </w:rPr>
        <w:t>:</w:t>
      </w:r>
      <w:r>
        <w:rPr>
          <w:i/>
        </w:rPr>
        <w:t xml:space="preserve"> Study following potential enhancement of </w:t>
      </w:r>
      <w:r w:rsidRPr="00113209">
        <w:rPr>
          <w:i/>
        </w:rPr>
        <w:t>UE-UE CLI-RSSI</w:t>
      </w:r>
      <w:r>
        <w:rPr>
          <w:i/>
        </w:rPr>
        <w:t xml:space="preserve"> measurement and report for SBFD operation in the case of subband pattern {DUD}:</w:t>
      </w:r>
    </w:p>
    <w:p w14:paraId="522CD8EC" w14:textId="77777777" w:rsidR="00100D18" w:rsidRPr="00C11AA4" w:rsidRDefault="00100D18" w:rsidP="00100D18">
      <w:pPr>
        <w:pStyle w:val="a8"/>
        <w:numPr>
          <w:ilvl w:val="0"/>
          <w:numId w:val="17"/>
        </w:numPr>
        <w:spacing w:before="93"/>
        <w:ind w:firstLineChars="0"/>
        <w:rPr>
          <w:i/>
        </w:rPr>
      </w:pPr>
      <w:r w:rsidRPr="00C11AA4">
        <w:rPr>
          <w:i/>
        </w:rPr>
        <w:t xml:space="preserve">Configure CLI-RSSI measurement resources in both of the two DL subbands. </w:t>
      </w:r>
    </w:p>
    <w:p w14:paraId="1D8AAB61" w14:textId="77777777" w:rsidR="00100D18" w:rsidRPr="00C11AA4" w:rsidRDefault="00100D18" w:rsidP="00100D18">
      <w:pPr>
        <w:pStyle w:val="a8"/>
        <w:numPr>
          <w:ilvl w:val="1"/>
          <w:numId w:val="64"/>
        </w:numPr>
        <w:spacing w:before="93"/>
        <w:ind w:firstLineChars="0"/>
        <w:rPr>
          <w:i/>
        </w:rPr>
      </w:pPr>
      <w:r w:rsidRPr="00C11AA4">
        <w:rPr>
          <w:i/>
        </w:rPr>
        <w:t xml:space="preserve">Option 1: Configure two non-consecutive </w:t>
      </w:r>
      <w:r w:rsidRPr="00C11AA4">
        <w:rPr>
          <w:rFonts w:eastAsia="Malgun Gothic"/>
          <w:i/>
          <w:szCs w:val="20"/>
        </w:rPr>
        <w:t>CLI-RSSI</w:t>
      </w:r>
      <w:r w:rsidRPr="00C11AA4">
        <w:rPr>
          <w:i/>
        </w:rPr>
        <w:t xml:space="preserve"> resources across two DL subbands associated with two </w:t>
      </w:r>
      <w:r w:rsidRPr="00C11AA4">
        <w:rPr>
          <w:rFonts w:eastAsia="Malgun Gothic"/>
          <w:i/>
          <w:szCs w:val="20"/>
        </w:rPr>
        <w:t>CLI-RSSI</w:t>
      </w:r>
      <w:r w:rsidRPr="00C11AA4">
        <w:rPr>
          <w:i/>
        </w:rPr>
        <w:t xml:space="preserve"> resource ID.</w:t>
      </w:r>
    </w:p>
    <w:p w14:paraId="6BDD7350" w14:textId="77777777" w:rsidR="00100D18" w:rsidRPr="00C11AA4" w:rsidRDefault="00100D18" w:rsidP="00100D18">
      <w:pPr>
        <w:pStyle w:val="a8"/>
        <w:numPr>
          <w:ilvl w:val="1"/>
          <w:numId w:val="64"/>
        </w:numPr>
        <w:spacing w:before="93"/>
        <w:ind w:firstLineChars="0"/>
        <w:rPr>
          <w:i/>
        </w:rPr>
      </w:pPr>
      <w:r w:rsidRPr="00C11AA4">
        <w:rPr>
          <w:i/>
        </w:rPr>
        <w:t>Option 2:</w:t>
      </w:r>
      <w:r>
        <w:rPr>
          <w:i/>
        </w:rPr>
        <w:t xml:space="preserve"> </w:t>
      </w:r>
      <w:r w:rsidRPr="00C11AA4">
        <w:rPr>
          <w:i/>
        </w:rPr>
        <w:t xml:space="preserve">Configure two non-consecutive </w:t>
      </w:r>
      <w:r w:rsidRPr="00C11AA4">
        <w:rPr>
          <w:rFonts w:eastAsia="Malgun Gothic"/>
          <w:i/>
          <w:szCs w:val="20"/>
        </w:rPr>
        <w:t>CLI-RSSI</w:t>
      </w:r>
      <w:r w:rsidRPr="00C11AA4">
        <w:rPr>
          <w:i/>
        </w:rPr>
        <w:t xml:space="preserve"> resources across two DL subbands associated with one </w:t>
      </w:r>
      <w:r w:rsidRPr="00C11AA4">
        <w:rPr>
          <w:rFonts w:eastAsia="Malgun Gothic"/>
          <w:i/>
          <w:szCs w:val="20"/>
        </w:rPr>
        <w:t>CLI-RSSI</w:t>
      </w:r>
      <w:r w:rsidRPr="00C11AA4">
        <w:rPr>
          <w:i/>
        </w:rPr>
        <w:t xml:space="preserve"> resource ID.</w:t>
      </w:r>
    </w:p>
    <w:p w14:paraId="299DC46B" w14:textId="77777777" w:rsidR="00100D18" w:rsidRPr="00C11AA4" w:rsidRDefault="00100D18" w:rsidP="00100D18">
      <w:pPr>
        <w:pStyle w:val="a8"/>
        <w:numPr>
          <w:ilvl w:val="1"/>
          <w:numId w:val="64"/>
        </w:numPr>
        <w:spacing w:before="93"/>
        <w:ind w:firstLineChars="0"/>
        <w:rPr>
          <w:i/>
        </w:rPr>
      </w:pPr>
      <w:r w:rsidRPr="00C11AA4">
        <w:rPr>
          <w:i/>
        </w:rPr>
        <w:t>Option 3</w:t>
      </w:r>
      <w:r w:rsidRPr="00C11AA4">
        <w:rPr>
          <w:rFonts w:hint="eastAsia"/>
          <w:i/>
        </w:rPr>
        <w:t>:</w:t>
      </w:r>
      <w:r w:rsidRPr="00C11AA4">
        <w:rPr>
          <w:i/>
        </w:rPr>
        <w:t xml:space="preserve"> Configure two non-consecutive </w:t>
      </w:r>
      <w:r w:rsidRPr="00C11AA4">
        <w:rPr>
          <w:rFonts w:eastAsia="Malgun Gothic"/>
          <w:i/>
          <w:szCs w:val="20"/>
        </w:rPr>
        <w:t>CLI-RSSI</w:t>
      </w:r>
      <w:r w:rsidRPr="00C11AA4">
        <w:rPr>
          <w:i/>
        </w:rPr>
        <w:t xml:space="preserve"> resources across two DL subbands as two subbands associated with one </w:t>
      </w:r>
      <w:r w:rsidRPr="00C11AA4">
        <w:rPr>
          <w:rFonts w:eastAsia="Malgun Gothic"/>
          <w:i/>
          <w:szCs w:val="20"/>
        </w:rPr>
        <w:t>CLI-RSSI</w:t>
      </w:r>
      <w:r w:rsidRPr="00C11AA4">
        <w:rPr>
          <w:i/>
        </w:rPr>
        <w:t xml:space="preserve"> resource ID.</w:t>
      </w:r>
    </w:p>
    <w:p w14:paraId="580977EA" w14:textId="77777777" w:rsidR="00100D18" w:rsidRPr="00195777" w:rsidRDefault="00100D18" w:rsidP="00AF17CD">
      <w:pPr>
        <w:spacing w:before="93"/>
        <w:rPr>
          <w:b/>
        </w:rPr>
      </w:pPr>
    </w:p>
    <w:p w14:paraId="55104049" w14:textId="23353D0D"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1D0F1E7D" w14:textId="000439FA" w:rsidR="004E0F33" w:rsidRDefault="004E0F33" w:rsidP="004E0F33">
      <w:pPr>
        <w:pStyle w:val="References"/>
        <w:widowControl w:val="0"/>
        <w:numPr>
          <w:ilvl w:val="0"/>
          <w:numId w:val="2"/>
        </w:numPr>
        <w:spacing w:before="93" w:after="0"/>
        <w:rPr>
          <w:lang w:eastAsia="zh-CN"/>
        </w:rPr>
      </w:pPr>
      <w:r w:rsidRPr="00B767DC">
        <w:rPr>
          <w:lang w:eastAsia="zh-CN"/>
        </w:rPr>
        <w:t xml:space="preserve">“RAN1 Chair’s Notes,” </w:t>
      </w:r>
      <w:r w:rsidR="002D5202">
        <w:rPr>
          <w:lang w:eastAsia="zh-CN"/>
        </w:rPr>
        <w:t>RAN1</w:t>
      </w:r>
      <w:r w:rsidRPr="00B767DC">
        <w:rPr>
          <w:lang w:eastAsia="zh-CN"/>
        </w:rPr>
        <w:t>#11</w:t>
      </w:r>
      <w:r>
        <w:rPr>
          <w:lang w:eastAsia="zh-CN"/>
        </w:rPr>
        <w:t>2bis</w:t>
      </w:r>
      <w:r w:rsidR="00536BBF">
        <w:rPr>
          <w:lang w:eastAsia="zh-CN"/>
        </w:rPr>
        <w:t>-e</w:t>
      </w:r>
      <w:r w:rsidRPr="00B767DC">
        <w:rPr>
          <w:lang w:eastAsia="zh-CN"/>
        </w:rPr>
        <w:t xml:space="preserve">, </w:t>
      </w:r>
      <w:r>
        <w:rPr>
          <w:lang w:eastAsia="zh-CN"/>
        </w:rPr>
        <w:t>Apr</w:t>
      </w:r>
      <w:r w:rsidRPr="00B767DC">
        <w:rPr>
          <w:lang w:eastAsia="zh-CN"/>
        </w:rPr>
        <w:t xml:space="preserve"> </w:t>
      </w:r>
      <w:r>
        <w:rPr>
          <w:lang w:eastAsia="zh-CN"/>
        </w:rPr>
        <w:t>17</w:t>
      </w:r>
      <w:r w:rsidRPr="00B767DC">
        <w:rPr>
          <w:vertAlign w:val="superscript"/>
          <w:lang w:eastAsia="zh-CN"/>
        </w:rPr>
        <w:t>th</w:t>
      </w:r>
      <w:r w:rsidRPr="00B767DC">
        <w:rPr>
          <w:lang w:eastAsia="zh-CN"/>
        </w:rPr>
        <w:t xml:space="preserve"> – </w:t>
      </w:r>
      <w:r>
        <w:rPr>
          <w:lang w:eastAsia="zh-CN"/>
        </w:rPr>
        <w:t>Apr</w:t>
      </w:r>
      <w:r w:rsidRPr="00B767DC">
        <w:rPr>
          <w:lang w:eastAsia="zh-CN"/>
        </w:rPr>
        <w:t xml:space="preserve"> </w:t>
      </w:r>
      <w:r>
        <w:rPr>
          <w:lang w:eastAsia="zh-CN"/>
        </w:rPr>
        <w:t>26</w:t>
      </w:r>
      <w:r w:rsidRPr="00195777">
        <w:rPr>
          <w:vertAlign w:val="superscript"/>
          <w:lang w:eastAsia="zh-CN"/>
        </w:rPr>
        <w:t>th</w:t>
      </w:r>
      <w:r>
        <w:rPr>
          <w:lang w:eastAsia="zh-CN"/>
        </w:rPr>
        <w:t>, 2023</w:t>
      </w:r>
      <w:r w:rsidRPr="00B767DC">
        <w:rPr>
          <w:lang w:eastAsia="zh-CN"/>
        </w:rPr>
        <w:t>.</w:t>
      </w:r>
    </w:p>
    <w:p w14:paraId="0144773C" w14:textId="2767EF18" w:rsidR="00AE0B6E" w:rsidRPr="00D1095F" w:rsidRDefault="00AE0B6E" w:rsidP="00AE0B6E">
      <w:pPr>
        <w:pStyle w:val="References"/>
        <w:numPr>
          <w:ilvl w:val="0"/>
          <w:numId w:val="2"/>
        </w:numPr>
        <w:spacing w:before="93" w:after="0"/>
        <w:rPr>
          <w:lang w:eastAsia="zh-CN"/>
        </w:rPr>
      </w:pPr>
      <w:r w:rsidRPr="00D1095F">
        <w:t xml:space="preserve">“RAN1 Chair’s Notes,” </w:t>
      </w:r>
      <w:r w:rsidR="002D5202">
        <w:rPr>
          <w:lang w:eastAsia="zh-CN"/>
        </w:rPr>
        <w:t>RAN1</w:t>
      </w:r>
      <w:r w:rsidRPr="00D1095F">
        <w:t>#109-e, May 9</w:t>
      </w:r>
      <w:r w:rsidRPr="00D1095F">
        <w:rPr>
          <w:vertAlign w:val="superscript"/>
        </w:rPr>
        <w:t>th</w:t>
      </w:r>
      <w:r w:rsidRPr="00D1095F">
        <w:t xml:space="preserve"> – May 20</w:t>
      </w:r>
      <w:r w:rsidRPr="00D1095F">
        <w:rPr>
          <w:vertAlign w:val="superscript"/>
        </w:rPr>
        <w:t>th</w:t>
      </w:r>
      <w:r w:rsidRPr="00D1095F">
        <w:t>, 2022.</w:t>
      </w:r>
    </w:p>
    <w:p w14:paraId="4DFA6F6C" w14:textId="5AED94F6" w:rsidR="00AE0B6E" w:rsidRDefault="00AE0B6E" w:rsidP="00AE0B6E">
      <w:pPr>
        <w:pStyle w:val="References"/>
        <w:widowControl w:val="0"/>
        <w:numPr>
          <w:ilvl w:val="0"/>
          <w:numId w:val="2"/>
        </w:numPr>
        <w:spacing w:before="93" w:after="0"/>
        <w:rPr>
          <w:lang w:eastAsia="zh-CN"/>
        </w:rPr>
      </w:pPr>
      <w:r w:rsidRPr="00D1095F">
        <w:rPr>
          <w:lang w:eastAsia="zh-CN"/>
        </w:rPr>
        <w:t xml:space="preserve">“RAN1 Chair’s Notes,” </w:t>
      </w:r>
      <w:r w:rsidR="002D5202">
        <w:rPr>
          <w:lang w:eastAsia="zh-CN"/>
        </w:rPr>
        <w:t>RAN1</w:t>
      </w:r>
      <w:r w:rsidRPr="00D1095F">
        <w:rPr>
          <w:lang w:eastAsia="zh-CN"/>
        </w:rPr>
        <w:t>#110bis-e, Oct 10</w:t>
      </w:r>
      <w:r w:rsidRPr="00D1095F">
        <w:rPr>
          <w:vertAlign w:val="superscript"/>
          <w:lang w:eastAsia="zh-CN"/>
        </w:rPr>
        <w:t>th</w:t>
      </w:r>
      <w:r w:rsidRPr="00D1095F">
        <w:rPr>
          <w:lang w:eastAsia="zh-CN"/>
        </w:rPr>
        <w:t xml:space="preserve"> – Oct 19</w:t>
      </w:r>
      <w:r w:rsidRPr="00D1095F">
        <w:rPr>
          <w:vertAlign w:val="superscript"/>
          <w:lang w:eastAsia="zh-CN"/>
        </w:rPr>
        <w:t>th</w:t>
      </w:r>
      <w:r w:rsidRPr="00D1095F">
        <w:rPr>
          <w:lang w:eastAsia="zh-CN"/>
        </w:rPr>
        <w:t>, 2022.</w:t>
      </w:r>
    </w:p>
    <w:p w14:paraId="3F07500D" w14:textId="151B466B" w:rsidR="003A3105" w:rsidRPr="00D1095F" w:rsidRDefault="00467077" w:rsidP="00195777">
      <w:pPr>
        <w:pStyle w:val="References"/>
        <w:widowControl w:val="0"/>
        <w:numPr>
          <w:ilvl w:val="0"/>
          <w:numId w:val="2"/>
        </w:numPr>
        <w:spacing w:before="93" w:after="0"/>
        <w:rPr>
          <w:lang w:eastAsia="zh-CN"/>
        </w:rPr>
      </w:pPr>
      <w:r w:rsidRPr="00B767DC">
        <w:rPr>
          <w:lang w:eastAsia="zh-CN"/>
        </w:rPr>
        <w:t xml:space="preserve">“RAN1 Chair’s Notes,” </w:t>
      </w:r>
      <w:r w:rsidR="002D5202">
        <w:rPr>
          <w:lang w:eastAsia="zh-CN"/>
        </w:rPr>
        <w:t>RAN1</w:t>
      </w:r>
      <w:r w:rsidRPr="00B767DC">
        <w:rPr>
          <w:lang w:eastAsia="zh-CN"/>
        </w:rPr>
        <w:t>#11</w:t>
      </w:r>
      <w:r>
        <w:rPr>
          <w:lang w:eastAsia="zh-CN"/>
        </w:rPr>
        <w:t>2</w:t>
      </w:r>
      <w:r w:rsidRPr="00B767DC">
        <w:rPr>
          <w:lang w:eastAsia="zh-CN"/>
        </w:rPr>
        <w:t xml:space="preserve">, </w:t>
      </w:r>
      <w:r>
        <w:rPr>
          <w:lang w:eastAsia="zh-CN"/>
        </w:rPr>
        <w:t>Feb</w:t>
      </w:r>
      <w:r w:rsidRPr="00B767DC">
        <w:rPr>
          <w:lang w:eastAsia="zh-CN"/>
        </w:rPr>
        <w:t xml:space="preserve"> </w:t>
      </w:r>
      <w:r>
        <w:rPr>
          <w:lang w:eastAsia="zh-CN"/>
        </w:rPr>
        <w:t>27</w:t>
      </w:r>
      <w:r w:rsidRPr="00B767DC">
        <w:rPr>
          <w:vertAlign w:val="superscript"/>
          <w:lang w:eastAsia="zh-CN"/>
        </w:rPr>
        <w:t>th</w:t>
      </w:r>
      <w:r w:rsidRPr="00B767DC">
        <w:rPr>
          <w:lang w:eastAsia="zh-CN"/>
        </w:rPr>
        <w:t xml:space="preserve"> – </w:t>
      </w:r>
      <w:r>
        <w:rPr>
          <w:lang w:eastAsia="zh-CN"/>
        </w:rPr>
        <w:t>Mar</w:t>
      </w:r>
      <w:r w:rsidRPr="00B767DC">
        <w:rPr>
          <w:lang w:eastAsia="zh-CN"/>
        </w:rPr>
        <w:t xml:space="preserve"> </w:t>
      </w:r>
      <w:r>
        <w:rPr>
          <w:lang w:eastAsia="zh-CN"/>
        </w:rPr>
        <w:t>3</w:t>
      </w:r>
      <w:r w:rsidRPr="00050AD7">
        <w:rPr>
          <w:vertAlign w:val="superscript"/>
          <w:lang w:eastAsia="zh-CN"/>
        </w:rPr>
        <w:t>rd</w:t>
      </w:r>
      <w:r>
        <w:rPr>
          <w:lang w:eastAsia="zh-CN"/>
        </w:rPr>
        <w:t>, 2023</w:t>
      </w:r>
      <w:r w:rsidRPr="00B767DC">
        <w:rPr>
          <w:lang w:eastAsia="zh-CN"/>
        </w:rPr>
        <w:t>.</w:t>
      </w:r>
    </w:p>
    <w:p w14:paraId="0E978E51" w14:textId="1A7A2B46" w:rsidR="00F151AD" w:rsidRDefault="00393E27" w:rsidP="00393E27">
      <w:pPr>
        <w:pStyle w:val="References"/>
        <w:numPr>
          <w:ilvl w:val="0"/>
          <w:numId w:val="2"/>
        </w:numPr>
        <w:spacing w:before="93" w:after="0"/>
        <w:rPr>
          <w:lang w:eastAsia="zh-CN"/>
        </w:rPr>
      </w:pPr>
      <w:bookmarkStart w:id="5" w:name="_Ref134888637"/>
      <w:r w:rsidRPr="00393E27">
        <w:t>R1-2304646</w:t>
      </w:r>
      <w:r w:rsidR="00F151AD" w:rsidRPr="00D1095F">
        <w:t>, “Discussion on evaluation and methodologies on evolution of NR duplex operation,” Huawei, 3GPP RAN1#11</w:t>
      </w:r>
      <w:r w:rsidR="004D0EA2">
        <w:t>3</w:t>
      </w:r>
      <w:r w:rsidR="00F151AD" w:rsidRPr="00D1095F">
        <w:t xml:space="preserve">, </w:t>
      </w:r>
      <w:r w:rsidR="004D0EA2">
        <w:t>May</w:t>
      </w:r>
      <w:r w:rsidR="004D0EA2" w:rsidRPr="00D1095F">
        <w:t xml:space="preserve"> </w:t>
      </w:r>
      <w:r w:rsidR="004D0EA2">
        <w:t>22</w:t>
      </w:r>
      <w:r w:rsidR="004D0EA2" w:rsidRPr="00195777">
        <w:rPr>
          <w:vertAlign w:val="superscript"/>
        </w:rPr>
        <w:t>nd</w:t>
      </w:r>
      <w:r w:rsidR="00F151AD" w:rsidRPr="00D1095F">
        <w:t xml:space="preserve"> – </w:t>
      </w:r>
      <w:r w:rsidR="004D0EA2">
        <w:t>May</w:t>
      </w:r>
      <w:r w:rsidR="00F151AD" w:rsidRPr="00D1095F">
        <w:t xml:space="preserve"> </w:t>
      </w:r>
      <w:r w:rsidR="00CC4046">
        <w:t>26</w:t>
      </w:r>
      <w:r w:rsidR="00CC4046" w:rsidRPr="00513FF4">
        <w:rPr>
          <w:vertAlign w:val="superscript"/>
        </w:rPr>
        <w:t>th</w:t>
      </w:r>
      <w:r w:rsidR="00F151AD" w:rsidRPr="00D1095F">
        <w:t>, 202</w:t>
      </w:r>
      <w:r w:rsidR="00F151AD">
        <w:t>3</w:t>
      </w:r>
      <w:r w:rsidR="00F151AD" w:rsidRPr="00D1095F">
        <w:t>.</w:t>
      </w:r>
      <w:bookmarkEnd w:id="5"/>
    </w:p>
    <w:p w14:paraId="1F8BCED3" w14:textId="5CE023BA" w:rsidR="004B0BB4" w:rsidRPr="00283368" w:rsidRDefault="00393E27" w:rsidP="00195777">
      <w:pPr>
        <w:pStyle w:val="References"/>
        <w:numPr>
          <w:ilvl w:val="0"/>
          <w:numId w:val="2"/>
        </w:numPr>
        <w:spacing w:before="93" w:after="0"/>
        <w:rPr>
          <w:lang w:eastAsia="zh-CN"/>
        </w:rPr>
      </w:pPr>
      <w:r w:rsidRPr="00393E27">
        <w:rPr>
          <w:lang w:eastAsia="zh-CN"/>
        </w:rPr>
        <w:lastRenderedPageBreak/>
        <w:t>R1-2304648</w:t>
      </w:r>
      <w:r w:rsidR="00FD038B">
        <w:rPr>
          <w:lang w:eastAsia="zh-CN"/>
        </w:rPr>
        <w:t>, “</w:t>
      </w:r>
      <w:r w:rsidR="00FD038B" w:rsidRPr="00FD038B">
        <w:rPr>
          <w:lang w:eastAsia="zh-CN"/>
        </w:rPr>
        <w:t>Study on potential enhancements on dynamic/flexible TDD</w:t>
      </w:r>
      <w:r w:rsidR="00FD038B">
        <w:rPr>
          <w:lang w:eastAsia="zh-CN"/>
        </w:rPr>
        <w:t>,” Huawei, 3GPP RAN1#11</w:t>
      </w:r>
      <w:r w:rsidR="004D0EA2">
        <w:rPr>
          <w:lang w:eastAsia="zh-CN"/>
        </w:rPr>
        <w:t>3</w:t>
      </w:r>
      <w:r w:rsidR="00FD038B">
        <w:rPr>
          <w:lang w:eastAsia="zh-CN"/>
        </w:rPr>
        <w:t xml:space="preserve">, </w:t>
      </w:r>
      <w:r w:rsidR="00A70364">
        <w:t>May</w:t>
      </w:r>
      <w:r w:rsidR="00FD038B" w:rsidRPr="00D1095F">
        <w:t xml:space="preserve"> </w:t>
      </w:r>
      <w:r w:rsidR="00A70364">
        <w:t>22</w:t>
      </w:r>
      <w:r w:rsidR="00A70364" w:rsidRPr="00195777">
        <w:rPr>
          <w:vertAlign w:val="superscript"/>
        </w:rPr>
        <w:t>nd</w:t>
      </w:r>
      <w:r w:rsidR="00FD038B" w:rsidRPr="00D1095F">
        <w:t xml:space="preserve"> – </w:t>
      </w:r>
      <w:r w:rsidR="00A70364">
        <w:t>May</w:t>
      </w:r>
      <w:r w:rsidR="00FD038B" w:rsidRPr="00D1095F">
        <w:t xml:space="preserve"> </w:t>
      </w:r>
      <w:r w:rsidR="00FD038B">
        <w:t>26</w:t>
      </w:r>
      <w:r w:rsidR="00FD038B" w:rsidRPr="001C64B0">
        <w:rPr>
          <w:vertAlign w:val="superscript"/>
        </w:rPr>
        <w:t>th</w:t>
      </w:r>
      <w:r w:rsidR="00FD038B" w:rsidRPr="00D1095F">
        <w:t>, 202</w:t>
      </w:r>
      <w:r w:rsidR="00FD038B">
        <w:t>3.</w:t>
      </w:r>
    </w:p>
    <w:sectPr w:rsidR="004B0BB4" w:rsidRPr="00283368" w:rsidSect="00E67410">
      <w:headerReference w:type="even" r:id="rId23"/>
      <w:headerReference w:type="default" r:id="rId24"/>
      <w:footerReference w:type="even" r:id="rId25"/>
      <w:footerReference w:type="default" r:id="rId26"/>
      <w:headerReference w:type="first" r:id="rId27"/>
      <w:footerReference w:type="first" r:id="rId28"/>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74B19" w14:textId="77777777" w:rsidR="003D2178" w:rsidRDefault="003D2178" w:rsidP="002B0BF3">
      <w:pPr>
        <w:spacing w:before="72" w:after="72"/>
      </w:pPr>
      <w:r>
        <w:separator/>
      </w:r>
    </w:p>
  </w:endnote>
  <w:endnote w:type="continuationSeparator" w:id="0">
    <w:p w14:paraId="25E8AE08" w14:textId="77777777" w:rsidR="003D2178" w:rsidRDefault="003D2178"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C2769F" w:rsidRDefault="00C2769F">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C2769F" w:rsidRDefault="00C2769F">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C2769F" w:rsidRDefault="00C2769F">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CB1EE" w14:textId="77777777" w:rsidR="003D2178" w:rsidRDefault="003D2178" w:rsidP="002B0BF3">
      <w:pPr>
        <w:spacing w:before="72" w:after="72"/>
      </w:pPr>
      <w:r>
        <w:separator/>
      </w:r>
    </w:p>
  </w:footnote>
  <w:footnote w:type="continuationSeparator" w:id="0">
    <w:p w14:paraId="3DBF9237" w14:textId="77777777" w:rsidR="003D2178" w:rsidRDefault="003D2178"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C2769F" w:rsidRDefault="00C2769F">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C2769F" w:rsidRPr="00B7006F" w:rsidRDefault="00C2769F"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C2769F" w:rsidRDefault="00C2769F">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013206"/>
    <w:multiLevelType w:val="hybridMultilevel"/>
    <w:tmpl w:val="BC6E3D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31645"/>
    <w:multiLevelType w:val="hybridMultilevel"/>
    <w:tmpl w:val="2FA42FA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C245B"/>
    <w:multiLevelType w:val="hybridMultilevel"/>
    <w:tmpl w:val="F9CA5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032109"/>
    <w:multiLevelType w:val="hybridMultilevel"/>
    <w:tmpl w:val="2F842F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9F2104"/>
    <w:multiLevelType w:val="hybridMultilevel"/>
    <w:tmpl w:val="666A6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AA3944"/>
    <w:multiLevelType w:val="hybridMultilevel"/>
    <w:tmpl w:val="322C24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0441BD"/>
    <w:multiLevelType w:val="hybridMultilevel"/>
    <w:tmpl w:val="755494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6B54EF"/>
    <w:multiLevelType w:val="multilevel"/>
    <w:tmpl w:val="3AE24734"/>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numFmt w:val="bullet"/>
      <w:lvlText w:val="-"/>
      <w:lvlJc w:val="left"/>
      <w:pPr>
        <w:tabs>
          <w:tab w:val="num" w:pos="0"/>
        </w:tabs>
        <w:ind w:left="1260" w:hanging="420"/>
      </w:pPr>
      <w:rPr>
        <w:rFonts w:ascii="Times" w:hAnsi="Times" w:cs="Time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0ECA177E"/>
    <w:multiLevelType w:val="hybridMultilevel"/>
    <w:tmpl w:val="C50A9F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777039"/>
    <w:multiLevelType w:val="hybridMultilevel"/>
    <w:tmpl w:val="B6B4973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291423"/>
    <w:multiLevelType w:val="hybridMultilevel"/>
    <w:tmpl w:val="82FEB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84E0F10"/>
    <w:multiLevelType w:val="hybridMultilevel"/>
    <w:tmpl w:val="2A56774C"/>
    <w:lvl w:ilvl="0" w:tplc="04090001">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6" w15:restartNumberingAfterBreak="0">
    <w:nsid w:val="1EC64A5F"/>
    <w:multiLevelType w:val="hybridMultilevel"/>
    <w:tmpl w:val="A75E6B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6511C1"/>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6C103C1"/>
    <w:multiLevelType w:val="hybridMultilevel"/>
    <w:tmpl w:val="71F4309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83B137B"/>
    <w:multiLevelType w:val="hybridMultilevel"/>
    <w:tmpl w:val="28465860"/>
    <w:lvl w:ilvl="0" w:tplc="D582814A">
      <w:start w:val="1"/>
      <w:numFmt w:val="bullet"/>
      <w:lvlText w:val="•"/>
      <w:lvlJc w:val="left"/>
      <w:pPr>
        <w:tabs>
          <w:tab w:val="num" w:pos="720"/>
        </w:tabs>
        <w:ind w:left="720" w:hanging="360"/>
      </w:pPr>
      <w:rPr>
        <w:rFonts w:ascii="Arial" w:hAnsi="Arial" w:hint="default"/>
      </w:rPr>
    </w:lvl>
    <w:lvl w:ilvl="1" w:tplc="7B5CF8FE" w:tentative="1">
      <w:start w:val="1"/>
      <w:numFmt w:val="bullet"/>
      <w:lvlText w:val="•"/>
      <w:lvlJc w:val="left"/>
      <w:pPr>
        <w:tabs>
          <w:tab w:val="num" w:pos="1440"/>
        </w:tabs>
        <w:ind w:left="1440" w:hanging="360"/>
      </w:pPr>
      <w:rPr>
        <w:rFonts w:ascii="Arial" w:hAnsi="Arial" w:hint="default"/>
      </w:rPr>
    </w:lvl>
    <w:lvl w:ilvl="2" w:tplc="B268B21C" w:tentative="1">
      <w:start w:val="1"/>
      <w:numFmt w:val="bullet"/>
      <w:lvlText w:val="•"/>
      <w:lvlJc w:val="left"/>
      <w:pPr>
        <w:tabs>
          <w:tab w:val="num" w:pos="2160"/>
        </w:tabs>
        <w:ind w:left="2160" w:hanging="360"/>
      </w:pPr>
      <w:rPr>
        <w:rFonts w:ascii="Arial" w:hAnsi="Arial" w:hint="default"/>
      </w:rPr>
    </w:lvl>
    <w:lvl w:ilvl="3" w:tplc="781AE36E" w:tentative="1">
      <w:start w:val="1"/>
      <w:numFmt w:val="bullet"/>
      <w:lvlText w:val="•"/>
      <w:lvlJc w:val="left"/>
      <w:pPr>
        <w:tabs>
          <w:tab w:val="num" w:pos="2880"/>
        </w:tabs>
        <w:ind w:left="2880" w:hanging="360"/>
      </w:pPr>
      <w:rPr>
        <w:rFonts w:ascii="Arial" w:hAnsi="Arial" w:hint="default"/>
      </w:rPr>
    </w:lvl>
    <w:lvl w:ilvl="4" w:tplc="9F063270" w:tentative="1">
      <w:start w:val="1"/>
      <w:numFmt w:val="bullet"/>
      <w:lvlText w:val="•"/>
      <w:lvlJc w:val="left"/>
      <w:pPr>
        <w:tabs>
          <w:tab w:val="num" w:pos="3600"/>
        </w:tabs>
        <w:ind w:left="3600" w:hanging="360"/>
      </w:pPr>
      <w:rPr>
        <w:rFonts w:ascii="Arial" w:hAnsi="Arial" w:hint="default"/>
      </w:rPr>
    </w:lvl>
    <w:lvl w:ilvl="5" w:tplc="40DE0D60" w:tentative="1">
      <w:start w:val="1"/>
      <w:numFmt w:val="bullet"/>
      <w:lvlText w:val="•"/>
      <w:lvlJc w:val="left"/>
      <w:pPr>
        <w:tabs>
          <w:tab w:val="num" w:pos="4320"/>
        </w:tabs>
        <w:ind w:left="4320" w:hanging="360"/>
      </w:pPr>
      <w:rPr>
        <w:rFonts w:ascii="Arial" w:hAnsi="Arial" w:hint="default"/>
      </w:rPr>
    </w:lvl>
    <w:lvl w:ilvl="6" w:tplc="6DB66A8E" w:tentative="1">
      <w:start w:val="1"/>
      <w:numFmt w:val="bullet"/>
      <w:lvlText w:val="•"/>
      <w:lvlJc w:val="left"/>
      <w:pPr>
        <w:tabs>
          <w:tab w:val="num" w:pos="5040"/>
        </w:tabs>
        <w:ind w:left="5040" w:hanging="360"/>
      </w:pPr>
      <w:rPr>
        <w:rFonts w:ascii="Arial" w:hAnsi="Arial" w:hint="default"/>
      </w:rPr>
    </w:lvl>
    <w:lvl w:ilvl="7" w:tplc="623E821A" w:tentative="1">
      <w:start w:val="1"/>
      <w:numFmt w:val="bullet"/>
      <w:lvlText w:val="•"/>
      <w:lvlJc w:val="left"/>
      <w:pPr>
        <w:tabs>
          <w:tab w:val="num" w:pos="5760"/>
        </w:tabs>
        <w:ind w:left="5760" w:hanging="360"/>
      </w:pPr>
      <w:rPr>
        <w:rFonts w:ascii="Arial" w:hAnsi="Arial" w:hint="default"/>
      </w:rPr>
    </w:lvl>
    <w:lvl w:ilvl="8" w:tplc="C70467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120B4E"/>
    <w:multiLevelType w:val="hybridMultilevel"/>
    <w:tmpl w:val="E1C849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BC7CF8"/>
    <w:multiLevelType w:val="hybridMultilevel"/>
    <w:tmpl w:val="C4046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1B47A44"/>
    <w:multiLevelType w:val="hybridMultilevel"/>
    <w:tmpl w:val="9E9C6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1B6E9A"/>
    <w:multiLevelType w:val="hybridMultilevel"/>
    <w:tmpl w:val="D5E68D4E"/>
    <w:lvl w:ilvl="0" w:tplc="F2DA32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6510FD"/>
    <w:multiLevelType w:val="hybridMultilevel"/>
    <w:tmpl w:val="B896D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3F0EBA"/>
    <w:multiLevelType w:val="hybridMultilevel"/>
    <w:tmpl w:val="90D4942A"/>
    <w:lvl w:ilvl="0" w:tplc="F73425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0DF6A6A"/>
    <w:multiLevelType w:val="hybridMultilevel"/>
    <w:tmpl w:val="EF400B3C"/>
    <w:lvl w:ilvl="0" w:tplc="04090001">
      <w:start w:val="1"/>
      <w:numFmt w:val="bullet"/>
      <w:lvlText w:val=""/>
      <w:lvlJc w:val="left"/>
      <w:pPr>
        <w:tabs>
          <w:tab w:val="num" w:pos="360"/>
        </w:tabs>
        <w:ind w:left="360" w:hanging="360"/>
      </w:pPr>
      <w:rPr>
        <w:rFonts w:ascii="Wingdings" w:hAnsi="Wingdings" w:hint="default"/>
      </w:rPr>
    </w:lvl>
    <w:lvl w:ilvl="1" w:tplc="7B5CF8FE" w:tentative="1">
      <w:start w:val="1"/>
      <w:numFmt w:val="bullet"/>
      <w:lvlText w:val="•"/>
      <w:lvlJc w:val="left"/>
      <w:pPr>
        <w:tabs>
          <w:tab w:val="num" w:pos="1080"/>
        </w:tabs>
        <w:ind w:left="1080" w:hanging="360"/>
      </w:pPr>
      <w:rPr>
        <w:rFonts w:ascii="Arial" w:hAnsi="Arial" w:hint="default"/>
      </w:rPr>
    </w:lvl>
    <w:lvl w:ilvl="2" w:tplc="B268B21C" w:tentative="1">
      <w:start w:val="1"/>
      <w:numFmt w:val="bullet"/>
      <w:lvlText w:val="•"/>
      <w:lvlJc w:val="left"/>
      <w:pPr>
        <w:tabs>
          <w:tab w:val="num" w:pos="1800"/>
        </w:tabs>
        <w:ind w:left="1800" w:hanging="360"/>
      </w:pPr>
      <w:rPr>
        <w:rFonts w:ascii="Arial" w:hAnsi="Arial" w:hint="default"/>
      </w:rPr>
    </w:lvl>
    <w:lvl w:ilvl="3" w:tplc="781AE36E" w:tentative="1">
      <w:start w:val="1"/>
      <w:numFmt w:val="bullet"/>
      <w:lvlText w:val="•"/>
      <w:lvlJc w:val="left"/>
      <w:pPr>
        <w:tabs>
          <w:tab w:val="num" w:pos="2520"/>
        </w:tabs>
        <w:ind w:left="2520" w:hanging="360"/>
      </w:pPr>
      <w:rPr>
        <w:rFonts w:ascii="Arial" w:hAnsi="Arial" w:hint="default"/>
      </w:rPr>
    </w:lvl>
    <w:lvl w:ilvl="4" w:tplc="9F063270" w:tentative="1">
      <w:start w:val="1"/>
      <w:numFmt w:val="bullet"/>
      <w:lvlText w:val="•"/>
      <w:lvlJc w:val="left"/>
      <w:pPr>
        <w:tabs>
          <w:tab w:val="num" w:pos="3240"/>
        </w:tabs>
        <w:ind w:left="3240" w:hanging="360"/>
      </w:pPr>
      <w:rPr>
        <w:rFonts w:ascii="Arial" w:hAnsi="Arial" w:hint="default"/>
      </w:rPr>
    </w:lvl>
    <w:lvl w:ilvl="5" w:tplc="40DE0D60" w:tentative="1">
      <w:start w:val="1"/>
      <w:numFmt w:val="bullet"/>
      <w:lvlText w:val="•"/>
      <w:lvlJc w:val="left"/>
      <w:pPr>
        <w:tabs>
          <w:tab w:val="num" w:pos="3960"/>
        </w:tabs>
        <w:ind w:left="3960" w:hanging="360"/>
      </w:pPr>
      <w:rPr>
        <w:rFonts w:ascii="Arial" w:hAnsi="Arial" w:hint="default"/>
      </w:rPr>
    </w:lvl>
    <w:lvl w:ilvl="6" w:tplc="6DB66A8E" w:tentative="1">
      <w:start w:val="1"/>
      <w:numFmt w:val="bullet"/>
      <w:lvlText w:val="•"/>
      <w:lvlJc w:val="left"/>
      <w:pPr>
        <w:tabs>
          <w:tab w:val="num" w:pos="4680"/>
        </w:tabs>
        <w:ind w:left="4680" w:hanging="360"/>
      </w:pPr>
      <w:rPr>
        <w:rFonts w:ascii="Arial" w:hAnsi="Arial" w:hint="default"/>
      </w:rPr>
    </w:lvl>
    <w:lvl w:ilvl="7" w:tplc="623E821A" w:tentative="1">
      <w:start w:val="1"/>
      <w:numFmt w:val="bullet"/>
      <w:lvlText w:val="•"/>
      <w:lvlJc w:val="left"/>
      <w:pPr>
        <w:tabs>
          <w:tab w:val="num" w:pos="5400"/>
        </w:tabs>
        <w:ind w:left="5400" w:hanging="360"/>
      </w:pPr>
      <w:rPr>
        <w:rFonts w:ascii="Arial" w:hAnsi="Arial" w:hint="default"/>
      </w:rPr>
    </w:lvl>
    <w:lvl w:ilvl="8" w:tplc="C704677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27B2EC0"/>
    <w:multiLevelType w:val="hybridMultilevel"/>
    <w:tmpl w:val="C0F655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916E68"/>
    <w:multiLevelType w:val="hybridMultilevel"/>
    <w:tmpl w:val="940644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E34275"/>
    <w:multiLevelType w:val="hybridMultilevel"/>
    <w:tmpl w:val="994C6EEE"/>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4995D6D"/>
    <w:multiLevelType w:val="multilevel"/>
    <w:tmpl w:val="04521AC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Arial" w:eastAsia="MS Mincho" w:hAnsi="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4" w15:restartNumberingAfterBreak="0">
    <w:nsid w:val="47D73FE3"/>
    <w:multiLevelType w:val="multilevel"/>
    <w:tmpl w:val="47D73FE3"/>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482E5455"/>
    <w:multiLevelType w:val="hybridMultilevel"/>
    <w:tmpl w:val="0D40C6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D3C4AD6"/>
    <w:multiLevelType w:val="hybridMultilevel"/>
    <w:tmpl w:val="453A262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1B5B9C"/>
    <w:multiLevelType w:val="hybridMultilevel"/>
    <w:tmpl w:val="6DC494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25549E"/>
    <w:multiLevelType w:val="hybridMultilevel"/>
    <w:tmpl w:val="EB84E2F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5D46911"/>
    <w:multiLevelType w:val="hybridMultilevel"/>
    <w:tmpl w:val="E9283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BD5D83"/>
    <w:multiLevelType w:val="hybridMultilevel"/>
    <w:tmpl w:val="5886A398"/>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BA8048C"/>
    <w:multiLevelType w:val="hybridMultilevel"/>
    <w:tmpl w:val="25DA9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B11074"/>
    <w:multiLevelType w:val="hybridMultilevel"/>
    <w:tmpl w:val="21869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D680F7D"/>
    <w:multiLevelType w:val="hybridMultilevel"/>
    <w:tmpl w:val="D35CF6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E073EAD"/>
    <w:multiLevelType w:val="hybridMultilevel"/>
    <w:tmpl w:val="6592F8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E12729B"/>
    <w:multiLevelType w:val="hybridMultilevel"/>
    <w:tmpl w:val="0256D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1F3D37"/>
    <w:multiLevelType w:val="hybridMultilevel"/>
    <w:tmpl w:val="2CF887A6"/>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B93730"/>
    <w:multiLevelType w:val="hybridMultilevel"/>
    <w:tmpl w:val="BD6EAD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1146185"/>
    <w:multiLevelType w:val="hybridMultilevel"/>
    <w:tmpl w:val="CABE55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12D143A"/>
    <w:multiLevelType w:val="hybridMultilevel"/>
    <w:tmpl w:val="2F7892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51C06A9"/>
    <w:multiLevelType w:val="hybridMultilevel"/>
    <w:tmpl w:val="EC9A8AC0"/>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4A105E"/>
    <w:multiLevelType w:val="hybridMultilevel"/>
    <w:tmpl w:val="2014F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8A7637D"/>
    <w:multiLevelType w:val="hybridMultilevel"/>
    <w:tmpl w:val="1E0C16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B776352"/>
    <w:multiLevelType w:val="hybridMultilevel"/>
    <w:tmpl w:val="F82EC4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CDF388A"/>
    <w:multiLevelType w:val="hybridMultilevel"/>
    <w:tmpl w:val="76A61B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DD405A4"/>
    <w:multiLevelType w:val="hybridMultilevel"/>
    <w:tmpl w:val="1824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E3A5808"/>
    <w:multiLevelType w:val="hybridMultilevel"/>
    <w:tmpl w:val="F3246A96"/>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5"/>
  </w:num>
  <w:num w:numId="2">
    <w:abstractNumId w:val="14"/>
  </w:num>
  <w:num w:numId="3">
    <w:abstractNumId w:val="30"/>
  </w:num>
  <w:num w:numId="4">
    <w:abstractNumId w:val="50"/>
  </w:num>
  <w:num w:numId="5">
    <w:abstractNumId w:val="41"/>
  </w:num>
  <w:num w:numId="6">
    <w:abstractNumId w:val="38"/>
  </w:num>
  <w:num w:numId="7">
    <w:abstractNumId w:val="13"/>
  </w:num>
  <w:num w:numId="8">
    <w:abstractNumId w:val="6"/>
  </w:num>
  <w:num w:numId="9">
    <w:abstractNumId w:val="33"/>
  </w:num>
  <w:num w:numId="10">
    <w:abstractNumId w:val="35"/>
  </w:num>
  <w:num w:numId="11">
    <w:abstractNumId w:val="40"/>
  </w:num>
  <w:num w:numId="12">
    <w:abstractNumId w:val="12"/>
  </w:num>
  <w:num w:numId="13">
    <w:abstractNumId w:val="48"/>
  </w:num>
  <w:num w:numId="14">
    <w:abstractNumId w:val="61"/>
  </w:num>
  <w:num w:numId="15">
    <w:abstractNumId w:val="23"/>
  </w:num>
  <w:num w:numId="16">
    <w:abstractNumId w:val="60"/>
  </w:num>
  <w:num w:numId="17">
    <w:abstractNumId w:val="39"/>
  </w:num>
  <w:num w:numId="18">
    <w:abstractNumId w:val="25"/>
  </w:num>
  <w:num w:numId="19">
    <w:abstractNumId w:val="45"/>
  </w:num>
  <w:num w:numId="20">
    <w:abstractNumId w:val="56"/>
  </w:num>
  <w:num w:numId="21">
    <w:abstractNumId w:val="18"/>
  </w:num>
  <w:num w:numId="22">
    <w:abstractNumId w:val="7"/>
  </w:num>
  <w:num w:numId="23">
    <w:abstractNumId w:val="16"/>
  </w:num>
  <w:num w:numId="24">
    <w:abstractNumId w:val="57"/>
  </w:num>
  <w:num w:numId="25">
    <w:abstractNumId w:val="5"/>
  </w:num>
  <w:num w:numId="26">
    <w:abstractNumId w:val="51"/>
  </w:num>
  <w:num w:numId="27">
    <w:abstractNumId w:val="59"/>
  </w:num>
  <w:num w:numId="28">
    <w:abstractNumId w:val="20"/>
  </w:num>
  <w:num w:numId="29">
    <w:abstractNumId w:val="62"/>
  </w:num>
  <w:num w:numId="30">
    <w:abstractNumId w:val="37"/>
  </w:num>
  <w:num w:numId="31">
    <w:abstractNumId w:val="58"/>
  </w:num>
  <w:num w:numId="32">
    <w:abstractNumId w:val="26"/>
  </w:num>
  <w:num w:numId="33">
    <w:abstractNumId w:val="44"/>
  </w:num>
  <w:num w:numId="34">
    <w:abstractNumId w:val="2"/>
  </w:num>
  <w:num w:numId="35">
    <w:abstractNumId w:val="43"/>
  </w:num>
  <w:num w:numId="36">
    <w:abstractNumId w:val="27"/>
  </w:num>
  <w:num w:numId="37">
    <w:abstractNumId w:val="42"/>
  </w:num>
  <w:num w:numId="38">
    <w:abstractNumId w:val="27"/>
  </w:num>
  <w:num w:numId="39">
    <w:abstractNumId w:val="53"/>
  </w:num>
  <w:num w:numId="40">
    <w:abstractNumId w:val="0"/>
  </w:num>
  <w:num w:numId="41">
    <w:abstractNumId w:val="22"/>
  </w:num>
  <w:num w:numId="42">
    <w:abstractNumId w:val="52"/>
  </w:num>
  <w:num w:numId="43">
    <w:abstractNumId w:val="54"/>
  </w:num>
  <w:num w:numId="44">
    <w:abstractNumId w:val="46"/>
  </w:num>
  <w:num w:numId="45">
    <w:abstractNumId w:val="3"/>
  </w:num>
  <w:num w:numId="46">
    <w:abstractNumId w:val="36"/>
  </w:num>
  <w:num w:numId="47">
    <w:abstractNumId w:val="10"/>
  </w:num>
  <w:num w:numId="48">
    <w:abstractNumId w:val="19"/>
  </w:num>
  <w:num w:numId="49">
    <w:abstractNumId w:val="28"/>
  </w:num>
  <w:num w:numId="50">
    <w:abstractNumId w:val="21"/>
  </w:num>
  <w:num w:numId="51">
    <w:abstractNumId w:val="9"/>
  </w:num>
  <w:num w:numId="52">
    <w:abstractNumId w:val="32"/>
  </w:num>
  <w:num w:numId="53">
    <w:abstractNumId w:val="31"/>
  </w:num>
  <w:num w:numId="54">
    <w:abstractNumId w:val="4"/>
  </w:num>
  <w:num w:numId="55">
    <w:abstractNumId w:val="17"/>
  </w:num>
  <w:num w:numId="56">
    <w:abstractNumId w:val="11"/>
  </w:num>
  <w:num w:numId="57">
    <w:abstractNumId w:val="47"/>
  </w:num>
  <w:num w:numId="58">
    <w:abstractNumId w:val="24"/>
  </w:num>
  <w:num w:numId="59">
    <w:abstractNumId w:val="15"/>
  </w:num>
  <w:num w:numId="60">
    <w:abstractNumId w:val="1"/>
  </w:num>
  <w:num w:numId="61">
    <w:abstractNumId w:val="8"/>
  </w:num>
  <w:num w:numId="62">
    <w:abstractNumId w:val="29"/>
  </w:num>
  <w:num w:numId="63">
    <w:abstractNumId w:val="34"/>
  </w:num>
  <w:num w:numId="64">
    <w:abstractNumId w:val="4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129"/>
    <w:rsid w:val="000002E2"/>
    <w:rsid w:val="00000310"/>
    <w:rsid w:val="00000547"/>
    <w:rsid w:val="00000782"/>
    <w:rsid w:val="000007A5"/>
    <w:rsid w:val="000007E5"/>
    <w:rsid w:val="000009E9"/>
    <w:rsid w:val="00000A2B"/>
    <w:rsid w:val="00000A62"/>
    <w:rsid w:val="00000E01"/>
    <w:rsid w:val="00000EA7"/>
    <w:rsid w:val="00000F6D"/>
    <w:rsid w:val="0000103F"/>
    <w:rsid w:val="000010B2"/>
    <w:rsid w:val="000018CB"/>
    <w:rsid w:val="00001C82"/>
    <w:rsid w:val="00001CF7"/>
    <w:rsid w:val="000020F1"/>
    <w:rsid w:val="0000220F"/>
    <w:rsid w:val="000023E1"/>
    <w:rsid w:val="00002588"/>
    <w:rsid w:val="0000261B"/>
    <w:rsid w:val="00002686"/>
    <w:rsid w:val="000027D3"/>
    <w:rsid w:val="000028DD"/>
    <w:rsid w:val="00002950"/>
    <w:rsid w:val="00002A7D"/>
    <w:rsid w:val="00002BA3"/>
    <w:rsid w:val="00002C2D"/>
    <w:rsid w:val="00003070"/>
    <w:rsid w:val="00003165"/>
    <w:rsid w:val="000031A8"/>
    <w:rsid w:val="00003337"/>
    <w:rsid w:val="00003376"/>
    <w:rsid w:val="000033EC"/>
    <w:rsid w:val="0000343C"/>
    <w:rsid w:val="000034DA"/>
    <w:rsid w:val="0000388E"/>
    <w:rsid w:val="00003D0F"/>
    <w:rsid w:val="00003F9A"/>
    <w:rsid w:val="00004033"/>
    <w:rsid w:val="00004052"/>
    <w:rsid w:val="0000417E"/>
    <w:rsid w:val="00004220"/>
    <w:rsid w:val="00004289"/>
    <w:rsid w:val="000044B4"/>
    <w:rsid w:val="0000461D"/>
    <w:rsid w:val="0000486C"/>
    <w:rsid w:val="00004ADC"/>
    <w:rsid w:val="00004C45"/>
    <w:rsid w:val="00004CE5"/>
    <w:rsid w:val="00004E89"/>
    <w:rsid w:val="0000504E"/>
    <w:rsid w:val="000051FA"/>
    <w:rsid w:val="00005216"/>
    <w:rsid w:val="00005308"/>
    <w:rsid w:val="000053DF"/>
    <w:rsid w:val="000053F0"/>
    <w:rsid w:val="00005402"/>
    <w:rsid w:val="00005445"/>
    <w:rsid w:val="000054B3"/>
    <w:rsid w:val="00005886"/>
    <w:rsid w:val="000058B5"/>
    <w:rsid w:val="000058E7"/>
    <w:rsid w:val="00005BB7"/>
    <w:rsid w:val="00005CCF"/>
    <w:rsid w:val="00005D59"/>
    <w:rsid w:val="00005DC8"/>
    <w:rsid w:val="00005DE3"/>
    <w:rsid w:val="00005ECE"/>
    <w:rsid w:val="0000602F"/>
    <w:rsid w:val="00006242"/>
    <w:rsid w:val="0000672D"/>
    <w:rsid w:val="0000679C"/>
    <w:rsid w:val="000069A4"/>
    <w:rsid w:val="000069C8"/>
    <w:rsid w:val="000069F6"/>
    <w:rsid w:val="00006FBC"/>
    <w:rsid w:val="000070AB"/>
    <w:rsid w:val="0000715B"/>
    <w:rsid w:val="00007194"/>
    <w:rsid w:val="000071B4"/>
    <w:rsid w:val="000073B2"/>
    <w:rsid w:val="000074C6"/>
    <w:rsid w:val="000074EE"/>
    <w:rsid w:val="00007868"/>
    <w:rsid w:val="00007950"/>
    <w:rsid w:val="00007AAC"/>
    <w:rsid w:val="00007C79"/>
    <w:rsid w:val="00007D15"/>
    <w:rsid w:val="00007EAA"/>
    <w:rsid w:val="00007F10"/>
    <w:rsid w:val="000104BA"/>
    <w:rsid w:val="0001058C"/>
    <w:rsid w:val="000106BD"/>
    <w:rsid w:val="00010C43"/>
    <w:rsid w:val="00010FA3"/>
    <w:rsid w:val="0001136C"/>
    <w:rsid w:val="0001145C"/>
    <w:rsid w:val="000117B8"/>
    <w:rsid w:val="00011A01"/>
    <w:rsid w:val="00011D4C"/>
    <w:rsid w:val="00011DE6"/>
    <w:rsid w:val="00011E25"/>
    <w:rsid w:val="00012056"/>
    <w:rsid w:val="0001215F"/>
    <w:rsid w:val="0001231E"/>
    <w:rsid w:val="000123B5"/>
    <w:rsid w:val="000123C3"/>
    <w:rsid w:val="00012427"/>
    <w:rsid w:val="00012544"/>
    <w:rsid w:val="00012701"/>
    <w:rsid w:val="00012722"/>
    <w:rsid w:val="00012932"/>
    <w:rsid w:val="00012950"/>
    <w:rsid w:val="000129FB"/>
    <w:rsid w:val="00012A2A"/>
    <w:rsid w:val="00012B70"/>
    <w:rsid w:val="00012CF2"/>
    <w:rsid w:val="00012D09"/>
    <w:rsid w:val="00013188"/>
    <w:rsid w:val="0001327C"/>
    <w:rsid w:val="00013438"/>
    <w:rsid w:val="0001357D"/>
    <w:rsid w:val="00013911"/>
    <w:rsid w:val="00013A02"/>
    <w:rsid w:val="00013C03"/>
    <w:rsid w:val="00013EA7"/>
    <w:rsid w:val="00013FAA"/>
    <w:rsid w:val="00014064"/>
    <w:rsid w:val="000147C8"/>
    <w:rsid w:val="000148F2"/>
    <w:rsid w:val="0001494D"/>
    <w:rsid w:val="00014C23"/>
    <w:rsid w:val="00014DAE"/>
    <w:rsid w:val="00014E08"/>
    <w:rsid w:val="000150E0"/>
    <w:rsid w:val="0001518A"/>
    <w:rsid w:val="00015280"/>
    <w:rsid w:val="00015364"/>
    <w:rsid w:val="000155E8"/>
    <w:rsid w:val="00015617"/>
    <w:rsid w:val="0001568E"/>
    <w:rsid w:val="00015D39"/>
    <w:rsid w:val="00015DAD"/>
    <w:rsid w:val="00015F61"/>
    <w:rsid w:val="00015F8C"/>
    <w:rsid w:val="000161D0"/>
    <w:rsid w:val="000162E6"/>
    <w:rsid w:val="00016333"/>
    <w:rsid w:val="000163AB"/>
    <w:rsid w:val="000164C9"/>
    <w:rsid w:val="00016535"/>
    <w:rsid w:val="00016BA8"/>
    <w:rsid w:val="00016BC9"/>
    <w:rsid w:val="00016BDC"/>
    <w:rsid w:val="00016C52"/>
    <w:rsid w:val="00016F9D"/>
    <w:rsid w:val="000172CC"/>
    <w:rsid w:val="00017560"/>
    <w:rsid w:val="00017A8D"/>
    <w:rsid w:val="00017ADB"/>
    <w:rsid w:val="00017B97"/>
    <w:rsid w:val="00017CA5"/>
    <w:rsid w:val="00017DB4"/>
    <w:rsid w:val="000200E2"/>
    <w:rsid w:val="000200E4"/>
    <w:rsid w:val="000202CD"/>
    <w:rsid w:val="00020685"/>
    <w:rsid w:val="000208D3"/>
    <w:rsid w:val="00020A23"/>
    <w:rsid w:val="00020B4F"/>
    <w:rsid w:val="00020C6B"/>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CA9"/>
    <w:rsid w:val="00021CD8"/>
    <w:rsid w:val="00021E41"/>
    <w:rsid w:val="00021EA5"/>
    <w:rsid w:val="00022134"/>
    <w:rsid w:val="0002220C"/>
    <w:rsid w:val="00022275"/>
    <w:rsid w:val="0002259D"/>
    <w:rsid w:val="0002277A"/>
    <w:rsid w:val="000227C2"/>
    <w:rsid w:val="0002293D"/>
    <w:rsid w:val="00022968"/>
    <w:rsid w:val="00022A67"/>
    <w:rsid w:val="00022A83"/>
    <w:rsid w:val="00022B04"/>
    <w:rsid w:val="00022C84"/>
    <w:rsid w:val="00022EF2"/>
    <w:rsid w:val="00022FFA"/>
    <w:rsid w:val="0002324C"/>
    <w:rsid w:val="0002328A"/>
    <w:rsid w:val="000232D6"/>
    <w:rsid w:val="00023575"/>
    <w:rsid w:val="00023827"/>
    <w:rsid w:val="000238A9"/>
    <w:rsid w:val="0002396C"/>
    <w:rsid w:val="00023C1F"/>
    <w:rsid w:val="00023C65"/>
    <w:rsid w:val="00023C90"/>
    <w:rsid w:val="00023D4E"/>
    <w:rsid w:val="00023E13"/>
    <w:rsid w:val="00023F62"/>
    <w:rsid w:val="0002404B"/>
    <w:rsid w:val="000244C0"/>
    <w:rsid w:val="0002462A"/>
    <w:rsid w:val="00024909"/>
    <w:rsid w:val="0002494A"/>
    <w:rsid w:val="00024ABB"/>
    <w:rsid w:val="00024C25"/>
    <w:rsid w:val="00024C6C"/>
    <w:rsid w:val="00025031"/>
    <w:rsid w:val="00025058"/>
    <w:rsid w:val="000251EC"/>
    <w:rsid w:val="000252ED"/>
    <w:rsid w:val="0002530F"/>
    <w:rsid w:val="00025598"/>
    <w:rsid w:val="00025872"/>
    <w:rsid w:val="000258B5"/>
    <w:rsid w:val="000259B1"/>
    <w:rsid w:val="00025A16"/>
    <w:rsid w:val="00025A62"/>
    <w:rsid w:val="00025DD3"/>
    <w:rsid w:val="00025E53"/>
    <w:rsid w:val="00025E85"/>
    <w:rsid w:val="00025F06"/>
    <w:rsid w:val="00026088"/>
    <w:rsid w:val="00026109"/>
    <w:rsid w:val="00026284"/>
    <w:rsid w:val="00026451"/>
    <w:rsid w:val="00026611"/>
    <w:rsid w:val="000268C7"/>
    <w:rsid w:val="00026B7B"/>
    <w:rsid w:val="00026C7D"/>
    <w:rsid w:val="00026CFC"/>
    <w:rsid w:val="00026F1B"/>
    <w:rsid w:val="000270DA"/>
    <w:rsid w:val="000271FD"/>
    <w:rsid w:val="00027778"/>
    <w:rsid w:val="000277DD"/>
    <w:rsid w:val="00027982"/>
    <w:rsid w:val="00027D3F"/>
    <w:rsid w:val="00027E1E"/>
    <w:rsid w:val="00027F5C"/>
    <w:rsid w:val="000301F3"/>
    <w:rsid w:val="00030227"/>
    <w:rsid w:val="00030343"/>
    <w:rsid w:val="00030748"/>
    <w:rsid w:val="0003087D"/>
    <w:rsid w:val="0003097D"/>
    <w:rsid w:val="00030A71"/>
    <w:rsid w:val="00030B40"/>
    <w:rsid w:val="00030DB6"/>
    <w:rsid w:val="00030DBF"/>
    <w:rsid w:val="00030E32"/>
    <w:rsid w:val="0003137B"/>
    <w:rsid w:val="000314E5"/>
    <w:rsid w:val="00031570"/>
    <w:rsid w:val="000316C3"/>
    <w:rsid w:val="00031E31"/>
    <w:rsid w:val="00031E33"/>
    <w:rsid w:val="00032173"/>
    <w:rsid w:val="0003220A"/>
    <w:rsid w:val="000325C8"/>
    <w:rsid w:val="00032618"/>
    <w:rsid w:val="000326CB"/>
    <w:rsid w:val="00032707"/>
    <w:rsid w:val="00032850"/>
    <w:rsid w:val="000328E8"/>
    <w:rsid w:val="00032A01"/>
    <w:rsid w:val="00032C17"/>
    <w:rsid w:val="00032CD0"/>
    <w:rsid w:val="00032DBE"/>
    <w:rsid w:val="00033056"/>
    <w:rsid w:val="0003306B"/>
    <w:rsid w:val="000330D8"/>
    <w:rsid w:val="000332FE"/>
    <w:rsid w:val="00033460"/>
    <w:rsid w:val="0003350D"/>
    <w:rsid w:val="0003358F"/>
    <w:rsid w:val="00033713"/>
    <w:rsid w:val="000337E2"/>
    <w:rsid w:val="00033931"/>
    <w:rsid w:val="00033A48"/>
    <w:rsid w:val="00033C38"/>
    <w:rsid w:val="00033DD0"/>
    <w:rsid w:val="00033E05"/>
    <w:rsid w:val="00033EEE"/>
    <w:rsid w:val="00033F4D"/>
    <w:rsid w:val="00033FC9"/>
    <w:rsid w:val="000340D7"/>
    <w:rsid w:val="00034161"/>
    <w:rsid w:val="000341BA"/>
    <w:rsid w:val="00034428"/>
    <w:rsid w:val="000344AD"/>
    <w:rsid w:val="000344D5"/>
    <w:rsid w:val="0003452E"/>
    <w:rsid w:val="00034560"/>
    <w:rsid w:val="000345D0"/>
    <w:rsid w:val="00034625"/>
    <w:rsid w:val="00034638"/>
    <w:rsid w:val="00034AC7"/>
    <w:rsid w:val="00034B77"/>
    <w:rsid w:val="00034C0A"/>
    <w:rsid w:val="00034D36"/>
    <w:rsid w:val="00035031"/>
    <w:rsid w:val="00035218"/>
    <w:rsid w:val="00035300"/>
    <w:rsid w:val="0003532B"/>
    <w:rsid w:val="00035386"/>
    <w:rsid w:val="00035654"/>
    <w:rsid w:val="00035780"/>
    <w:rsid w:val="00035956"/>
    <w:rsid w:val="00035A3D"/>
    <w:rsid w:val="00035CB8"/>
    <w:rsid w:val="00035DDB"/>
    <w:rsid w:val="00035E04"/>
    <w:rsid w:val="00035E7E"/>
    <w:rsid w:val="0003607B"/>
    <w:rsid w:val="0003608B"/>
    <w:rsid w:val="000360DD"/>
    <w:rsid w:val="00036409"/>
    <w:rsid w:val="00036549"/>
    <w:rsid w:val="000369F8"/>
    <w:rsid w:val="00036A25"/>
    <w:rsid w:val="00036A7A"/>
    <w:rsid w:val="00036A9A"/>
    <w:rsid w:val="00036B55"/>
    <w:rsid w:val="00036B9F"/>
    <w:rsid w:val="00036C77"/>
    <w:rsid w:val="00036D70"/>
    <w:rsid w:val="00037050"/>
    <w:rsid w:val="000370DA"/>
    <w:rsid w:val="0003710B"/>
    <w:rsid w:val="000371B2"/>
    <w:rsid w:val="000371F4"/>
    <w:rsid w:val="00037246"/>
    <w:rsid w:val="00037384"/>
    <w:rsid w:val="000373D8"/>
    <w:rsid w:val="0003771F"/>
    <w:rsid w:val="000377ED"/>
    <w:rsid w:val="00037882"/>
    <w:rsid w:val="000379B1"/>
    <w:rsid w:val="00037A1D"/>
    <w:rsid w:val="00037B11"/>
    <w:rsid w:val="00037B84"/>
    <w:rsid w:val="00037DF8"/>
    <w:rsid w:val="00040014"/>
    <w:rsid w:val="0004028B"/>
    <w:rsid w:val="00040317"/>
    <w:rsid w:val="00040337"/>
    <w:rsid w:val="000406CC"/>
    <w:rsid w:val="00040726"/>
    <w:rsid w:val="00040774"/>
    <w:rsid w:val="00040796"/>
    <w:rsid w:val="0004083A"/>
    <w:rsid w:val="00040AC4"/>
    <w:rsid w:val="00040FEC"/>
    <w:rsid w:val="00041062"/>
    <w:rsid w:val="00041132"/>
    <w:rsid w:val="000411C3"/>
    <w:rsid w:val="000413C5"/>
    <w:rsid w:val="000414F6"/>
    <w:rsid w:val="00041E9C"/>
    <w:rsid w:val="00042154"/>
    <w:rsid w:val="000421F2"/>
    <w:rsid w:val="00042F4A"/>
    <w:rsid w:val="00042F90"/>
    <w:rsid w:val="000431F6"/>
    <w:rsid w:val="000437BD"/>
    <w:rsid w:val="000437FE"/>
    <w:rsid w:val="00043A4A"/>
    <w:rsid w:val="00043BA1"/>
    <w:rsid w:val="00043BCB"/>
    <w:rsid w:val="00043D80"/>
    <w:rsid w:val="00043DCF"/>
    <w:rsid w:val="00043F5F"/>
    <w:rsid w:val="00044261"/>
    <w:rsid w:val="00044273"/>
    <w:rsid w:val="00044674"/>
    <w:rsid w:val="000448EA"/>
    <w:rsid w:val="00044B0F"/>
    <w:rsid w:val="00044E8B"/>
    <w:rsid w:val="00044FA7"/>
    <w:rsid w:val="00044FFC"/>
    <w:rsid w:val="00045016"/>
    <w:rsid w:val="000450D4"/>
    <w:rsid w:val="000452CB"/>
    <w:rsid w:val="0004562D"/>
    <w:rsid w:val="00045883"/>
    <w:rsid w:val="000459E2"/>
    <w:rsid w:val="00045E30"/>
    <w:rsid w:val="00045E90"/>
    <w:rsid w:val="00045F99"/>
    <w:rsid w:val="00046143"/>
    <w:rsid w:val="000462F0"/>
    <w:rsid w:val="000463E4"/>
    <w:rsid w:val="0004665B"/>
    <w:rsid w:val="00046751"/>
    <w:rsid w:val="00046D83"/>
    <w:rsid w:val="00046EBC"/>
    <w:rsid w:val="00047210"/>
    <w:rsid w:val="000472DF"/>
    <w:rsid w:val="00047596"/>
    <w:rsid w:val="00047679"/>
    <w:rsid w:val="000476FC"/>
    <w:rsid w:val="00047784"/>
    <w:rsid w:val="0004780A"/>
    <w:rsid w:val="0004787E"/>
    <w:rsid w:val="000478EE"/>
    <w:rsid w:val="00047A3E"/>
    <w:rsid w:val="00047AD7"/>
    <w:rsid w:val="00047C26"/>
    <w:rsid w:val="00047C77"/>
    <w:rsid w:val="00047C9E"/>
    <w:rsid w:val="00047D50"/>
    <w:rsid w:val="00047E5F"/>
    <w:rsid w:val="0005003E"/>
    <w:rsid w:val="000501E0"/>
    <w:rsid w:val="000502DF"/>
    <w:rsid w:val="000506C7"/>
    <w:rsid w:val="000508BD"/>
    <w:rsid w:val="00050987"/>
    <w:rsid w:val="00050A67"/>
    <w:rsid w:val="00050C15"/>
    <w:rsid w:val="00051026"/>
    <w:rsid w:val="000510C0"/>
    <w:rsid w:val="0005179A"/>
    <w:rsid w:val="000517F3"/>
    <w:rsid w:val="00051B22"/>
    <w:rsid w:val="00051DD4"/>
    <w:rsid w:val="00051E53"/>
    <w:rsid w:val="00051EDB"/>
    <w:rsid w:val="00052041"/>
    <w:rsid w:val="000523AD"/>
    <w:rsid w:val="000523D0"/>
    <w:rsid w:val="000525B2"/>
    <w:rsid w:val="0005277C"/>
    <w:rsid w:val="000527D6"/>
    <w:rsid w:val="0005287F"/>
    <w:rsid w:val="00052AAA"/>
    <w:rsid w:val="00052C13"/>
    <w:rsid w:val="00052E51"/>
    <w:rsid w:val="000530C4"/>
    <w:rsid w:val="00053179"/>
    <w:rsid w:val="0005321F"/>
    <w:rsid w:val="00053228"/>
    <w:rsid w:val="0005352A"/>
    <w:rsid w:val="000535DB"/>
    <w:rsid w:val="0005363C"/>
    <w:rsid w:val="00053649"/>
    <w:rsid w:val="000536A1"/>
    <w:rsid w:val="000536B1"/>
    <w:rsid w:val="00053994"/>
    <w:rsid w:val="00053E3B"/>
    <w:rsid w:val="00053FA3"/>
    <w:rsid w:val="0005428A"/>
    <w:rsid w:val="000542E5"/>
    <w:rsid w:val="0005436D"/>
    <w:rsid w:val="0005445E"/>
    <w:rsid w:val="000544D0"/>
    <w:rsid w:val="00054566"/>
    <w:rsid w:val="000545A9"/>
    <w:rsid w:val="00054879"/>
    <w:rsid w:val="000548B6"/>
    <w:rsid w:val="000548F9"/>
    <w:rsid w:val="00054B3F"/>
    <w:rsid w:val="00054BE9"/>
    <w:rsid w:val="000550F8"/>
    <w:rsid w:val="00055211"/>
    <w:rsid w:val="00055231"/>
    <w:rsid w:val="000552A2"/>
    <w:rsid w:val="00055394"/>
    <w:rsid w:val="000554B8"/>
    <w:rsid w:val="000555CE"/>
    <w:rsid w:val="00055976"/>
    <w:rsid w:val="00055EC9"/>
    <w:rsid w:val="00055F1A"/>
    <w:rsid w:val="00055FA1"/>
    <w:rsid w:val="00056001"/>
    <w:rsid w:val="000560CB"/>
    <w:rsid w:val="0005628A"/>
    <w:rsid w:val="0005648C"/>
    <w:rsid w:val="000566CE"/>
    <w:rsid w:val="000566D3"/>
    <w:rsid w:val="0005673F"/>
    <w:rsid w:val="00056891"/>
    <w:rsid w:val="000568A9"/>
    <w:rsid w:val="000568E9"/>
    <w:rsid w:val="00056D9B"/>
    <w:rsid w:val="00056F3A"/>
    <w:rsid w:val="00056FC6"/>
    <w:rsid w:val="000570E5"/>
    <w:rsid w:val="00057584"/>
    <w:rsid w:val="000575E7"/>
    <w:rsid w:val="00057683"/>
    <w:rsid w:val="000577A7"/>
    <w:rsid w:val="00057803"/>
    <w:rsid w:val="00057831"/>
    <w:rsid w:val="00057847"/>
    <w:rsid w:val="00057A8B"/>
    <w:rsid w:val="00057B98"/>
    <w:rsid w:val="00057BDE"/>
    <w:rsid w:val="00057CA1"/>
    <w:rsid w:val="000600C3"/>
    <w:rsid w:val="00060167"/>
    <w:rsid w:val="00060264"/>
    <w:rsid w:val="000604BF"/>
    <w:rsid w:val="000604D2"/>
    <w:rsid w:val="0006050D"/>
    <w:rsid w:val="0006059D"/>
    <w:rsid w:val="000605FA"/>
    <w:rsid w:val="000605FC"/>
    <w:rsid w:val="000606F6"/>
    <w:rsid w:val="00060775"/>
    <w:rsid w:val="00060792"/>
    <w:rsid w:val="00060969"/>
    <w:rsid w:val="0006099E"/>
    <w:rsid w:val="000609D6"/>
    <w:rsid w:val="00060BF8"/>
    <w:rsid w:val="000610A9"/>
    <w:rsid w:val="000611FB"/>
    <w:rsid w:val="000613A9"/>
    <w:rsid w:val="00061585"/>
    <w:rsid w:val="000617AA"/>
    <w:rsid w:val="0006187D"/>
    <w:rsid w:val="0006194F"/>
    <w:rsid w:val="00061B8E"/>
    <w:rsid w:val="00061C5B"/>
    <w:rsid w:val="00061D0F"/>
    <w:rsid w:val="00061D50"/>
    <w:rsid w:val="00061D97"/>
    <w:rsid w:val="00061D9D"/>
    <w:rsid w:val="00061F2F"/>
    <w:rsid w:val="00062132"/>
    <w:rsid w:val="00062324"/>
    <w:rsid w:val="00062345"/>
    <w:rsid w:val="00062467"/>
    <w:rsid w:val="00062ADF"/>
    <w:rsid w:val="00062B59"/>
    <w:rsid w:val="00062CB6"/>
    <w:rsid w:val="00062D04"/>
    <w:rsid w:val="00062D9F"/>
    <w:rsid w:val="00062E19"/>
    <w:rsid w:val="00063314"/>
    <w:rsid w:val="000634DD"/>
    <w:rsid w:val="000635C3"/>
    <w:rsid w:val="000636E6"/>
    <w:rsid w:val="00063717"/>
    <w:rsid w:val="00063A3C"/>
    <w:rsid w:val="00063A84"/>
    <w:rsid w:val="00063C8D"/>
    <w:rsid w:val="00063D38"/>
    <w:rsid w:val="00063EE1"/>
    <w:rsid w:val="00064080"/>
    <w:rsid w:val="00064199"/>
    <w:rsid w:val="00064457"/>
    <w:rsid w:val="0006459C"/>
    <w:rsid w:val="0006466C"/>
    <w:rsid w:val="00064BE4"/>
    <w:rsid w:val="00064C96"/>
    <w:rsid w:val="000651B6"/>
    <w:rsid w:val="000651EB"/>
    <w:rsid w:val="00065203"/>
    <w:rsid w:val="00065505"/>
    <w:rsid w:val="0006589D"/>
    <w:rsid w:val="00065964"/>
    <w:rsid w:val="00065B90"/>
    <w:rsid w:val="00065BF2"/>
    <w:rsid w:val="00065C50"/>
    <w:rsid w:val="00065D44"/>
    <w:rsid w:val="00065E76"/>
    <w:rsid w:val="00065EDA"/>
    <w:rsid w:val="000662D6"/>
    <w:rsid w:val="00066309"/>
    <w:rsid w:val="00066495"/>
    <w:rsid w:val="000664EF"/>
    <w:rsid w:val="00066575"/>
    <w:rsid w:val="00066590"/>
    <w:rsid w:val="00066A69"/>
    <w:rsid w:val="00066E37"/>
    <w:rsid w:val="00066F1F"/>
    <w:rsid w:val="00066F58"/>
    <w:rsid w:val="000670BA"/>
    <w:rsid w:val="0006728D"/>
    <w:rsid w:val="000672E3"/>
    <w:rsid w:val="00067DE7"/>
    <w:rsid w:val="00067F84"/>
    <w:rsid w:val="000702C3"/>
    <w:rsid w:val="00070322"/>
    <w:rsid w:val="00070343"/>
    <w:rsid w:val="000703F3"/>
    <w:rsid w:val="00070451"/>
    <w:rsid w:val="0007048A"/>
    <w:rsid w:val="000706E4"/>
    <w:rsid w:val="00070734"/>
    <w:rsid w:val="0007076D"/>
    <w:rsid w:val="000707F8"/>
    <w:rsid w:val="00070B0B"/>
    <w:rsid w:val="00070E79"/>
    <w:rsid w:val="0007113F"/>
    <w:rsid w:val="0007114F"/>
    <w:rsid w:val="00071633"/>
    <w:rsid w:val="000716C3"/>
    <w:rsid w:val="000719B4"/>
    <w:rsid w:val="00071A98"/>
    <w:rsid w:val="00071B0E"/>
    <w:rsid w:val="00071F1E"/>
    <w:rsid w:val="00072017"/>
    <w:rsid w:val="00072065"/>
    <w:rsid w:val="0007216E"/>
    <w:rsid w:val="000723E2"/>
    <w:rsid w:val="0007255D"/>
    <w:rsid w:val="000727C2"/>
    <w:rsid w:val="00072DB0"/>
    <w:rsid w:val="00072F04"/>
    <w:rsid w:val="00072F4D"/>
    <w:rsid w:val="00073010"/>
    <w:rsid w:val="000731ED"/>
    <w:rsid w:val="000732CB"/>
    <w:rsid w:val="000733BC"/>
    <w:rsid w:val="00073403"/>
    <w:rsid w:val="0007349A"/>
    <w:rsid w:val="00073549"/>
    <w:rsid w:val="0007355F"/>
    <w:rsid w:val="000737AE"/>
    <w:rsid w:val="000738B7"/>
    <w:rsid w:val="00073A12"/>
    <w:rsid w:val="00073A2B"/>
    <w:rsid w:val="00073A8B"/>
    <w:rsid w:val="00073DB7"/>
    <w:rsid w:val="00074078"/>
    <w:rsid w:val="000740BD"/>
    <w:rsid w:val="000740F7"/>
    <w:rsid w:val="0007427D"/>
    <w:rsid w:val="0007428E"/>
    <w:rsid w:val="000742A8"/>
    <w:rsid w:val="000744A2"/>
    <w:rsid w:val="000744EB"/>
    <w:rsid w:val="000746DA"/>
    <w:rsid w:val="00074715"/>
    <w:rsid w:val="0007472F"/>
    <w:rsid w:val="00074C40"/>
    <w:rsid w:val="000752EE"/>
    <w:rsid w:val="00075373"/>
    <w:rsid w:val="00075375"/>
    <w:rsid w:val="00075536"/>
    <w:rsid w:val="00075688"/>
    <w:rsid w:val="000756BC"/>
    <w:rsid w:val="000759F0"/>
    <w:rsid w:val="00075A9B"/>
    <w:rsid w:val="00075B9F"/>
    <w:rsid w:val="00075DF6"/>
    <w:rsid w:val="00075F0F"/>
    <w:rsid w:val="0007610D"/>
    <w:rsid w:val="000761D5"/>
    <w:rsid w:val="00076360"/>
    <w:rsid w:val="0007644D"/>
    <w:rsid w:val="000765A8"/>
    <w:rsid w:val="000767C0"/>
    <w:rsid w:val="00076A8F"/>
    <w:rsid w:val="00076C06"/>
    <w:rsid w:val="00076C87"/>
    <w:rsid w:val="00076CB3"/>
    <w:rsid w:val="00076DEE"/>
    <w:rsid w:val="00077282"/>
    <w:rsid w:val="00077B0F"/>
    <w:rsid w:val="00077BFF"/>
    <w:rsid w:val="00077D2D"/>
    <w:rsid w:val="00077ED3"/>
    <w:rsid w:val="00080306"/>
    <w:rsid w:val="0008030B"/>
    <w:rsid w:val="000806B6"/>
    <w:rsid w:val="0008073C"/>
    <w:rsid w:val="000807A0"/>
    <w:rsid w:val="0008083D"/>
    <w:rsid w:val="00080A8E"/>
    <w:rsid w:val="00080CBD"/>
    <w:rsid w:val="00080DD2"/>
    <w:rsid w:val="00080DEF"/>
    <w:rsid w:val="00081361"/>
    <w:rsid w:val="00081443"/>
    <w:rsid w:val="0008145C"/>
    <w:rsid w:val="00081520"/>
    <w:rsid w:val="0008170F"/>
    <w:rsid w:val="00081A3F"/>
    <w:rsid w:val="00081BD7"/>
    <w:rsid w:val="00081FF5"/>
    <w:rsid w:val="000821E8"/>
    <w:rsid w:val="00082643"/>
    <w:rsid w:val="000827B9"/>
    <w:rsid w:val="000827F6"/>
    <w:rsid w:val="00082890"/>
    <w:rsid w:val="00082BF7"/>
    <w:rsid w:val="000830E5"/>
    <w:rsid w:val="000830EE"/>
    <w:rsid w:val="000832A2"/>
    <w:rsid w:val="0008333B"/>
    <w:rsid w:val="00083366"/>
    <w:rsid w:val="0008339B"/>
    <w:rsid w:val="00083405"/>
    <w:rsid w:val="000834B3"/>
    <w:rsid w:val="000834F3"/>
    <w:rsid w:val="0008369C"/>
    <w:rsid w:val="000836AE"/>
    <w:rsid w:val="000839D6"/>
    <w:rsid w:val="000839F4"/>
    <w:rsid w:val="00083A18"/>
    <w:rsid w:val="00083B14"/>
    <w:rsid w:val="00083B33"/>
    <w:rsid w:val="00083BC8"/>
    <w:rsid w:val="00083E79"/>
    <w:rsid w:val="00083EB3"/>
    <w:rsid w:val="00083EEC"/>
    <w:rsid w:val="000840CD"/>
    <w:rsid w:val="0008412A"/>
    <w:rsid w:val="00084621"/>
    <w:rsid w:val="000847AB"/>
    <w:rsid w:val="00084883"/>
    <w:rsid w:val="000849C3"/>
    <w:rsid w:val="00084A43"/>
    <w:rsid w:val="00084AAF"/>
    <w:rsid w:val="00084BC8"/>
    <w:rsid w:val="00084CB7"/>
    <w:rsid w:val="00084D3E"/>
    <w:rsid w:val="00084FA5"/>
    <w:rsid w:val="00085308"/>
    <w:rsid w:val="0008587F"/>
    <w:rsid w:val="00085C35"/>
    <w:rsid w:val="00085F37"/>
    <w:rsid w:val="00085FE8"/>
    <w:rsid w:val="00086091"/>
    <w:rsid w:val="000861DD"/>
    <w:rsid w:val="000861E4"/>
    <w:rsid w:val="000862C9"/>
    <w:rsid w:val="0008643C"/>
    <w:rsid w:val="000864C9"/>
    <w:rsid w:val="000864F3"/>
    <w:rsid w:val="000865F0"/>
    <w:rsid w:val="000867BB"/>
    <w:rsid w:val="0008686A"/>
    <w:rsid w:val="00086875"/>
    <w:rsid w:val="00086B90"/>
    <w:rsid w:val="00086BB1"/>
    <w:rsid w:val="00086C2D"/>
    <w:rsid w:val="00086D3E"/>
    <w:rsid w:val="00086E78"/>
    <w:rsid w:val="00086EAC"/>
    <w:rsid w:val="00086F61"/>
    <w:rsid w:val="000870A6"/>
    <w:rsid w:val="0008712A"/>
    <w:rsid w:val="00087243"/>
    <w:rsid w:val="00087465"/>
    <w:rsid w:val="000875F3"/>
    <w:rsid w:val="000878C0"/>
    <w:rsid w:val="00087B9D"/>
    <w:rsid w:val="00087C51"/>
    <w:rsid w:val="00087CF5"/>
    <w:rsid w:val="00087D0D"/>
    <w:rsid w:val="00090161"/>
    <w:rsid w:val="00090206"/>
    <w:rsid w:val="0009029D"/>
    <w:rsid w:val="0009029F"/>
    <w:rsid w:val="0009039F"/>
    <w:rsid w:val="0009041C"/>
    <w:rsid w:val="00090513"/>
    <w:rsid w:val="00090635"/>
    <w:rsid w:val="00090C1B"/>
    <w:rsid w:val="00090C25"/>
    <w:rsid w:val="00090CC5"/>
    <w:rsid w:val="00090F99"/>
    <w:rsid w:val="0009101D"/>
    <w:rsid w:val="000911A9"/>
    <w:rsid w:val="000912C6"/>
    <w:rsid w:val="000912E0"/>
    <w:rsid w:val="0009160B"/>
    <w:rsid w:val="000916DD"/>
    <w:rsid w:val="00091826"/>
    <w:rsid w:val="00091A25"/>
    <w:rsid w:val="00091B37"/>
    <w:rsid w:val="00091B3E"/>
    <w:rsid w:val="00091C51"/>
    <w:rsid w:val="00091ED6"/>
    <w:rsid w:val="0009209D"/>
    <w:rsid w:val="000920C4"/>
    <w:rsid w:val="00092155"/>
    <w:rsid w:val="0009221E"/>
    <w:rsid w:val="0009261A"/>
    <w:rsid w:val="000929F0"/>
    <w:rsid w:val="00092AD0"/>
    <w:rsid w:val="00092C7B"/>
    <w:rsid w:val="00092E3B"/>
    <w:rsid w:val="00092E6F"/>
    <w:rsid w:val="00092EEE"/>
    <w:rsid w:val="00092FA4"/>
    <w:rsid w:val="000930C6"/>
    <w:rsid w:val="00093302"/>
    <w:rsid w:val="00093334"/>
    <w:rsid w:val="0009337B"/>
    <w:rsid w:val="000934BD"/>
    <w:rsid w:val="000934C5"/>
    <w:rsid w:val="000934F1"/>
    <w:rsid w:val="000935F9"/>
    <w:rsid w:val="00093654"/>
    <w:rsid w:val="00093687"/>
    <w:rsid w:val="0009371C"/>
    <w:rsid w:val="0009383C"/>
    <w:rsid w:val="00093904"/>
    <w:rsid w:val="00093DCA"/>
    <w:rsid w:val="00093E0C"/>
    <w:rsid w:val="00093EFA"/>
    <w:rsid w:val="00093FC8"/>
    <w:rsid w:val="0009437B"/>
    <w:rsid w:val="0009441B"/>
    <w:rsid w:val="000945ED"/>
    <w:rsid w:val="00094885"/>
    <w:rsid w:val="00094916"/>
    <w:rsid w:val="00094AF6"/>
    <w:rsid w:val="00094BAA"/>
    <w:rsid w:val="00094BF5"/>
    <w:rsid w:val="00094F39"/>
    <w:rsid w:val="00095337"/>
    <w:rsid w:val="0009573F"/>
    <w:rsid w:val="0009577B"/>
    <w:rsid w:val="0009591E"/>
    <w:rsid w:val="0009598B"/>
    <w:rsid w:val="000959B5"/>
    <w:rsid w:val="00095AF6"/>
    <w:rsid w:val="00095C96"/>
    <w:rsid w:val="000960AB"/>
    <w:rsid w:val="00096162"/>
    <w:rsid w:val="0009624D"/>
    <w:rsid w:val="00096299"/>
    <w:rsid w:val="00096591"/>
    <w:rsid w:val="0009670F"/>
    <w:rsid w:val="000967C9"/>
    <w:rsid w:val="000967E9"/>
    <w:rsid w:val="0009687B"/>
    <w:rsid w:val="0009688D"/>
    <w:rsid w:val="00096966"/>
    <w:rsid w:val="00096992"/>
    <w:rsid w:val="00096AAC"/>
    <w:rsid w:val="00096ABA"/>
    <w:rsid w:val="00096CE7"/>
    <w:rsid w:val="00096F13"/>
    <w:rsid w:val="00096F6F"/>
    <w:rsid w:val="00096FD5"/>
    <w:rsid w:val="0009715E"/>
    <w:rsid w:val="00097499"/>
    <w:rsid w:val="00097792"/>
    <w:rsid w:val="000977C7"/>
    <w:rsid w:val="0009787E"/>
    <w:rsid w:val="000978E4"/>
    <w:rsid w:val="00097BB7"/>
    <w:rsid w:val="000A001F"/>
    <w:rsid w:val="000A00A7"/>
    <w:rsid w:val="000A03CE"/>
    <w:rsid w:val="000A03F0"/>
    <w:rsid w:val="000A0589"/>
    <w:rsid w:val="000A0680"/>
    <w:rsid w:val="000A07BA"/>
    <w:rsid w:val="000A0837"/>
    <w:rsid w:val="000A0BBD"/>
    <w:rsid w:val="000A0D60"/>
    <w:rsid w:val="000A0F86"/>
    <w:rsid w:val="000A1106"/>
    <w:rsid w:val="000A128F"/>
    <w:rsid w:val="000A1347"/>
    <w:rsid w:val="000A17ED"/>
    <w:rsid w:val="000A1880"/>
    <w:rsid w:val="000A1955"/>
    <w:rsid w:val="000A1D10"/>
    <w:rsid w:val="000A1E39"/>
    <w:rsid w:val="000A1F7A"/>
    <w:rsid w:val="000A2044"/>
    <w:rsid w:val="000A21BA"/>
    <w:rsid w:val="000A22B7"/>
    <w:rsid w:val="000A22F9"/>
    <w:rsid w:val="000A23FB"/>
    <w:rsid w:val="000A28D5"/>
    <w:rsid w:val="000A29B6"/>
    <w:rsid w:val="000A2A1F"/>
    <w:rsid w:val="000A2BDA"/>
    <w:rsid w:val="000A2C6A"/>
    <w:rsid w:val="000A2F19"/>
    <w:rsid w:val="000A2FC0"/>
    <w:rsid w:val="000A308B"/>
    <w:rsid w:val="000A31BD"/>
    <w:rsid w:val="000A34FE"/>
    <w:rsid w:val="000A35D9"/>
    <w:rsid w:val="000A36A3"/>
    <w:rsid w:val="000A3747"/>
    <w:rsid w:val="000A3989"/>
    <w:rsid w:val="000A3F36"/>
    <w:rsid w:val="000A416A"/>
    <w:rsid w:val="000A4426"/>
    <w:rsid w:val="000A49B8"/>
    <w:rsid w:val="000A4BC1"/>
    <w:rsid w:val="000A4E4B"/>
    <w:rsid w:val="000A5045"/>
    <w:rsid w:val="000A52A4"/>
    <w:rsid w:val="000A5320"/>
    <w:rsid w:val="000A5673"/>
    <w:rsid w:val="000A56DB"/>
    <w:rsid w:val="000A6007"/>
    <w:rsid w:val="000A625B"/>
    <w:rsid w:val="000A63BA"/>
    <w:rsid w:val="000A63D3"/>
    <w:rsid w:val="000A640E"/>
    <w:rsid w:val="000A6470"/>
    <w:rsid w:val="000A6476"/>
    <w:rsid w:val="000A66D4"/>
    <w:rsid w:val="000A674E"/>
    <w:rsid w:val="000A6930"/>
    <w:rsid w:val="000A69F3"/>
    <w:rsid w:val="000A6A99"/>
    <w:rsid w:val="000A6AD9"/>
    <w:rsid w:val="000A6C12"/>
    <w:rsid w:val="000A6FB9"/>
    <w:rsid w:val="000A76A3"/>
    <w:rsid w:val="000A77DA"/>
    <w:rsid w:val="000A77E2"/>
    <w:rsid w:val="000A7848"/>
    <w:rsid w:val="000A7A43"/>
    <w:rsid w:val="000A7A7B"/>
    <w:rsid w:val="000A7C19"/>
    <w:rsid w:val="000A7D5A"/>
    <w:rsid w:val="000A7EE9"/>
    <w:rsid w:val="000A7F34"/>
    <w:rsid w:val="000B0046"/>
    <w:rsid w:val="000B00B6"/>
    <w:rsid w:val="000B028E"/>
    <w:rsid w:val="000B0452"/>
    <w:rsid w:val="000B0BAC"/>
    <w:rsid w:val="000B0C00"/>
    <w:rsid w:val="000B0D88"/>
    <w:rsid w:val="000B0DA1"/>
    <w:rsid w:val="000B0E14"/>
    <w:rsid w:val="000B0F71"/>
    <w:rsid w:val="000B0FCE"/>
    <w:rsid w:val="000B10F2"/>
    <w:rsid w:val="000B1181"/>
    <w:rsid w:val="000B1567"/>
    <w:rsid w:val="000B1576"/>
    <w:rsid w:val="000B191D"/>
    <w:rsid w:val="000B199D"/>
    <w:rsid w:val="000B1AB7"/>
    <w:rsid w:val="000B1C74"/>
    <w:rsid w:val="000B20F0"/>
    <w:rsid w:val="000B2BBC"/>
    <w:rsid w:val="000B2FA6"/>
    <w:rsid w:val="000B31B4"/>
    <w:rsid w:val="000B33C3"/>
    <w:rsid w:val="000B357A"/>
    <w:rsid w:val="000B376D"/>
    <w:rsid w:val="000B37D7"/>
    <w:rsid w:val="000B38D7"/>
    <w:rsid w:val="000B38EF"/>
    <w:rsid w:val="000B3B3C"/>
    <w:rsid w:val="000B3E61"/>
    <w:rsid w:val="000B401B"/>
    <w:rsid w:val="000B41EC"/>
    <w:rsid w:val="000B4306"/>
    <w:rsid w:val="000B446B"/>
    <w:rsid w:val="000B471A"/>
    <w:rsid w:val="000B4A50"/>
    <w:rsid w:val="000B4CC8"/>
    <w:rsid w:val="000B4FB3"/>
    <w:rsid w:val="000B5036"/>
    <w:rsid w:val="000B5347"/>
    <w:rsid w:val="000B53E9"/>
    <w:rsid w:val="000B54A9"/>
    <w:rsid w:val="000B5562"/>
    <w:rsid w:val="000B5647"/>
    <w:rsid w:val="000B578C"/>
    <w:rsid w:val="000B59A8"/>
    <w:rsid w:val="000B5C03"/>
    <w:rsid w:val="000B5DBF"/>
    <w:rsid w:val="000B5EF5"/>
    <w:rsid w:val="000B6055"/>
    <w:rsid w:val="000B609D"/>
    <w:rsid w:val="000B6892"/>
    <w:rsid w:val="000B6DBF"/>
    <w:rsid w:val="000B7042"/>
    <w:rsid w:val="000B728A"/>
    <w:rsid w:val="000B7393"/>
    <w:rsid w:val="000B73E6"/>
    <w:rsid w:val="000B760E"/>
    <w:rsid w:val="000B7667"/>
    <w:rsid w:val="000B7938"/>
    <w:rsid w:val="000B7DA7"/>
    <w:rsid w:val="000B7F13"/>
    <w:rsid w:val="000C004A"/>
    <w:rsid w:val="000C0216"/>
    <w:rsid w:val="000C052D"/>
    <w:rsid w:val="000C060F"/>
    <w:rsid w:val="000C0833"/>
    <w:rsid w:val="000C0998"/>
    <w:rsid w:val="000C0A06"/>
    <w:rsid w:val="000C0CCE"/>
    <w:rsid w:val="000C0F4A"/>
    <w:rsid w:val="000C173D"/>
    <w:rsid w:val="000C17DF"/>
    <w:rsid w:val="000C1ADE"/>
    <w:rsid w:val="000C1B6C"/>
    <w:rsid w:val="000C1DAF"/>
    <w:rsid w:val="000C1F28"/>
    <w:rsid w:val="000C1FAB"/>
    <w:rsid w:val="000C207B"/>
    <w:rsid w:val="000C20D8"/>
    <w:rsid w:val="000C23AC"/>
    <w:rsid w:val="000C24FC"/>
    <w:rsid w:val="000C2506"/>
    <w:rsid w:val="000C2513"/>
    <w:rsid w:val="000C2668"/>
    <w:rsid w:val="000C268F"/>
    <w:rsid w:val="000C27A0"/>
    <w:rsid w:val="000C2E2A"/>
    <w:rsid w:val="000C2F6C"/>
    <w:rsid w:val="000C2F9B"/>
    <w:rsid w:val="000C338D"/>
    <w:rsid w:val="000C347C"/>
    <w:rsid w:val="000C362F"/>
    <w:rsid w:val="000C3BB5"/>
    <w:rsid w:val="000C3D2B"/>
    <w:rsid w:val="000C3DF0"/>
    <w:rsid w:val="000C3EE2"/>
    <w:rsid w:val="000C3EF8"/>
    <w:rsid w:val="000C3F94"/>
    <w:rsid w:val="000C4A49"/>
    <w:rsid w:val="000C4A79"/>
    <w:rsid w:val="000C4B9A"/>
    <w:rsid w:val="000C4D3F"/>
    <w:rsid w:val="000C4FBA"/>
    <w:rsid w:val="000C50B9"/>
    <w:rsid w:val="000C53A3"/>
    <w:rsid w:val="000C54AA"/>
    <w:rsid w:val="000C54D2"/>
    <w:rsid w:val="000C560C"/>
    <w:rsid w:val="000C5629"/>
    <w:rsid w:val="000C57B8"/>
    <w:rsid w:val="000C57D7"/>
    <w:rsid w:val="000C58B2"/>
    <w:rsid w:val="000C5950"/>
    <w:rsid w:val="000C59F4"/>
    <w:rsid w:val="000C5C99"/>
    <w:rsid w:val="000C5D05"/>
    <w:rsid w:val="000C5D55"/>
    <w:rsid w:val="000C605B"/>
    <w:rsid w:val="000C639B"/>
    <w:rsid w:val="000C63B0"/>
    <w:rsid w:val="000C6426"/>
    <w:rsid w:val="000C64CD"/>
    <w:rsid w:val="000C651A"/>
    <w:rsid w:val="000C6851"/>
    <w:rsid w:val="000C6C61"/>
    <w:rsid w:val="000C6CF3"/>
    <w:rsid w:val="000C6F06"/>
    <w:rsid w:val="000C71AD"/>
    <w:rsid w:val="000C7481"/>
    <w:rsid w:val="000C75A6"/>
    <w:rsid w:val="000C7632"/>
    <w:rsid w:val="000C7643"/>
    <w:rsid w:val="000C7894"/>
    <w:rsid w:val="000C78FE"/>
    <w:rsid w:val="000C7B23"/>
    <w:rsid w:val="000D01EF"/>
    <w:rsid w:val="000D04A0"/>
    <w:rsid w:val="000D0541"/>
    <w:rsid w:val="000D0554"/>
    <w:rsid w:val="000D0700"/>
    <w:rsid w:val="000D0747"/>
    <w:rsid w:val="000D087F"/>
    <w:rsid w:val="000D0912"/>
    <w:rsid w:val="000D0A90"/>
    <w:rsid w:val="000D0A9E"/>
    <w:rsid w:val="000D0C2B"/>
    <w:rsid w:val="000D0F3B"/>
    <w:rsid w:val="000D1038"/>
    <w:rsid w:val="000D13AE"/>
    <w:rsid w:val="000D15BF"/>
    <w:rsid w:val="000D1BEA"/>
    <w:rsid w:val="000D1C8C"/>
    <w:rsid w:val="000D1D8D"/>
    <w:rsid w:val="000D1F1B"/>
    <w:rsid w:val="000D1F6E"/>
    <w:rsid w:val="000D20FE"/>
    <w:rsid w:val="000D22E8"/>
    <w:rsid w:val="000D23EE"/>
    <w:rsid w:val="000D286D"/>
    <w:rsid w:val="000D28C0"/>
    <w:rsid w:val="000D291E"/>
    <w:rsid w:val="000D29DB"/>
    <w:rsid w:val="000D2A00"/>
    <w:rsid w:val="000D2C3D"/>
    <w:rsid w:val="000D2D49"/>
    <w:rsid w:val="000D31D3"/>
    <w:rsid w:val="000D3235"/>
    <w:rsid w:val="000D3368"/>
    <w:rsid w:val="000D3463"/>
    <w:rsid w:val="000D3693"/>
    <w:rsid w:val="000D3780"/>
    <w:rsid w:val="000D3809"/>
    <w:rsid w:val="000D3A89"/>
    <w:rsid w:val="000D3D3B"/>
    <w:rsid w:val="000D3ED2"/>
    <w:rsid w:val="000D3FFE"/>
    <w:rsid w:val="000D402D"/>
    <w:rsid w:val="000D4463"/>
    <w:rsid w:val="000D455C"/>
    <w:rsid w:val="000D481F"/>
    <w:rsid w:val="000D49E1"/>
    <w:rsid w:val="000D4A73"/>
    <w:rsid w:val="000D4E35"/>
    <w:rsid w:val="000D4FFB"/>
    <w:rsid w:val="000D5529"/>
    <w:rsid w:val="000D5575"/>
    <w:rsid w:val="000D55CD"/>
    <w:rsid w:val="000D59DC"/>
    <w:rsid w:val="000D5A84"/>
    <w:rsid w:val="000D5AC7"/>
    <w:rsid w:val="000D5AE4"/>
    <w:rsid w:val="000D5DB7"/>
    <w:rsid w:val="000D5E36"/>
    <w:rsid w:val="000D6086"/>
    <w:rsid w:val="000D613A"/>
    <w:rsid w:val="000D61AF"/>
    <w:rsid w:val="000D6586"/>
    <w:rsid w:val="000D667E"/>
    <w:rsid w:val="000D674C"/>
    <w:rsid w:val="000D67F4"/>
    <w:rsid w:val="000D6834"/>
    <w:rsid w:val="000D6887"/>
    <w:rsid w:val="000D6C77"/>
    <w:rsid w:val="000D6ED9"/>
    <w:rsid w:val="000D7215"/>
    <w:rsid w:val="000D7283"/>
    <w:rsid w:val="000D7768"/>
    <w:rsid w:val="000D78D9"/>
    <w:rsid w:val="000D7A13"/>
    <w:rsid w:val="000D7B0C"/>
    <w:rsid w:val="000D7F31"/>
    <w:rsid w:val="000E0015"/>
    <w:rsid w:val="000E005C"/>
    <w:rsid w:val="000E0207"/>
    <w:rsid w:val="000E0376"/>
    <w:rsid w:val="000E0486"/>
    <w:rsid w:val="000E0695"/>
    <w:rsid w:val="000E0763"/>
    <w:rsid w:val="000E07DF"/>
    <w:rsid w:val="000E0D91"/>
    <w:rsid w:val="000E0D9C"/>
    <w:rsid w:val="000E0DF9"/>
    <w:rsid w:val="000E0E12"/>
    <w:rsid w:val="000E101F"/>
    <w:rsid w:val="000E116B"/>
    <w:rsid w:val="000E1392"/>
    <w:rsid w:val="000E1437"/>
    <w:rsid w:val="000E1892"/>
    <w:rsid w:val="000E18B8"/>
    <w:rsid w:val="000E18BC"/>
    <w:rsid w:val="000E1AD3"/>
    <w:rsid w:val="000E1CAB"/>
    <w:rsid w:val="000E1D70"/>
    <w:rsid w:val="000E1D9D"/>
    <w:rsid w:val="000E2089"/>
    <w:rsid w:val="000E2183"/>
    <w:rsid w:val="000E23D3"/>
    <w:rsid w:val="000E25C0"/>
    <w:rsid w:val="000E26BC"/>
    <w:rsid w:val="000E27DF"/>
    <w:rsid w:val="000E2A90"/>
    <w:rsid w:val="000E2AAE"/>
    <w:rsid w:val="000E2B78"/>
    <w:rsid w:val="000E2C14"/>
    <w:rsid w:val="000E2C30"/>
    <w:rsid w:val="000E2D2F"/>
    <w:rsid w:val="000E2D90"/>
    <w:rsid w:val="000E2DC4"/>
    <w:rsid w:val="000E309F"/>
    <w:rsid w:val="000E31EE"/>
    <w:rsid w:val="000E31F6"/>
    <w:rsid w:val="000E332D"/>
    <w:rsid w:val="000E3471"/>
    <w:rsid w:val="000E3615"/>
    <w:rsid w:val="000E3781"/>
    <w:rsid w:val="000E3AE7"/>
    <w:rsid w:val="000E3BB9"/>
    <w:rsid w:val="000E3C51"/>
    <w:rsid w:val="000E3D13"/>
    <w:rsid w:val="000E3DF1"/>
    <w:rsid w:val="000E3F76"/>
    <w:rsid w:val="000E3F7B"/>
    <w:rsid w:val="000E3FF0"/>
    <w:rsid w:val="000E416A"/>
    <w:rsid w:val="000E423E"/>
    <w:rsid w:val="000E44A7"/>
    <w:rsid w:val="000E4E88"/>
    <w:rsid w:val="000E4EC7"/>
    <w:rsid w:val="000E4ECC"/>
    <w:rsid w:val="000E508D"/>
    <w:rsid w:val="000E5163"/>
    <w:rsid w:val="000E5204"/>
    <w:rsid w:val="000E5237"/>
    <w:rsid w:val="000E52DE"/>
    <w:rsid w:val="000E560B"/>
    <w:rsid w:val="000E5639"/>
    <w:rsid w:val="000E5683"/>
    <w:rsid w:val="000E58B8"/>
    <w:rsid w:val="000E5A48"/>
    <w:rsid w:val="000E648C"/>
    <w:rsid w:val="000E6526"/>
    <w:rsid w:val="000E6616"/>
    <w:rsid w:val="000E6704"/>
    <w:rsid w:val="000E67AE"/>
    <w:rsid w:val="000E6802"/>
    <w:rsid w:val="000E6A12"/>
    <w:rsid w:val="000E6B1A"/>
    <w:rsid w:val="000E6BBC"/>
    <w:rsid w:val="000E6BF4"/>
    <w:rsid w:val="000E6C61"/>
    <w:rsid w:val="000E6DD9"/>
    <w:rsid w:val="000E6E61"/>
    <w:rsid w:val="000E6E91"/>
    <w:rsid w:val="000E6F30"/>
    <w:rsid w:val="000E6F8C"/>
    <w:rsid w:val="000E7246"/>
    <w:rsid w:val="000E73C9"/>
    <w:rsid w:val="000E759F"/>
    <w:rsid w:val="000E75A6"/>
    <w:rsid w:val="000E777E"/>
    <w:rsid w:val="000E7954"/>
    <w:rsid w:val="000E7C4A"/>
    <w:rsid w:val="000E7E18"/>
    <w:rsid w:val="000E7EC2"/>
    <w:rsid w:val="000F009D"/>
    <w:rsid w:val="000F0251"/>
    <w:rsid w:val="000F0293"/>
    <w:rsid w:val="000F04F2"/>
    <w:rsid w:val="000F09EE"/>
    <w:rsid w:val="000F0B14"/>
    <w:rsid w:val="000F0B2D"/>
    <w:rsid w:val="000F0B74"/>
    <w:rsid w:val="000F0BEB"/>
    <w:rsid w:val="000F0C60"/>
    <w:rsid w:val="000F0F06"/>
    <w:rsid w:val="000F1190"/>
    <w:rsid w:val="000F1276"/>
    <w:rsid w:val="000F1374"/>
    <w:rsid w:val="000F14A8"/>
    <w:rsid w:val="000F151D"/>
    <w:rsid w:val="000F1930"/>
    <w:rsid w:val="000F1C22"/>
    <w:rsid w:val="000F1C94"/>
    <w:rsid w:val="000F203E"/>
    <w:rsid w:val="000F2261"/>
    <w:rsid w:val="000F247D"/>
    <w:rsid w:val="000F2558"/>
    <w:rsid w:val="000F29D2"/>
    <w:rsid w:val="000F29F3"/>
    <w:rsid w:val="000F2B25"/>
    <w:rsid w:val="000F2B83"/>
    <w:rsid w:val="000F2C29"/>
    <w:rsid w:val="000F3251"/>
    <w:rsid w:val="000F3333"/>
    <w:rsid w:val="000F3388"/>
    <w:rsid w:val="000F33F7"/>
    <w:rsid w:val="000F35CA"/>
    <w:rsid w:val="000F35F7"/>
    <w:rsid w:val="000F3A1B"/>
    <w:rsid w:val="000F3D89"/>
    <w:rsid w:val="000F3E76"/>
    <w:rsid w:val="000F3F53"/>
    <w:rsid w:val="000F3F7C"/>
    <w:rsid w:val="000F41D3"/>
    <w:rsid w:val="000F4352"/>
    <w:rsid w:val="000F45CA"/>
    <w:rsid w:val="000F47C0"/>
    <w:rsid w:val="000F4827"/>
    <w:rsid w:val="000F4BB4"/>
    <w:rsid w:val="000F4DF7"/>
    <w:rsid w:val="000F4E1D"/>
    <w:rsid w:val="000F4FCC"/>
    <w:rsid w:val="000F50E8"/>
    <w:rsid w:val="000F518B"/>
    <w:rsid w:val="000F5568"/>
    <w:rsid w:val="000F558C"/>
    <w:rsid w:val="000F56E6"/>
    <w:rsid w:val="000F56F1"/>
    <w:rsid w:val="000F57CC"/>
    <w:rsid w:val="000F580D"/>
    <w:rsid w:val="000F5B5C"/>
    <w:rsid w:val="000F5BBF"/>
    <w:rsid w:val="000F5C66"/>
    <w:rsid w:val="000F5D71"/>
    <w:rsid w:val="000F61FF"/>
    <w:rsid w:val="000F62B3"/>
    <w:rsid w:val="000F638F"/>
    <w:rsid w:val="000F63A2"/>
    <w:rsid w:val="000F6419"/>
    <w:rsid w:val="000F682B"/>
    <w:rsid w:val="000F6908"/>
    <w:rsid w:val="000F69C2"/>
    <w:rsid w:val="000F6F45"/>
    <w:rsid w:val="000F70BE"/>
    <w:rsid w:val="000F74A3"/>
    <w:rsid w:val="000F76E7"/>
    <w:rsid w:val="000F784D"/>
    <w:rsid w:val="000F7900"/>
    <w:rsid w:val="000F7920"/>
    <w:rsid w:val="000F79BF"/>
    <w:rsid w:val="000F7FDE"/>
    <w:rsid w:val="00100214"/>
    <w:rsid w:val="00100308"/>
    <w:rsid w:val="001003AD"/>
    <w:rsid w:val="00100978"/>
    <w:rsid w:val="001009EC"/>
    <w:rsid w:val="001009F5"/>
    <w:rsid w:val="00100D18"/>
    <w:rsid w:val="00101136"/>
    <w:rsid w:val="001011D8"/>
    <w:rsid w:val="001013D6"/>
    <w:rsid w:val="001015B8"/>
    <w:rsid w:val="001017CF"/>
    <w:rsid w:val="00101CEF"/>
    <w:rsid w:val="00101DF6"/>
    <w:rsid w:val="00102005"/>
    <w:rsid w:val="00102539"/>
    <w:rsid w:val="001026C8"/>
    <w:rsid w:val="0010278F"/>
    <w:rsid w:val="00102946"/>
    <w:rsid w:val="00102BC4"/>
    <w:rsid w:val="00102DBB"/>
    <w:rsid w:val="00102F87"/>
    <w:rsid w:val="00102FB6"/>
    <w:rsid w:val="001030BA"/>
    <w:rsid w:val="00103326"/>
    <w:rsid w:val="00103429"/>
    <w:rsid w:val="0010362D"/>
    <w:rsid w:val="001039D5"/>
    <w:rsid w:val="001039DB"/>
    <w:rsid w:val="00103A23"/>
    <w:rsid w:val="00103B03"/>
    <w:rsid w:val="00103B18"/>
    <w:rsid w:val="00103E68"/>
    <w:rsid w:val="00103F30"/>
    <w:rsid w:val="00103F60"/>
    <w:rsid w:val="0010419A"/>
    <w:rsid w:val="00104303"/>
    <w:rsid w:val="00104317"/>
    <w:rsid w:val="00104589"/>
    <w:rsid w:val="001045B3"/>
    <w:rsid w:val="001045DA"/>
    <w:rsid w:val="0010491B"/>
    <w:rsid w:val="00104992"/>
    <w:rsid w:val="001049FF"/>
    <w:rsid w:val="00104B23"/>
    <w:rsid w:val="00104B39"/>
    <w:rsid w:val="00104E53"/>
    <w:rsid w:val="00104EF1"/>
    <w:rsid w:val="00104FAC"/>
    <w:rsid w:val="00104FCA"/>
    <w:rsid w:val="001050C9"/>
    <w:rsid w:val="001051BC"/>
    <w:rsid w:val="001054B2"/>
    <w:rsid w:val="00105791"/>
    <w:rsid w:val="001058ED"/>
    <w:rsid w:val="001059B0"/>
    <w:rsid w:val="00105D19"/>
    <w:rsid w:val="00105F54"/>
    <w:rsid w:val="00106108"/>
    <w:rsid w:val="00106298"/>
    <w:rsid w:val="001063EF"/>
    <w:rsid w:val="00106424"/>
    <w:rsid w:val="001064C7"/>
    <w:rsid w:val="0010693D"/>
    <w:rsid w:val="001069A4"/>
    <w:rsid w:val="00106AFA"/>
    <w:rsid w:val="00106CAA"/>
    <w:rsid w:val="00106D1B"/>
    <w:rsid w:val="001070BA"/>
    <w:rsid w:val="00107175"/>
    <w:rsid w:val="00107493"/>
    <w:rsid w:val="001074F5"/>
    <w:rsid w:val="0010780B"/>
    <w:rsid w:val="00107812"/>
    <w:rsid w:val="00107862"/>
    <w:rsid w:val="00107C67"/>
    <w:rsid w:val="00107D13"/>
    <w:rsid w:val="00107F22"/>
    <w:rsid w:val="0011015B"/>
    <w:rsid w:val="001101B9"/>
    <w:rsid w:val="0011037D"/>
    <w:rsid w:val="0011054F"/>
    <w:rsid w:val="00110753"/>
    <w:rsid w:val="00110768"/>
    <w:rsid w:val="001110CB"/>
    <w:rsid w:val="00111206"/>
    <w:rsid w:val="00111391"/>
    <w:rsid w:val="001114DD"/>
    <w:rsid w:val="001115EB"/>
    <w:rsid w:val="00111847"/>
    <w:rsid w:val="00111A57"/>
    <w:rsid w:val="00111B55"/>
    <w:rsid w:val="00111C1D"/>
    <w:rsid w:val="001124EB"/>
    <w:rsid w:val="00112709"/>
    <w:rsid w:val="0011271F"/>
    <w:rsid w:val="00112C12"/>
    <w:rsid w:val="00113209"/>
    <w:rsid w:val="00113218"/>
    <w:rsid w:val="00113478"/>
    <w:rsid w:val="001134A7"/>
    <w:rsid w:val="001136A6"/>
    <w:rsid w:val="00113832"/>
    <w:rsid w:val="0011391F"/>
    <w:rsid w:val="00113983"/>
    <w:rsid w:val="00113F1D"/>
    <w:rsid w:val="00113FA5"/>
    <w:rsid w:val="00114055"/>
    <w:rsid w:val="001140F7"/>
    <w:rsid w:val="00114386"/>
    <w:rsid w:val="001143B7"/>
    <w:rsid w:val="001143E2"/>
    <w:rsid w:val="0011443A"/>
    <w:rsid w:val="001145E6"/>
    <w:rsid w:val="001147A6"/>
    <w:rsid w:val="00114AA3"/>
    <w:rsid w:val="00114C83"/>
    <w:rsid w:val="00114CB8"/>
    <w:rsid w:val="00114E9D"/>
    <w:rsid w:val="00114F5B"/>
    <w:rsid w:val="00114FFB"/>
    <w:rsid w:val="0011500F"/>
    <w:rsid w:val="001150B7"/>
    <w:rsid w:val="001152C3"/>
    <w:rsid w:val="0011551B"/>
    <w:rsid w:val="00115BC5"/>
    <w:rsid w:val="00115CE2"/>
    <w:rsid w:val="00115D10"/>
    <w:rsid w:val="00115F20"/>
    <w:rsid w:val="00115FAB"/>
    <w:rsid w:val="00115FE7"/>
    <w:rsid w:val="00115FFC"/>
    <w:rsid w:val="00116077"/>
    <w:rsid w:val="001161C6"/>
    <w:rsid w:val="0011687F"/>
    <w:rsid w:val="001168A8"/>
    <w:rsid w:val="00116A5C"/>
    <w:rsid w:val="00116AEA"/>
    <w:rsid w:val="00116BF4"/>
    <w:rsid w:val="00116C2F"/>
    <w:rsid w:val="001173EC"/>
    <w:rsid w:val="0011742A"/>
    <w:rsid w:val="00117445"/>
    <w:rsid w:val="00117976"/>
    <w:rsid w:val="00117A73"/>
    <w:rsid w:val="00117C2A"/>
    <w:rsid w:val="00117DFA"/>
    <w:rsid w:val="00117E32"/>
    <w:rsid w:val="001203CC"/>
    <w:rsid w:val="00120402"/>
    <w:rsid w:val="0012047A"/>
    <w:rsid w:val="00120617"/>
    <w:rsid w:val="00120712"/>
    <w:rsid w:val="00120A3B"/>
    <w:rsid w:val="00120C45"/>
    <w:rsid w:val="00120F4A"/>
    <w:rsid w:val="00121186"/>
    <w:rsid w:val="0012133E"/>
    <w:rsid w:val="00121397"/>
    <w:rsid w:val="00121419"/>
    <w:rsid w:val="0012174F"/>
    <w:rsid w:val="0012182B"/>
    <w:rsid w:val="001218DA"/>
    <w:rsid w:val="00121C79"/>
    <w:rsid w:val="00121DBC"/>
    <w:rsid w:val="00121DE6"/>
    <w:rsid w:val="001220BE"/>
    <w:rsid w:val="001220E3"/>
    <w:rsid w:val="0012256E"/>
    <w:rsid w:val="0012264C"/>
    <w:rsid w:val="00122720"/>
    <w:rsid w:val="001227CA"/>
    <w:rsid w:val="00122875"/>
    <w:rsid w:val="00122886"/>
    <w:rsid w:val="00122924"/>
    <w:rsid w:val="00122AF1"/>
    <w:rsid w:val="00122B65"/>
    <w:rsid w:val="00122CAE"/>
    <w:rsid w:val="00122F13"/>
    <w:rsid w:val="00123082"/>
    <w:rsid w:val="001238A6"/>
    <w:rsid w:val="00123960"/>
    <w:rsid w:val="00123A0F"/>
    <w:rsid w:val="00123A71"/>
    <w:rsid w:val="00123A99"/>
    <w:rsid w:val="00123AE3"/>
    <w:rsid w:val="00123AF7"/>
    <w:rsid w:val="00123B04"/>
    <w:rsid w:val="00123B91"/>
    <w:rsid w:val="00123BC0"/>
    <w:rsid w:val="00123C4A"/>
    <w:rsid w:val="00123C66"/>
    <w:rsid w:val="00123F5E"/>
    <w:rsid w:val="00123FC4"/>
    <w:rsid w:val="00124095"/>
    <w:rsid w:val="0012437E"/>
    <w:rsid w:val="00124581"/>
    <w:rsid w:val="00124748"/>
    <w:rsid w:val="00124D16"/>
    <w:rsid w:val="00124D83"/>
    <w:rsid w:val="00124F59"/>
    <w:rsid w:val="001251AB"/>
    <w:rsid w:val="00125226"/>
    <w:rsid w:val="001252E2"/>
    <w:rsid w:val="001253CA"/>
    <w:rsid w:val="0012545B"/>
    <w:rsid w:val="0012547A"/>
    <w:rsid w:val="00125521"/>
    <w:rsid w:val="00125547"/>
    <w:rsid w:val="0012554F"/>
    <w:rsid w:val="0012572F"/>
    <w:rsid w:val="001257AB"/>
    <w:rsid w:val="001259AE"/>
    <w:rsid w:val="00125C1D"/>
    <w:rsid w:val="00125FBB"/>
    <w:rsid w:val="00126344"/>
    <w:rsid w:val="0012635B"/>
    <w:rsid w:val="0012656C"/>
    <w:rsid w:val="001266BC"/>
    <w:rsid w:val="00126BF9"/>
    <w:rsid w:val="00126DCF"/>
    <w:rsid w:val="00126EDD"/>
    <w:rsid w:val="00126EE2"/>
    <w:rsid w:val="00126F57"/>
    <w:rsid w:val="00127285"/>
    <w:rsid w:val="001273B3"/>
    <w:rsid w:val="001273D5"/>
    <w:rsid w:val="001273E5"/>
    <w:rsid w:val="0012758D"/>
    <w:rsid w:val="001275B1"/>
    <w:rsid w:val="0012795F"/>
    <w:rsid w:val="00127D5F"/>
    <w:rsid w:val="00127D88"/>
    <w:rsid w:val="00127DA8"/>
    <w:rsid w:val="001301EE"/>
    <w:rsid w:val="001303B8"/>
    <w:rsid w:val="00130422"/>
    <w:rsid w:val="00130486"/>
    <w:rsid w:val="001304EC"/>
    <w:rsid w:val="00130529"/>
    <w:rsid w:val="00130C75"/>
    <w:rsid w:val="00130F2E"/>
    <w:rsid w:val="00130F8D"/>
    <w:rsid w:val="00131270"/>
    <w:rsid w:val="001312C8"/>
    <w:rsid w:val="00131538"/>
    <w:rsid w:val="001316BF"/>
    <w:rsid w:val="00131A17"/>
    <w:rsid w:val="00131BC0"/>
    <w:rsid w:val="00131D55"/>
    <w:rsid w:val="00131E3A"/>
    <w:rsid w:val="001321C6"/>
    <w:rsid w:val="00132459"/>
    <w:rsid w:val="001325F7"/>
    <w:rsid w:val="00132759"/>
    <w:rsid w:val="001327EE"/>
    <w:rsid w:val="00132C6C"/>
    <w:rsid w:val="00132CE5"/>
    <w:rsid w:val="00132D96"/>
    <w:rsid w:val="00132E8F"/>
    <w:rsid w:val="00132EFA"/>
    <w:rsid w:val="00132F5A"/>
    <w:rsid w:val="001330F6"/>
    <w:rsid w:val="001332AC"/>
    <w:rsid w:val="001332D3"/>
    <w:rsid w:val="001335EA"/>
    <w:rsid w:val="00133676"/>
    <w:rsid w:val="0013367D"/>
    <w:rsid w:val="0013374D"/>
    <w:rsid w:val="001338B6"/>
    <w:rsid w:val="001339A3"/>
    <w:rsid w:val="00133BEF"/>
    <w:rsid w:val="00133DB7"/>
    <w:rsid w:val="00133EB2"/>
    <w:rsid w:val="00134092"/>
    <w:rsid w:val="0013436E"/>
    <w:rsid w:val="001343AF"/>
    <w:rsid w:val="001346E1"/>
    <w:rsid w:val="00134783"/>
    <w:rsid w:val="001348AD"/>
    <w:rsid w:val="00134A4B"/>
    <w:rsid w:val="00134A9A"/>
    <w:rsid w:val="00134C4C"/>
    <w:rsid w:val="0013501F"/>
    <w:rsid w:val="001351EF"/>
    <w:rsid w:val="00135217"/>
    <w:rsid w:val="0013521B"/>
    <w:rsid w:val="00135230"/>
    <w:rsid w:val="00135472"/>
    <w:rsid w:val="001359BC"/>
    <w:rsid w:val="00135B09"/>
    <w:rsid w:val="00135BBE"/>
    <w:rsid w:val="00135C85"/>
    <w:rsid w:val="00135E20"/>
    <w:rsid w:val="0013602B"/>
    <w:rsid w:val="001361CE"/>
    <w:rsid w:val="0013638D"/>
    <w:rsid w:val="0013663A"/>
    <w:rsid w:val="0013686F"/>
    <w:rsid w:val="001369B1"/>
    <w:rsid w:val="00136B0C"/>
    <w:rsid w:val="00136EAD"/>
    <w:rsid w:val="00136EB8"/>
    <w:rsid w:val="00136FD1"/>
    <w:rsid w:val="00137459"/>
    <w:rsid w:val="00137A2A"/>
    <w:rsid w:val="00137C3D"/>
    <w:rsid w:val="00137CE0"/>
    <w:rsid w:val="00137D4E"/>
    <w:rsid w:val="00137DE7"/>
    <w:rsid w:val="00140035"/>
    <w:rsid w:val="0014009C"/>
    <w:rsid w:val="0014034C"/>
    <w:rsid w:val="00140418"/>
    <w:rsid w:val="00140457"/>
    <w:rsid w:val="00140571"/>
    <w:rsid w:val="00140710"/>
    <w:rsid w:val="00140753"/>
    <w:rsid w:val="00140838"/>
    <w:rsid w:val="0014093E"/>
    <w:rsid w:val="00140DA7"/>
    <w:rsid w:val="00140E72"/>
    <w:rsid w:val="0014122E"/>
    <w:rsid w:val="00141294"/>
    <w:rsid w:val="001412F6"/>
    <w:rsid w:val="0014148D"/>
    <w:rsid w:val="00141539"/>
    <w:rsid w:val="00141581"/>
    <w:rsid w:val="00141844"/>
    <w:rsid w:val="00141A04"/>
    <w:rsid w:val="00141BBA"/>
    <w:rsid w:val="00141D64"/>
    <w:rsid w:val="00141F6C"/>
    <w:rsid w:val="00141FDE"/>
    <w:rsid w:val="001423C4"/>
    <w:rsid w:val="001425E8"/>
    <w:rsid w:val="001428C5"/>
    <w:rsid w:val="00142E81"/>
    <w:rsid w:val="00142F23"/>
    <w:rsid w:val="00142FE5"/>
    <w:rsid w:val="0014362B"/>
    <w:rsid w:val="001439C9"/>
    <w:rsid w:val="00143CC7"/>
    <w:rsid w:val="00143D6A"/>
    <w:rsid w:val="00143DBD"/>
    <w:rsid w:val="00143E62"/>
    <w:rsid w:val="0014401F"/>
    <w:rsid w:val="001441B8"/>
    <w:rsid w:val="00144343"/>
    <w:rsid w:val="0014439E"/>
    <w:rsid w:val="001444F5"/>
    <w:rsid w:val="00144A92"/>
    <w:rsid w:val="00144A93"/>
    <w:rsid w:val="00144CBC"/>
    <w:rsid w:val="00145142"/>
    <w:rsid w:val="001451D4"/>
    <w:rsid w:val="001451DE"/>
    <w:rsid w:val="0014569B"/>
    <w:rsid w:val="001458C2"/>
    <w:rsid w:val="001458F8"/>
    <w:rsid w:val="00145CA7"/>
    <w:rsid w:val="00145E4D"/>
    <w:rsid w:val="00145F9E"/>
    <w:rsid w:val="00145FA3"/>
    <w:rsid w:val="00145FFD"/>
    <w:rsid w:val="00146092"/>
    <w:rsid w:val="001460AB"/>
    <w:rsid w:val="0014621E"/>
    <w:rsid w:val="00146258"/>
    <w:rsid w:val="0014627F"/>
    <w:rsid w:val="001462D8"/>
    <w:rsid w:val="00146448"/>
    <w:rsid w:val="0014645D"/>
    <w:rsid w:val="0014693A"/>
    <w:rsid w:val="00146A97"/>
    <w:rsid w:val="00146BCA"/>
    <w:rsid w:val="00146C6A"/>
    <w:rsid w:val="00146D6C"/>
    <w:rsid w:val="00146FBA"/>
    <w:rsid w:val="00147865"/>
    <w:rsid w:val="00147A06"/>
    <w:rsid w:val="00147AE8"/>
    <w:rsid w:val="00150708"/>
    <w:rsid w:val="001508BE"/>
    <w:rsid w:val="001509BB"/>
    <w:rsid w:val="00150A3E"/>
    <w:rsid w:val="00150C7F"/>
    <w:rsid w:val="00150D4F"/>
    <w:rsid w:val="00150F3C"/>
    <w:rsid w:val="001512F0"/>
    <w:rsid w:val="001513B7"/>
    <w:rsid w:val="0015147B"/>
    <w:rsid w:val="001515C3"/>
    <w:rsid w:val="001517DF"/>
    <w:rsid w:val="0015192F"/>
    <w:rsid w:val="00151B2D"/>
    <w:rsid w:val="00151BB2"/>
    <w:rsid w:val="00151C23"/>
    <w:rsid w:val="00151C28"/>
    <w:rsid w:val="00151DE4"/>
    <w:rsid w:val="00151E94"/>
    <w:rsid w:val="00151EB4"/>
    <w:rsid w:val="00151F2C"/>
    <w:rsid w:val="00151FA6"/>
    <w:rsid w:val="0015204A"/>
    <w:rsid w:val="00152234"/>
    <w:rsid w:val="00152441"/>
    <w:rsid w:val="001524C6"/>
    <w:rsid w:val="00152AE6"/>
    <w:rsid w:val="00152CC0"/>
    <w:rsid w:val="00152FA9"/>
    <w:rsid w:val="00152FB4"/>
    <w:rsid w:val="001530FF"/>
    <w:rsid w:val="0015337A"/>
    <w:rsid w:val="00153471"/>
    <w:rsid w:val="001534D8"/>
    <w:rsid w:val="001535EC"/>
    <w:rsid w:val="00153841"/>
    <w:rsid w:val="0015390F"/>
    <w:rsid w:val="00153B45"/>
    <w:rsid w:val="00153D40"/>
    <w:rsid w:val="00153FE5"/>
    <w:rsid w:val="0015406C"/>
    <w:rsid w:val="00154239"/>
    <w:rsid w:val="001546D9"/>
    <w:rsid w:val="00154A41"/>
    <w:rsid w:val="00155029"/>
    <w:rsid w:val="001550BD"/>
    <w:rsid w:val="00155417"/>
    <w:rsid w:val="001558B3"/>
    <w:rsid w:val="001558BE"/>
    <w:rsid w:val="001558E3"/>
    <w:rsid w:val="00155C05"/>
    <w:rsid w:val="00155C43"/>
    <w:rsid w:val="00155DDF"/>
    <w:rsid w:val="00155E50"/>
    <w:rsid w:val="00155E70"/>
    <w:rsid w:val="00155F21"/>
    <w:rsid w:val="00156138"/>
    <w:rsid w:val="00156236"/>
    <w:rsid w:val="001563C9"/>
    <w:rsid w:val="00156462"/>
    <w:rsid w:val="00156487"/>
    <w:rsid w:val="001564FB"/>
    <w:rsid w:val="00156686"/>
    <w:rsid w:val="0015673D"/>
    <w:rsid w:val="001567E4"/>
    <w:rsid w:val="00156EE6"/>
    <w:rsid w:val="0015773D"/>
    <w:rsid w:val="00157779"/>
    <w:rsid w:val="0015784C"/>
    <w:rsid w:val="001579CB"/>
    <w:rsid w:val="00157B9C"/>
    <w:rsid w:val="00157BA2"/>
    <w:rsid w:val="00157DF9"/>
    <w:rsid w:val="00157FA3"/>
    <w:rsid w:val="00160178"/>
    <w:rsid w:val="00160282"/>
    <w:rsid w:val="0016063E"/>
    <w:rsid w:val="00160641"/>
    <w:rsid w:val="00160BFE"/>
    <w:rsid w:val="00160C25"/>
    <w:rsid w:val="00160CBD"/>
    <w:rsid w:val="00160DCA"/>
    <w:rsid w:val="00161103"/>
    <w:rsid w:val="00161201"/>
    <w:rsid w:val="0016123C"/>
    <w:rsid w:val="00161402"/>
    <w:rsid w:val="0016175C"/>
    <w:rsid w:val="00161A69"/>
    <w:rsid w:val="00161B99"/>
    <w:rsid w:val="00161C9E"/>
    <w:rsid w:val="00161FBB"/>
    <w:rsid w:val="00161FE8"/>
    <w:rsid w:val="00162062"/>
    <w:rsid w:val="00162129"/>
    <w:rsid w:val="001621E9"/>
    <w:rsid w:val="001625F7"/>
    <w:rsid w:val="0016263B"/>
    <w:rsid w:val="001626B7"/>
    <w:rsid w:val="001626DC"/>
    <w:rsid w:val="00162766"/>
    <w:rsid w:val="001628A4"/>
    <w:rsid w:val="00162926"/>
    <w:rsid w:val="00162B14"/>
    <w:rsid w:val="00162BFD"/>
    <w:rsid w:val="00162C51"/>
    <w:rsid w:val="00162EB9"/>
    <w:rsid w:val="00163020"/>
    <w:rsid w:val="00163029"/>
    <w:rsid w:val="0016315C"/>
    <w:rsid w:val="0016363A"/>
    <w:rsid w:val="00163684"/>
    <w:rsid w:val="001636E8"/>
    <w:rsid w:val="00163818"/>
    <w:rsid w:val="0016391F"/>
    <w:rsid w:val="00163DC9"/>
    <w:rsid w:val="00163FBC"/>
    <w:rsid w:val="0016401F"/>
    <w:rsid w:val="0016411B"/>
    <w:rsid w:val="00164150"/>
    <w:rsid w:val="0016416E"/>
    <w:rsid w:val="001643A0"/>
    <w:rsid w:val="001644F8"/>
    <w:rsid w:val="0016454E"/>
    <w:rsid w:val="001646CF"/>
    <w:rsid w:val="00164752"/>
    <w:rsid w:val="001653AD"/>
    <w:rsid w:val="00165491"/>
    <w:rsid w:val="0016553F"/>
    <w:rsid w:val="001657B9"/>
    <w:rsid w:val="00165881"/>
    <w:rsid w:val="001659D4"/>
    <w:rsid w:val="00165A14"/>
    <w:rsid w:val="00165A55"/>
    <w:rsid w:val="00165B25"/>
    <w:rsid w:val="00165B35"/>
    <w:rsid w:val="00165BF4"/>
    <w:rsid w:val="00165F6A"/>
    <w:rsid w:val="001660B6"/>
    <w:rsid w:val="00166122"/>
    <w:rsid w:val="00166428"/>
    <w:rsid w:val="001664E3"/>
    <w:rsid w:val="00166513"/>
    <w:rsid w:val="00166578"/>
    <w:rsid w:val="00166AC6"/>
    <w:rsid w:val="00166BB7"/>
    <w:rsid w:val="00166BD0"/>
    <w:rsid w:val="00166BD3"/>
    <w:rsid w:val="00166C4D"/>
    <w:rsid w:val="00166C5A"/>
    <w:rsid w:val="00166D18"/>
    <w:rsid w:val="00166D7D"/>
    <w:rsid w:val="00167319"/>
    <w:rsid w:val="0016731B"/>
    <w:rsid w:val="001675C6"/>
    <w:rsid w:val="00167605"/>
    <w:rsid w:val="001678B3"/>
    <w:rsid w:val="00167AD6"/>
    <w:rsid w:val="00167E89"/>
    <w:rsid w:val="0017029E"/>
    <w:rsid w:val="0017048D"/>
    <w:rsid w:val="00170531"/>
    <w:rsid w:val="0017062E"/>
    <w:rsid w:val="00170883"/>
    <w:rsid w:val="001709B9"/>
    <w:rsid w:val="00171192"/>
    <w:rsid w:val="0017124F"/>
    <w:rsid w:val="001713EE"/>
    <w:rsid w:val="0017152E"/>
    <w:rsid w:val="00171604"/>
    <w:rsid w:val="0017185A"/>
    <w:rsid w:val="001718F4"/>
    <w:rsid w:val="00171A10"/>
    <w:rsid w:val="00171C4F"/>
    <w:rsid w:val="00171DB9"/>
    <w:rsid w:val="0017201F"/>
    <w:rsid w:val="00172131"/>
    <w:rsid w:val="00172284"/>
    <w:rsid w:val="00172357"/>
    <w:rsid w:val="00172417"/>
    <w:rsid w:val="001724F6"/>
    <w:rsid w:val="001725B8"/>
    <w:rsid w:val="001726E6"/>
    <w:rsid w:val="00172C87"/>
    <w:rsid w:val="00172D26"/>
    <w:rsid w:val="00172F8F"/>
    <w:rsid w:val="0017303A"/>
    <w:rsid w:val="0017306D"/>
    <w:rsid w:val="00173236"/>
    <w:rsid w:val="00173372"/>
    <w:rsid w:val="00173378"/>
    <w:rsid w:val="00173453"/>
    <w:rsid w:val="00173458"/>
    <w:rsid w:val="00173898"/>
    <w:rsid w:val="00173BFC"/>
    <w:rsid w:val="00173C13"/>
    <w:rsid w:val="00173CB4"/>
    <w:rsid w:val="00173D17"/>
    <w:rsid w:val="00173E0B"/>
    <w:rsid w:val="00173E0C"/>
    <w:rsid w:val="00173E93"/>
    <w:rsid w:val="00173EF0"/>
    <w:rsid w:val="00173FBF"/>
    <w:rsid w:val="0017404D"/>
    <w:rsid w:val="00174078"/>
    <w:rsid w:val="0017413C"/>
    <w:rsid w:val="0017425A"/>
    <w:rsid w:val="001746A2"/>
    <w:rsid w:val="00174999"/>
    <w:rsid w:val="00174B45"/>
    <w:rsid w:val="00174C7E"/>
    <w:rsid w:val="00174CAA"/>
    <w:rsid w:val="00174DA7"/>
    <w:rsid w:val="00174E9E"/>
    <w:rsid w:val="00174F2B"/>
    <w:rsid w:val="00175017"/>
    <w:rsid w:val="00175040"/>
    <w:rsid w:val="001752D3"/>
    <w:rsid w:val="001754B2"/>
    <w:rsid w:val="00175652"/>
    <w:rsid w:val="001756EA"/>
    <w:rsid w:val="00175B15"/>
    <w:rsid w:val="00175BE4"/>
    <w:rsid w:val="00175D74"/>
    <w:rsid w:val="001760A6"/>
    <w:rsid w:val="00176386"/>
    <w:rsid w:val="001764C3"/>
    <w:rsid w:val="00176730"/>
    <w:rsid w:val="00176997"/>
    <w:rsid w:val="00176C52"/>
    <w:rsid w:val="00176CE1"/>
    <w:rsid w:val="00176E35"/>
    <w:rsid w:val="00176F8B"/>
    <w:rsid w:val="0017703D"/>
    <w:rsid w:val="0017705D"/>
    <w:rsid w:val="001771EF"/>
    <w:rsid w:val="001773F2"/>
    <w:rsid w:val="0017740B"/>
    <w:rsid w:val="001775EE"/>
    <w:rsid w:val="00177A64"/>
    <w:rsid w:val="00177BEA"/>
    <w:rsid w:val="00177C44"/>
    <w:rsid w:val="00177C4B"/>
    <w:rsid w:val="00177CA0"/>
    <w:rsid w:val="00177F5B"/>
    <w:rsid w:val="001800B4"/>
    <w:rsid w:val="001805D5"/>
    <w:rsid w:val="001806CC"/>
    <w:rsid w:val="001808BB"/>
    <w:rsid w:val="00180D0C"/>
    <w:rsid w:val="00180F57"/>
    <w:rsid w:val="00180FBD"/>
    <w:rsid w:val="0018107B"/>
    <w:rsid w:val="00181131"/>
    <w:rsid w:val="001812CC"/>
    <w:rsid w:val="001817A4"/>
    <w:rsid w:val="001818AE"/>
    <w:rsid w:val="00181946"/>
    <w:rsid w:val="00181AD3"/>
    <w:rsid w:val="00181B73"/>
    <w:rsid w:val="00181B76"/>
    <w:rsid w:val="00181BB4"/>
    <w:rsid w:val="00181BB7"/>
    <w:rsid w:val="00181F48"/>
    <w:rsid w:val="00182283"/>
    <w:rsid w:val="001822D7"/>
    <w:rsid w:val="00182887"/>
    <w:rsid w:val="00182A37"/>
    <w:rsid w:val="00182AFD"/>
    <w:rsid w:val="00182C5C"/>
    <w:rsid w:val="00182E31"/>
    <w:rsid w:val="00183156"/>
    <w:rsid w:val="00183493"/>
    <w:rsid w:val="001834E5"/>
    <w:rsid w:val="001835F0"/>
    <w:rsid w:val="00183AB4"/>
    <w:rsid w:val="00183AC5"/>
    <w:rsid w:val="00183E1F"/>
    <w:rsid w:val="00184163"/>
    <w:rsid w:val="0018433F"/>
    <w:rsid w:val="00184423"/>
    <w:rsid w:val="00184517"/>
    <w:rsid w:val="001846E0"/>
    <w:rsid w:val="00184A05"/>
    <w:rsid w:val="00184F95"/>
    <w:rsid w:val="00185045"/>
    <w:rsid w:val="001852F4"/>
    <w:rsid w:val="00185382"/>
    <w:rsid w:val="001856BA"/>
    <w:rsid w:val="001857D7"/>
    <w:rsid w:val="00185823"/>
    <w:rsid w:val="001858D6"/>
    <w:rsid w:val="00185A27"/>
    <w:rsid w:val="00185BB6"/>
    <w:rsid w:val="00185BBB"/>
    <w:rsid w:val="00185C77"/>
    <w:rsid w:val="00185C8D"/>
    <w:rsid w:val="00185EB3"/>
    <w:rsid w:val="001860F3"/>
    <w:rsid w:val="001865F0"/>
    <w:rsid w:val="00186A30"/>
    <w:rsid w:val="00186A3D"/>
    <w:rsid w:val="00186D28"/>
    <w:rsid w:val="00187082"/>
    <w:rsid w:val="001872BE"/>
    <w:rsid w:val="0018746F"/>
    <w:rsid w:val="0018769C"/>
    <w:rsid w:val="001876DC"/>
    <w:rsid w:val="001877D5"/>
    <w:rsid w:val="001879AB"/>
    <w:rsid w:val="001879D7"/>
    <w:rsid w:val="001879E0"/>
    <w:rsid w:val="00187BEB"/>
    <w:rsid w:val="00187D58"/>
    <w:rsid w:val="00187E79"/>
    <w:rsid w:val="00190025"/>
    <w:rsid w:val="0019021D"/>
    <w:rsid w:val="00190287"/>
    <w:rsid w:val="001902E3"/>
    <w:rsid w:val="00190BAD"/>
    <w:rsid w:val="00190C02"/>
    <w:rsid w:val="00190D49"/>
    <w:rsid w:val="00190D6B"/>
    <w:rsid w:val="00190D7D"/>
    <w:rsid w:val="001910CD"/>
    <w:rsid w:val="00191313"/>
    <w:rsid w:val="0019156A"/>
    <w:rsid w:val="0019176B"/>
    <w:rsid w:val="0019179B"/>
    <w:rsid w:val="00191806"/>
    <w:rsid w:val="001918A7"/>
    <w:rsid w:val="001919E6"/>
    <w:rsid w:val="00191B84"/>
    <w:rsid w:val="00191C67"/>
    <w:rsid w:val="00191D7B"/>
    <w:rsid w:val="001920DE"/>
    <w:rsid w:val="0019218A"/>
    <w:rsid w:val="00192480"/>
    <w:rsid w:val="00192584"/>
    <w:rsid w:val="001926DB"/>
    <w:rsid w:val="00192722"/>
    <w:rsid w:val="00192761"/>
    <w:rsid w:val="00192917"/>
    <w:rsid w:val="0019295A"/>
    <w:rsid w:val="00192A7C"/>
    <w:rsid w:val="00192AE1"/>
    <w:rsid w:val="00192D50"/>
    <w:rsid w:val="00192D8A"/>
    <w:rsid w:val="0019312D"/>
    <w:rsid w:val="001936C1"/>
    <w:rsid w:val="00193850"/>
    <w:rsid w:val="0019396E"/>
    <w:rsid w:val="001939E6"/>
    <w:rsid w:val="00193A3B"/>
    <w:rsid w:val="00193A77"/>
    <w:rsid w:val="00193AA0"/>
    <w:rsid w:val="00193CAD"/>
    <w:rsid w:val="001942C9"/>
    <w:rsid w:val="001942E5"/>
    <w:rsid w:val="00194478"/>
    <w:rsid w:val="001944AD"/>
    <w:rsid w:val="00194B72"/>
    <w:rsid w:val="00194B76"/>
    <w:rsid w:val="00194CBA"/>
    <w:rsid w:val="00194ED7"/>
    <w:rsid w:val="00195055"/>
    <w:rsid w:val="001951F6"/>
    <w:rsid w:val="00195203"/>
    <w:rsid w:val="00195268"/>
    <w:rsid w:val="00195453"/>
    <w:rsid w:val="001955A7"/>
    <w:rsid w:val="00195605"/>
    <w:rsid w:val="00195777"/>
    <w:rsid w:val="00195898"/>
    <w:rsid w:val="001958C7"/>
    <w:rsid w:val="00195951"/>
    <w:rsid w:val="0019596F"/>
    <w:rsid w:val="00195BBA"/>
    <w:rsid w:val="00195D07"/>
    <w:rsid w:val="00195E00"/>
    <w:rsid w:val="00195F6A"/>
    <w:rsid w:val="00195FF7"/>
    <w:rsid w:val="00196109"/>
    <w:rsid w:val="0019613A"/>
    <w:rsid w:val="00196378"/>
    <w:rsid w:val="0019638E"/>
    <w:rsid w:val="00196561"/>
    <w:rsid w:val="001965E9"/>
    <w:rsid w:val="001967B9"/>
    <w:rsid w:val="001967FD"/>
    <w:rsid w:val="00196B17"/>
    <w:rsid w:val="00196F00"/>
    <w:rsid w:val="00196F38"/>
    <w:rsid w:val="0019744F"/>
    <w:rsid w:val="00197608"/>
    <w:rsid w:val="0019760B"/>
    <w:rsid w:val="00197716"/>
    <w:rsid w:val="0019775D"/>
    <w:rsid w:val="00197862"/>
    <w:rsid w:val="001979D0"/>
    <w:rsid w:val="00197AF5"/>
    <w:rsid w:val="00197E6C"/>
    <w:rsid w:val="00197F4E"/>
    <w:rsid w:val="001A0076"/>
    <w:rsid w:val="001A0195"/>
    <w:rsid w:val="001A0314"/>
    <w:rsid w:val="001A08E6"/>
    <w:rsid w:val="001A099D"/>
    <w:rsid w:val="001A0A28"/>
    <w:rsid w:val="001A0B5A"/>
    <w:rsid w:val="001A0C27"/>
    <w:rsid w:val="001A12F9"/>
    <w:rsid w:val="001A13BD"/>
    <w:rsid w:val="001A1682"/>
    <w:rsid w:val="001A16E1"/>
    <w:rsid w:val="001A16EF"/>
    <w:rsid w:val="001A16FD"/>
    <w:rsid w:val="001A1991"/>
    <w:rsid w:val="001A1B5B"/>
    <w:rsid w:val="001A1C83"/>
    <w:rsid w:val="001A1D01"/>
    <w:rsid w:val="001A1D17"/>
    <w:rsid w:val="001A1D26"/>
    <w:rsid w:val="001A1D4E"/>
    <w:rsid w:val="001A1F6B"/>
    <w:rsid w:val="001A2020"/>
    <w:rsid w:val="001A2155"/>
    <w:rsid w:val="001A2484"/>
    <w:rsid w:val="001A2A2C"/>
    <w:rsid w:val="001A2A33"/>
    <w:rsid w:val="001A2BE9"/>
    <w:rsid w:val="001A2CD3"/>
    <w:rsid w:val="001A30F2"/>
    <w:rsid w:val="001A3145"/>
    <w:rsid w:val="001A3259"/>
    <w:rsid w:val="001A33DA"/>
    <w:rsid w:val="001A33F1"/>
    <w:rsid w:val="001A3483"/>
    <w:rsid w:val="001A3547"/>
    <w:rsid w:val="001A37B1"/>
    <w:rsid w:val="001A39EE"/>
    <w:rsid w:val="001A3CD0"/>
    <w:rsid w:val="001A3E10"/>
    <w:rsid w:val="001A3EAA"/>
    <w:rsid w:val="001A3F19"/>
    <w:rsid w:val="001A40C0"/>
    <w:rsid w:val="001A4456"/>
    <w:rsid w:val="001A46D3"/>
    <w:rsid w:val="001A485A"/>
    <w:rsid w:val="001A48EC"/>
    <w:rsid w:val="001A49C9"/>
    <w:rsid w:val="001A4A8F"/>
    <w:rsid w:val="001A4B5F"/>
    <w:rsid w:val="001A4D18"/>
    <w:rsid w:val="001A4D9B"/>
    <w:rsid w:val="001A4E7E"/>
    <w:rsid w:val="001A4F37"/>
    <w:rsid w:val="001A4F4F"/>
    <w:rsid w:val="001A50AE"/>
    <w:rsid w:val="001A5499"/>
    <w:rsid w:val="001A5503"/>
    <w:rsid w:val="001A5520"/>
    <w:rsid w:val="001A5530"/>
    <w:rsid w:val="001A55BC"/>
    <w:rsid w:val="001A55ED"/>
    <w:rsid w:val="001A56CC"/>
    <w:rsid w:val="001A58A3"/>
    <w:rsid w:val="001A5A58"/>
    <w:rsid w:val="001A5DC5"/>
    <w:rsid w:val="001A5DCC"/>
    <w:rsid w:val="001A5DD5"/>
    <w:rsid w:val="001A5EB4"/>
    <w:rsid w:val="001A6077"/>
    <w:rsid w:val="001A616D"/>
    <w:rsid w:val="001A61C2"/>
    <w:rsid w:val="001A6590"/>
    <w:rsid w:val="001A6776"/>
    <w:rsid w:val="001A67EC"/>
    <w:rsid w:val="001A67F7"/>
    <w:rsid w:val="001A687E"/>
    <w:rsid w:val="001A6B40"/>
    <w:rsid w:val="001A6C26"/>
    <w:rsid w:val="001A6DF8"/>
    <w:rsid w:val="001A6FB6"/>
    <w:rsid w:val="001A71C4"/>
    <w:rsid w:val="001A7316"/>
    <w:rsid w:val="001A79FB"/>
    <w:rsid w:val="001A7AD9"/>
    <w:rsid w:val="001A7D67"/>
    <w:rsid w:val="001A7FBC"/>
    <w:rsid w:val="001B0054"/>
    <w:rsid w:val="001B008A"/>
    <w:rsid w:val="001B00C6"/>
    <w:rsid w:val="001B01A3"/>
    <w:rsid w:val="001B03B5"/>
    <w:rsid w:val="001B0439"/>
    <w:rsid w:val="001B056C"/>
    <w:rsid w:val="001B06EF"/>
    <w:rsid w:val="001B06FB"/>
    <w:rsid w:val="001B07FC"/>
    <w:rsid w:val="001B081F"/>
    <w:rsid w:val="001B0829"/>
    <w:rsid w:val="001B0A36"/>
    <w:rsid w:val="001B0E4A"/>
    <w:rsid w:val="001B0E4F"/>
    <w:rsid w:val="001B10DC"/>
    <w:rsid w:val="001B1151"/>
    <w:rsid w:val="001B157F"/>
    <w:rsid w:val="001B15F1"/>
    <w:rsid w:val="001B170A"/>
    <w:rsid w:val="001B17A4"/>
    <w:rsid w:val="001B19BD"/>
    <w:rsid w:val="001B19CD"/>
    <w:rsid w:val="001B1A1D"/>
    <w:rsid w:val="001B1B67"/>
    <w:rsid w:val="001B1C48"/>
    <w:rsid w:val="001B1CCC"/>
    <w:rsid w:val="001B1F74"/>
    <w:rsid w:val="001B2105"/>
    <w:rsid w:val="001B217C"/>
    <w:rsid w:val="001B22C4"/>
    <w:rsid w:val="001B244B"/>
    <w:rsid w:val="001B272B"/>
    <w:rsid w:val="001B273F"/>
    <w:rsid w:val="001B2795"/>
    <w:rsid w:val="001B27B5"/>
    <w:rsid w:val="001B2A7D"/>
    <w:rsid w:val="001B2B09"/>
    <w:rsid w:val="001B2EAC"/>
    <w:rsid w:val="001B2F98"/>
    <w:rsid w:val="001B3163"/>
    <w:rsid w:val="001B35CB"/>
    <w:rsid w:val="001B3624"/>
    <w:rsid w:val="001B36F1"/>
    <w:rsid w:val="001B377E"/>
    <w:rsid w:val="001B3801"/>
    <w:rsid w:val="001B38BF"/>
    <w:rsid w:val="001B3D25"/>
    <w:rsid w:val="001B3DED"/>
    <w:rsid w:val="001B3E45"/>
    <w:rsid w:val="001B417E"/>
    <w:rsid w:val="001B4196"/>
    <w:rsid w:val="001B429E"/>
    <w:rsid w:val="001B42F0"/>
    <w:rsid w:val="001B45D6"/>
    <w:rsid w:val="001B4679"/>
    <w:rsid w:val="001B47DB"/>
    <w:rsid w:val="001B48BB"/>
    <w:rsid w:val="001B4997"/>
    <w:rsid w:val="001B4A58"/>
    <w:rsid w:val="001B4BF9"/>
    <w:rsid w:val="001B4E92"/>
    <w:rsid w:val="001B50B6"/>
    <w:rsid w:val="001B513A"/>
    <w:rsid w:val="001B523C"/>
    <w:rsid w:val="001B549E"/>
    <w:rsid w:val="001B54FC"/>
    <w:rsid w:val="001B5621"/>
    <w:rsid w:val="001B5FC1"/>
    <w:rsid w:val="001B6083"/>
    <w:rsid w:val="001B61F8"/>
    <w:rsid w:val="001B6283"/>
    <w:rsid w:val="001B646E"/>
    <w:rsid w:val="001B650E"/>
    <w:rsid w:val="001B67AF"/>
    <w:rsid w:val="001B67B1"/>
    <w:rsid w:val="001B67CD"/>
    <w:rsid w:val="001B6884"/>
    <w:rsid w:val="001B6897"/>
    <w:rsid w:val="001B6B3F"/>
    <w:rsid w:val="001B6BFF"/>
    <w:rsid w:val="001B6E60"/>
    <w:rsid w:val="001B702B"/>
    <w:rsid w:val="001B7168"/>
    <w:rsid w:val="001B7201"/>
    <w:rsid w:val="001B7503"/>
    <w:rsid w:val="001B76D1"/>
    <w:rsid w:val="001B77FB"/>
    <w:rsid w:val="001B79C6"/>
    <w:rsid w:val="001B7BB4"/>
    <w:rsid w:val="001B7C06"/>
    <w:rsid w:val="001B7F39"/>
    <w:rsid w:val="001C0007"/>
    <w:rsid w:val="001C0018"/>
    <w:rsid w:val="001C0137"/>
    <w:rsid w:val="001C0255"/>
    <w:rsid w:val="001C02C7"/>
    <w:rsid w:val="001C0425"/>
    <w:rsid w:val="001C0436"/>
    <w:rsid w:val="001C05A3"/>
    <w:rsid w:val="001C095F"/>
    <w:rsid w:val="001C0A92"/>
    <w:rsid w:val="001C0B96"/>
    <w:rsid w:val="001C11B1"/>
    <w:rsid w:val="001C1508"/>
    <w:rsid w:val="001C150C"/>
    <w:rsid w:val="001C1749"/>
    <w:rsid w:val="001C1812"/>
    <w:rsid w:val="001C18E6"/>
    <w:rsid w:val="001C197B"/>
    <w:rsid w:val="001C19DB"/>
    <w:rsid w:val="001C1A80"/>
    <w:rsid w:val="001C1CD5"/>
    <w:rsid w:val="001C1DF2"/>
    <w:rsid w:val="001C1F1B"/>
    <w:rsid w:val="001C20FD"/>
    <w:rsid w:val="001C212A"/>
    <w:rsid w:val="001C213C"/>
    <w:rsid w:val="001C21BA"/>
    <w:rsid w:val="001C24C7"/>
    <w:rsid w:val="001C26A9"/>
    <w:rsid w:val="001C28BD"/>
    <w:rsid w:val="001C2D4C"/>
    <w:rsid w:val="001C30E2"/>
    <w:rsid w:val="001C31C4"/>
    <w:rsid w:val="001C37F4"/>
    <w:rsid w:val="001C393F"/>
    <w:rsid w:val="001C3F0E"/>
    <w:rsid w:val="001C4075"/>
    <w:rsid w:val="001C414C"/>
    <w:rsid w:val="001C4364"/>
    <w:rsid w:val="001C438B"/>
    <w:rsid w:val="001C470A"/>
    <w:rsid w:val="001C47F7"/>
    <w:rsid w:val="001C4BCA"/>
    <w:rsid w:val="001C4BF5"/>
    <w:rsid w:val="001C4C34"/>
    <w:rsid w:val="001C4D4A"/>
    <w:rsid w:val="001C4D64"/>
    <w:rsid w:val="001C5139"/>
    <w:rsid w:val="001C5238"/>
    <w:rsid w:val="001C526B"/>
    <w:rsid w:val="001C53D0"/>
    <w:rsid w:val="001C549F"/>
    <w:rsid w:val="001C551C"/>
    <w:rsid w:val="001C5713"/>
    <w:rsid w:val="001C57F6"/>
    <w:rsid w:val="001C597E"/>
    <w:rsid w:val="001C5BC3"/>
    <w:rsid w:val="001C5C5C"/>
    <w:rsid w:val="001C5C95"/>
    <w:rsid w:val="001C5D8C"/>
    <w:rsid w:val="001C5E43"/>
    <w:rsid w:val="001C5F1D"/>
    <w:rsid w:val="001C5F77"/>
    <w:rsid w:val="001C614A"/>
    <w:rsid w:val="001C617B"/>
    <w:rsid w:val="001C62A1"/>
    <w:rsid w:val="001C62E7"/>
    <w:rsid w:val="001C63CA"/>
    <w:rsid w:val="001C66C3"/>
    <w:rsid w:val="001C67BD"/>
    <w:rsid w:val="001C6A05"/>
    <w:rsid w:val="001C6AE0"/>
    <w:rsid w:val="001C6B6A"/>
    <w:rsid w:val="001C6BBC"/>
    <w:rsid w:val="001C6BE2"/>
    <w:rsid w:val="001C6D10"/>
    <w:rsid w:val="001C7114"/>
    <w:rsid w:val="001C78F8"/>
    <w:rsid w:val="001C7B17"/>
    <w:rsid w:val="001C7C56"/>
    <w:rsid w:val="001D024A"/>
    <w:rsid w:val="001D0361"/>
    <w:rsid w:val="001D03C6"/>
    <w:rsid w:val="001D045C"/>
    <w:rsid w:val="001D054F"/>
    <w:rsid w:val="001D0625"/>
    <w:rsid w:val="001D06A0"/>
    <w:rsid w:val="001D071B"/>
    <w:rsid w:val="001D096A"/>
    <w:rsid w:val="001D0A3E"/>
    <w:rsid w:val="001D0AF9"/>
    <w:rsid w:val="001D0C09"/>
    <w:rsid w:val="001D0D4C"/>
    <w:rsid w:val="001D0D63"/>
    <w:rsid w:val="001D0FA5"/>
    <w:rsid w:val="001D11E3"/>
    <w:rsid w:val="001D11F9"/>
    <w:rsid w:val="001D1215"/>
    <w:rsid w:val="001D1336"/>
    <w:rsid w:val="001D137D"/>
    <w:rsid w:val="001D14FB"/>
    <w:rsid w:val="001D15DB"/>
    <w:rsid w:val="001D160A"/>
    <w:rsid w:val="001D164A"/>
    <w:rsid w:val="001D193E"/>
    <w:rsid w:val="001D1A07"/>
    <w:rsid w:val="001D1C49"/>
    <w:rsid w:val="001D2168"/>
    <w:rsid w:val="001D2605"/>
    <w:rsid w:val="001D28D6"/>
    <w:rsid w:val="001D2AB5"/>
    <w:rsid w:val="001D2B80"/>
    <w:rsid w:val="001D2B8F"/>
    <w:rsid w:val="001D2C00"/>
    <w:rsid w:val="001D2DA9"/>
    <w:rsid w:val="001D2ECB"/>
    <w:rsid w:val="001D3072"/>
    <w:rsid w:val="001D313B"/>
    <w:rsid w:val="001D352F"/>
    <w:rsid w:val="001D3576"/>
    <w:rsid w:val="001D3747"/>
    <w:rsid w:val="001D38F9"/>
    <w:rsid w:val="001D3E23"/>
    <w:rsid w:val="001D3E47"/>
    <w:rsid w:val="001D3F8C"/>
    <w:rsid w:val="001D3FF5"/>
    <w:rsid w:val="001D40D1"/>
    <w:rsid w:val="001D43D4"/>
    <w:rsid w:val="001D49EF"/>
    <w:rsid w:val="001D4A02"/>
    <w:rsid w:val="001D4C4D"/>
    <w:rsid w:val="001D4C7D"/>
    <w:rsid w:val="001D5235"/>
    <w:rsid w:val="001D5402"/>
    <w:rsid w:val="001D5453"/>
    <w:rsid w:val="001D563F"/>
    <w:rsid w:val="001D5BC5"/>
    <w:rsid w:val="001D5C8E"/>
    <w:rsid w:val="001D5CDB"/>
    <w:rsid w:val="001D5E91"/>
    <w:rsid w:val="001D5EAD"/>
    <w:rsid w:val="001D5FB1"/>
    <w:rsid w:val="001D6019"/>
    <w:rsid w:val="001D6143"/>
    <w:rsid w:val="001D6149"/>
    <w:rsid w:val="001D6247"/>
    <w:rsid w:val="001D63AA"/>
    <w:rsid w:val="001D66EC"/>
    <w:rsid w:val="001D67D0"/>
    <w:rsid w:val="001D68E2"/>
    <w:rsid w:val="001D69DF"/>
    <w:rsid w:val="001D6A0C"/>
    <w:rsid w:val="001D6A9A"/>
    <w:rsid w:val="001D6AC5"/>
    <w:rsid w:val="001D6CE9"/>
    <w:rsid w:val="001D6F99"/>
    <w:rsid w:val="001D71F6"/>
    <w:rsid w:val="001D733C"/>
    <w:rsid w:val="001D73F7"/>
    <w:rsid w:val="001D740F"/>
    <w:rsid w:val="001D7471"/>
    <w:rsid w:val="001D74F2"/>
    <w:rsid w:val="001D7565"/>
    <w:rsid w:val="001D7679"/>
    <w:rsid w:val="001D775D"/>
    <w:rsid w:val="001D77DD"/>
    <w:rsid w:val="001D7896"/>
    <w:rsid w:val="001D798A"/>
    <w:rsid w:val="001D7A47"/>
    <w:rsid w:val="001D7E3C"/>
    <w:rsid w:val="001D7F42"/>
    <w:rsid w:val="001E0357"/>
    <w:rsid w:val="001E0360"/>
    <w:rsid w:val="001E03EA"/>
    <w:rsid w:val="001E0420"/>
    <w:rsid w:val="001E0681"/>
    <w:rsid w:val="001E0804"/>
    <w:rsid w:val="001E0952"/>
    <w:rsid w:val="001E0983"/>
    <w:rsid w:val="001E0A52"/>
    <w:rsid w:val="001E0B21"/>
    <w:rsid w:val="001E0B50"/>
    <w:rsid w:val="001E0BC2"/>
    <w:rsid w:val="001E0BD6"/>
    <w:rsid w:val="001E0BFD"/>
    <w:rsid w:val="001E0CA0"/>
    <w:rsid w:val="001E0CDE"/>
    <w:rsid w:val="001E146A"/>
    <w:rsid w:val="001E14FA"/>
    <w:rsid w:val="001E1501"/>
    <w:rsid w:val="001E1545"/>
    <w:rsid w:val="001E1683"/>
    <w:rsid w:val="001E16EB"/>
    <w:rsid w:val="001E1B4B"/>
    <w:rsid w:val="001E1BB7"/>
    <w:rsid w:val="001E1C03"/>
    <w:rsid w:val="001E217A"/>
    <w:rsid w:val="001E2468"/>
    <w:rsid w:val="001E24A6"/>
    <w:rsid w:val="001E2616"/>
    <w:rsid w:val="001E281E"/>
    <w:rsid w:val="001E288C"/>
    <w:rsid w:val="001E28B9"/>
    <w:rsid w:val="001E29ED"/>
    <w:rsid w:val="001E2A65"/>
    <w:rsid w:val="001E2F11"/>
    <w:rsid w:val="001E30EC"/>
    <w:rsid w:val="001E33E2"/>
    <w:rsid w:val="001E3425"/>
    <w:rsid w:val="001E3513"/>
    <w:rsid w:val="001E3517"/>
    <w:rsid w:val="001E359B"/>
    <w:rsid w:val="001E3C4E"/>
    <w:rsid w:val="001E3EEE"/>
    <w:rsid w:val="001E3F24"/>
    <w:rsid w:val="001E3FE9"/>
    <w:rsid w:val="001E402C"/>
    <w:rsid w:val="001E4043"/>
    <w:rsid w:val="001E417A"/>
    <w:rsid w:val="001E41CC"/>
    <w:rsid w:val="001E4275"/>
    <w:rsid w:val="001E4442"/>
    <w:rsid w:val="001E453A"/>
    <w:rsid w:val="001E47BE"/>
    <w:rsid w:val="001E495E"/>
    <w:rsid w:val="001E4DE2"/>
    <w:rsid w:val="001E4EEC"/>
    <w:rsid w:val="001E5098"/>
    <w:rsid w:val="001E509A"/>
    <w:rsid w:val="001E51BA"/>
    <w:rsid w:val="001E525A"/>
    <w:rsid w:val="001E52CA"/>
    <w:rsid w:val="001E544C"/>
    <w:rsid w:val="001E54E7"/>
    <w:rsid w:val="001E552D"/>
    <w:rsid w:val="001E5673"/>
    <w:rsid w:val="001E5677"/>
    <w:rsid w:val="001E571B"/>
    <w:rsid w:val="001E572C"/>
    <w:rsid w:val="001E5A00"/>
    <w:rsid w:val="001E5AC8"/>
    <w:rsid w:val="001E5B08"/>
    <w:rsid w:val="001E5BB1"/>
    <w:rsid w:val="001E5BFA"/>
    <w:rsid w:val="001E5C87"/>
    <w:rsid w:val="001E5ECB"/>
    <w:rsid w:val="001E5F7C"/>
    <w:rsid w:val="001E6089"/>
    <w:rsid w:val="001E61F1"/>
    <w:rsid w:val="001E6345"/>
    <w:rsid w:val="001E6361"/>
    <w:rsid w:val="001E6413"/>
    <w:rsid w:val="001E646B"/>
    <w:rsid w:val="001E6537"/>
    <w:rsid w:val="001E66F3"/>
    <w:rsid w:val="001E69CA"/>
    <w:rsid w:val="001E6BFA"/>
    <w:rsid w:val="001E6C9F"/>
    <w:rsid w:val="001E7050"/>
    <w:rsid w:val="001E75D8"/>
    <w:rsid w:val="001E76EE"/>
    <w:rsid w:val="001E7736"/>
    <w:rsid w:val="001E7753"/>
    <w:rsid w:val="001E77EE"/>
    <w:rsid w:val="001E783D"/>
    <w:rsid w:val="001E7978"/>
    <w:rsid w:val="001F0247"/>
    <w:rsid w:val="001F0376"/>
    <w:rsid w:val="001F0446"/>
    <w:rsid w:val="001F0779"/>
    <w:rsid w:val="001F0B10"/>
    <w:rsid w:val="001F101A"/>
    <w:rsid w:val="001F10AE"/>
    <w:rsid w:val="001F116B"/>
    <w:rsid w:val="001F1178"/>
    <w:rsid w:val="001F15D8"/>
    <w:rsid w:val="001F1739"/>
    <w:rsid w:val="001F18C2"/>
    <w:rsid w:val="001F1DBD"/>
    <w:rsid w:val="001F1E06"/>
    <w:rsid w:val="001F2047"/>
    <w:rsid w:val="001F2969"/>
    <w:rsid w:val="001F29F0"/>
    <w:rsid w:val="001F2A0C"/>
    <w:rsid w:val="001F2B19"/>
    <w:rsid w:val="001F2C3A"/>
    <w:rsid w:val="001F2C97"/>
    <w:rsid w:val="001F2D8D"/>
    <w:rsid w:val="001F2EA5"/>
    <w:rsid w:val="001F2F32"/>
    <w:rsid w:val="001F319C"/>
    <w:rsid w:val="001F3274"/>
    <w:rsid w:val="001F3578"/>
    <w:rsid w:val="001F35ED"/>
    <w:rsid w:val="001F3603"/>
    <w:rsid w:val="001F373C"/>
    <w:rsid w:val="001F37F7"/>
    <w:rsid w:val="001F3ABC"/>
    <w:rsid w:val="001F3B9F"/>
    <w:rsid w:val="001F3D61"/>
    <w:rsid w:val="001F3E09"/>
    <w:rsid w:val="001F3F59"/>
    <w:rsid w:val="001F4480"/>
    <w:rsid w:val="001F4A9D"/>
    <w:rsid w:val="001F4F65"/>
    <w:rsid w:val="001F5290"/>
    <w:rsid w:val="001F548D"/>
    <w:rsid w:val="001F556C"/>
    <w:rsid w:val="001F5611"/>
    <w:rsid w:val="001F5639"/>
    <w:rsid w:val="001F56AC"/>
    <w:rsid w:val="001F5753"/>
    <w:rsid w:val="001F597A"/>
    <w:rsid w:val="001F59BE"/>
    <w:rsid w:val="001F5A2C"/>
    <w:rsid w:val="001F5A52"/>
    <w:rsid w:val="001F5C3D"/>
    <w:rsid w:val="001F5F03"/>
    <w:rsid w:val="001F61E9"/>
    <w:rsid w:val="001F6216"/>
    <w:rsid w:val="001F635C"/>
    <w:rsid w:val="001F63AB"/>
    <w:rsid w:val="001F65DE"/>
    <w:rsid w:val="001F679D"/>
    <w:rsid w:val="001F6911"/>
    <w:rsid w:val="001F69B2"/>
    <w:rsid w:val="001F6AE3"/>
    <w:rsid w:val="001F6B22"/>
    <w:rsid w:val="001F6D9C"/>
    <w:rsid w:val="001F6E20"/>
    <w:rsid w:val="001F6F7C"/>
    <w:rsid w:val="001F6FEB"/>
    <w:rsid w:val="001F704E"/>
    <w:rsid w:val="001F7273"/>
    <w:rsid w:val="001F739A"/>
    <w:rsid w:val="001F741F"/>
    <w:rsid w:val="001F7537"/>
    <w:rsid w:val="001F76F6"/>
    <w:rsid w:val="001F7777"/>
    <w:rsid w:val="001F780F"/>
    <w:rsid w:val="001F78FD"/>
    <w:rsid w:val="001F7BDC"/>
    <w:rsid w:val="001F7F8C"/>
    <w:rsid w:val="002005B5"/>
    <w:rsid w:val="002006DE"/>
    <w:rsid w:val="0020080E"/>
    <w:rsid w:val="00200A7D"/>
    <w:rsid w:val="00200C1B"/>
    <w:rsid w:val="00200C7A"/>
    <w:rsid w:val="00200D00"/>
    <w:rsid w:val="00200D2E"/>
    <w:rsid w:val="00200E1E"/>
    <w:rsid w:val="00200E82"/>
    <w:rsid w:val="00200F26"/>
    <w:rsid w:val="00201107"/>
    <w:rsid w:val="002011C1"/>
    <w:rsid w:val="002013D0"/>
    <w:rsid w:val="00201519"/>
    <w:rsid w:val="0020156D"/>
    <w:rsid w:val="00201685"/>
    <w:rsid w:val="002018D6"/>
    <w:rsid w:val="002018E7"/>
    <w:rsid w:val="00201917"/>
    <w:rsid w:val="00201951"/>
    <w:rsid w:val="00201A50"/>
    <w:rsid w:val="00201E13"/>
    <w:rsid w:val="00201E60"/>
    <w:rsid w:val="00202051"/>
    <w:rsid w:val="0020209A"/>
    <w:rsid w:val="00202122"/>
    <w:rsid w:val="0020227A"/>
    <w:rsid w:val="002023CC"/>
    <w:rsid w:val="00202758"/>
    <w:rsid w:val="0020295B"/>
    <w:rsid w:val="002029FF"/>
    <w:rsid w:val="00202E10"/>
    <w:rsid w:val="00202E1E"/>
    <w:rsid w:val="00203152"/>
    <w:rsid w:val="00203158"/>
    <w:rsid w:val="002032D6"/>
    <w:rsid w:val="00203467"/>
    <w:rsid w:val="002034AC"/>
    <w:rsid w:val="00203541"/>
    <w:rsid w:val="00203608"/>
    <w:rsid w:val="002036FE"/>
    <w:rsid w:val="0020375D"/>
    <w:rsid w:val="00203807"/>
    <w:rsid w:val="00203B10"/>
    <w:rsid w:val="00203D82"/>
    <w:rsid w:val="00203F96"/>
    <w:rsid w:val="00204011"/>
    <w:rsid w:val="0020407E"/>
    <w:rsid w:val="002040E8"/>
    <w:rsid w:val="0020419D"/>
    <w:rsid w:val="00204228"/>
    <w:rsid w:val="0020432D"/>
    <w:rsid w:val="002043E1"/>
    <w:rsid w:val="002044A6"/>
    <w:rsid w:val="002049F1"/>
    <w:rsid w:val="00204B49"/>
    <w:rsid w:val="00204BAE"/>
    <w:rsid w:val="00204EBB"/>
    <w:rsid w:val="0020509C"/>
    <w:rsid w:val="002051D2"/>
    <w:rsid w:val="00205447"/>
    <w:rsid w:val="002054E0"/>
    <w:rsid w:val="00205533"/>
    <w:rsid w:val="0020579E"/>
    <w:rsid w:val="002057DA"/>
    <w:rsid w:val="002059C8"/>
    <w:rsid w:val="00205B7F"/>
    <w:rsid w:val="00205C7C"/>
    <w:rsid w:val="00205D87"/>
    <w:rsid w:val="00205F95"/>
    <w:rsid w:val="00206100"/>
    <w:rsid w:val="002061D9"/>
    <w:rsid w:val="002062A1"/>
    <w:rsid w:val="002062F4"/>
    <w:rsid w:val="00206364"/>
    <w:rsid w:val="00206398"/>
    <w:rsid w:val="00206574"/>
    <w:rsid w:val="002065C5"/>
    <w:rsid w:val="00206968"/>
    <w:rsid w:val="002069BA"/>
    <w:rsid w:val="00206A27"/>
    <w:rsid w:val="00206E2A"/>
    <w:rsid w:val="0020721F"/>
    <w:rsid w:val="00207261"/>
    <w:rsid w:val="00207369"/>
    <w:rsid w:val="00207485"/>
    <w:rsid w:val="0020758E"/>
    <w:rsid w:val="002075D5"/>
    <w:rsid w:val="0020783A"/>
    <w:rsid w:val="00207A41"/>
    <w:rsid w:val="00207ADC"/>
    <w:rsid w:val="00207BFA"/>
    <w:rsid w:val="00207E65"/>
    <w:rsid w:val="00207E73"/>
    <w:rsid w:val="00207F15"/>
    <w:rsid w:val="00210006"/>
    <w:rsid w:val="00210035"/>
    <w:rsid w:val="00210063"/>
    <w:rsid w:val="002103A0"/>
    <w:rsid w:val="00210653"/>
    <w:rsid w:val="00210923"/>
    <w:rsid w:val="00210965"/>
    <w:rsid w:val="002109D2"/>
    <w:rsid w:val="00210B50"/>
    <w:rsid w:val="00210D03"/>
    <w:rsid w:val="00210D0E"/>
    <w:rsid w:val="00210D2F"/>
    <w:rsid w:val="00210EBF"/>
    <w:rsid w:val="00210FD2"/>
    <w:rsid w:val="0021100B"/>
    <w:rsid w:val="00211092"/>
    <w:rsid w:val="002112B8"/>
    <w:rsid w:val="002113BD"/>
    <w:rsid w:val="002117F9"/>
    <w:rsid w:val="00211BBC"/>
    <w:rsid w:val="00211BF9"/>
    <w:rsid w:val="00211F94"/>
    <w:rsid w:val="002120D4"/>
    <w:rsid w:val="002122DF"/>
    <w:rsid w:val="00212357"/>
    <w:rsid w:val="00212438"/>
    <w:rsid w:val="0021261F"/>
    <w:rsid w:val="002126B3"/>
    <w:rsid w:val="00212870"/>
    <w:rsid w:val="00212B43"/>
    <w:rsid w:val="00212CB4"/>
    <w:rsid w:val="00212D57"/>
    <w:rsid w:val="0021319E"/>
    <w:rsid w:val="00213259"/>
    <w:rsid w:val="00213291"/>
    <w:rsid w:val="00213346"/>
    <w:rsid w:val="002133D1"/>
    <w:rsid w:val="00213494"/>
    <w:rsid w:val="002135EC"/>
    <w:rsid w:val="00213784"/>
    <w:rsid w:val="002137F3"/>
    <w:rsid w:val="002138D9"/>
    <w:rsid w:val="002139BD"/>
    <w:rsid w:val="00213B4E"/>
    <w:rsid w:val="00213BAC"/>
    <w:rsid w:val="00213BB7"/>
    <w:rsid w:val="00213CE3"/>
    <w:rsid w:val="00213DA2"/>
    <w:rsid w:val="00213E1D"/>
    <w:rsid w:val="00213F9F"/>
    <w:rsid w:val="002140A6"/>
    <w:rsid w:val="0021444A"/>
    <w:rsid w:val="00214864"/>
    <w:rsid w:val="0021491D"/>
    <w:rsid w:val="00214BAC"/>
    <w:rsid w:val="00214F32"/>
    <w:rsid w:val="00215200"/>
    <w:rsid w:val="00215234"/>
    <w:rsid w:val="00215241"/>
    <w:rsid w:val="0021535C"/>
    <w:rsid w:val="002153F5"/>
    <w:rsid w:val="0021543B"/>
    <w:rsid w:val="002154B8"/>
    <w:rsid w:val="002155BF"/>
    <w:rsid w:val="002158E3"/>
    <w:rsid w:val="00215936"/>
    <w:rsid w:val="00215944"/>
    <w:rsid w:val="002159C2"/>
    <w:rsid w:val="002159F2"/>
    <w:rsid w:val="00215B8E"/>
    <w:rsid w:val="00215C57"/>
    <w:rsid w:val="00215C61"/>
    <w:rsid w:val="00215D38"/>
    <w:rsid w:val="00215E00"/>
    <w:rsid w:val="00215EF9"/>
    <w:rsid w:val="00215F89"/>
    <w:rsid w:val="0021606E"/>
    <w:rsid w:val="00216108"/>
    <w:rsid w:val="002162B6"/>
    <w:rsid w:val="0021630D"/>
    <w:rsid w:val="002163D5"/>
    <w:rsid w:val="0021681A"/>
    <w:rsid w:val="00216B00"/>
    <w:rsid w:val="00216BE2"/>
    <w:rsid w:val="00216C1A"/>
    <w:rsid w:val="00216DA0"/>
    <w:rsid w:val="00216E22"/>
    <w:rsid w:val="00216E2B"/>
    <w:rsid w:val="00217259"/>
    <w:rsid w:val="002172B1"/>
    <w:rsid w:val="00217428"/>
    <w:rsid w:val="00217599"/>
    <w:rsid w:val="002179D1"/>
    <w:rsid w:val="00217A22"/>
    <w:rsid w:val="00217A95"/>
    <w:rsid w:val="00217B92"/>
    <w:rsid w:val="00217CFC"/>
    <w:rsid w:val="00217E30"/>
    <w:rsid w:val="00220505"/>
    <w:rsid w:val="002209FF"/>
    <w:rsid w:val="00220B21"/>
    <w:rsid w:val="00220CC5"/>
    <w:rsid w:val="00221711"/>
    <w:rsid w:val="00221715"/>
    <w:rsid w:val="002218AB"/>
    <w:rsid w:val="00221B6D"/>
    <w:rsid w:val="00221CA9"/>
    <w:rsid w:val="00221DCA"/>
    <w:rsid w:val="00221F5C"/>
    <w:rsid w:val="00221FCF"/>
    <w:rsid w:val="00222272"/>
    <w:rsid w:val="00222325"/>
    <w:rsid w:val="00222591"/>
    <w:rsid w:val="002225B0"/>
    <w:rsid w:val="00222713"/>
    <w:rsid w:val="00222718"/>
    <w:rsid w:val="00222768"/>
    <w:rsid w:val="0022286B"/>
    <w:rsid w:val="002228DE"/>
    <w:rsid w:val="00222A02"/>
    <w:rsid w:val="00222A4C"/>
    <w:rsid w:val="00222D32"/>
    <w:rsid w:val="00222ED2"/>
    <w:rsid w:val="00222EF6"/>
    <w:rsid w:val="0022301E"/>
    <w:rsid w:val="00223029"/>
    <w:rsid w:val="00223286"/>
    <w:rsid w:val="002233AE"/>
    <w:rsid w:val="002239F0"/>
    <w:rsid w:val="00223CDE"/>
    <w:rsid w:val="00223F1D"/>
    <w:rsid w:val="0022410E"/>
    <w:rsid w:val="002241F6"/>
    <w:rsid w:val="00224262"/>
    <w:rsid w:val="00224457"/>
    <w:rsid w:val="00224724"/>
    <w:rsid w:val="0022488A"/>
    <w:rsid w:val="00224B6F"/>
    <w:rsid w:val="00224C4F"/>
    <w:rsid w:val="00224E72"/>
    <w:rsid w:val="00224F4E"/>
    <w:rsid w:val="00224F76"/>
    <w:rsid w:val="00225200"/>
    <w:rsid w:val="0022538E"/>
    <w:rsid w:val="002253F4"/>
    <w:rsid w:val="0022549E"/>
    <w:rsid w:val="00225638"/>
    <w:rsid w:val="00225CF6"/>
    <w:rsid w:val="002262AE"/>
    <w:rsid w:val="00226427"/>
    <w:rsid w:val="00226549"/>
    <w:rsid w:val="002267D8"/>
    <w:rsid w:val="00226855"/>
    <w:rsid w:val="002269DE"/>
    <w:rsid w:val="00226AEF"/>
    <w:rsid w:val="00226D65"/>
    <w:rsid w:val="00226D81"/>
    <w:rsid w:val="00226E89"/>
    <w:rsid w:val="00226FAD"/>
    <w:rsid w:val="00227005"/>
    <w:rsid w:val="00227176"/>
    <w:rsid w:val="00227219"/>
    <w:rsid w:val="00227392"/>
    <w:rsid w:val="002273EF"/>
    <w:rsid w:val="00227484"/>
    <w:rsid w:val="0022755E"/>
    <w:rsid w:val="00227612"/>
    <w:rsid w:val="002279AC"/>
    <w:rsid w:val="00227A14"/>
    <w:rsid w:val="00227AD2"/>
    <w:rsid w:val="00227BA9"/>
    <w:rsid w:val="00227CFF"/>
    <w:rsid w:val="00227D42"/>
    <w:rsid w:val="0023011F"/>
    <w:rsid w:val="0023014C"/>
    <w:rsid w:val="002304C5"/>
    <w:rsid w:val="002304DA"/>
    <w:rsid w:val="0023058B"/>
    <w:rsid w:val="00230719"/>
    <w:rsid w:val="00230868"/>
    <w:rsid w:val="0023097E"/>
    <w:rsid w:val="00230A3B"/>
    <w:rsid w:val="00230B13"/>
    <w:rsid w:val="00230C46"/>
    <w:rsid w:val="00230EDA"/>
    <w:rsid w:val="0023124D"/>
    <w:rsid w:val="002319C6"/>
    <w:rsid w:val="00231B98"/>
    <w:rsid w:val="00231BC9"/>
    <w:rsid w:val="00231F16"/>
    <w:rsid w:val="00231F8E"/>
    <w:rsid w:val="00231FED"/>
    <w:rsid w:val="0023233B"/>
    <w:rsid w:val="00232713"/>
    <w:rsid w:val="00232791"/>
    <w:rsid w:val="002327C6"/>
    <w:rsid w:val="00232884"/>
    <w:rsid w:val="00232949"/>
    <w:rsid w:val="00232A49"/>
    <w:rsid w:val="00232B2A"/>
    <w:rsid w:val="00232D8A"/>
    <w:rsid w:val="00232DEE"/>
    <w:rsid w:val="00232F46"/>
    <w:rsid w:val="0023331F"/>
    <w:rsid w:val="002333F1"/>
    <w:rsid w:val="0023379F"/>
    <w:rsid w:val="002337F4"/>
    <w:rsid w:val="00233A56"/>
    <w:rsid w:val="00233AB9"/>
    <w:rsid w:val="00233F8C"/>
    <w:rsid w:val="002341C3"/>
    <w:rsid w:val="00234200"/>
    <w:rsid w:val="00234348"/>
    <w:rsid w:val="002345A4"/>
    <w:rsid w:val="0023493C"/>
    <w:rsid w:val="00234978"/>
    <w:rsid w:val="002350DF"/>
    <w:rsid w:val="002350EC"/>
    <w:rsid w:val="00235114"/>
    <w:rsid w:val="002354D0"/>
    <w:rsid w:val="002356EF"/>
    <w:rsid w:val="00235E53"/>
    <w:rsid w:val="00235F33"/>
    <w:rsid w:val="002361B6"/>
    <w:rsid w:val="00236426"/>
    <w:rsid w:val="0023644A"/>
    <w:rsid w:val="00236492"/>
    <w:rsid w:val="002365B8"/>
    <w:rsid w:val="00236670"/>
    <w:rsid w:val="00236896"/>
    <w:rsid w:val="002369E8"/>
    <w:rsid w:val="00236A38"/>
    <w:rsid w:val="00236A3B"/>
    <w:rsid w:val="00236C9D"/>
    <w:rsid w:val="002370DE"/>
    <w:rsid w:val="00237231"/>
    <w:rsid w:val="002373B7"/>
    <w:rsid w:val="00237A21"/>
    <w:rsid w:val="00237A48"/>
    <w:rsid w:val="00237BE3"/>
    <w:rsid w:val="00237D06"/>
    <w:rsid w:val="00237D38"/>
    <w:rsid w:val="00237ED7"/>
    <w:rsid w:val="00240193"/>
    <w:rsid w:val="0024023E"/>
    <w:rsid w:val="002403BA"/>
    <w:rsid w:val="0024053B"/>
    <w:rsid w:val="00240618"/>
    <w:rsid w:val="00240624"/>
    <w:rsid w:val="0024087C"/>
    <w:rsid w:val="002409EA"/>
    <w:rsid w:val="00240CF4"/>
    <w:rsid w:val="00240D6A"/>
    <w:rsid w:val="00240D84"/>
    <w:rsid w:val="00240F53"/>
    <w:rsid w:val="00241486"/>
    <w:rsid w:val="0024170C"/>
    <w:rsid w:val="00241815"/>
    <w:rsid w:val="00241B08"/>
    <w:rsid w:val="00241B40"/>
    <w:rsid w:val="00241C54"/>
    <w:rsid w:val="00241F6D"/>
    <w:rsid w:val="002421B8"/>
    <w:rsid w:val="00242311"/>
    <w:rsid w:val="0024231B"/>
    <w:rsid w:val="002423E0"/>
    <w:rsid w:val="00242510"/>
    <w:rsid w:val="00242629"/>
    <w:rsid w:val="0024275F"/>
    <w:rsid w:val="00242AF9"/>
    <w:rsid w:val="00242E7E"/>
    <w:rsid w:val="00242ECE"/>
    <w:rsid w:val="00243014"/>
    <w:rsid w:val="0024305B"/>
    <w:rsid w:val="00243271"/>
    <w:rsid w:val="00243CEB"/>
    <w:rsid w:val="00243D39"/>
    <w:rsid w:val="00243DEA"/>
    <w:rsid w:val="00244108"/>
    <w:rsid w:val="0024414C"/>
    <w:rsid w:val="002442BD"/>
    <w:rsid w:val="00244478"/>
    <w:rsid w:val="002448C9"/>
    <w:rsid w:val="00244945"/>
    <w:rsid w:val="00244A4B"/>
    <w:rsid w:val="00244B81"/>
    <w:rsid w:val="00244DE9"/>
    <w:rsid w:val="00244EEC"/>
    <w:rsid w:val="00244F93"/>
    <w:rsid w:val="00245756"/>
    <w:rsid w:val="00245889"/>
    <w:rsid w:val="00245D89"/>
    <w:rsid w:val="00245DB8"/>
    <w:rsid w:val="00245DE8"/>
    <w:rsid w:val="00245DFD"/>
    <w:rsid w:val="00245E96"/>
    <w:rsid w:val="00245FC3"/>
    <w:rsid w:val="0024606C"/>
    <w:rsid w:val="002460D1"/>
    <w:rsid w:val="00246216"/>
    <w:rsid w:val="00246484"/>
    <w:rsid w:val="00246500"/>
    <w:rsid w:val="00246849"/>
    <w:rsid w:val="00246917"/>
    <w:rsid w:val="00246923"/>
    <w:rsid w:val="00246CDB"/>
    <w:rsid w:val="00246D0E"/>
    <w:rsid w:val="00246D26"/>
    <w:rsid w:val="00246D2C"/>
    <w:rsid w:val="002475E4"/>
    <w:rsid w:val="00247960"/>
    <w:rsid w:val="00247C8E"/>
    <w:rsid w:val="00247EDD"/>
    <w:rsid w:val="00247F2C"/>
    <w:rsid w:val="0025022D"/>
    <w:rsid w:val="0025028C"/>
    <w:rsid w:val="00250588"/>
    <w:rsid w:val="0025059F"/>
    <w:rsid w:val="0025060B"/>
    <w:rsid w:val="0025098B"/>
    <w:rsid w:val="00250AB8"/>
    <w:rsid w:val="00250B47"/>
    <w:rsid w:val="00250D1E"/>
    <w:rsid w:val="00250FEE"/>
    <w:rsid w:val="00251015"/>
    <w:rsid w:val="002514D2"/>
    <w:rsid w:val="002519C6"/>
    <w:rsid w:val="00251A5D"/>
    <w:rsid w:val="00251FDF"/>
    <w:rsid w:val="00252025"/>
    <w:rsid w:val="00252343"/>
    <w:rsid w:val="0025236C"/>
    <w:rsid w:val="00252458"/>
    <w:rsid w:val="002526DD"/>
    <w:rsid w:val="0025294E"/>
    <w:rsid w:val="0025294F"/>
    <w:rsid w:val="00252A0A"/>
    <w:rsid w:val="00252BC5"/>
    <w:rsid w:val="00252E44"/>
    <w:rsid w:val="00252F48"/>
    <w:rsid w:val="0025318B"/>
    <w:rsid w:val="002531C7"/>
    <w:rsid w:val="002535C1"/>
    <w:rsid w:val="002536E2"/>
    <w:rsid w:val="0025393C"/>
    <w:rsid w:val="00253A01"/>
    <w:rsid w:val="00253A0C"/>
    <w:rsid w:val="00253A5C"/>
    <w:rsid w:val="00253B73"/>
    <w:rsid w:val="00253BB0"/>
    <w:rsid w:val="00253BDE"/>
    <w:rsid w:val="00253CB6"/>
    <w:rsid w:val="002541A1"/>
    <w:rsid w:val="002541E2"/>
    <w:rsid w:val="00254747"/>
    <w:rsid w:val="002549BC"/>
    <w:rsid w:val="00254AF7"/>
    <w:rsid w:val="00254F2A"/>
    <w:rsid w:val="002550F6"/>
    <w:rsid w:val="00255160"/>
    <w:rsid w:val="0025528C"/>
    <w:rsid w:val="00255320"/>
    <w:rsid w:val="00255565"/>
    <w:rsid w:val="002557E6"/>
    <w:rsid w:val="00255824"/>
    <w:rsid w:val="002558FB"/>
    <w:rsid w:val="00255A70"/>
    <w:rsid w:val="00255A94"/>
    <w:rsid w:val="00255D8A"/>
    <w:rsid w:val="00255D8C"/>
    <w:rsid w:val="00255E36"/>
    <w:rsid w:val="002565DA"/>
    <w:rsid w:val="0025665D"/>
    <w:rsid w:val="00256781"/>
    <w:rsid w:val="002568E3"/>
    <w:rsid w:val="00256939"/>
    <w:rsid w:val="0025698B"/>
    <w:rsid w:val="00256B2F"/>
    <w:rsid w:val="00256DE0"/>
    <w:rsid w:val="00256EFF"/>
    <w:rsid w:val="00256F35"/>
    <w:rsid w:val="0025706A"/>
    <w:rsid w:val="00257507"/>
    <w:rsid w:val="00257697"/>
    <w:rsid w:val="00257A29"/>
    <w:rsid w:val="00257B01"/>
    <w:rsid w:val="00257F23"/>
    <w:rsid w:val="00257F93"/>
    <w:rsid w:val="002600F6"/>
    <w:rsid w:val="00260499"/>
    <w:rsid w:val="00260671"/>
    <w:rsid w:val="00260768"/>
    <w:rsid w:val="0026089F"/>
    <w:rsid w:val="002608B6"/>
    <w:rsid w:val="002609B9"/>
    <w:rsid w:val="002609C8"/>
    <w:rsid w:val="002609D4"/>
    <w:rsid w:val="00260A41"/>
    <w:rsid w:val="00260AFC"/>
    <w:rsid w:val="00260C10"/>
    <w:rsid w:val="00260C8A"/>
    <w:rsid w:val="00260E3C"/>
    <w:rsid w:val="00261029"/>
    <w:rsid w:val="00261088"/>
    <w:rsid w:val="00261179"/>
    <w:rsid w:val="00261320"/>
    <w:rsid w:val="0026191B"/>
    <w:rsid w:val="0026193B"/>
    <w:rsid w:val="00261AA7"/>
    <w:rsid w:val="00261EB0"/>
    <w:rsid w:val="002620D6"/>
    <w:rsid w:val="0026224B"/>
    <w:rsid w:val="002622F5"/>
    <w:rsid w:val="0026279F"/>
    <w:rsid w:val="002629E4"/>
    <w:rsid w:val="00262A19"/>
    <w:rsid w:val="00262A22"/>
    <w:rsid w:val="00262D08"/>
    <w:rsid w:val="00262D7E"/>
    <w:rsid w:val="00262D99"/>
    <w:rsid w:val="00262FB6"/>
    <w:rsid w:val="0026320B"/>
    <w:rsid w:val="00263344"/>
    <w:rsid w:val="00263488"/>
    <w:rsid w:val="002634B0"/>
    <w:rsid w:val="0026364D"/>
    <w:rsid w:val="00263884"/>
    <w:rsid w:val="00263AEC"/>
    <w:rsid w:val="00263B25"/>
    <w:rsid w:val="00263D7A"/>
    <w:rsid w:val="00263FA2"/>
    <w:rsid w:val="00263FDB"/>
    <w:rsid w:val="002642C0"/>
    <w:rsid w:val="0026451F"/>
    <w:rsid w:val="002645A8"/>
    <w:rsid w:val="00264607"/>
    <w:rsid w:val="00264784"/>
    <w:rsid w:val="002647C4"/>
    <w:rsid w:val="00264AE6"/>
    <w:rsid w:val="00264AEE"/>
    <w:rsid w:val="00264B8E"/>
    <w:rsid w:val="00264D22"/>
    <w:rsid w:val="00264E05"/>
    <w:rsid w:val="00264F82"/>
    <w:rsid w:val="002650CF"/>
    <w:rsid w:val="002653E5"/>
    <w:rsid w:val="002655B8"/>
    <w:rsid w:val="002658F3"/>
    <w:rsid w:val="0026595B"/>
    <w:rsid w:val="002659F6"/>
    <w:rsid w:val="00265A0A"/>
    <w:rsid w:val="00265AB0"/>
    <w:rsid w:val="00265CC4"/>
    <w:rsid w:val="00265D33"/>
    <w:rsid w:val="00265D34"/>
    <w:rsid w:val="00265E44"/>
    <w:rsid w:val="00265EF8"/>
    <w:rsid w:val="0026602A"/>
    <w:rsid w:val="0026642C"/>
    <w:rsid w:val="00266462"/>
    <w:rsid w:val="002665E4"/>
    <w:rsid w:val="00266971"/>
    <w:rsid w:val="0026699C"/>
    <w:rsid w:val="00266A70"/>
    <w:rsid w:val="00266EA0"/>
    <w:rsid w:val="00266F6C"/>
    <w:rsid w:val="002671C8"/>
    <w:rsid w:val="002672DB"/>
    <w:rsid w:val="0026756B"/>
    <w:rsid w:val="0026758C"/>
    <w:rsid w:val="00267618"/>
    <w:rsid w:val="00267761"/>
    <w:rsid w:val="00267856"/>
    <w:rsid w:val="00267989"/>
    <w:rsid w:val="00267A05"/>
    <w:rsid w:val="00267B67"/>
    <w:rsid w:val="00267B68"/>
    <w:rsid w:val="00267B90"/>
    <w:rsid w:val="00267C77"/>
    <w:rsid w:val="00267D31"/>
    <w:rsid w:val="00267F5C"/>
    <w:rsid w:val="0027051A"/>
    <w:rsid w:val="0027063B"/>
    <w:rsid w:val="00270703"/>
    <w:rsid w:val="0027096E"/>
    <w:rsid w:val="00270AF9"/>
    <w:rsid w:val="00270BE1"/>
    <w:rsid w:val="00270F06"/>
    <w:rsid w:val="002710B5"/>
    <w:rsid w:val="0027117F"/>
    <w:rsid w:val="0027124E"/>
    <w:rsid w:val="002712C3"/>
    <w:rsid w:val="00271324"/>
    <w:rsid w:val="0027137E"/>
    <w:rsid w:val="002714CD"/>
    <w:rsid w:val="00271565"/>
    <w:rsid w:val="00271627"/>
    <w:rsid w:val="002717D8"/>
    <w:rsid w:val="00271995"/>
    <w:rsid w:val="002719C2"/>
    <w:rsid w:val="00271E1F"/>
    <w:rsid w:val="00271F6C"/>
    <w:rsid w:val="00271FC1"/>
    <w:rsid w:val="0027208E"/>
    <w:rsid w:val="00272398"/>
    <w:rsid w:val="002724BB"/>
    <w:rsid w:val="0027250E"/>
    <w:rsid w:val="0027254B"/>
    <w:rsid w:val="002725A2"/>
    <w:rsid w:val="002725E9"/>
    <w:rsid w:val="0027295A"/>
    <w:rsid w:val="00272C25"/>
    <w:rsid w:val="00272F5A"/>
    <w:rsid w:val="00272F5C"/>
    <w:rsid w:val="00273093"/>
    <w:rsid w:val="002730C1"/>
    <w:rsid w:val="00273208"/>
    <w:rsid w:val="002732B1"/>
    <w:rsid w:val="00273412"/>
    <w:rsid w:val="00273425"/>
    <w:rsid w:val="00273478"/>
    <w:rsid w:val="0027352C"/>
    <w:rsid w:val="002735C5"/>
    <w:rsid w:val="002735E3"/>
    <w:rsid w:val="00273875"/>
    <w:rsid w:val="002739A5"/>
    <w:rsid w:val="00273CA4"/>
    <w:rsid w:val="00273CDE"/>
    <w:rsid w:val="00273D63"/>
    <w:rsid w:val="00273FBC"/>
    <w:rsid w:val="00274021"/>
    <w:rsid w:val="002741A9"/>
    <w:rsid w:val="002742EE"/>
    <w:rsid w:val="00274631"/>
    <w:rsid w:val="002747BB"/>
    <w:rsid w:val="00274925"/>
    <w:rsid w:val="00274946"/>
    <w:rsid w:val="00274BB7"/>
    <w:rsid w:val="00274D1B"/>
    <w:rsid w:val="002751B9"/>
    <w:rsid w:val="00275218"/>
    <w:rsid w:val="0027533B"/>
    <w:rsid w:val="0027550C"/>
    <w:rsid w:val="00275909"/>
    <w:rsid w:val="002759D6"/>
    <w:rsid w:val="00275B3C"/>
    <w:rsid w:val="00275CF5"/>
    <w:rsid w:val="00275D88"/>
    <w:rsid w:val="00275E4A"/>
    <w:rsid w:val="002760F8"/>
    <w:rsid w:val="002761DF"/>
    <w:rsid w:val="00276240"/>
    <w:rsid w:val="00276246"/>
    <w:rsid w:val="00276392"/>
    <w:rsid w:val="002764B1"/>
    <w:rsid w:val="0027682E"/>
    <w:rsid w:val="002768B4"/>
    <w:rsid w:val="002768CE"/>
    <w:rsid w:val="00276A3F"/>
    <w:rsid w:val="00276B53"/>
    <w:rsid w:val="00276C3B"/>
    <w:rsid w:val="00276C7C"/>
    <w:rsid w:val="00276CA3"/>
    <w:rsid w:val="00276D86"/>
    <w:rsid w:val="00276D88"/>
    <w:rsid w:val="00276E24"/>
    <w:rsid w:val="00276EA5"/>
    <w:rsid w:val="00277091"/>
    <w:rsid w:val="002770AF"/>
    <w:rsid w:val="0027716C"/>
    <w:rsid w:val="00277395"/>
    <w:rsid w:val="002773F5"/>
    <w:rsid w:val="0027748A"/>
    <w:rsid w:val="00277CFE"/>
    <w:rsid w:val="00277EF3"/>
    <w:rsid w:val="002801D2"/>
    <w:rsid w:val="00280283"/>
    <w:rsid w:val="0028032F"/>
    <w:rsid w:val="00280378"/>
    <w:rsid w:val="002803A6"/>
    <w:rsid w:val="00280B3E"/>
    <w:rsid w:val="00280C32"/>
    <w:rsid w:val="00280F20"/>
    <w:rsid w:val="00281279"/>
    <w:rsid w:val="00281457"/>
    <w:rsid w:val="002814BC"/>
    <w:rsid w:val="00281665"/>
    <w:rsid w:val="002818D5"/>
    <w:rsid w:val="00281B95"/>
    <w:rsid w:val="00281D37"/>
    <w:rsid w:val="00282241"/>
    <w:rsid w:val="002822D5"/>
    <w:rsid w:val="00282383"/>
    <w:rsid w:val="002824D7"/>
    <w:rsid w:val="00282959"/>
    <w:rsid w:val="00282A46"/>
    <w:rsid w:val="00282BF0"/>
    <w:rsid w:val="00282C66"/>
    <w:rsid w:val="00282E9D"/>
    <w:rsid w:val="002831BD"/>
    <w:rsid w:val="002832AB"/>
    <w:rsid w:val="00283368"/>
    <w:rsid w:val="0028337A"/>
    <w:rsid w:val="00283420"/>
    <w:rsid w:val="00283447"/>
    <w:rsid w:val="00283450"/>
    <w:rsid w:val="00283585"/>
    <w:rsid w:val="00283706"/>
    <w:rsid w:val="002837E2"/>
    <w:rsid w:val="00283967"/>
    <w:rsid w:val="00283A87"/>
    <w:rsid w:val="00283A88"/>
    <w:rsid w:val="00283ADC"/>
    <w:rsid w:val="00283EFB"/>
    <w:rsid w:val="00284208"/>
    <w:rsid w:val="002845CB"/>
    <w:rsid w:val="00284646"/>
    <w:rsid w:val="00284672"/>
    <w:rsid w:val="002846DB"/>
    <w:rsid w:val="002848B7"/>
    <w:rsid w:val="002849D7"/>
    <w:rsid w:val="00284B50"/>
    <w:rsid w:val="00284C06"/>
    <w:rsid w:val="00284DAD"/>
    <w:rsid w:val="00284E97"/>
    <w:rsid w:val="0028502E"/>
    <w:rsid w:val="00285146"/>
    <w:rsid w:val="0028518E"/>
    <w:rsid w:val="0028537E"/>
    <w:rsid w:val="0028548C"/>
    <w:rsid w:val="00285633"/>
    <w:rsid w:val="00285685"/>
    <w:rsid w:val="002856CE"/>
    <w:rsid w:val="002856F1"/>
    <w:rsid w:val="002857A7"/>
    <w:rsid w:val="00285AD9"/>
    <w:rsid w:val="00285BB0"/>
    <w:rsid w:val="00285C84"/>
    <w:rsid w:val="00285CF2"/>
    <w:rsid w:val="00285F7D"/>
    <w:rsid w:val="00285F96"/>
    <w:rsid w:val="00285FEF"/>
    <w:rsid w:val="00286001"/>
    <w:rsid w:val="002860C8"/>
    <w:rsid w:val="00286125"/>
    <w:rsid w:val="00286153"/>
    <w:rsid w:val="002861FF"/>
    <w:rsid w:val="00286398"/>
    <w:rsid w:val="002865FF"/>
    <w:rsid w:val="00286620"/>
    <w:rsid w:val="002869FE"/>
    <w:rsid w:val="00286B4E"/>
    <w:rsid w:val="00286DE6"/>
    <w:rsid w:val="00287058"/>
    <w:rsid w:val="002871A5"/>
    <w:rsid w:val="0028727F"/>
    <w:rsid w:val="0028797C"/>
    <w:rsid w:val="002879B5"/>
    <w:rsid w:val="00287CEC"/>
    <w:rsid w:val="00287D02"/>
    <w:rsid w:val="002900FB"/>
    <w:rsid w:val="0029014D"/>
    <w:rsid w:val="00290489"/>
    <w:rsid w:val="00290670"/>
    <w:rsid w:val="0029084E"/>
    <w:rsid w:val="00290A73"/>
    <w:rsid w:val="00290C0B"/>
    <w:rsid w:val="00290CC1"/>
    <w:rsid w:val="00290E44"/>
    <w:rsid w:val="00290FA2"/>
    <w:rsid w:val="0029109E"/>
    <w:rsid w:val="00291255"/>
    <w:rsid w:val="00291503"/>
    <w:rsid w:val="00291643"/>
    <w:rsid w:val="00291693"/>
    <w:rsid w:val="002918EE"/>
    <w:rsid w:val="00291ACA"/>
    <w:rsid w:val="00291EEF"/>
    <w:rsid w:val="00291F3B"/>
    <w:rsid w:val="00291FC3"/>
    <w:rsid w:val="0029215D"/>
    <w:rsid w:val="002921EA"/>
    <w:rsid w:val="0029266A"/>
    <w:rsid w:val="002927BE"/>
    <w:rsid w:val="00292A34"/>
    <w:rsid w:val="00292B69"/>
    <w:rsid w:val="00292FB4"/>
    <w:rsid w:val="00293374"/>
    <w:rsid w:val="0029343C"/>
    <w:rsid w:val="002935CF"/>
    <w:rsid w:val="00293834"/>
    <w:rsid w:val="00293A6D"/>
    <w:rsid w:val="00293A80"/>
    <w:rsid w:val="00293B60"/>
    <w:rsid w:val="00293C79"/>
    <w:rsid w:val="00293E6E"/>
    <w:rsid w:val="002943F6"/>
    <w:rsid w:val="00294461"/>
    <w:rsid w:val="00294C27"/>
    <w:rsid w:val="00294D19"/>
    <w:rsid w:val="00294E06"/>
    <w:rsid w:val="002952A0"/>
    <w:rsid w:val="00295757"/>
    <w:rsid w:val="002957CB"/>
    <w:rsid w:val="002958B9"/>
    <w:rsid w:val="00295C17"/>
    <w:rsid w:val="00295C90"/>
    <w:rsid w:val="00295CFC"/>
    <w:rsid w:val="00295E98"/>
    <w:rsid w:val="00295EAB"/>
    <w:rsid w:val="00296125"/>
    <w:rsid w:val="00296341"/>
    <w:rsid w:val="00296407"/>
    <w:rsid w:val="002964F3"/>
    <w:rsid w:val="002967A7"/>
    <w:rsid w:val="0029697A"/>
    <w:rsid w:val="0029697B"/>
    <w:rsid w:val="00296BFC"/>
    <w:rsid w:val="00296D01"/>
    <w:rsid w:val="00297108"/>
    <w:rsid w:val="00297277"/>
    <w:rsid w:val="00297369"/>
    <w:rsid w:val="0029742D"/>
    <w:rsid w:val="00297445"/>
    <w:rsid w:val="0029748D"/>
    <w:rsid w:val="002974CC"/>
    <w:rsid w:val="00297542"/>
    <w:rsid w:val="002978FA"/>
    <w:rsid w:val="002979E3"/>
    <w:rsid w:val="00297C46"/>
    <w:rsid w:val="00297C4C"/>
    <w:rsid w:val="00297DD7"/>
    <w:rsid w:val="00297E88"/>
    <w:rsid w:val="002A007B"/>
    <w:rsid w:val="002A018B"/>
    <w:rsid w:val="002A01C9"/>
    <w:rsid w:val="002A029B"/>
    <w:rsid w:val="002A0507"/>
    <w:rsid w:val="002A05C1"/>
    <w:rsid w:val="002A05E0"/>
    <w:rsid w:val="002A0676"/>
    <w:rsid w:val="002A06E2"/>
    <w:rsid w:val="002A0847"/>
    <w:rsid w:val="002A0AD7"/>
    <w:rsid w:val="002A0EE1"/>
    <w:rsid w:val="002A0FF0"/>
    <w:rsid w:val="002A1109"/>
    <w:rsid w:val="002A13EB"/>
    <w:rsid w:val="002A13F0"/>
    <w:rsid w:val="002A144B"/>
    <w:rsid w:val="002A18F3"/>
    <w:rsid w:val="002A19E7"/>
    <w:rsid w:val="002A1ADD"/>
    <w:rsid w:val="002A1C39"/>
    <w:rsid w:val="002A1E16"/>
    <w:rsid w:val="002A2038"/>
    <w:rsid w:val="002A23C3"/>
    <w:rsid w:val="002A25C1"/>
    <w:rsid w:val="002A26FD"/>
    <w:rsid w:val="002A2A54"/>
    <w:rsid w:val="002A2A70"/>
    <w:rsid w:val="002A2B61"/>
    <w:rsid w:val="002A2CBD"/>
    <w:rsid w:val="002A2D3B"/>
    <w:rsid w:val="002A2F86"/>
    <w:rsid w:val="002A3387"/>
    <w:rsid w:val="002A33F2"/>
    <w:rsid w:val="002A35B3"/>
    <w:rsid w:val="002A36E9"/>
    <w:rsid w:val="002A3710"/>
    <w:rsid w:val="002A37C8"/>
    <w:rsid w:val="002A3877"/>
    <w:rsid w:val="002A38B5"/>
    <w:rsid w:val="002A3A04"/>
    <w:rsid w:val="002A3C9D"/>
    <w:rsid w:val="002A3ED8"/>
    <w:rsid w:val="002A3FE6"/>
    <w:rsid w:val="002A4211"/>
    <w:rsid w:val="002A4268"/>
    <w:rsid w:val="002A42AB"/>
    <w:rsid w:val="002A44C9"/>
    <w:rsid w:val="002A4544"/>
    <w:rsid w:val="002A46EF"/>
    <w:rsid w:val="002A47B4"/>
    <w:rsid w:val="002A47BE"/>
    <w:rsid w:val="002A4B5E"/>
    <w:rsid w:val="002A4C35"/>
    <w:rsid w:val="002A4C64"/>
    <w:rsid w:val="002A4E93"/>
    <w:rsid w:val="002A5043"/>
    <w:rsid w:val="002A5299"/>
    <w:rsid w:val="002A531A"/>
    <w:rsid w:val="002A5425"/>
    <w:rsid w:val="002A545C"/>
    <w:rsid w:val="002A581D"/>
    <w:rsid w:val="002A5EA8"/>
    <w:rsid w:val="002A61F0"/>
    <w:rsid w:val="002A630D"/>
    <w:rsid w:val="002A6352"/>
    <w:rsid w:val="002A66ED"/>
    <w:rsid w:val="002A6722"/>
    <w:rsid w:val="002A67E3"/>
    <w:rsid w:val="002A67E8"/>
    <w:rsid w:val="002A6916"/>
    <w:rsid w:val="002A69AF"/>
    <w:rsid w:val="002A6A2D"/>
    <w:rsid w:val="002A6A75"/>
    <w:rsid w:val="002A6AE7"/>
    <w:rsid w:val="002A6EEE"/>
    <w:rsid w:val="002A6FDA"/>
    <w:rsid w:val="002A73BD"/>
    <w:rsid w:val="002A74D7"/>
    <w:rsid w:val="002A7862"/>
    <w:rsid w:val="002A78CB"/>
    <w:rsid w:val="002A7AB9"/>
    <w:rsid w:val="002A7E24"/>
    <w:rsid w:val="002A7F17"/>
    <w:rsid w:val="002B0117"/>
    <w:rsid w:val="002B0131"/>
    <w:rsid w:val="002B04E1"/>
    <w:rsid w:val="002B05D5"/>
    <w:rsid w:val="002B06C2"/>
    <w:rsid w:val="002B0BA7"/>
    <w:rsid w:val="002B0BF3"/>
    <w:rsid w:val="002B0EAA"/>
    <w:rsid w:val="002B0FDE"/>
    <w:rsid w:val="002B11C4"/>
    <w:rsid w:val="002B11E2"/>
    <w:rsid w:val="002B153C"/>
    <w:rsid w:val="002B15A5"/>
    <w:rsid w:val="002B162B"/>
    <w:rsid w:val="002B1987"/>
    <w:rsid w:val="002B1A35"/>
    <w:rsid w:val="002B1A37"/>
    <w:rsid w:val="002B1CE2"/>
    <w:rsid w:val="002B1DA0"/>
    <w:rsid w:val="002B1EC0"/>
    <w:rsid w:val="002B1EEE"/>
    <w:rsid w:val="002B2109"/>
    <w:rsid w:val="002B2111"/>
    <w:rsid w:val="002B2119"/>
    <w:rsid w:val="002B227F"/>
    <w:rsid w:val="002B245D"/>
    <w:rsid w:val="002B2463"/>
    <w:rsid w:val="002B24D4"/>
    <w:rsid w:val="002B27BD"/>
    <w:rsid w:val="002B2808"/>
    <w:rsid w:val="002B2981"/>
    <w:rsid w:val="002B2AD9"/>
    <w:rsid w:val="002B2AE6"/>
    <w:rsid w:val="002B2BFB"/>
    <w:rsid w:val="002B2C8F"/>
    <w:rsid w:val="002B2CC9"/>
    <w:rsid w:val="002B2D0E"/>
    <w:rsid w:val="002B2E1D"/>
    <w:rsid w:val="002B30B1"/>
    <w:rsid w:val="002B330C"/>
    <w:rsid w:val="002B3512"/>
    <w:rsid w:val="002B35AA"/>
    <w:rsid w:val="002B35B5"/>
    <w:rsid w:val="002B3788"/>
    <w:rsid w:val="002B388C"/>
    <w:rsid w:val="002B3C1E"/>
    <w:rsid w:val="002B3C97"/>
    <w:rsid w:val="002B410B"/>
    <w:rsid w:val="002B412D"/>
    <w:rsid w:val="002B47CD"/>
    <w:rsid w:val="002B47EB"/>
    <w:rsid w:val="002B4B56"/>
    <w:rsid w:val="002B4E01"/>
    <w:rsid w:val="002B50B9"/>
    <w:rsid w:val="002B52B6"/>
    <w:rsid w:val="002B54AC"/>
    <w:rsid w:val="002B551F"/>
    <w:rsid w:val="002B55B3"/>
    <w:rsid w:val="002B568E"/>
    <w:rsid w:val="002B5B45"/>
    <w:rsid w:val="002B5C3F"/>
    <w:rsid w:val="002B5D67"/>
    <w:rsid w:val="002B5EB8"/>
    <w:rsid w:val="002B5EFF"/>
    <w:rsid w:val="002B5F6D"/>
    <w:rsid w:val="002B654B"/>
    <w:rsid w:val="002B6653"/>
    <w:rsid w:val="002B68E1"/>
    <w:rsid w:val="002B6903"/>
    <w:rsid w:val="002B69F4"/>
    <w:rsid w:val="002B6C0F"/>
    <w:rsid w:val="002B6C97"/>
    <w:rsid w:val="002B6D9D"/>
    <w:rsid w:val="002B6F0B"/>
    <w:rsid w:val="002B705D"/>
    <w:rsid w:val="002B72DB"/>
    <w:rsid w:val="002B733E"/>
    <w:rsid w:val="002B7418"/>
    <w:rsid w:val="002B757A"/>
    <w:rsid w:val="002B78C9"/>
    <w:rsid w:val="002B7BC0"/>
    <w:rsid w:val="002B7BD4"/>
    <w:rsid w:val="002B7C43"/>
    <w:rsid w:val="002B7DA1"/>
    <w:rsid w:val="002B7F11"/>
    <w:rsid w:val="002C0099"/>
    <w:rsid w:val="002C017B"/>
    <w:rsid w:val="002C0352"/>
    <w:rsid w:val="002C03AB"/>
    <w:rsid w:val="002C03B9"/>
    <w:rsid w:val="002C0705"/>
    <w:rsid w:val="002C0A64"/>
    <w:rsid w:val="002C0D17"/>
    <w:rsid w:val="002C0EFF"/>
    <w:rsid w:val="002C0F7F"/>
    <w:rsid w:val="002C1331"/>
    <w:rsid w:val="002C1467"/>
    <w:rsid w:val="002C163F"/>
    <w:rsid w:val="002C17F7"/>
    <w:rsid w:val="002C181F"/>
    <w:rsid w:val="002C1862"/>
    <w:rsid w:val="002C18A0"/>
    <w:rsid w:val="002C1D6E"/>
    <w:rsid w:val="002C1D7F"/>
    <w:rsid w:val="002C1DAA"/>
    <w:rsid w:val="002C1DD8"/>
    <w:rsid w:val="002C2009"/>
    <w:rsid w:val="002C21D2"/>
    <w:rsid w:val="002C22F1"/>
    <w:rsid w:val="002C235F"/>
    <w:rsid w:val="002C24C1"/>
    <w:rsid w:val="002C27E9"/>
    <w:rsid w:val="002C28C5"/>
    <w:rsid w:val="002C2933"/>
    <w:rsid w:val="002C2A0B"/>
    <w:rsid w:val="002C2A28"/>
    <w:rsid w:val="002C2AEF"/>
    <w:rsid w:val="002C2C69"/>
    <w:rsid w:val="002C2C6A"/>
    <w:rsid w:val="002C2E2E"/>
    <w:rsid w:val="002C2E4F"/>
    <w:rsid w:val="002C33C5"/>
    <w:rsid w:val="002C33F8"/>
    <w:rsid w:val="002C3A2D"/>
    <w:rsid w:val="002C3BA6"/>
    <w:rsid w:val="002C3C72"/>
    <w:rsid w:val="002C3CD1"/>
    <w:rsid w:val="002C3F7C"/>
    <w:rsid w:val="002C4306"/>
    <w:rsid w:val="002C47D3"/>
    <w:rsid w:val="002C4801"/>
    <w:rsid w:val="002C4843"/>
    <w:rsid w:val="002C4928"/>
    <w:rsid w:val="002C4B60"/>
    <w:rsid w:val="002C4C78"/>
    <w:rsid w:val="002C4E45"/>
    <w:rsid w:val="002C502D"/>
    <w:rsid w:val="002C52DF"/>
    <w:rsid w:val="002C53DB"/>
    <w:rsid w:val="002C5509"/>
    <w:rsid w:val="002C55B6"/>
    <w:rsid w:val="002C57EF"/>
    <w:rsid w:val="002C5C30"/>
    <w:rsid w:val="002C5E12"/>
    <w:rsid w:val="002C5F99"/>
    <w:rsid w:val="002C60A9"/>
    <w:rsid w:val="002C60D9"/>
    <w:rsid w:val="002C6203"/>
    <w:rsid w:val="002C62F9"/>
    <w:rsid w:val="002C65BC"/>
    <w:rsid w:val="002C662C"/>
    <w:rsid w:val="002C6891"/>
    <w:rsid w:val="002C69DA"/>
    <w:rsid w:val="002C6C63"/>
    <w:rsid w:val="002C6F4B"/>
    <w:rsid w:val="002C71AF"/>
    <w:rsid w:val="002C7399"/>
    <w:rsid w:val="002C73A5"/>
    <w:rsid w:val="002C73E1"/>
    <w:rsid w:val="002C75F8"/>
    <w:rsid w:val="002C76F0"/>
    <w:rsid w:val="002C7798"/>
    <w:rsid w:val="002C78F4"/>
    <w:rsid w:val="002C7988"/>
    <w:rsid w:val="002C7A0F"/>
    <w:rsid w:val="002C7C99"/>
    <w:rsid w:val="002C7F07"/>
    <w:rsid w:val="002C7F58"/>
    <w:rsid w:val="002D0353"/>
    <w:rsid w:val="002D0459"/>
    <w:rsid w:val="002D0694"/>
    <w:rsid w:val="002D06A0"/>
    <w:rsid w:val="002D096B"/>
    <w:rsid w:val="002D09AD"/>
    <w:rsid w:val="002D0A4E"/>
    <w:rsid w:val="002D0B61"/>
    <w:rsid w:val="002D0BE1"/>
    <w:rsid w:val="002D0C79"/>
    <w:rsid w:val="002D0D3B"/>
    <w:rsid w:val="002D13EB"/>
    <w:rsid w:val="002D14CE"/>
    <w:rsid w:val="002D197F"/>
    <w:rsid w:val="002D19D4"/>
    <w:rsid w:val="002D1C33"/>
    <w:rsid w:val="002D1EA8"/>
    <w:rsid w:val="002D1FFF"/>
    <w:rsid w:val="002D2026"/>
    <w:rsid w:val="002D203D"/>
    <w:rsid w:val="002D2046"/>
    <w:rsid w:val="002D2389"/>
    <w:rsid w:val="002D238A"/>
    <w:rsid w:val="002D27E5"/>
    <w:rsid w:val="002D29CD"/>
    <w:rsid w:val="002D2ADE"/>
    <w:rsid w:val="002D2B9D"/>
    <w:rsid w:val="002D2E32"/>
    <w:rsid w:val="002D2E3E"/>
    <w:rsid w:val="002D2F31"/>
    <w:rsid w:val="002D2F45"/>
    <w:rsid w:val="002D30D2"/>
    <w:rsid w:val="002D3160"/>
    <w:rsid w:val="002D3340"/>
    <w:rsid w:val="002D3837"/>
    <w:rsid w:val="002D38F5"/>
    <w:rsid w:val="002D3903"/>
    <w:rsid w:val="002D3A74"/>
    <w:rsid w:val="002D3AC3"/>
    <w:rsid w:val="002D3B69"/>
    <w:rsid w:val="002D3BEB"/>
    <w:rsid w:val="002D3DB3"/>
    <w:rsid w:val="002D3F82"/>
    <w:rsid w:val="002D4170"/>
    <w:rsid w:val="002D4226"/>
    <w:rsid w:val="002D42BB"/>
    <w:rsid w:val="002D43D3"/>
    <w:rsid w:val="002D4949"/>
    <w:rsid w:val="002D494A"/>
    <w:rsid w:val="002D4C47"/>
    <w:rsid w:val="002D4F40"/>
    <w:rsid w:val="002D505E"/>
    <w:rsid w:val="002D5202"/>
    <w:rsid w:val="002D5ADB"/>
    <w:rsid w:val="002D5C16"/>
    <w:rsid w:val="002D5DA6"/>
    <w:rsid w:val="002D5DF0"/>
    <w:rsid w:val="002D5F37"/>
    <w:rsid w:val="002D60C0"/>
    <w:rsid w:val="002D615B"/>
    <w:rsid w:val="002D61A0"/>
    <w:rsid w:val="002D61E8"/>
    <w:rsid w:val="002D651B"/>
    <w:rsid w:val="002D66E3"/>
    <w:rsid w:val="002D690A"/>
    <w:rsid w:val="002D6A3B"/>
    <w:rsid w:val="002D6E86"/>
    <w:rsid w:val="002D6EE6"/>
    <w:rsid w:val="002D702D"/>
    <w:rsid w:val="002D7370"/>
    <w:rsid w:val="002D738C"/>
    <w:rsid w:val="002D7541"/>
    <w:rsid w:val="002D7658"/>
    <w:rsid w:val="002D7731"/>
    <w:rsid w:val="002D77A5"/>
    <w:rsid w:val="002D77EE"/>
    <w:rsid w:val="002D7BAA"/>
    <w:rsid w:val="002D7C4D"/>
    <w:rsid w:val="002D7C7F"/>
    <w:rsid w:val="002E00EB"/>
    <w:rsid w:val="002E032F"/>
    <w:rsid w:val="002E0783"/>
    <w:rsid w:val="002E0B83"/>
    <w:rsid w:val="002E0C5C"/>
    <w:rsid w:val="002E0ECF"/>
    <w:rsid w:val="002E0EF2"/>
    <w:rsid w:val="002E0F0E"/>
    <w:rsid w:val="002E102A"/>
    <w:rsid w:val="002E10BC"/>
    <w:rsid w:val="002E123A"/>
    <w:rsid w:val="002E1316"/>
    <w:rsid w:val="002E1415"/>
    <w:rsid w:val="002E15DB"/>
    <w:rsid w:val="002E18E3"/>
    <w:rsid w:val="002E1952"/>
    <w:rsid w:val="002E1ADF"/>
    <w:rsid w:val="002E1B30"/>
    <w:rsid w:val="002E1BD9"/>
    <w:rsid w:val="002E1CB7"/>
    <w:rsid w:val="002E1DC2"/>
    <w:rsid w:val="002E211C"/>
    <w:rsid w:val="002E2215"/>
    <w:rsid w:val="002E222C"/>
    <w:rsid w:val="002E2577"/>
    <w:rsid w:val="002E25ED"/>
    <w:rsid w:val="002E26C8"/>
    <w:rsid w:val="002E2877"/>
    <w:rsid w:val="002E29C7"/>
    <w:rsid w:val="002E29CD"/>
    <w:rsid w:val="002E2A51"/>
    <w:rsid w:val="002E2B09"/>
    <w:rsid w:val="002E2B17"/>
    <w:rsid w:val="002E2D5B"/>
    <w:rsid w:val="002E2DC5"/>
    <w:rsid w:val="002E2DD2"/>
    <w:rsid w:val="002E2DD6"/>
    <w:rsid w:val="002E2FE5"/>
    <w:rsid w:val="002E3014"/>
    <w:rsid w:val="002E32A7"/>
    <w:rsid w:val="002E3339"/>
    <w:rsid w:val="002E3393"/>
    <w:rsid w:val="002E3507"/>
    <w:rsid w:val="002E353F"/>
    <w:rsid w:val="002E35B2"/>
    <w:rsid w:val="002E35E7"/>
    <w:rsid w:val="002E38C4"/>
    <w:rsid w:val="002E39CF"/>
    <w:rsid w:val="002E3AFE"/>
    <w:rsid w:val="002E3C8E"/>
    <w:rsid w:val="002E4015"/>
    <w:rsid w:val="002E41CD"/>
    <w:rsid w:val="002E43D1"/>
    <w:rsid w:val="002E4545"/>
    <w:rsid w:val="002E4626"/>
    <w:rsid w:val="002E4933"/>
    <w:rsid w:val="002E4E1B"/>
    <w:rsid w:val="002E5101"/>
    <w:rsid w:val="002E5530"/>
    <w:rsid w:val="002E570A"/>
    <w:rsid w:val="002E57EF"/>
    <w:rsid w:val="002E58D3"/>
    <w:rsid w:val="002E594A"/>
    <w:rsid w:val="002E5B83"/>
    <w:rsid w:val="002E5C0E"/>
    <w:rsid w:val="002E5CA8"/>
    <w:rsid w:val="002E5CFB"/>
    <w:rsid w:val="002E5E41"/>
    <w:rsid w:val="002E60E0"/>
    <w:rsid w:val="002E61D6"/>
    <w:rsid w:val="002E63A8"/>
    <w:rsid w:val="002E647F"/>
    <w:rsid w:val="002E64A1"/>
    <w:rsid w:val="002E67A2"/>
    <w:rsid w:val="002E68E3"/>
    <w:rsid w:val="002E6954"/>
    <w:rsid w:val="002E6CC2"/>
    <w:rsid w:val="002E6F81"/>
    <w:rsid w:val="002E704E"/>
    <w:rsid w:val="002E7569"/>
    <w:rsid w:val="002E75AE"/>
    <w:rsid w:val="002E763E"/>
    <w:rsid w:val="002E7709"/>
    <w:rsid w:val="002E7B74"/>
    <w:rsid w:val="002E7CA3"/>
    <w:rsid w:val="002E7DDE"/>
    <w:rsid w:val="002E7E92"/>
    <w:rsid w:val="002F007E"/>
    <w:rsid w:val="002F01F2"/>
    <w:rsid w:val="002F0255"/>
    <w:rsid w:val="002F0399"/>
    <w:rsid w:val="002F03F0"/>
    <w:rsid w:val="002F07C6"/>
    <w:rsid w:val="002F0884"/>
    <w:rsid w:val="002F0A05"/>
    <w:rsid w:val="002F0C0F"/>
    <w:rsid w:val="002F1277"/>
    <w:rsid w:val="002F12EF"/>
    <w:rsid w:val="002F1313"/>
    <w:rsid w:val="002F157F"/>
    <w:rsid w:val="002F1606"/>
    <w:rsid w:val="002F1752"/>
    <w:rsid w:val="002F1968"/>
    <w:rsid w:val="002F1A77"/>
    <w:rsid w:val="002F1BEA"/>
    <w:rsid w:val="002F21EE"/>
    <w:rsid w:val="002F232E"/>
    <w:rsid w:val="002F2454"/>
    <w:rsid w:val="002F24F5"/>
    <w:rsid w:val="002F254B"/>
    <w:rsid w:val="002F2568"/>
    <w:rsid w:val="002F27A7"/>
    <w:rsid w:val="002F27DC"/>
    <w:rsid w:val="002F2836"/>
    <w:rsid w:val="002F2B43"/>
    <w:rsid w:val="002F2C58"/>
    <w:rsid w:val="002F2C85"/>
    <w:rsid w:val="002F2D5F"/>
    <w:rsid w:val="002F2F4C"/>
    <w:rsid w:val="002F3141"/>
    <w:rsid w:val="002F3405"/>
    <w:rsid w:val="002F347C"/>
    <w:rsid w:val="002F3813"/>
    <w:rsid w:val="002F3821"/>
    <w:rsid w:val="002F39B1"/>
    <w:rsid w:val="002F3B29"/>
    <w:rsid w:val="002F3D5C"/>
    <w:rsid w:val="002F3DE4"/>
    <w:rsid w:val="002F3DFB"/>
    <w:rsid w:val="002F3EEA"/>
    <w:rsid w:val="002F40EA"/>
    <w:rsid w:val="002F4255"/>
    <w:rsid w:val="002F42E1"/>
    <w:rsid w:val="002F43FA"/>
    <w:rsid w:val="002F44CB"/>
    <w:rsid w:val="002F4726"/>
    <w:rsid w:val="002F4875"/>
    <w:rsid w:val="002F4A65"/>
    <w:rsid w:val="002F4D71"/>
    <w:rsid w:val="002F4D86"/>
    <w:rsid w:val="002F4F00"/>
    <w:rsid w:val="002F53EA"/>
    <w:rsid w:val="002F54F8"/>
    <w:rsid w:val="002F54F9"/>
    <w:rsid w:val="002F553D"/>
    <w:rsid w:val="002F5601"/>
    <w:rsid w:val="002F5698"/>
    <w:rsid w:val="002F5763"/>
    <w:rsid w:val="002F58CC"/>
    <w:rsid w:val="002F5A3C"/>
    <w:rsid w:val="002F5A63"/>
    <w:rsid w:val="002F5B13"/>
    <w:rsid w:val="002F5D25"/>
    <w:rsid w:val="002F5DD3"/>
    <w:rsid w:val="002F6095"/>
    <w:rsid w:val="002F63DE"/>
    <w:rsid w:val="002F6424"/>
    <w:rsid w:val="002F6495"/>
    <w:rsid w:val="002F6518"/>
    <w:rsid w:val="002F653B"/>
    <w:rsid w:val="002F6631"/>
    <w:rsid w:val="002F67D5"/>
    <w:rsid w:val="002F67E0"/>
    <w:rsid w:val="002F6A6E"/>
    <w:rsid w:val="002F6B7F"/>
    <w:rsid w:val="002F6BF0"/>
    <w:rsid w:val="002F703D"/>
    <w:rsid w:val="002F709D"/>
    <w:rsid w:val="002F70B9"/>
    <w:rsid w:val="002F70D7"/>
    <w:rsid w:val="002F7122"/>
    <w:rsid w:val="002F735B"/>
    <w:rsid w:val="002F748C"/>
    <w:rsid w:val="002F74B8"/>
    <w:rsid w:val="002F74DD"/>
    <w:rsid w:val="002F7524"/>
    <w:rsid w:val="002F75BD"/>
    <w:rsid w:val="002F7643"/>
    <w:rsid w:val="002F77A5"/>
    <w:rsid w:val="002F7A9D"/>
    <w:rsid w:val="002F7BA2"/>
    <w:rsid w:val="002F7BFE"/>
    <w:rsid w:val="002F7DA8"/>
    <w:rsid w:val="002F7EA8"/>
    <w:rsid w:val="003001A5"/>
    <w:rsid w:val="00300242"/>
    <w:rsid w:val="00300479"/>
    <w:rsid w:val="00300507"/>
    <w:rsid w:val="003005FA"/>
    <w:rsid w:val="00300629"/>
    <w:rsid w:val="003006B8"/>
    <w:rsid w:val="00300756"/>
    <w:rsid w:val="00300824"/>
    <w:rsid w:val="003008B7"/>
    <w:rsid w:val="00300A12"/>
    <w:rsid w:val="00300A64"/>
    <w:rsid w:val="00300CB2"/>
    <w:rsid w:val="00300D85"/>
    <w:rsid w:val="0030109A"/>
    <w:rsid w:val="00301115"/>
    <w:rsid w:val="00301165"/>
    <w:rsid w:val="00301335"/>
    <w:rsid w:val="00301366"/>
    <w:rsid w:val="003013D8"/>
    <w:rsid w:val="0030154F"/>
    <w:rsid w:val="0030167A"/>
    <w:rsid w:val="00301692"/>
    <w:rsid w:val="003016D9"/>
    <w:rsid w:val="003017AA"/>
    <w:rsid w:val="0030183D"/>
    <w:rsid w:val="00301FAE"/>
    <w:rsid w:val="00301FFB"/>
    <w:rsid w:val="00302269"/>
    <w:rsid w:val="003024FB"/>
    <w:rsid w:val="003026EE"/>
    <w:rsid w:val="00302733"/>
    <w:rsid w:val="00302A01"/>
    <w:rsid w:val="00302ADC"/>
    <w:rsid w:val="00302C05"/>
    <w:rsid w:val="00302E12"/>
    <w:rsid w:val="00303110"/>
    <w:rsid w:val="0030321E"/>
    <w:rsid w:val="0030336D"/>
    <w:rsid w:val="0030342F"/>
    <w:rsid w:val="003035A6"/>
    <w:rsid w:val="00303704"/>
    <w:rsid w:val="003037A0"/>
    <w:rsid w:val="003039B2"/>
    <w:rsid w:val="00303AD2"/>
    <w:rsid w:val="00303D85"/>
    <w:rsid w:val="00303DD1"/>
    <w:rsid w:val="003040EC"/>
    <w:rsid w:val="00304B49"/>
    <w:rsid w:val="00304B4A"/>
    <w:rsid w:val="00304C45"/>
    <w:rsid w:val="00304C5F"/>
    <w:rsid w:val="00304CDB"/>
    <w:rsid w:val="00305101"/>
    <w:rsid w:val="00305225"/>
    <w:rsid w:val="00305689"/>
    <w:rsid w:val="00305956"/>
    <w:rsid w:val="00306003"/>
    <w:rsid w:val="00306056"/>
    <w:rsid w:val="0030640F"/>
    <w:rsid w:val="00306B02"/>
    <w:rsid w:val="00306D3C"/>
    <w:rsid w:val="00306DE4"/>
    <w:rsid w:val="00306F27"/>
    <w:rsid w:val="00307186"/>
    <w:rsid w:val="0030725F"/>
    <w:rsid w:val="003073E2"/>
    <w:rsid w:val="00307568"/>
    <w:rsid w:val="00307760"/>
    <w:rsid w:val="00307761"/>
    <w:rsid w:val="003077AE"/>
    <w:rsid w:val="003078C8"/>
    <w:rsid w:val="003079A2"/>
    <w:rsid w:val="00307A63"/>
    <w:rsid w:val="00307AFF"/>
    <w:rsid w:val="00310064"/>
    <w:rsid w:val="003100A0"/>
    <w:rsid w:val="00310248"/>
    <w:rsid w:val="0031046B"/>
    <w:rsid w:val="003104CE"/>
    <w:rsid w:val="00310526"/>
    <w:rsid w:val="003106D0"/>
    <w:rsid w:val="003109F7"/>
    <w:rsid w:val="00310C29"/>
    <w:rsid w:val="00310C35"/>
    <w:rsid w:val="00310D15"/>
    <w:rsid w:val="00310ECB"/>
    <w:rsid w:val="00310EEA"/>
    <w:rsid w:val="00310EEF"/>
    <w:rsid w:val="00310F51"/>
    <w:rsid w:val="0031112E"/>
    <w:rsid w:val="00311186"/>
    <w:rsid w:val="0031134F"/>
    <w:rsid w:val="00311552"/>
    <w:rsid w:val="0031177D"/>
    <w:rsid w:val="00311941"/>
    <w:rsid w:val="00311AB3"/>
    <w:rsid w:val="00311B20"/>
    <w:rsid w:val="00311BE6"/>
    <w:rsid w:val="00311C39"/>
    <w:rsid w:val="00311CC1"/>
    <w:rsid w:val="00312005"/>
    <w:rsid w:val="00312033"/>
    <w:rsid w:val="00312065"/>
    <w:rsid w:val="003122D2"/>
    <w:rsid w:val="003122E3"/>
    <w:rsid w:val="003122F8"/>
    <w:rsid w:val="0031230B"/>
    <w:rsid w:val="00312595"/>
    <w:rsid w:val="003126F7"/>
    <w:rsid w:val="00312778"/>
    <w:rsid w:val="003128A9"/>
    <w:rsid w:val="003129A1"/>
    <w:rsid w:val="00312BB4"/>
    <w:rsid w:val="00312CB2"/>
    <w:rsid w:val="00312CFA"/>
    <w:rsid w:val="00312E0E"/>
    <w:rsid w:val="00312E1F"/>
    <w:rsid w:val="00312F72"/>
    <w:rsid w:val="00313193"/>
    <w:rsid w:val="003131B1"/>
    <w:rsid w:val="003132DD"/>
    <w:rsid w:val="0031337E"/>
    <w:rsid w:val="00313442"/>
    <w:rsid w:val="00313960"/>
    <w:rsid w:val="00313998"/>
    <w:rsid w:val="003139C6"/>
    <w:rsid w:val="003139E7"/>
    <w:rsid w:val="003139E9"/>
    <w:rsid w:val="00313A66"/>
    <w:rsid w:val="00313B48"/>
    <w:rsid w:val="00313BB5"/>
    <w:rsid w:val="00313EC5"/>
    <w:rsid w:val="00314420"/>
    <w:rsid w:val="003144BC"/>
    <w:rsid w:val="00314617"/>
    <w:rsid w:val="00314790"/>
    <w:rsid w:val="003147F9"/>
    <w:rsid w:val="00314836"/>
    <w:rsid w:val="00314A5D"/>
    <w:rsid w:val="00314ADC"/>
    <w:rsid w:val="00314C6D"/>
    <w:rsid w:val="00314C92"/>
    <w:rsid w:val="00314F2B"/>
    <w:rsid w:val="003150AB"/>
    <w:rsid w:val="003151B3"/>
    <w:rsid w:val="00315331"/>
    <w:rsid w:val="0031534A"/>
    <w:rsid w:val="0031542E"/>
    <w:rsid w:val="0031571A"/>
    <w:rsid w:val="00315745"/>
    <w:rsid w:val="003157A5"/>
    <w:rsid w:val="0031582A"/>
    <w:rsid w:val="003158BB"/>
    <w:rsid w:val="00315991"/>
    <w:rsid w:val="0031631E"/>
    <w:rsid w:val="0031643C"/>
    <w:rsid w:val="00316603"/>
    <w:rsid w:val="00316781"/>
    <w:rsid w:val="00316ABC"/>
    <w:rsid w:val="00316D29"/>
    <w:rsid w:val="00316D79"/>
    <w:rsid w:val="00316E7C"/>
    <w:rsid w:val="003170B8"/>
    <w:rsid w:val="003171B4"/>
    <w:rsid w:val="003171EE"/>
    <w:rsid w:val="003174AE"/>
    <w:rsid w:val="00317A7C"/>
    <w:rsid w:val="00317CA0"/>
    <w:rsid w:val="00317D57"/>
    <w:rsid w:val="0032003D"/>
    <w:rsid w:val="0032054B"/>
    <w:rsid w:val="003209B7"/>
    <w:rsid w:val="00320AD6"/>
    <w:rsid w:val="003210D8"/>
    <w:rsid w:val="003211F3"/>
    <w:rsid w:val="00321233"/>
    <w:rsid w:val="00321459"/>
    <w:rsid w:val="0032170A"/>
    <w:rsid w:val="00321971"/>
    <w:rsid w:val="00321A31"/>
    <w:rsid w:val="00321C96"/>
    <w:rsid w:val="00321E3F"/>
    <w:rsid w:val="00321F32"/>
    <w:rsid w:val="00321FAB"/>
    <w:rsid w:val="0032219E"/>
    <w:rsid w:val="00322334"/>
    <w:rsid w:val="00322719"/>
    <w:rsid w:val="00322818"/>
    <w:rsid w:val="00322962"/>
    <w:rsid w:val="0032297F"/>
    <w:rsid w:val="003229EE"/>
    <w:rsid w:val="00322B03"/>
    <w:rsid w:val="00322C03"/>
    <w:rsid w:val="00322CF1"/>
    <w:rsid w:val="0032304D"/>
    <w:rsid w:val="0032306A"/>
    <w:rsid w:val="0032313A"/>
    <w:rsid w:val="00323283"/>
    <w:rsid w:val="003233ED"/>
    <w:rsid w:val="003235B0"/>
    <w:rsid w:val="00323844"/>
    <w:rsid w:val="00323AD0"/>
    <w:rsid w:val="003241C7"/>
    <w:rsid w:val="0032430A"/>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39D"/>
    <w:rsid w:val="00326506"/>
    <w:rsid w:val="00326742"/>
    <w:rsid w:val="003268FE"/>
    <w:rsid w:val="00326901"/>
    <w:rsid w:val="00326911"/>
    <w:rsid w:val="00326AF1"/>
    <w:rsid w:val="00326D47"/>
    <w:rsid w:val="00326DE4"/>
    <w:rsid w:val="00326F3F"/>
    <w:rsid w:val="00326F5F"/>
    <w:rsid w:val="00326F89"/>
    <w:rsid w:val="00327218"/>
    <w:rsid w:val="003275A6"/>
    <w:rsid w:val="00327A12"/>
    <w:rsid w:val="00327B6B"/>
    <w:rsid w:val="00327B70"/>
    <w:rsid w:val="00327C87"/>
    <w:rsid w:val="00327CA1"/>
    <w:rsid w:val="00327E9D"/>
    <w:rsid w:val="00327F7D"/>
    <w:rsid w:val="00330007"/>
    <w:rsid w:val="0033023B"/>
    <w:rsid w:val="00330605"/>
    <w:rsid w:val="00330819"/>
    <w:rsid w:val="00330A18"/>
    <w:rsid w:val="00330B5A"/>
    <w:rsid w:val="00330E1E"/>
    <w:rsid w:val="00330E3F"/>
    <w:rsid w:val="00330E84"/>
    <w:rsid w:val="00330F17"/>
    <w:rsid w:val="00330F44"/>
    <w:rsid w:val="0033103A"/>
    <w:rsid w:val="0033118E"/>
    <w:rsid w:val="003312BF"/>
    <w:rsid w:val="003313FB"/>
    <w:rsid w:val="003315D3"/>
    <w:rsid w:val="00331719"/>
    <w:rsid w:val="003318F9"/>
    <w:rsid w:val="00331AD4"/>
    <w:rsid w:val="00331B1A"/>
    <w:rsid w:val="00331B78"/>
    <w:rsid w:val="00331F99"/>
    <w:rsid w:val="00332031"/>
    <w:rsid w:val="003322EF"/>
    <w:rsid w:val="00332966"/>
    <w:rsid w:val="00332F67"/>
    <w:rsid w:val="00333234"/>
    <w:rsid w:val="00333292"/>
    <w:rsid w:val="003333C7"/>
    <w:rsid w:val="0033341C"/>
    <w:rsid w:val="0033365D"/>
    <w:rsid w:val="00333665"/>
    <w:rsid w:val="0033378E"/>
    <w:rsid w:val="003337C7"/>
    <w:rsid w:val="00333838"/>
    <w:rsid w:val="00333896"/>
    <w:rsid w:val="003338A1"/>
    <w:rsid w:val="003339E6"/>
    <w:rsid w:val="00333B07"/>
    <w:rsid w:val="00333D63"/>
    <w:rsid w:val="00333EA4"/>
    <w:rsid w:val="003340FA"/>
    <w:rsid w:val="003342A2"/>
    <w:rsid w:val="003344B7"/>
    <w:rsid w:val="00334524"/>
    <w:rsid w:val="003346CB"/>
    <w:rsid w:val="00334883"/>
    <w:rsid w:val="00334A0C"/>
    <w:rsid w:val="00334F6A"/>
    <w:rsid w:val="00334FE1"/>
    <w:rsid w:val="003353B6"/>
    <w:rsid w:val="0033577F"/>
    <w:rsid w:val="00335BC3"/>
    <w:rsid w:val="00335D9A"/>
    <w:rsid w:val="00335E19"/>
    <w:rsid w:val="0033614C"/>
    <w:rsid w:val="00336211"/>
    <w:rsid w:val="00336212"/>
    <w:rsid w:val="00336229"/>
    <w:rsid w:val="00336390"/>
    <w:rsid w:val="00336854"/>
    <w:rsid w:val="003368C0"/>
    <w:rsid w:val="003369CE"/>
    <w:rsid w:val="00336A0C"/>
    <w:rsid w:val="00336B0C"/>
    <w:rsid w:val="00336B35"/>
    <w:rsid w:val="00336C0D"/>
    <w:rsid w:val="00336F1C"/>
    <w:rsid w:val="00336FA3"/>
    <w:rsid w:val="00336FE1"/>
    <w:rsid w:val="00336FE5"/>
    <w:rsid w:val="0033727B"/>
    <w:rsid w:val="003372FE"/>
    <w:rsid w:val="0033741B"/>
    <w:rsid w:val="00337586"/>
    <w:rsid w:val="003376BA"/>
    <w:rsid w:val="00337774"/>
    <w:rsid w:val="00337964"/>
    <w:rsid w:val="00337C69"/>
    <w:rsid w:val="00337CA4"/>
    <w:rsid w:val="00337D32"/>
    <w:rsid w:val="00337EFE"/>
    <w:rsid w:val="0034078D"/>
    <w:rsid w:val="003407CD"/>
    <w:rsid w:val="00340835"/>
    <w:rsid w:val="00340AAF"/>
    <w:rsid w:val="00340B84"/>
    <w:rsid w:val="00340DE5"/>
    <w:rsid w:val="00340E82"/>
    <w:rsid w:val="00340F8D"/>
    <w:rsid w:val="003411A6"/>
    <w:rsid w:val="00341435"/>
    <w:rsid w:val="003415A4"/>
    <w:rsid w:val="00341660"/>
    <w:rsid w:val="003416C2"/>
    <w:rsid w:val="003416F7"/>
    <w:rsid w:val="00341711"/>
    <w:rsid w:val="00341A3C"/>
    <w:rsid w:val="00341BA0"/>
    <w:rsid w:val="00341C11"/>
    <w:rsid w:val="00341D5F"/>
    <w:rsid w:val="00341E82"/>
    <w:rsid w:val="00341E9B"/>
    <w:rsid w:val="00341FD4"/>
    <w:rsid w:val="003420D7"/>
    <w:rsid w:val="003421F0"/>
    <w:rsid w:val="003423C9"/>
    <w:rsid w:val="0034242F"/>
    <w:rsid w:val="0034243B"/>
    <w:rsid w:val="00342555"/>
    <w:rsid w:val="0034266C"/>
    <w:rsid w:val="003428EE"/>
    <w:rsid w:val="00342A85"/>
    <w:rsid w:val="00342C10"/>
    <w:rsid w:val="00342C63"/>
    <w:rsid w:val="00343047"/>
    <w:rsid w:val="0034304D"/>
    <w:rsid w:val="003430E8"/>
    <w:rsid w:val="0034323D"/>
    <w:rsid w:val="003434CD"/>
    <w:rsid w:val="00343517"/>
    <w:rsid w:val="003435DC"/>
    <w:rsid w:val="003436D7"/>
    <w:rsid w:val="00343741"/>
    <w:rsid w:val="003437F7"/>
    <w:rsid w:val="00343E40"/>
    <w:rsid w:val="00343FB5"/>
    <w:rsid w:val="003443F0"/>
    <w:rsid w:val="003445B1"/>
    <w:rsid w:val="003449CE"/>
    <w:rsid w:val="00344BE7"/>
    <w:rsid w:val="00344C8E"/>
    <w:rsid w:val="00344E48"/>
    <w:rsid w:val="00344FC4"/>
    <w:rsid w:val="0034522B"/>
    <w:rsid w:val="0034532A"/>
    <w:rsid w:val="00345333"/>
    <w:rsid w:val="003454EF"/>
    <w:rsid w:val="0034553E"/>
    <w:rsid w:val="003457A3"/>
    <w:rsid w:val="003457B3"/>
    <w:rsid w:val="00345A5F"/>
    <w:rsid w:val="00345C65"/>
    <w:rsid w:val="00345E66"/>
    <w:rsid w:val="0034617A"/>
    <w:rsid w:val="003461A8"/>
    <w:rsid w:val="003461AB"/>
    <w:rsid w:val="00346279"/>
    <w:rsid w:val="0034669A"/>
    <w:rsid w:val="00346879"/>
    <w:rsid w:val="00346BA7"/>
    <w:rsid w:val="00346C41"/>
    <w:rsid w:val="00346C58"/>
    <w:rsid w:val="00346D84"/>
    <w:rsid w:val="00346FE3"/>
    <w:rsid w:val="0034719A"/>
    <w:rsid w:val="0034728B"/>
    <w:rsid w:val="003472C5"/>
    <w:rsid w:val="003472C6"/>
    <w:rsid w:val="0034757B"/>
    <w:rsid w:val="0034769C"/>
    <w:rsid w:val="003477E3"/>
    <w:rsid w:val="00347AA8"/>
    <w:rsid w:val="00347C03"/>
    <w:rsid w:val="00347C09"/>
    <w:rsid w:val="00347C56"/>
    <w:rsid w:val="00347C9C"/>
    <w:rsid w:val="00347E5F"/>
    <w:rsid w:val="00347E6C"/>
    <w:rsid w:val="003500DB"/>
    <w:rsid w:val="003501B9"/>
    <w:rsid w:val="00350573"/>
    <w:rsid w:val="00350746"/>
    <w:rsid w:val="00350AD2"/>
    <w:rsid w:val="00350C3C"/>
    <w:rsid w:val="00350C5A"/>
    <w:rsid w:val="00350E3B"/>
    <w:rsid w:val="00351174"/>
    <w:rsid w:val="003512EE"/>
    <w:rsid w:val="00351359"/>
    <w:rsid w:val="0035135E"/>
    <w:rsid w:val="0035155C"/>
    <w:rsid w:val="0035175D"/>
    <w:rsid w:val="00351802"/>
    <w:rsid w:val="00351AD4"/>
    <w:rsid w:val="00351D76"/>
    <w:rsid w:val="00351E93"/>
    <w:rsid w:val="00351ED9"/>
    <w:rsid w:val="00352092"/>
    <w:rsid w:val="00352166"/>
    <w:rsid w:val="003521D6"/>
    <w:rsid w:val="00352608"/>
    <w:rsid w:val="0035263E"/>
    <w:rsid w:val="0035269A"/>
    <w:rsid w:val="00352971"/>
    <w:rsid w:val="00352A23"/>
    <w:rsid w:val="00352A88"/>
    <w:rsid w:val="00352B51"/>
    <w:rsid w:val="00352BAD"/>
    <w:rsid w:val="00352F9E"/>
    <w:rsid w:val="003531E0"/>
    <w:rsid w:val="00353207"/>
    <w:rsid w:val="003534D7"/>
    <w:rsid w:val="00353E8F"/>
    <w:rsid w:val="00353F3C"/>
    <w:rsid w:val="00353F93"/>
    <w:rsid w:val="00354040"/>
    <w:rsid w:val="0035407E"/>
    <w:rsid w:val="0035409F"/>
    <w:rsid w:val="00354112"/>
    <w:rsid w:val="0035422F"/>
    <w:rsid w:val="003542CC"/>
    <w:rsid w:val="00354585"/>
    <w:rsid w:val="0035497A"/>
    <w:rsid w:val="00354B84"/>
    <w:rsid w:val="00354CC8"/>
    <w:rsid w:val="00354E53"/>
    <w:rsid w:val="00354EAF"/>
    <w:rsid w:val="00354EC8"/>
    <w:rsid w:val="00354FA4"/>
    <w:rsid w:val="0035501D"/>
    <w:rsid w:val="00355033"/>
    <w:rsid w:val="00355064"/>
    <w:rsid w:val="003551F0"/>
    <w:rsid w:val="0035540A"/>
    <w:rsid w:val="0035542C"/>
    <w:rsid w:val="0035546E"/>
    <w:rsid w:val="00355B77"/>
    <w:rsid w:val="00355D44"/>
    <w:rsid w:val="00356147"/>
    <w:rsid w:val="0035617F"/>
    <w:rsid w:val="00356214"/>
    <w:rsid w:val="00356502"/>
    <w:rsid w:val="00356693"/>
    <w:rsid w:val="00356732"/>
    <w:rsid w:val="003569B9"/>
    <w:rsid w:val="003569E9"/>
    <w:rsid w:val="00356BAC"/>
    <w:rsid w:val="00356C91"/>
    <w:rsid w:val="00356EA9"/>
    <w:rsid w:val="00356F84"/>
    <w:rsid w:val="00356FDB"/>
    <w:rsid w:val="003570A5"/>
    <w:rsid w:val="003572EE"/>
    <w:rsid w:val="0035752C"/>
    <w:rsid w:val="003576C4"/>
    <w:rsid w:val="003576D5"/>
    <w:rsid w:val="003578A7"/>
    <w:rsid w:val="00357C24"/>
    <w:rsid w:val="00357E41"/>
    <w:rsid w:val="00357E67"/>
    <w:rsid w:val="0036010B"/>
    <w:rsid w:val="00360489"/>
    <w:rsid w:val="00360557"/>
    <w:rsid w:val="00360682"/>
    <w:rsid w:val="0036069B"/>
    <w:rsid w:val="003606DE"/>
    <w:rsid w:val="003607A2"/>
    <w:rsid w:val="0036080E"/>
    <w:rsid w:val="0036083A"/>
    <w:rsid w:val="00360A17"/>
    <w:rsid w:val="00360A3D"/>
    <w:rsid w:val="00360C7B"/>
    <w:rsid w:val="00360D25"/>
    <w:rsid w:val="00360EBC"/>
    <w:rsid w:val="003611D6"/>
    <w:rsid w:val="003616D0"/>
    <w:rsid w:val="00361865"/>
    <w:rsid w:val="0036189F"/>
    <w:rsid w:val="00361C56"/>
    <w:rsid w:val="00361DB5"/>
    <w:rsid w:val="003620DA"/>
    <w:rsid w:val="003621A0"/>
    <w:rsid w:val="0036221B"/>
    <w:rsid w:val="003622D9"/>
    <w:rsid w:val="003626FC"/>
    <w:rsid w:val="00362A8F"/>
    <w:rsid w:val="00362ADE"/>
    <w:rsid w:val="00362C4F"/>
    <w:rsid w:val="00362E8F"/>
    <w:rsid w:val="00362F60"/>
    <w:rsid w:val="003630B8"/>
    <w:rsid w:val="003630BF"/>
    <w:rsid w:val="00363111"/>
    <w:rsid w:val="0036311D"/>
    <w:rsid w:val="00363143"/>
    <w:rsid w:val="003631C1"/>
    <w:rsid w:val="003631C3"/>
    <w:rsid w:val="003632D2"/>
    <w:rsid w:val="003634B0"/>
    <w:rsid w:val="003635FC"/>
    <w:rsid w:val="003636E9"/>
    <w:rsid w:val="003637C5"/>
    <w:rsid w:val="00363934"/>
    <w:rsid w:val="00363AA4"/>
    <w:rsid w:val="00363CC3"/>
    <w:rsid w:val="00363E6F"/>
    <w:rsid w:val="00363EE0"/>
    <w:rsid w:val="00363F95"/>
    <w:rsid w:val="0036401C"/>
    <w:rsid w:val="00364082"/>
    <w:rsid w:val="00364226"/>
    <w:rsid w:val="0036428D"/>
    <w:rsid w:val="0036444E"/>
    <w:rsid w:val="00364540"/>
    <w:rsid w:val="00364576"/>
    <w:rsid w:val="00364731"/>
    <w:rsid w:val="00364E14"/>
    <w:rsid w:val="00364F08"/>
    <w:rsid w:val="003652AC"/>
    <w:rsid w:val="00365306"/>
    <w:rsid w:val="00365460"/>
    <w:rsid w:val="003654AB"/>
    <w:rsid w:val="0036551D"/>
    <w:rsid w:val="00365582"/>
    <w:rsid w:val="003655AA"/>
    <w:rsid w:val="003655EB"/>
    <w:rsid w:val="00365817"/>
    <w:rsid w:val="00365A88"/>
    <w:rsid w:val="00365B26"/>
    <w:rsid w:val="00365BB8"/>
    <w:rsid w:val="00365E3F"/>
    <w:rsid w:val="00365E55"/>
    <w:rsid w:val="00365F2E"/>
    <w:rsid w:val="00366317"/>
    <w:rsid w:val="003663DB"/>
    <w:rsid w:val="003666D5"/>
    <w:rsid w:val="00366BB3"/>
    <w:rsid w:val="00366FE9"/>
    <w:rsid w:val="00367305"/>
    <w:rsid w:val="0036766F"/>
    <w:rsid w:val="00367857"/>
    <w:rsid w:val="003679CF"/>
    <w:rsid w:val="00367B85"/>
    <w:rsid w:val="00367C3C"/>
    <w:rsid w:val="00367CF4"/>
    <w:rsid w:val="00367D09"/>
    <w:rsid w:val="00367E0E"/>
    <w:rsid w:val="00367F8D"/>
    <w:rsid w:val="00370046"/>
    <w:rsid w:val="003700BC"/>
    <w:rsid w:val="003700D0"/>
    <w:rsid w:val="0037011A"/>
    <w:rsid w:val="003702D7"/>
    <w:rsid w:val="0037031C"/>
    <w:rsid w:val="003703CD"/>
    <w:rsid w:val="00370585"/>
    <w:rsid w:val="00370975"/>
    <w:rsid w:val="0037099A"/>
    <w:rsid w:val="00370A39"/>
    <w:rsid w:val="00370B74"/>
    <w:rsid w:val="00370E7E"/>
    <w:rsid w:val="00370F5C"/>
    <w:rsid w:val="00370F64"/>
    <w:rsid w:val="003710DD"/>
    <w:rsid w:val="00371259"/>
    <w:rsid w:val="0037133A"/>
    <w:rsid w:val="00371432"/>
    <w:rsid w:val="003715DD"/>
    <w:rsid w:val="003715E0"/>
    <w:rsid w:val="00371655"/>
    <w:rsid w:val="003716B0"/>
    <w:rsid w:val="00371A78"/>
    <w:rsid w:val="00371AAE"/>
    <w:rsid w:val="00371B36"/>
    <w:rsid w:val="00371DD3"/>
    <w:rsid w:val="003723ED"/>
    <w:rsid w:val="003727FC"/>
    <w:rsid w:val="00372E19"/>
    <w:rsid w:val="00372FE5"/>
    <w:rsid w:val="003730E9"/>
    <w:rsid w:val="00373176"/>
    <w:rsid w:val="0037321D"/>
    <w:rsid w:val="00373413"/>
    <w:rsid w:val="003735AF"/>
    <w:rsid w:val="00373644"/>
    <w:rsid w:val="0037369B"/>
    <w:rsid w:val="003736BC"/>
    <w:rsid w:val="003736EA"/>
    <w:rsid w:val="0037370D"/>
    <w:rsid w:val="003737CD"/>
    <w:rsid w:val="00373AA1"/>
    <w:rsid w:val="00373F4F"/>
    <w:rsid w:val="00373F62"/>
    <w:rsid w:val="0037420C"/>
    <w:rsid w:val="00374226"/>
    <w:rsid w:val="00374227"/>
    <w:rsid w:val="0037429C"/>
    <w:rsid w:val="003742E8"/>
    <w:rsid w:val="00374385"/>
    <w:rsid w:val="00374429"/>
    <w:rsid w:val="003746E5"/>
    <w:rsid w:val="003747C5"/>
    <w:rsid w:val="00374BF9"/>
    <w:rsid w:val="00374D52"/>
    <w:rsid w:val="00374DB9"/>
    <w:rsid w:val="00374F3A"/>
    <w:rsid w:val="00375433"/>
    <w:rsid w:val="003755CA"/>
    <w:rsid w:val="00375916"/>
    <w:rsid w:val="00375988"/>
    <w:rsid w:val="00375D3C"/>
    <w:rsid w:val="0037607F"/>
    <w:rsid w:val="003765E0"/>
    <w:rsid w:val="00376A63"/>
    <w:rsid w:val="00376D52"/>
    <w:rsid w:val="00376D62"/>
    <w:rsid w:val="00377009"/>
    <w:rsid w:val="0037730B"/>
    <w:rsid w:val="00377370"/>
    <w:rsid w:val="003773B9"/>
    <w:rsid w:val="003774F8"/>
    <w:rsid w:val="00377585"/>
    <w:rsid w:val="003775CE"/>
    <w:rsid w:val="003775D5"/>
    <w:rsid w:val="003775FE"/>
    <w:rsid w:val="003778EC"/>
    <w:rsid w:val="00377E02"/>
    <w:rsid w:val="00380274"/>
    <w:rsid w:val="00380278"/>
    <w:rsid w:val="003806E2"/>
    <w:rsid w:val="003808B3"/>
    <w:rsid w:val="003808F6"/>
    <w:rsid w:val="00380A32"/>
    <w:rsid w:val="00380A86"/>
    <w:rsid w:val="00380BAD"/>
    <w:rsid w:val="00380EDC"/>
    <w:rsid w:val="00380EF6"/>
    <w:rsid w:val="00380F69"/>
    <w:rsid w:val="00380F77"/>
    <w:rsid w:val="00380FE9"/>
    <w:rsid w:val="00381035"/>
    <w:rsid w:val="003810A9"/>
    <w:rsid w:val="00381299"/>
    <w:rsid w:val="00381568"/>
    <w:rsid w:val="0038164C"/>
    <w:rsid w:val="003818D9"/>
    <w:rsid w:val="00381ACF"/>
    <w:rsid w:val="00381B2A"/>
    <w:rsid w:val="00381BB1"/>
    <w:rsid w:val="00381C17"/>
    <w:rsid w:val="00381D87"/>
    <w:rsid w:val="00381DDF"/>
    <w:rsid w:val="00381E16"/>
    <w:rsid w:val="00381EED"/>
    <w:rsid w:val="0038202C"/>
    <w:rsid w:val="00382045"/>
    <w:rsid w:val="0038206E"/>
    <w:rsid w:val="0038218D"/>
    <w:rsid w:val="00382511"/>
    <w:rsid w:val="00382579"/>
    <w:rsid w:val="003828B7"/>
    <w:rsid w:val="003828ED"/>
    <w:rsid w:val="00382921"/>
    <w:rsid w:val="00382AC3"/>
    <w:rsid w:val="00382F38"/>
    <w:rsid w:val="003832BF"/>
    <w:rsid w:val="00383303"/>
    <w:rsid w:val="0038334D"/>
    <w:rsid w:val="00383370"/>
    <w:rsid w:val="003835BC"/>
    <w:rsid w:val="00383831"/>
    <w:rsid w:val="00383B34"/>
    <w:rsid w:val="00383B98"/>
    <w:rsid w:val="00383C91"/>
    <w:rsid w:val="00383E47"/>
    <w:rsid w:val="00383ED4"/>
    <w:rsid w:val="0038423C"/>
    <w:rsid w:val="003846AC"/>
    <w:rsid w:val="00384A6B"/>
    <w:rsid w:val="00384C9E"/>
    <w:rsid w:val="00384CE8"/>
    <w:rsid w:val="00384DB8"/>
    <w:rsid w:val="00384F35"/>
    <w:rsid w:val="00384FAB"/>
    <w:rsid w:val="00384FDA"/>
    <w:rsid w:val="0038527C"/>
    <w:rsid w:val="003853E1"/>
    <w:rsid w:val="003857AE"/>
    <w:rsid w:val="003858B1"/>
    <w:rsid w:val="00386106"/>
    <w:rsid w:val="003861FA"/>
    <w:rsid w:val="00386298"/>
    <w:rsid w:val="00386315"/>
    <w:rsid w:val="003863CD"/>
    <w:rsid w:val="0038652E"/>
    <w:rsid w:val="003866E5"/>
    <w:rsid w:val="00386730"/>
    <w:rsid w:val="003867F4"/>
    <w:rsid w:val="0038690F"/>
    <w:rsid w:val="00386B09"/>
    <w:rsid w:val="00386C97"/>
    <w:rsid w:val="00386E9A"/>
    <w:rsid w:val="0038717E"/>
    <w:rsid w:val="003871B5"/>
    <w:rsid w:val="0038722F"/>
    <w:rsid w:val="003874DA"/>
    <w:rsid w:val="00387633"/>
    <w:rsid w:val="00387B21"/>
    <w:rsid w:val="00387BE7"/>
    <w:rsid w:val="00390020"/>
    <w:rsid w:val="0039018B"/>
    <w:rsid w:val="00390370"/>
    <w:rsid w:val="00390498"/>
    <w:rsid w:val="00390520"/>
    <w:rsid w:val="0039067D"/>
    <w:rsid w:val="00390755"/>
    <w:rsid w:val="0039077F"/>
    <w:rsid w:val="00390B06"/>
    <w:rsid w:val="00390DD4"/>
    <w:rsid w:val="00390FEC"/>
    <w:rsid w:val="003913D6"/>
    <w:rsid w:val="00391585"/>
    <w:rsid w:val="003916B5"/>
    <w:rsid w:val="00391BCD"/>
    <w:rsid w:val="00391BEE"/>
    <w:rsid w:val="00391D3A"/>
    <w:rsid w:val="00392019"/>
    <w:rsid w:val="0039204C"/>
    <w:rsid w:val="00392089"/>
    <w:rsid w:val="003922B5"/>
    <w:rsid w:val="0039246B"/>
    <w:rsid w:val="0039259C"/>
    <w:rsid w:val="0039269F"/>
    <w:rsid w:val="003927E1"/>
    <w:rsid w:val="003928E3"/>
    <w:rsid w:val="00392958"/>
    <w:rsid w:val="00392AB6"/>
    <w:rsid w:val="00392B11"/>
    <w:rsid w:val="00392F8E"/>
    <w:rsid w:val="00393075"/>
    <w:rsid w:val="00393836"/>
    <w:rsid w:val="00393857"/>
    <w:rsid w:val="00393B2D"/>
    <w:rsid w:val="00393BE6"/>
    <w:rsid w:val="00393E27"/>
    <w:rsid w:val="0039402F"/>
    <w:rsid w:val="00394842"/>
    <w:rsid w:val="003948CD"/>
    <w:rsid w:val="00394A8B"/>
    <w:rsid w:val="00394B33"/>
    <w:rsid w:val="00394B4A"/>
    <w:rsid w:val="00394B54"/>
    <w:rsid w:val="00394E28"/>
    <w:rsid w:val="003950E8"/>
    <w:rsid w:val="003953BD"/>
    <w:rsid w:val="00395492"/>
    <w:rsid w:val="003955AF"/>
    <w:rsid w:val="003955FD"/>
    <w:rsid w:val="003957B1"/>
    <w:rsid w:val="0039587F"/>
    <w:rsid w:val="00395C39"/>
    <w:rsid w:val="00395D61"/>
    <w:rsid w:val="00395E41"/>
    <w:rsid w:val="003962B4"/>
    <w:rsid w:val="003962C7"/>
    <w:rsid w:val="0039649C"/>
    <w:rsid w:val="0039662D"/>
    <w:rsid w:val="00396694"/>
    <w:rsid w:val="003968F9"/>
    <w:rsid w:val="0039690F"/>
    <w:rsid w:val="00396BC1"/>
    <w:rsid w:val="00396D96"/>
    <w:rsid w:val="00396DC9"/>
    <w:rsid w:val="00396F30"/>
    <w:rsid w:val="0039715F"/>
    <w:rsid w:val="00397186"/>
    <w:rsid w:val="0039728A"/>
    <w:rsid w:val="00397390"/>
    <w:rsid w:val="00397405"/>
    <w:rsid w:val="00397521"/>
    <w:rsid w:val="00397544"/>
    <w:rsid w:val="00397669"/>
    <w:rsid w:val="0039795D"/>
    <w:rsid w:val="003979E1"/>
    <w:rsid w:val="00397CE5"/>
    <w:rsid w:val="00397E01"/>
    <w:rsid w:val="00397E95"/>
    <w:rsid w:val="00397ED5"/>
    <w:rsid w:val="003A013E"/>
    <w:rsid w:val="003A02D2"/>
    <w:rsid w:val="003A05A3"/>
    <w:rsid w:val="003A063A"/>
    <w:rsid w:val="003A073A"/>
    <w:rsid w:val="003A07BB"/>
    <w:rsid w:val="003A0ABA"/>
    <w:rsid w:val="003A0E18"/>
    <w:rsid w:val="003A1009"/>
    <w:rsid w:val="003A1046"/>
    <w:rsid w:val="003A11BF"/>
    <w:rsid w:val="003A1255"/>
    <w:rsid w:val="003A12E2"/>
    <w:rsid w:val="003A131F"/>
    <w:rsid w:val="003A1422"/>
    <w:rsid w:val="003A187A"/>
    <w:rsid w:val="003A187F"/>
    <w:rsid w:val="003A1B02"/>
    <w:rsid w:val="003A1BE1"/>
    <w:rsid w:val="003A1DE7"/>
    <w:rsid w:val="003A1E0B"/>
    <w:rsid w:val="003A1F7E"/>
    <w:rsid w:val="003A1FB0"/>
    <w:rsid w:val="003A2047"/>
    <w:rsid w:val="003A20EC"/>
    <w:rsid w:val="003A215F"/>
    <w:rsid w:val="003A2299"/>
    <w:rsid w:val="003A2481"/>
    <w:rsid w:val="003A2501"/>
    <w:rsid w:val="003A261D"/>
    <w:rsid w:val="003A266A"/>
    <w:rsid w:val="003A2683"/>
    <w:rsid w:val="003A26B0"/>
    <w:rsid w:val="003A27F7"/>
    <w:rsid w:val="003A2C64"/>
    <w:rsid w:val="003A3013"/>
    <w:rsid w:val="003A3105"/>
    <w:rsid w:val="003A343D"/>
    <w:rsid w:val="003A390E"/>
    <w:rsid w:val="003A3A37"/>
    <w:rsid w:val="003A3AF6"/>
    <w:rsid w:val="003A3BCB"/>
    <w:rsid w:val="003A3BDD"/>
    <w:rsid w:val="003A3D36"/>
    <w:rsid w:val="003A3F1B"/>
    <w:rsid w:val="003A3F73"/>
    <w:rsid w:val="003A40FA"/>
    <w:rsid w:val="003A4188"/>
    <w:rsid w:val="003A43EC"/>
    <w:rsid w:val="003A4595"/>
    <w:rsid w:val="003A4969"/>
    <w:rsid w:val="003A4A06"/>
    <w:rsid w:val="003A4A8B"/>
    <w:rsid w:val="003A4B3C"/>
    <w:rsid w:val="003A4D5C"/>
    <w:rsid w:val="003A4EFA"/>
    <w:rsid w:val="003A4F73"/>
    <w:rsid w:val="003A52E9"/>
    <w:rsid w:val="003A5312"/>
    <w:rsid w:val="003A5490"/>
    <w:rsid w:val="003A5664"/>
    <w:rsid w:val="003A5689"/>
    <w:rsid w:val="003A5B32"/>
    <w:rsid w:val="003A5F56"/>
    <w:rsid w:val="003A5F91"/>
    <w:rsid w:val="003A6029"/>
    <w:rsid w:val="003A6139"/>
    <w:rsid w:val="003A6312"/>
    <w:rsid w:val="003A635F"/>
    <w:rsid w:val="003A6444"/>
    <w:rsid w:val="003A655E"/>
    <w:rsid w:val="003A6654"/>
    <w:rsid w:val="003A66D8"/>
    <w:rsid w:val="003A674D"/>
    <w:rsid w:val="003A67F3"/>
    <w:rsid w:val="003A6A1F"/>
    <w:rsid w:val="003A6E67"/>
    <w:rsid w:val="003A6F61"/>
    <w:rsid w:val="003A755D"/>
    <w:rsid w:val="003A768A"/>
    <w:rsid w:val="003A7A04"/>
    <w:rsid w:val="003A7CB1"/>
    <w:rsid w:val="003A7CEB"/>
    <w:rsid w:val="003A7D6C"/>
    <w:rsid w:val="003A7E36"/>
    <w:rsid w:val="003B01B2"/>
    <w:rsid w:val="003B020A"/>
    <w:rsid w:val="003B0225"/>
    <w:rsid w:val="003B029D"/>
    <w:rsid w:val="003B0447"/>
    <w:rsid w:val="003B04EA"/>
    <w:rsid w:val="003B0607"/>
    <w:rsid w:val="003B0A03"/>
    <w:rsid w:val="003B0B4E"/>
    <w:rsid w:val="003B0C91"/>
    <w:rsid w:val="003B0E04"/>
    <w:rsid w:val="003B0F0C"/>
    <w:rsid w:val="003B0F29"/>
    <w:rsid w:val="003B10A3"/>
    <w:rsid w:val="003B113D"/>
    <w:rsid w:val="003B1386"/>
    <w:rsid w:val="003B1399"/>
    <w:rsid w:val="003B140A"/>
    <w:rsid w:val="003B14CE"/>
    <w:rsid w:val="003B1778"/>
    <w:rsid w:val="003B1B61"/>
    <w:rsid w:val="003B1D4F"/>
    <w:rsid w:val="003B1D9C"/>
    <w:rsid w:val="003B2052"/>
    <w:rsid w:val="003B2059"/>
    <w:rsid w:val="003B227E"/>
    <w:rsid w:val="003B2346"/>
    <w:rsid w:val="003B2665"/>
    <w:rsid w:val="003B27AF"/>
    <w:rsid w:val="003B2B99"/>
    <w:rsid w:val="003B2BB8"/>
    <w:rsid w:val="003B2C5A"/>
    <w:rsid w:val="003B2C74"/>
    <w:rsid w:val="003B3076"/>
    <w:rsid w:val="003B32B0"/>
    <w:rsid w:val="003B335F"/>
    <w:rsid w:val="003B33B7"/>
    <w:rsid w:val="003B33BB"/>
    <w:rsid w:val="003B35B8"/>
    <w:rsid w:val="003B35E9"/>
    <w:rsid w:val="003B36B8"/>
    <w:rsid w:val="003B3768"/>
    <w:rsid w:val="003B398C"/>
    <w:rsid w:val="003B3A62"/>
    <w:rsid w:val="003B3AA7"/>
    <w:rsid w:val="003B3B5B"/>
    <w:rsid w:val="003B3BDA"/>
    <w:rsid w:val="003B3CB4"/>
    <w:rsid w:val="003B3D80"/>
    <w:rsid w:val="003B3E29"/>
    <w:rsid w:val="003B3E86"/>
    <w:rsid w:val="003B43E0"/>
    <w:rsid w:val="003B461B"/>
    <w:rsid w:val="003B467C"/>
    <w:rsid w:val="003B467D"/>
    <w:rsid w:val="003B46AC"/>
    <w:rsid w:val="003B4767"/>
    <w:rsid w:val="003B4788"/>
    <w:rsid w:val="003B4904"/>
    <w:rsid w:val="003B4CE7"/>
    <w:rsid w:val="003B4D9D"/>
    <w:rsid w:val="003B4E54"/>
    <w:rsid w:val="003B53BD"/>
    <w:rsid w:val="003B550D"/>
    <w:rsid w:val="003B55DA"/>
    <w:rsid w:val="003B56DA"/>
    <w:rsid w:val="003B5855"/>
    <w:rsid w:val="003B5895"/>
    <w:rsid w:val="003B5988"/>
    <w:rsid w:val="003B59B5"/>
    <w:rsid w:val="003B6071"/>
    <w:rsid w:val="003B609F"/>
    <w:rsid w:val="003B6105"/>
    <w:rsid w:val="003B6169"/>
    <w:rsid w:val="003B6306"/>
    <w:rsid w:val="003B631E"/>
    <w:rsid w:val="003B638D"/>
    <w:rsid w:val="003B661C"/>
    <w:rsid w:val="003B6793"/>
    <w:rsid w:val="003B6826"/>
    <w:rsid w:val="003B687F"/>
    <w:rsid w:val="003B691C"/>
    <w:rsid w:val="003B6A8C"/>
    <w:rsid w:val="003B6C55"/>
    <w:rsid w:val="003B6E17"/>
    <w:rsid w:val="003B6F54"/>
    <w:rsid w:val="003B700B"/>
    <w:rsid w:val="003B707F"/>
    <w:rsid w:val="003B746E"/>
    <w:rsid w:val="003B74E0"/>
    <w:rsid w:val="003B754A"/>
    <w:rsid w:val="003B7686"/>
    <w:rsid w:val="003B76CC"/>
    <w:rsid w:val="003B7733"/>
    <w:rsid w:val="003B78E4"/>
    <w:rsid w:val="003B79A1"/>
    <w:rsid w:val="003B7A95"/>
    <w:rsid w:val="003B7C97"/>
    <w:rsid w:val="003B7C9B"/>
    <w:rsid w:val="003B7E13"/>
    <w:rsid w:val="003C00D2"/>
    <w:rsid w:val="003C02B9"/>
    <w:rsid w:val="003C03B7"/>
    <w:rsid w:val="003C0520"/>
    <w:rsid w:val="003C0685"/>
    <w:rsid w:val="003C0850"/>
    <w:rsid w:val="003C0DFE"/>
    <w:rsid w:val="003C0FE1"/>
    <w:rsid w:val="003C10EA"/>
    <w:rsid w:val="003C11DD"/>
    <w:rsid w:val="003C1979"/>
    <w:rsid w:val="003C1A78"/>
    <w:rsid w:val="003C1B69"/>
    <w:rsid w:val="003C1B6B"/>
    <w:rsid w:val="003C1CE1"/>
    <w:rsid w:val="003C1CF1"/>
    <w:rsid w:val="003C1D69"/>
    <w:rsid w:val="003C1DA3"/>
    <w:rsid w:val="003C2048"/>
    <w:rsid w:val="003C2113"/>
    <w:rsid w:val="003C21E8"/>
    <w:rsid w:val="003C223D"/>
    <w:rsid w:val="003C24A0"/>
    <w:rsid w:val="003C2726"/>
    <w:rsid w:val="003C282B"/>
    <w:rsid w:val="003C284F"/>
    <w:rsid w:val="003C28A7"/>
    <w:rsid w:val="003C29E8"/>
    <w:rsid w:val="003C2D53"/>
    <w:rsid w:val="003C3008"/>
    <w:rsid w:val="003C34BB"/>
    <w:rsid w:val="003C351F"/>
    <w:rsid w:val="003C360D"/>
    <w:rsid w:val="003C39B7"/>
    <w:rsid w:val="003C3ACD"/>
    <w:rsid w:val="003C3DA4"/>
    <w:rsid w:val="003C3ED7"/>
    <w:rsid w:val="003C42D8"/>
    <w:rsid w:val="003C43B3"/>
    <w:rsid w:val="003C4401"/>
    <w:rsid w:val="003C4414"/>
    <w:rsid w:val="003C450E"/>
    <w:rsid w:val="003C45DC"/>
    <w:rsid w:val="003C480A"/>
    <w:rsid w:val="003C4B51"/>
    <w:rsid w:val="003C4C4E"/>
    <w:rsid w:val="003C4DC8"/>
    <w:rsid w:val="003C50F8"/>
    <w:rsid w:val="003C523D"/>
    <w:rsid w:val="003C5253"/>
    <w:rsid w:val="003C559A"/>
    <w:rsid w:val="003C5623"/>
    <w:rsid w:val="003C5697"/>
    <w:rsid w:val="003C57DC"/>
    <w:rsid w:val="003C5A22"/>
    <w:rsid w:val="003C5BCD"/>
    <w:rsid w:val="003C5C84"/>
    <w:rsid w:val="003C5D49"/>
    <w:rsid w:val="003C6001"/>
    <w:rsid w:val="003C62A0"/>
    <w:rsid w:val="003C63BB"/>
    <w:rsid w:val="003C63DC"/>
    <w:rsid w:val="003C6505"/>
    <w:rsid w:val="003C656F"/>
    <w:rsid w:val="003C6670"/>
    <w:rsid w:val="003C6A0E"/>
    <w:rsid w:val="003C6BB0"/>
    <w:rsid w:val="003C6CD3"/>
    <w:rsid w:val="003C73E2"/>
    <w:rsid w:val="003C7442"/>
    <w:rsid w:val="003C74D3"/>
    <w:rsid w:val="003C76A5"/>
    <w:rsid w:val="003C785D"/>
    <w:rsid w:val="003C7870"/>
    <w:rsid w:val="003C7970"/>
    <w:rsid w:val="003C7AD6"/>
    <w:rsid w:val="003C7B57"/>
    <w:rsid w:val="003C7C12"/>
    <w:rsid w:val="003C7C3F"/>
    <w:rsid w:val="003D01C4"/>
    <w:rsid w:val="003D01F3"/>
    <w:rsid w:val="003D0624"/>
    <w:rsid w:val="003D0796"/>
    <w:rsid w:val="003D08D8"/>
    <w:rsid w:val="003D0B0C"/>
    <w:rsid w:val="003D0D0B"/>
    <w:rsid w:val="003D0D40"/>
    <w:rsid w:val="003D0D71"/>
    <w:rsid w:val="003D0E9B"/>
    <w:rsid w:val="003D0F7F"/>
    <w:rsid w:val="003D1209"/>
    <w:rsid w:val="003D1254"/>
    <w:rsid w:val="003D13A8"/>
    <w:rsid w:val="003D14DF"/>
    <w:rsid w:val="003D1575"/>
    <w:rsid w:val="003D160E"/>
    <w:rsid w:val="003D18E8"/>
    <w:rsid w:val="003D19F7"/>
    <w:rsid w:val="003D1AF9"/>
    <w:rsid w:val="003D1FD0"/>
    <w:rsid w:val="003D2047"/>
    <w:rsid w:val="003D20B3"/>
    <w:rsid w:val="003D20F1"/>
    <w:rsid w:val="003D2178"/>
    <w:rsid w:val="003D2296"/>
    <w:rsid w:val="003D23D0"/>
    <w:rsid w:val="003D23DB"/>
    <w:rsid w:val="003D24F3"/>
    <w:rsid w:val="003D26DB"/>
    <w:rsid w:val="003D2A4C"/>
    <w:rsid w:val="003D2BD9"/>
    <w:rsid w:val="003D2DA5"/>
    <w:rsid w:val="003D2EA0"/>
    <w:rsid w:val="003D2F04"/>
    <w:rsid w:val="003D2FE5"/>
    <w:rsid w:val="003D315D"/>
    <w:rsid w:val="003D318D"/>
    <w:rsid w:val="003D3197"/>
    <w:rsid w:val="003D3559"/>
    <w:rsid w:val="003D358B"/>
    <w:rsid w:val="003D35D1"/>
    <w:rsid w:val="003D382D"/>
    <w:rsid w:val="003D3B02"/>
    <w:rsid w:val="003D3B61"/>
    <w:rsid w:val="003D3D45"/>
    <w:rsid w:val="003D4090"/>
    <w:rsid w:val="003D4107"/>
    <w:rsid w:val="003D44C3"/>
    <w:rsid w:val="003D46CA"/>
    <w:rsid w:val="003D4941"/>
    <w:rsid w:val="003D494B"/>
    <w:rsid w:val="003D4DCE"/>
    <w:rsid w:val="003D4E14"/>
    <w:rsid w:val="003D4F85"/>
    <w:rsid w:val="003D4FC8"/>
    <w:rsid w:val="003D500D"/>
    <w:rsid w:val="003D50DA"/>
    <w:rsid w:val="003D5234"/>
    <w:rsid w:val="003D52CC"/>
    <w:rsid w:val="003D533D"/>
    <w:rsid w:val="003D5377"/>
    <w:rsid w:val="003D5540"/>
    <w:rsid w:val="003D5889"/>
    <w:rsid w:val="003D58F4"/>
    <w:rsid w:val="003D5AE3"/>
    <w:rsid w:val="003D5DD3"/>
    <w:rsid w:val="003D5ECD"/>
    <w:rsid w:val="003D60E2"/>
    <w:rsid w:val="003D6439"/>
    <w:rsid w:val="003D6A00"/>
    <w:rsid w:val="003D6A9C"/>
    <w:rsid w:val="003D6F2D"/>
    <w:rsid w:val="003D707B"/>
    <w:rsid w:val="003D72A6"/>
    <w:rsid w:val="003D731E"/>
    <w:rsid w:val="003D7470"/>
    <w:rsid w:val="003D76CA"/>
    <w:rsid w:val="003D7B6F"/>
    <w:rsid w:val="003D7BA6"/>
    <w:rsid w:val="003D7C83"/>
    <w:rsid w:val="003D7D4E"/>
    <w:rsid w:val="003D7FD4"/>
    <w:rsid w:val="003E010A"/>
    <w:rsid w:val="003E04C7"/>
    <w:rsid w:val="003E0AC5"/>
    <w:rsid w:val="003E0C42"/>
    <w:rsid w:val="003E0D01"/>
    <w:rsid w:val="003E160A"/>
    <w:rsid w:val="003E18E4"/>
    <w:rsid w:val="003E195D"/>
    <w:rsid w:val="003E1973"/>
    <w:rsid w:val="003E198B"/>
    <w:rsid w:val="003E1A56"/>
    <w:rsid w:val="003E1AAA"/>
    <w:rsid w:val="003E1BCA"/>
    <w:rsid w:val="003E1CAB"/>
    <w:rsid w:val="003E1F2E"/>
    <w:rsid w:val="003E1F4D"/>
    <w:rsid w:val="003E2184"/>
    <w:rsid w:val="003E2BDA"/>
    <w:rsid w:val="003E2DAB"/>
    <w:rsid w:val="003E3003"/>
    <w:rsid w:val="003E30F0"/>
    <w:rsid w:val="003E3475"/>
    <w:rsid w:val="003E351E"/>
    <w:rsid w:val="003E352C"/>
    <w:rsid w:val="003E36C7"/>
    <w:rsid w:val="003E3723"/>
    <w:rsid w:val="003E380F"/>
    <w:rsid w:val="003E3872"/>
    <w:rsid w:val="003E388F"/>
    <w:rsid w:val="003E3A5D"/>
    <w:rsid w:val="003E3BD2"/>
    <w:rsid w:val="003E3DAD"/>
    <w:rsid w:val="003E3DEA"/>
    <w:rsid w:val="003E3F54"/>
    <w:rsid w:val="003E4028"/>
    <w:rsid w:val="003E40DB"/>
    <w:rsid w:val="003E413F"/>
    <w:rsid w:val="003E4391"/>
    <w:rsid w:val="003E47BA"/>
    <w:rsid w:val="003E487C"/>
    <w:rsid w:val="003E48C6"/>
    <w:rsid w:val="003E4B24"/>
    <w:rsid w:val="003E4BCE"/>
    <w:rsid w:val="003E4DBC"/>
    <w:rsid w:val="003E4E58"/>
    <w:rsid w:val="003E51CB"/>
    <w:rsid w:val="003E52EC"/>
    <w:rsid w:val="003E52FD"/>
    <w:rsid w:val="003E5446"/>
    <w:rsid w:val="003E5675"/>
    <w:rsid w:val="003E5817"/>
    <w:rsid w:val="003E5982"/>
    <w:rsid w:val="003E5A26"/>
    <w:rsid w:val="003E5B65"/>
    <w:rsid w:val="003E5B72"/>
    <w:rsid w:val="003E5F61"/>
    <w:rsid w:val="003E6090"/>
    <w:rsid w:val="003E628E"/>
    <w:rsid w:val="003E63CC"/>
    <w:rsid w:val="003E6539"/>
    <w:rsid w:val="003E671B"/>
    <w:rsid w:val="003E6A15"/>
    <w:rsid w:val="003E6AF0"/>
    <w:rsid w:val="003E6BBE"/>
    <w:rsid w:val="003E6EA8"/>
    <w:rsid w:val="003E6F1C"/>
    <w:rsid w:val="003E6F81"/>
    <w:rsid w:val="003E728F"/>
    <w:rsid w:val="003E75D0"/>
    <w:rsid w:val="003E7678"/>
    <w:rsid w:val="003E78C2"/>
    <w:rsid w:val="003E797E"/>
    <w:rsid w:val="003E7999"/>
    <w:rsid w:val="003E7A8C"/>
    <w:rsid w:val="003E7BAE"/>
    <w:rsid w:val="003E7E1D"/>
    <w:rsid w:val="003F020B"/>
    <w:rsid w:val="003F0265"/>
    <w:rsid w:val="003F036E"/>
    <w:rsid w:val="003F060F"/>
    <w:rsid w:val="003F0BA2"/>
    <w:rsid w:val="003F0BF0"/>
    <w:rsid w:val="003F0D5D"/>
    <w:rsid w:val="003F0F3A"/>
    <w:rsid w:val="003F0FF2"/>
    <w:rsid w:val="003F0FF8"/>
    <w:rsid w:val="003F113F"/>
    <w:rsid w:val="003F11ED"/>
    <w:rsid w:val="003F11F1"/>
    <w:rsid w:val="003F13EE"/>
    <w:rsid w:val="003F1471"/>
    <w:rsid w:val="003F1543"/>
    <w:rsid w:val="003F1553"/>
    <w:rsid w:val="003F1727"/>
    <w:rsid w:val="003F1B46"/>
    <w:rsid w:val="003F1C2D"/>
    <w:rsid w:val="003F1CB9"/>
    <w:rsid w:val="003F1E06"/>
    <w:rsid w:val="003F1FBC"/>
    <w:rsid w:val="003F1FD7"/>
    <w:rsid w:val="003F2012"/>
    <w:rsid w:val="003F20DA"/>
    <w:rsid w:val="003F215A"/>
    <w:rsid w:val="003F2240"/>
    <w:rsid w:val="003F274A"/>
    <w:rsid w:val="003F2A31"/>
    <w:rsid w:val="003F2AAB"/>
    <w:rsid w:val="003F2B01"/>
    <w:rsid w:val="003F2E2D"/>
    <w:rsid w:val="003F2E65"/>
    <w:rsid w:val="003F3059"/>
    <w:rsid w:val="003F314E"/>
    <w:rsid w:val="003F31AF"/>
    <w:rsid w:val="003F31C8"/>
    <w:rsid w:val="003F3249"/>
    <w:rsid w:val="003F33D3"/>
    <w:rsid w:val="003F35CC"/>
    <w:rsid w:val="003F3809"/>
    <w:rsid w:val="003F38C9"/>
    <w:rsid w:val="003F38F8"/>
    <w:rsid w:val="003F3973"/>
    <w:rsid w:val="003F3B84"/>
    <w:rsid w:val="003F3BC1"/>
    <w:rsid w:val="003F3D38"/>
    <w:rsid w:val="003F4060"/>
    <w:rsid w:val="003F4185"/>
    <w:rsid w:val="003F4420"/>
    <w:rsid w:val="003F45D5"/>
    <w:rsid w:val="003F4610"/>
    <w:rsid w:val="003F4640"/>
    <w:rsid w:val="003F4BE0"/>
    <w:rsid w:val="003F5004"/>
    <w:rsid w:val="003F5113"/>
    <w:rsid w:val="003F5443"/>
    <w:rsid w:val="003F55D7"/>
    <w:rsid w:val="003F560F"/>
    <w:rsid w:val="003F5789"/>
    <w:rsid w:val="003F57C5"/>
    <w:rsid w:val="003F5840"/>
    <w:rsid w:val="003F5C2B"/>
    <w:rsid w:val="003F5F2B"/>
    <w:rsid w:val="003F611F"/>
    <w:rsid w:val="003F6279"/>
    <w:rsid w:val="003F63FD"/>
    <w:rsid w:val="003F641C"/>
    <w:rsid w:val="003F65AD"/>
    <w:rsid w:val="003F66BA"/>
    <w:rsid w:val="003F675B"/>
    <w:rsid w:val="003F68B7"/>
    <w:rsid w:val="003F69C6"/>
    <w:rsid w:val="003F6A4F"/>
    <w:rsid w:val="003F6A6C"/>
    <w:rsid w:val="003F6BCC"/>
    <w:rsid w:val="003F6BE6"/>
    <w:rsid w:val="003F6D99"/>
    <w:rsid w:val="003F73E7"/>
    <w:rsid w:val="003F76AF"/>
    <w:rsid w:val="003F77AE"/>
    <w:rsid w:val="003F7840"/>
    <w:rsid w:val="003F79EE"/>
    <w:rsid w:val="003F7D7D"/>
    <w:rsid w:val="003F7FDD"/>
    <w:rsid w:val="004001EE"/>
    <w:rsid w:val="00400543"/>
    <w:rsid w:val="00400745"/>
    <w:rsid w:val="00400863"/>
    <w:rsid w:val="00400911"/>
    <w:rsid w:val="00400917"/>
    <w:rsid w:val="00400A40"/>
    <w:rsid w:val="00400BC7"/>
    <w:rsid w:val="00400CF3"/>
    <w:rsid w:val="00400EB1"/>
    <w:rsid w:val="00400FC8"/>
    <w:rsid w:val="00401102"/>
    <w:rsid w:val="0040173C"/>
    <w:rsid w:val="00401971"/>
    <w:rsid w:val="004019F5"/>
    <w:rsid w:val="00401A35"/>
    <w:rsid w:val="00401AEE"/>
    <w:rsid w:val="00401C5D"/>
    <w:rsid w:val="00401C77"/>
    <w:rsid w:val="00401F09"/>
    <w:rsid w:val="00401F8B"/>
    <w:rsid w:val="0040224A"/>
    <w:rsid w:val="00402480"/>
    <w:rsid w:val="004024F2"/>
    <w:rsid w:val="00402557"/>
    <w:rsid w:val="00402628"/>
    <w:rsid w:val="004027A4"/>
    <w:rsid w:val="00402A05"/>
    <w:rsid w:val="00402D70"/>
    <w:rsid w:val="00402EBC"/>
    <w:rsid w:val="0040309E"/>
    <w:rsid w:val="004030C9"/>
    <w:rsid w:val="00403688"/>
    <w:rsid w:val="00403E5B"/>
    <w:rsid w:val="00404040"/>
    <w:rsid w:val="0040437E"/>
    <w:rsid w:val="0040479A"/>
    <w:rsid w:val="00404992"/>
    <w:rsid w:val="00404F3F"/>
    <w:rsid w:val="004051CB"/>
    <w:rsid w:val="0040545A"/>
    <w:rsid w:val="00405B33"/>
    <w:rsid w:val="00405C89"/>
    <w:rsid w:val="00405EF8"/>
    <w:rsid w:val="00406047"/>
    <w:rsid w:val="004063FE"/>
    <w:rsid w:val="00406481"/>
    <w:rsid w:val="004065F1"/>
    <w:rsid w:val="004066DC"/>
    <w:rsid w:val="00406BAA"/>
    <w:rsid w:val="00406BCA"/>
    <w:rsid w:val="00406CA0"/>
    <w:rsid w:val="00406CC6"/>
    <w:rsid w:val="00406D73"/>
    <w:rsid w:val="00406EE6"/>
    <w:rsid w:val="00406EE8"/>
    <w:rsid w:val="00406F7B"/>
    <w:rsid w:val="004070AE"/>
    <w:rsid w:val="00407308"/>
    <w:rsid w:val="004074E6"/>
    <w:rsid w:val="0040752A"/>
    <w:rsid w:val="004077F3"/>
    <w:rsid w:val="004078F9"/>
    <w:rsid w:val="00407966"/>
    <w:rsid w:val="004103A5"/>
    <w:rsid w:val="004103C3"/>
    <w:rsid w:val="00410432"/>
    <w:rsid w:val="00410569"/>
    <w:rsid w:val="00410754"/>
    <w:rsid w:val="00410874"/>
    <w:rsid w:val="00410937"/>
    <w:rsid w:val="00410D48"/>
    <w:rsid w:val="00410E60"/>
    <w:rsid w:val="00410F71"/>
    <w:rsid w:val="004110FD"/>
    <w:rsid w:val="0041130D"/>
    <w:rsid w:val="0041140A"/>
    <w:rsid w:val="004114C2"/>
    <w:rsid w:val="0041154E"/>
    <w:rsid w:val="00411734"/>
    <w:rsid w:val="004117E3"/>
    <w:rsid w:val="0041184E"/>
    <w:rsid w:val="004119D9"/>
    <w:rsid w:val="00411A64"/>
    <w:rsid w:val="00411EDD"/>
    <w:rsid w:val="00411F89"/>
    <w:rsid w:val="0041201D"/>
    <w:rsid w:val="004124BD"/>
    <w:rsid w:val="00412731"/>
    <w:rsid w:val="00412917"/>
    <w:rsid w:val="0041300D"/>
    <w:rsid w:val="0041308F"/>
    <w:rsid w:val="004132B8"/>
    <w:rsid w:val="004132C3"/>
    <w:rsid w:val="00413607"/>
    <w:rsid w:val="0041376F"/>
    <w:rsid w:val="00413AB1"/>
    <w:rsid w:val="00413ADC"/>
    <w:rsid w:val="00413D88"/>
    <w:rsid w:val="00413EBB"/>
    <w:rsid w:val="004141C0"/>
    <w:rsid w:val="004142BE"/>
    <w:rsid w:val="0041435E"/>
    <w:rsid w:val="0041442D"/>
    <w:rsid w:val="00414452"/>
    <w:rsid w:val="0041446D"/>
    <w:rsid w:val="004145C9"/>
    <w:rsid w:val="00414706"/>
    <w:rsid w:val="0041491E"/>
    <w:rsid w:val="00414A9E"/>
    <w:rsid w:val="00414AC5"/>
    <w:rsid w:val="00414CB4"/>
    <w:rsid w:val="004150DE"/>
    <w:rsid w:val="004150E0"/>
    <w:rsid w:val="00415345"/>
    <w:rsid w:val="0041558E"/>
    <w:rsid w:val="004155B3"/>
    <w:rsid w:val="004156AA"/>
    <w:rsid w:val="004156BD"/>
    <w:rsid w:val="004158DD"/>
    <w:rsid w:val="0041590B"/>
    <w:rsid w:val="0041598A"/>
    <w:rsid w:val="00415B39"/>
    <w:rsid w:val="00415B9D"/>
    <w:rsid w:val="00415E55"/>
    <w:rsid w:val="00415F8A"/>
    <w:rsid w:val="0041606B"/>
    <w:rsid w:val="00416163"/>
    <w:rsid w:val="00416498"/>
    <w:rsid w:val="00416AFD"/>
    <w:rsid w:val="00416CC1"/>
    <w:rsid w:val="00417108"/>
    <w:rsid w:val="004171B2"/>
    <w:rsid w:val="0041720C"/>
    <w:rsid w:val="004174B3"/>
    <w:rsid w:val="0041763B"/>
    <w:rsid w:val="0041764F"/>
    <w:rsid w:val="004178C6"/>
    <w:rsid w:val="00417947"/>
    <w:rsid w:val="00417BB3"/>
    <w:rsid w:val="00417CB8"/>
    <w:rsid w:val="00417D67"/>
    <w:rsid w:val="00417E2A"/>
    <w:rsid w:val="00417EC4"/>
    <w:rsid w:val="0042002E"/>
    <w:rsid w:val="004200C6"/>
    <w:rsid w:val="004203DE"/>
    <w:rsid w:val="004204C3"/>
    <w:rsid w:val="004205A3"/>
    <w:rsid w:val="00420683"/>
    <w:rsid w:val="00420932"/>
    <w:rsid w:val="0042093D"/>
    <w:rsid w:val="00420B52"/>
    <w:rsid w:val="00420C76"/>
    <w:rsid w:val="00420DBC"/>
    <w:rsid w:val="00420EF3"/>
    <w:rsid w:val="00421285"/>
    <w:rsid w:val="0042144A"/>
    <w:rsid w:val="00421B61"/>
    <w:rsid w:val="00421C4E"/>
    <w:rsid w:val="00421CED"/>
    <w:rsid w:val="00421E8E"/>
    <w:rsid w:val="00421FDB"/>
    <w:rsid w:val="00422264"/>
    <w:rsid w:val="00422297"/>
    <w:rsid w:val="004222C6"/>
    <w:rsid w:val="00422491"/>
    <w:rsid w:val="004228CF"/>
    <w:rsid w:val="00422AE6"/>
    <w:rsid w:val="00422DA1"/>
    <w:rsid w:val="00422E6C"/>
    <w:rsid w:val="00422EFD"/>
    <w:rsid w:val="004230A5"/>
    <w:rsid w:val="004230FA"/>
    <w:rsid w:val="00423232"/>
    <w:rsid w:val="004232E8"/>
    <w:rsid w:val="00423571"/>
    <w:rsid w:val="00423734"/>
    <w:rsid w:val="00423778"/>
    <w:rsid w:val="004237FA"/>
    <w:rsid w:val="0042390A"/>
    <w:rsid w:val="0042396A"/>
    <w:rsid w:val="00423D76"/>
    <w:rsid w:val="00423F3C"/>
    <w:rsid w:val="00423F5A"/>
    <w:rsid w:val="00423FBD"/>
    <w:rsid w:val="0042403A"/>
    <w:rsid w:val="00424093"/>
    <w:rsid w:val="00424146"/>
    <w:rsid w:val="00424349"/>
    <w:rsid w:val="00424789"/>
    <w:rsid w:val="004248CF"/>
    <w:rsid w:val="00424A10"/>
    <w:rsid w:val="00424AF5"/>
    <w:rsid w:val="00424B45"/>
    <w:rsid w:val="00424C88"/>
    <w:rsid w:val="00424DB7"/>
    <w:rsid w:val="00424EAC"/>
    <w:rsid w:val="00424EE4"/>
    <w:rsid w:val="00424F63"/>
    <w:rsid w:val="004251FC"/>
    <w:rsid w:val="004253B5"/>
    <w:rsid w:val="00425440"/>
    <w:rsid w:val="0042544A"/>
    <w:rsid w:val="004255B6"/>
    <w:rsid w:val="00425669"/>
    <w:rsid w:val="00425B0D"/>
    <w:rsid w:val="00425E79"/>
    <w:rsid w:val="004260E6"/>
    <w:rsid w:val="00426152"/>
    <w:rsid w:val="004262A7"/>
    <w:rsid w:val="00426459"/>
    <w:rsid w:val="004264E0"/>
    <w:rsid w:val="004266E0"/>
    <w:rsid w:val="004268E6"/>
    <w:rsid w:val="00426AE9"/>
    <w:rsid w:val="00426C57"/>
    <w:rsid w:val="00426C9E"/>
    <w:rsid w:val="00426D2F"/>
    <w:rsid w:val="00427014"/>
    <w:rsid w:val="004274C0"/>
    <w:rsid w:val="00427558"/>
    <w:rsid w:val="0042780A"/>
    <w:rsid w:val="00427BA9"/>
    <w:rsid w:val="00427C2B"/>
    <w:rsid w:val="00427E19"/>
    <w:rsid w:val="00427E2A"/>
    <w:rsid w:val="00427E34"/>
    <w:rsid w:val="00427E76"/>
    <w:rsid w:val="00427E8F"/>
    <w:rsid w:val="00427FAC"/>
    <w:rsid w:val="00430002"/>
    <w:rsid w:val="004303BF"/>
    <w:rsid w:val="004304CB"/>
    <w:rsid w:val="004305D1"/>
    <w:rsid w:val="00430A13"/>
    <w:rsid w:val="00430A65"/>
    <w:rsid w:val="00430CF0"/>
    <w:rsid w:val="00430E57"/>
    <w:rsid w:val="00431167"/>
    <w:rsid w:val="00431174"/>
    <w:rsid w:val="00431244"/>
    <w:rsid w:val="00431411"/>
    <w:rsid w:val="004315E5"/>
    <w:rsid w:val="0043168D"/>
    <w:rsid w:val="00431980"/>
    <w:rsid w:val="00431A5B"/>
    <w:rsid w:val="00431F27"/>
    <w:rsid w:val="00432350"/>
    <w:rsid w:val="00432386"/>
    <w:rsid w:val="004323A4"/>
    <w:rsid w:val="0043244B"/>
    <w:rsid w:val="004325FC"/>
    <w:rsid w:val="0043285F"/>
    <w:rsid w:val="00432F2F"/>
    <w:rsid w:val="0043302A"/>
    <w:rsid w:val="004334B3"/>
    <w:rsid w:val="0043362D"/>
    <w:rsid w:val="0043385F"/>
    <w:rsid w:val="00433A69"/>
    <w:rsid w:val="00433A99"/>
    <w:rsid w:val="00433C11"/>
    <w:rsid w:val="00433C95"/>
    <w:rsid w:val="00433E4E"/>
    <w:rsid w:val="004341D2"/>
    <w:rsid w:val="004344BC"/>
    <w:rsid w:val="0043461B"/>
    <w:rsid w:val="00434688"/>
    <w:rsid w:val="004346EF"/>
    <w:rsid w:val="00434C78"/>
    <w:rsid w:val="00434C8E"/>
    <w:rsid w:val="00434EE7"/>
    <w:rsid w:val="00434FB2"/>
    <w:rsid w:val="0043508F"/>
    <w:rsid w:val="004350CF"/>
    <w:rsid w:val="004351E3"/>
    <w:rsid w:val="00435533"/>
    <w:rsid w:val="0043554A"/>
    <w:rsid w:val="0043554D"/>
    <w:rsid w:val="00435722"/>
    <w:rsid w:val="00435800"/>
    <w:rsid w:val="0043580D"/>
    <w:rsid w:val="00435C05"/>
    <w:rsid w:val="00435E44"/>
    <w:rsid w:val="00435FE2"/>
    <w:rsid w:val="004364D5"/>
    <w:rsid w:val="00436772"/>
    <w:rsid w:val="004368C8"/>
    <w:rsid w:val="004368FD"/>
    <w:rsid w:val="00436956"/>
    <w:rsid w:val="004369BB"/>
    <w:rsid w:val="00436B6F"/>
    <w:rsid w:val="00436CEB"/>
    <w:rsid w:val="00436E23"/>
    <w:rsid w:val="00437244"/>
    <w:rsid w:val="00437342"/>
    <w:rsid w:val="00437439"/>
    <w:rsid w:val="004374EE"/>
    <w:rsid w:val="00437546"/>
    <w:rsid w:val="00437548"/>
    <w:rsid w:val="0043764B"/>
    <w:rsid w:val="0043765C"/>
    <w:rsid w:val="0043786A"/>
    <w:rsid w:val="00437A04"/>
    <w:rsid w:val="00437AF4"/>
    <w:rsid w:val="00437C04"/>
    <w:rsid w:val="00437D0A"/>
    <w:rsid w:val="00437E68"/>
    <w:rsid w:val="00440002"/>
    <w:rsid w:val="00440059"/>
    <w:rsid w:val="00440463"/>
    <w:rsid w:val="0044057E"/>
    <w:rsid w:val="004405DE"/>
    <w:rsid w:val="00440659"/>
    <w:rsid w:val="0044087A"/>
    <w:rsid w:val="004409D0"/>
    <w:rsid w:val="00440A7F"/>
    <w:rsid w:val="00440C94"/>
    <w:rsid w:val="00440DCC"/>
    <w:rsid w:val="00440E83"/>
    <w:rsid w:val="00440EF2"/>
    <w:rsid w:val="00441104"/>
    <w:rsid w:val="0044114B"/>
    <w:rsid w:val="0044117A"/>
    <w:rsid w:val="004412FD"/>
    <w:rsid w:val="004414BC"/>
    <w:rsid w:val="00441583"/>
    <w:rsid w:val="0044161A"/>
    <w:rsid w:val="0044168D"/>
    <w:rsid w:val="00441700"/>
    <w:rsid w:val="0044173D"/>
    <w:rsid w:val="00441946"/>
    <w:rsid w:val="00441D91"/>
    <w:rsid w:val="00441DF0"/>
    <w:rsid w:val="00441DF7"/>
    <w:rsid w:val="00441EC2"/>
    <w:rsid w:val="00441FE0"/>
    <w:rsid w:val="004420D4"/>
    <w:rsid w:val="004422E7"/>
    <w:rsid w:val="0044256E"/>
    <w:rsid w:val="0044270D"/>
    <w:rsid w:val="00442A53"/>
    <w:rsid w:val="00442A83"/>
    <w:rsid w:val="00442E18"/>
    <w:rsid w:val="00442EC5"/>
    <w:rsid w:val="00443315"/>
    <w:rsid w:val="0044343B"/>
    <w:rsid w:val="0044375B"/>
    <w:rsid w:val="00443789"/>
    <w:rsid w:val="004437C5"/>
    <w:rsid w:val="00443834"/>
    <w:rsid w:val="00443875"/>
    <w:rsid w:val="0044390E"/>
    <w:rsid w:val="00443985"/>
    <w:rsid w:val="00443AA5"/>
    <w:rsid w:val="00443CC1"/>
    <w:rsid w:val="00443CE5"/>
    <w:rsid w:val="00443ECF"/>
    <w:rsid w:val="00443F8A"/>
    <w:rsid w:val="00444392"/>
    <w:rsid w:val="0044468E"/>
    <w:rsid w:val="0044494E"/>
    <w:rsid w:val="00444983"/>
    <w:rsid w:val="00444B85"/>
    <w:rsid w:val="00444BC5"/>
    <w:rsid w:val="00444C2B"/>
    <w:rsid w:val="00444E02"/>
    <w:rsid w:val="00445074"/>
    <w:rsid w:val="00445137"/>
    <w:rsid w:val="00445175"/>
    <w:rsid w:val="004452AB"/>
    <w:rsid w:val="00445344"/>
    <w:rsid w:val="00445398"/>
    <w:rsid w:val="004453E6"/>
    <w:rsid w:val="00445465"/>
    <w:rsid w:val="004454D2"/>
    <w:rsid w:val="004455A5"/>
    <w:rsid w:val="0044570E"/>
    <w:rsid w:val="0044574B"/>
    <w:rsid w:val="004457AE"/>
    <w:rsid w:val="004458F0"/>
    <w:rsid w:val="00445AB8"/>
    <w:rsid w:val="00445C42"/>
    <w:rsid w:val="00445CCF"/>
    <w:rsid w:val="00445DB8"/>
    <w:rsid w:val="00445ED5"/>
    <w:rsid w:val="0044620A"/>
    <w:rsid w:val="004462EC"/>
    <w:rsid w:val="004463ED"/>
    <w:rsid w:val="0044658D"/>
    <w:rsid w:val="0044675C"/>
    <w:rsid w:val="004467E2"/>
    <w:rsid w:val="00446900"/>
    <w:rsid w:val="0044690A"/>
    <w:rsid w:val="00446B83"/>
    <w:rsid w:val="00446ED8"/>
    <w:rsid w:val="00446F3E"/>
    <w:rsid w:val="00447056"/>
    <w:rsid w:val="00447101"/>
    <w:rsid w:val="00447366"/>
    <w:rsid w:val="0044742E"/>
    <w:rsid w:val="0044764F"/>
    <w:rsid w:val="0044783A"/>
    <w:rsid w:val="0044791D"/>
    <w:rsid w:val="00447BAD"/>
    <w:rsid w:val="004502B7"/>
    <w:rsid w:val="004502E2"/>
    <w:rsid w:val="004503AE"/>
    <w:rsid w:val="0045043D"/>
    <w:rsid w:val="004505FA"/>
    <w:rsid w:val="0045079D"/>
    <w:rsid w:val="004507AB"/>
    <w:rsid w:val="0045090A"/>
    <w:rsid w:val="00451106"/>
    <w:rsid w:val="004512F2"/>
    <w:rsid w:val="00451338"/>
    <w:rsid w:val="0045143C"/>
    <w:rsid w:val="004514C1"/>
    <w:rsid w:val="0045195A"/>
    <w:rsid w:val="00451F0B"/>
    <w:rsid w:val="00451F92"/>
    <w:rsid w:val="004522FA"/>
    <w:rsid w:val="004525F8"/>
    <w:rsid w:val="00452672"/>
    <w:rsid w:val="0045284F"/>
    <w:rsid w:val="00452921"/>
    <w:rsid w:val="00452B46"/>
    <w:rsid w:val="00452C11"/>
    <w:rsid w:val="00452CBB"/>
    <w:rsid w:val="00452CED"/>
    <w:rsid w:val="00452FA6"/>
    <w:rsid w:val="00453014"/>
    <w:rsid w:val="00453018"/>
    <w:rsid w:val="0045317E"/>
    <w:rsid w:val="004531CA"/>
    <w:rsid w:val="0045333C"/>
    <w:rsid w:val="00453532"/>
    <w:rsid w:val="004535D8"/>
    <w:rsid w:val="00453A45"/>
    <w:rsid w:val="00453A84"/>
    <w:rsid w:val="00453B5F"/>
    <w:rsid w:val="00453EBE"/>
    <w:rsid w:val="00454044"/>
    <w:rsid w:val="0045420A"/>
    <w:rsid w:val="00454280"/>
    <w:rsid w:val="00454325"/>
    <w:rsid w:val="0045435F"/>
    <w:rsid w:val="004543DA"/>
    <w:rsid w:val="004545B6"/>
    <w:rsid w:val="004548B6"/>
    <w:rsid w:val="0045495E"/>
    <w:rsid w:val="00454A85"/>
    <w:rsid w:val="00454AEF"/>
    <w:rsid w:val="00454C73"/>
    <w:rsid w:val="00454D54"/>
    <w:rsid w:val="00455000"/>
    <w:rsid w:val="004550E2"/>
    <w:rsid w:val="004551C7"/>
    <w:rsid w:val="004552F4"/>
    <w:rsid w:val="0045533E"/>
    <w:rsid w:val="00455516"/>
    <w:rsid w:val="0045554A"/>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726"/>
    <w:rsid w:val="00456823"/>
    <w:rsid w:val="00456994"/>
    <w:rsid w:val="004569C0"/>
    <w:rsid w:val="00456A40"/>
    <w:rsid w:val="00456A58"/>
    <w:rsid w:val="00456AD1"/>
    <w:rsid w:val="00456C0D"/>
    <w:rsid w:val="00456EDE"/>
    <w:rsid w:val="00457192"/>
    <w:rsid w:val="00457342"/>
    <w:rsid w:val="0045753D"/>
    <w:rsid w:val="00457603"/>
    <w:rsid w:val="004576B8"/>
    <w:rsid w:val="00457B15"/>
    <w:rsid w:val="00457D38"/>
    <w:rsid w:val="00457F5A"/>
    <w:rsid w:val="00460082"/>
    <w:rsid w:val="004601A4"/>
    <w:rsid w:val="004605F4"/>
    <w:rsid w:val="004607B7"/>
    <w:rsid w:val="00460B0F"/>
    <w:rsid w:val="00460B2F"/>
    <w:rsid w:val="00460CFE"/>
    <w:rsid w:val="00460E7B"/>
    <w:rsid w:val="00460EE0"/>
    <w:rsid w:val="00461160"/>
    <w:rsid w:val="004612EB"/>
    <w:rsid w:val="00461645"/>
    <w:rsid w:val="004616CE"/>
    <w:rsid w:val="004618F6"/>
    <w:rsid w:val="00461D8D"/>
    <w:rsid w:val="00461DD5"/>
    <w:rsid w:val="00461E22"/>
    <w:rsid w:val="00461F53"/>
    <w:rsid w:val="0046218B"/>
    <w:rsid w:val="004622F1"/>
    <w:rsid w:val="004623B7"/>
    <w:rsid w:val="0046242F"/>
    <w:rsid w:val="004625A7"/>
    <w:rsid w:val="00462725"/>
    <w:rsid w:val="00462D58"/>
    <w:rsid w:val="00462EF3"/>
    <w:rsid w:val="00462FDC"/>
    <w:rsid w:val="00463106"/>
    <w:rsid w:val="004631B7"/>
    <w:rsid w:val="00463458"/>
    <w:rsid w:val="0046368A"/>
    <w:rsid w:val="00463B4E"/>
    <w:rsid w:val="00463BAF"/>
    <w:rsid w:val="00464019"/>
    <w:rsid w:val="004644BB"/>
    <w:rsid w:val="0046453C"/>
    <w:rsid w:val="00464588"/>
    <w:rsid w:val="004646C5"/>
    <w:rsid w:val="00464756"/>
    <w:rsid w:val="00464827"/>
    <w:rsid w:val="00464890"/>
    <w:rsid w:val="00464994"/>
    <w:rsid w:val="004649EB"/>
    <w:rsid w:val="00464A47"/>
    <w:rsid w:val="00464A5C"/>
    <w:rsid w:val="00464C6D"/>
    <w:rsid w:val="00464D03"/>
    <w:rsid w:val="00464D99"/>
    <w:rsid w:val="00464EED"/>
    <w:rsid w:val="00465048"/>
    <w:rsid w:val="00465120"/>
    <w:rsid w:val="004654C5"/>
    <w:rsid w:val="0046565E"/>
    <w:rsid w:val="00465A20"/>
    <w:rsid w:val="00465A5A"/>
    <w:rsid w:val="00465AC5"/>
    <w:rsid w:val="00465C91"/>
    <w:rsid w:val="00465D46"/>
    <w:rsid w:val="00465EC7"/>
    <w:rsid w:val="004664BF"/>
    <w:rsid w:val="004665DF"/>
    <w:rsid w:val="00466636"/>
    <w:rsid w:val="0046696B"/>
    <w:rsid w:val="00466A2F"/>
    <w:rsid w:val="00466C82"/>
    <w:rsid w:val="00467077"/>
    <w:rsid w:val="004670C8"/>
    <w:rsid w:val="004670E8"/>
    <w:rsid w:val="0046769E"/>
    <w:rsid w:val="00467807"/>
    <w:rsid w:val="00467840"/>
    <w:rsid w:val="0046795C"/>
    <w:rsid w:val="00467C60"/>
    <w:rsid w:val="00467C88"/>
    <w:rsid w:val="00467CAF"/>
    <w:rsid w:val="00467D97"/>
    <w:rsid w:val="00467E0C"/>
    <w:rsid w:val="00467E38"/>
    <w:rsid w:val="00470193"/>
    <w:rsid w:val="0047082A"/>
    <w:rsid w:val="004708BE"/>
    <w:rsid w:val="0047093A"/>
    <w:rsid w:val="00470A90"/>
    <w:rsid w:val="00470D4D"/>
    <w:rsid w:val="00470E36"/>
    <w:rsid w:val="00471156"/>
    <w:rsid w:val="0047119F"/>
    <w:rsid w:val="0047132C"/>
    <w:rsid w:val="004713FC"/>
    <w:rsid w:val="0047140D"/>
    <w:rsid w:val="00471483"/>
    <w:rsid w:val="00471510"/>
    <w:rsid w:val="0047154B"/>
    <w:rsid w:val="00471681"/>
    <w:rsid w:val="0047193E"/>
    <w:rsid w:val="004722FB"/>
    <w:rsid w:val="00472472"/>
    <w:rsid w:val="00472724"/>
    <w:rsid w:val="0047286D"/>
    <w:rsid w:val="0047288D"/>
    <w:rsid w:val="00472965"/>
    <w:rsid w:val="00472ACF"/>
    <w:rsid w:val="00472AF0"/>
    <w:rsid w:val="00472D6D"/>
    <w:rsid w:val="00472DD7"/>
    <w:rsid w:val="00472E82"/>
    <w:rsid w:val="00473245"/>
    <w:rsid w:val="00473418"/>
    <w:rsid w:val="00473586"/>
    <w:rsid w:val="004735DB"/>
    <w:rsid w:val="00473656"/>
    <w:rsid w:val="004736F9"/>
    <w:rsid w:val="00473802"/>
    <w:rsid w:val="00473835"/>
    <w:rsid w:val="0047384A"/>
    <w:rsid w:val="00473941"/>
    <w:rsid w:val="00473AA9"/>
    <w:rsid w:val="00473ABE"/>
    <w:rsid w:val="00473F4E"/>
    <w:rsid w:val="00474020"/>
    <w:rsid w:val="004740C4"/>
    <w:rsid w:val="004743CD"/>
    <w:rsid w:val="00474575"/>
    <w:rsid w:val="00474AF2"/>
    <w:rsid w:val="00474CFD"/>
    <w:rsid w:val="00474DA4"/>
    <w:rsid w:val="004750B8"/>
    <w:rsid w:val="00475407"/>
    <w:rsid w:val="0047543B"/>
    <w:rsid w:val="00475561"/>
    <w:rsid w:val="00475593"/>
    <w:rsid w:val="00475618"/>
    <w:rsid w:val="00475672"/>
    <w:rsid w:val="004756DC"/>
    <w:rsid w:val="0047573E"/>
    <w:rsid w:val="004758A5"/>
    <w:rsid w:val="00475B7C"/>
    <w:rsid w:val="00475C57"/>
    <w:rsid w:val="00475CA3"/>
    <w:rsid w:val="00475CF2"/>
    <w:rsid w:val="00475EF5"/>
    <w:rsid w:val="004761FF"/>
    <w:rsid w:val="0047649B"/>
    <w:rsid w:val="00476548"/>
    <w:rsid w:val="00476575"/>
    <w:rsid w:val="004767E7"/>
    <w:rsid w:val="00476A16"/>
    <w:rsid w:val="00476AB5"/>
    <w:rsid w:val="00476C17"/>
    <w:rsid w:val="00476E05"/>
    <w:rsid w:val="00476F0A"/>
    <w:rsid w:val="004772AF"/>
    <w:rsid w:val="004773FE"/>
    <w:rsid w:val="0047742C"/>
    <w:rsid w:val="00477577"/>
    <w:rsid w:val="00477903"/>
    <w:rsid w:val="00477AA1"/>
    <w:rsid w:val="00477AE5"/>
    <w:rsid w:val="00477B1C"/>
    <w:rsid w:val="00477B62"/>
    <w:rsid w:val="00477C52"/>
    <w:rsid w:val="00477E1F"/>
    <w:rsid w:val="00477EAB"/>
    <w:rsid w:val="00477F22"/>
    <w:rsid w:val="00480046"/>
    <w:rsid w:val="004801F0"/>
    <w:rsid w:val="0048026D"/>
    <w:rsid w:val="00480292"/>
    <w:rsid w:val="00480394"/>
    <w:rsid w:val="00480970"/>
    <w:rsid w:val="00480AAD"/>
    <w:rsid w:val="00480D37"/>
    <w:rsid w:val="00480E13"/>
    <w:rsid w:val="0048105F"/>
    <w:rsid w:val="00481095"/>
    <w:rsid w:val="004810C8"/>
    <w:rsid w:val="00481122"/>
    <w:rsid w:val="0048119B"/>
    <w:rsid w:val="0048135D"/>
    <w:rsid w:val="004813EA"/>
    <w:rsid w:val="004813EE"/>
    <w:rsid w:val="0048178A"/>
    <w:rsid w:val="00481877"/>
    <w:rsid w:val="004818C1"/>
    <w:rsid w:val="00482571"/>
    <w:rsid w:val="00482653"/>
    <w:rsid w:val="004828EC"/>
    <w:rsid w:val="00482931"/>
    <w:rsid w:val="00482A71"/>
    <w:rsid w:val="00482A7C"/>
    <w:rsid w:val="00482AA8"/>
    <w:rsid w:val="00482CEE"/>
    <w:rsid w:val="00483133"/>
    <w:rsid w:val="00483225"/>
    <w:rsid w:val="00483256"/>
    <w:rsid w:val="0048340C"/>
    <w:rsid w:val="00483418"/>
    <w:rsid w:val="00483608"/>
    <w:rsid w:val="004837F8"/>
    <w:rsid w:val="00483849"/>
    <w:rsid w:val="004838A8"/>
    <w:rsid w:val="004838C0"/>
    <w:rsid w:val="00483AC3"/>
    <w:rsid w:val="00483BAF"/>
    <w:rsid w:val="0048406E"/>
    <w:rsid w:val="00484386"/>
    <w:rsid w:val="004843B3"/>
    <w:rsid w:val="00484419"/>
    <w:rsid w:val="004846D7"/>
    <w:rsid w:val="0048494E"/>
    <w:rsid w:val="00484977"/>
    <w:rsid w:val="00484A45"/>
    <w:rsid w:val="00484A67"/>
    <w:rsid w:val="00484B17"/>
    <w:rsid w:val="00484BC7"/>
    <w:rsid w:val="00484CC5"/>
    <w:rsid w:val="00484DB0"/>
    <w:rsid w:val="00484DC4"/>
    <w:rsid w:val="00484E06"/>
    <w:rsid w:val="004853EE"/>
    <w:rsid w:val="004855BD"/>
    <w:rsid w:val="00485607"/>
    <w:rsid w:val="004857AD"/>
    <w:rsid w:val="004859FF"/>
    <w:rsid w:val="00485C77"/>
    <w:rsid w:val="00485E9D"/>
    <w:rsid w:val="00485ECB"/>
    <w:rsid w:val="004861DA"/>
    <w:rsid w:val="00486465"/>
    <w:rsid w:val="0048657E"/>
    <w:rsid w:val="0048668C"/>
    <w:rsid w:val="00486748"/>
    <w:rsid w:val="00486851"/>
    <w:rsid w:val="00486858"/>
    <w:rsid w:val="004868CB"/>
    <w:rsid w:val="004869D4"/>
    <w:rsid w:val="00486A9B"/>
    <w:rsid w:val="00486BB9"/>
    <w:rsid w:val="00487136"/>
    <w:rsid w:val="0048714C"/>
    <w:rsid w:val="00487202"/>
    <w:rsid w:val="0048734B"/>
    <w:rsid w:val="00487425"/>
    <w:rsid w:val="00487478"/>
    <w:rsid w:val="004876C5"/>
    <w:rsid w:val="00487772"/>
    <w:rsid w:val="00487812"/>
    <w:rsid w:val="00487993"/>
    <w:rsid w:val="00487C09"/>
    <w:rsid w:val="00487E51"/>
    <w:rsid w:val="00490034"/>
    <w:rsid w:val="00490342"/>
    <w:rsid w:val="004904BF"/>
    <w:rsid w:val="00490793"/>
    <w:rsid w:val="0049096A"/>
    <w:rsid w:val="00490B3D"/>
    <w:rsid w:val="00490C44"/>
    <w:rsid w:val="00490D10"/>
    <w:rsid w:val="00490D2C"/>
    <w:rsid w:val="00490ECF"/>
    <w:rsid w:val="00490F1A"/>
    <w:rsid w:val="00491097"/>
    <w:rsid w:val="004910EB"/>
    <w:rsid w:val="004911B5"/>
    <w:rsid w:val="0049135E"/>
    <w:rsid w:val="00491440"/>
    <w:rsid w:val="0049151F"/>
    <w:rsid w:val="00491548"/>
    <w:rsid w:val="00491828"/>
    <w:rsid w:val="00491855"/>
    <w:rsid w:val="00491889"/>
    <w:rsid w:val="00491950"/>
    <w:rsid w:val="004919E7"/>
    <w:rsid w:val="004919ED"/>
    <w:rsid w:val="00491AA1"/>
    <w:rsid w:val="00491BA4"/>
    <w:rsid w:val="00491BFC"/>
    <w:rsid w:val="00491D61"/>
    <w:rsid w:val="00491DF4"/>
    <w:rsid w:val="0049206C"/>
    <w:rsid w:val="0049268B"/>
    <w:rsid w:val="004926D7"/>
    <w:rsid w:val="0049294E"/>
    <w:rsid w:val="00492CFB"/>
    <w:rsid w:val="00492EC7"/>
    <w:rsid w:val="004932F6"/>
    <w:rsid w:val="0049362E"/>
    <w:rsid w:val="004936B7"/>
    <w:rsid w:val="004936E1"/>
    <w:rsid w:val="0049388C"/>
    <w:rsid w:val="004938AE"/>
    <w:rsid w:val="00493A1A"/>
    <w:rsid w:val="00493A39"/>
    <w:rsid w:val="00493B3E"/>
    <w:rsid w:val="00493BC2"/>
    <w:rsid w:val="00493C76"/>
    <w:rsid w:val="00493D61"/>
    <w:rsid w:val="00493D6A"/>
    <w:rsid w:val="00493DAD"/>
    <w:rsid w:val="00494171"/>
    <w:rsid w:val="00494409"/>
    <w:rsid w:val="004947D2"/>
    <w:rsid w:val="0049485C"/>
    <w:rsid w:val="00494944"/>
    <w:rsid w:val="00494980"/>
    <w:rsid w:val="004949D7"/>
    <w:rsid w:val="00494A77"/>
    <w:rsid w:val="00494AA6"/>
    <w:rsid w:val="00494C0B"/>
    <w:rsid w:val="00494CF4"/>
    <w:rsid w:val="00494DEF"/>
    <w:rsid w:val="0049520A"/>
    <w:rsid w:val="00495347"/>
    <w:rsid w:val="00495477"/>
    <w:rsid w:val="00495528"/>
    <w:rsid w:val="00495A9C"/>
    <w:rsid w:val="00496185"/>
    <w:rsid w:val="0049644F"/>
    <w:rsid w:val="004965D5"/>
    <w:rsid w:val="00496872"/>
    <w:rsid w:val="0049694A"/>
    <w:rsid w:val="00496A09"/>
    <w:rsid w:val="00496B42"/>
    <w:rsid w:val="00496F57"/>
    <w:rsid w:val="00496F87"/>
    <w:rsid w:val="004971D8"/>
    <w:rsid w:val="0049736E"/>
    <w:rsid w:val="00497569"/>
    <w:rsid w:val="004977E9"/>
    <w:rsid w:val="00497890"/>
    <w:rsid w:val="00497AB9"/>
    <w:rsid w:val="00497B1E"/>
    <w:rsid w:val="00497B2A"/>
    <w:rsid w:val="00497B8E"/>
    <w:rsid w:val="00497CE4"/>
    <w:rsid w:val="00497F36"/>
    <w:rsid w:val="004A04EC"/>
    <w:rsid w:val="004A0535"/>
    <w:rsid w:val="004A0A92"/>
    <w:rsid w:val="004A0A9F"/>
    <w:rsid w:val="004A0FA2"/>
    <w:rsid w:val="004A1016"/>
    <w:rsid w:val="004A119D"/>
    <w:rsid w:val="004A16DA"/>
    <w:rsid w:val="004A1B5F"/>
    <w:rsid w:val="004A1ECD"/>
    <w:rsid w:val="004A1EF4"/>
    <w:rsid w:val="004A1F20"/>
    <w:rsid w:val="004A1F3E"/>
    <w:rsid w:val="004A20A5"/>
    <w:rsid w:val="004A21B8"/>
    <w:rsid w:val="004A26A7"/>
    <w:rsid w:val="004A2973"/>
    <w:rsid w:val="004A2975"/>
    <w:rsid w:val="004A2ECA"/>
    <w:rsid w:val="004A2F01"/>
    <w:rsid w:val="004A31AD"/>
    <w:rsid w:val="004A328A"/>
    <w:rsid w:val="004A3499"/>
    <w:rsid w:val="004A3779"/>
    <w:rsid w:val="004A3C17"/>
    <w:rsid w:val="004A3CB6"/>
    <w:rsid w:val="004A3D6A"/>
    <w:rsid w:val="004A4024"/>
    <w:rsid w:val="004A414D"/>
    <w:rsid w:val="004A41AA"/>
    <w:rsid w:val="004A41E9"/>
    <w:rsid w:val="004A42E1"/>
    <w:rsid w:val="004A4493"/>
    <w:rsid w:val="004A45A3"/>
    <w:rsid w:val="004A474F"/>
    <w:rsid w:val="004A47C0"/>
    <w:rsid w:val="004A4B74"/>
    <w:rsid w:val="004A4D56"/>
    <w:rsid w:val="004A4DDF"/>
    <w:rsid w:val="004A4EAA"/>
    <w:rsid w:val="004A4FCC"/>
    <w:rsid w:val="004A53A0"/>
    <w:rsid w:val="004A5618"/>
    <w:rsid w:val="004A575D"/>
    <w:rsid w:val="004A5779"/>
    <w:rsid w:val="004A57E1"/>
    <w:rsid w:val="004A596D"/>
    <w:rsid w:val="004A5B18"/>
    <w:rsid w:val="004A5C4E"/>
    <w:rsid w:val="004A5E2D"/>
    <w:rsid w:val="004A617D"/>
    <w:rsid w:val="004A6502"/>
    <w:rsid w:val="004A65CC"/>
    <w:rsid w:val="004A66D3"/>
    <w:rsid w:val="004A6913"/>
    <w:rsid w:val="004A69B8"/>
    <w:rsid w:val="004A6A1D"/>
    <w:rsid w:val="004A6E25"/>
    <w:rsid w:val="004A6E30"/>
    <w:rsid w:val="004A6E82"/>
    <w:rsid w:val="004A6E93"/>
    <w:rsid w:val="004A6EB3"/>
    <w:rsid w:val="004A6F8B"/>
    <w:rsid w:val="004A714F"/>
    <w:rsid w:val="004A73B1"/>
    <w:rsid w:val="004A73DA"/>
    <w:rsid w:val="004A742A"/>
    <w:rsid w:val="004A747D"/>
    <w:rsid w:val="004A76D2"/>
    <w:rsid w:val="004A7D09"/>
    <w:rsid w:val="004A7DF8"/>
    <w:rsid w:val="004A7E43"/>
    <w:rsid w:val="004A7E5B"/>
    <w:rsid w:val="004B005C"/>
    <w:rsid w:val="004B0174"/>
    <w:rsid w:val="004B0598"/>
    <w:rsid w:val="004B061B"/>
    <w:rsid w:val="004B08AD"/>
    <w:rsid w:val="004B0BB4"/>
    <w:rsid w:val="004B0C3B"/>
    <w:rsid w:val="004B0CAA"/>
    <w:rsid w:val="004B0CCD"/>
    <w:rsid w:val="004B0D24"/>
    <w:rsid w:val="004B0E1F"/>
    <w:rsid w:val="004B1321"/>
    <w:rsid w:val="004B1585"/>
    <w:rsid w:val="004B16DE"/>
    <w:rsid w:val="004B1B89"/>
    <w:rsid w:val="004B1D8E"/>
    <w:rsid w:val="004B1E00"/>
    <w:rsid w:val="004B1E30"/>
    <w:rsid w:val="004B1FF6"/>
    <w:rsid w:val="004B21AA"/>
    <w:rsid w:val="004B21F4"/>
    <w:rsid w:val="004B2202"/>
    <w:rsid w:val="004B220E"/>
    <w:rsid w:val="004B2386"/>
    <w:rsid w:val="004B23F9"/>
    <w:rsid w:val="004B2585"/>
    <w:rsid w:val="004B25F4"/>
    <w:rsid w:val="004B2848"/>
    <w:rsid w:val="004B29DB"/>
    <w:rsid w:val="004B2C3E"/>
    <w:rsid w:val="004B309D"/>
    <w:rsid w:val="004B336C"/>
    <w:rsid w:val="004B33ED"/>
    <w:rsid w:val="004B343E"/>
    <w:rsid w:val="004B36BC"/>
    <w:rsid w:val="004B3764"/>
    <w:rsid w:val="004B3785"/>
    <w:rsid w:val="004B37A3"/>
    <w:rsid w:val="004B3853"/>
    <w:rsid w:val="004B3AC5"/>
    <w:rsid w:val="004B3ADA"/>
    <w:rsid w:val="004B3CDF"/>
    <w:rsid w:val="004B4051"/>
    <w:rsid w:val="004B41C3"/>
    <w:rsid w:val="004B42CA"/>
    <w:rsid w:val="004B443E"/>
    <w:rsid w:val="004B4517"/>
    <w:rsid w:val="004B453F"/>
    <w:rsid w:val="004B465D"/>
    <w:rsid w:val="004B494D"/>
    <w:rsid w:val="004B497E"/>
    <w:rsid w:val="004B49B0"/>
    <w:rsid w:val="004B4BD3"/>
    <w:rsid w:val="004B4D44"/>
    <w:rsid w:val="004B4DCE"/>
    <w:rsid w:val="004B51BF"/>
    <w:rsid w:val="004B54FF"/>
    <w:rsid w:val="004B5595"/>
    <w:rsid w:val="004B564D"/>
    <w:rsid w:val="004B576F"/>
    <w:rsid w:val="004B5A15"/>
    <w:rsid w:val="004B5A9D"/>
    <w:rsid w:val="004B5C86"/>
    <w:rsid w:val="004B5D3A"/>
    <w:rsid w:val="004B6072"/>
    <w:rsid w:val="004B62C5"/>
    <w:rsid w:val="004B6357"/>
    <w:rsid w:val="004B63A9"/>
    <w:rsid w:val="004B64C2"/>
    <w:rsid w:val="004B64DE"/>
    <w:rsid w:val="004B6532"/>
    <w:rsid w:val="004B6571"/>
    <w:rsid w:val="004B67E3"/>
    <w:rsid w:val="004B6878"/>
    <w:rsid w:val="004B6B16"/>
    <w:rsid w:val="004B6B4C"/>
    <w:rsid w:val="004B6DC3"/>
    <w:rsid w:val="004B6F51"/>
    <w:rsid w:val="004B734C"/>
    <w:rsid w:val="004B73E9"/>
    <w:rsid w:val="004B7505"/>
    <w:rsid w:val="004B75D2"/>
    <w:rsid w:val="004B77B9"/>
    <w:rsid w:val="004B796D"/>
    <w:rsid w:val="004B7A73"/>
    <w:rsid w:val="004B7B52"/>
    <w:rsid w:val="004B7C70"/>
    <w:rsid w:val="004B7D5B"/>
    <w:rsid w:val="004B7E5F"/>
    <w:rsid w:val="004B7EA0"/>
    <w:rsid w:val="004B7F08"/>
    <w:rsid w:val="004B7FB6"/>
    <w:rsid w:val="004C0547"/>
    <w:rsid w:val="004C0588"/>
    <w:rsid w:val="004C0659"/>
    <w:rsid w:val="004C0819"/>
    <w:rsid w:val="004C0B4A"/>
    <w:rsid w:val="004C0B81"/>
    <w:rsid w:val="004C0BA7"/>
    <w:rsid w:val="004C0C0E"/>
    <w:rsid w:val="004C0D54"/>
    <w:rsid w:val="004C0DD2"/>
    <w:rsid w:val="004C1025"/>
    <w:rsid w:val="004C10BC"/>
    <w:rsid w:val="004C13EE"/>
    <w:rsid w:val="004C1CF0"/>
    <w:rsid w:val="004C1D6E"/>
    <w:rsid w:val="004C1E20"/>
    <w:rsid w:val="004C24F7"/>
    <w:rsid w:val="004C27EA"/>
    <w:rsid w:val="004C29C0"/>
    <w:rsid w:val="004C2A74"/>
    <w:rsid w:val="004C2D34"/>
    <w:rsid w:val="004C2F8E"/>
    <w:rsid w:val="004C31DF"/>
    <w:rsid w:val="004C320D"/>
    <w:rsid w:val="004C32AE"/>
    <w:rsid w:val="004C3571"/>
    <w:rsid w:val="004C3575"/>
    <w:rsid w:val="004C37EC"/>
    <w:rsid w:val="004C3AAC"/>
    <w:rsid w:val="004C3F51"/>
    <w:rsid w:val="004C41D8"/>
    <w:rsid w:val="004C4516"/>
    <w:rsid w:val="004C4558"/>
    <w:rsid w:val="004C46EA"/>
    <w:rsid w:val="004C4723"/>
    <w:rsid w:val="004C4C90"/>
    <w:rsid w:val="004C4E11"/>
    <w:rsid w:val="004C4FDD"/>
    <w:rsid w:val="004C4FFE"/>
    <w:rsid w:val="004C51BA"/>
    <w:rsid w:val="004C51CD"/>
    <w:rsid w:val="004C53B1"/>
    <w:rsid w:val="004C541B"/>
    <w:rsid w:val="004C5462"/>
    <w:rsid w:val="004C552D"/>
    <w:rsid w:val="004C5702"/>
    <w:rsid w:val="004C5809"/>
    <w:rsid w:val="004C593B"/>
    <w:rsid w:val="004C59FF"/>
    <w:rsid w:val="004C5CFB"/>
    <w:rsid w:val="004C5D0F"/>
    <w:rsid w:val="004C5D6F"/>
    <w:rsid w:val="004C5DA8"/>
    <w:rsid w:val="004C5EC1"/>
    <w:rsid w:val="004C606C"/>
    <w:rsid w:val="004C60E8"/>
    <w:rsid w:val="004C61A5"/>
    <w:rsid w:val="004C6302"/>
    <w:rsid w:val="004C6343"/>
    <w:rsid w:val="004C6412"/>
    <w:rsid w:val="004C64A5"/>
    <w:rsid w:val="004C675F"/>
    <w:rsid w:val="004C6775"/>
    <w:rsid w:val="004C67C4"/>
    <w:rsid w:val="004C68B5"/>
    <w:rsid w:val="004C691A"/>
    <w:rsid w:val="004C6A14"/>
    <w:rsid w:val="004C6ABD"/>
    <w:rsid w:val="004C6B18"/>
    <w:rsid w:val="004C6F94"/>
    <w:rsid w:val="004C6FB9"/>
    <w:rsid w:val="004C720E"/>
    <w:rsid w:val="004C7623"/>
    <w:rsid w:val="004C7631"/>
    <w:rsid w:val="004C79BA"/>
    <w:rsid w:val="004C79F1"/>
    <w:rsid w:val="004C7A53"/>
    <w:rsid w:val="004C7B0A"/>
    <w:rsid w:val="004C7BF4"/>
    <w:rsid w:val="004C7F61"/>
    <w:rsid w:val="004D00AF"/>
    <w:rsid w:val="004D00E8"/>
    <w:rsid w:val="004D0159"/>
    <w:rsid w:val="004D01F3"/>
    <w:rsid w:val="004D02F1"/>
    <w:rsid w:val="004D032A"/>
    <w:rsid w:val="004D0379"/>
    <w:rsid w:val="004D0433"/>
    <w:rsid w:val="004D06AB"/>
    <w:rsid w:val="004D07A4"/>
    <w:rsid w:val="004D07B9"/>
    <w:rsid w:val="004D07E4"/>
    <w:rsid w:val="004D09A3"/>
    <w:rsid w:val="004D0AF9"/>
    <w:rsid w:val="004D0EA2"/>
    <w:rsid w:val="004D0F4D"/>
    <w:rsid w:val="004D119D"/>
    <w:rsid w:val="004D1306"/>
    <w:rsid w:val="004D1590"/>
    <w:rsid w:val="004D179A"/>
    <w:rsid w:val="004D17F6"/>
    <w:rsid w:val="004D1847"/>
    <w:rsid w:val="004D186F"/>
    <w:rsid w:val="004D18A4"/>
    <w:rsid w:val="004D18B7"/>
    <w:rsid w:val="004D18CE"/>
    <w:rsid w:val="004D1918"/>
    <w:rsid w:val="004D199C"/>
    <w:rsid w:val="004D19FC"/>
    <w:rsid w:val="004D1A83"/>
    <w:rsid w:val="004D1BAE"/>
    <w:rsid w:val="004D1E89"/>
    <w:rsid w:val="004D1EC4"/>
    <w:rsid w:val="004D20CF"/>
    <w:rsid w:val="004D23D4"/>
    <w:rsid w:val="004D2489"/>
    <w:rsid w:val="004D25AB"/>
    <w:rsid w:val="004D2609"/>
    <w:rsid w:val="004D266B"/>
    <w:rsid w:val="004D269D"/>
    <w:rsid w:val="004D2C47"/>
    <w:rsid w:val="004D2E16"/>
    <w:rsid w:val="004D335B"/>
    <w:rsid w:val="004D33AF"/>
    <w:rsid w:val="004D3608"/>
    <w:rsid w:val="004D3B5A"/>
    <w:rsid w:val="004D3E64"/>
    <w:rsid w:val="004D3E74"/>
    <w:rsid w:val="004D3E7B"/>
    <w:rsid w:val="004D4098"/>
    <w:rsid w:val="004D45C6"/>
    <w:rsid w:val="004D4AC8"/>
    <w:rsid w:val="004D4BBE"/>
    <w:rsid w:val="004D4BFE"/>
    <w:rsid w:val="004D4D6D"/>
    <w:rsid w:val="004D4E47"/>
    <w:rsid w:val="004D4FBD"/>
    <w:rsid w:val="004D5047"/>
    <w:rsid w:val="004D51BA"/>
    <w:rsid w:val="004D5219"/>
    <w:rsid w:val="004D52A1"/>
    <w:rsid w:val="004D5601"/>
    <w:rsid w:val="004D56B5"/>
    <w:rsid w:val="004D5800"/>
    <w:rsid w:val="004D5CF5"/>
    <w:rsid w:val="004D5E2A"/>
    <w:rsid w:val="004D64EC"/>
    <w:rsid w:val="004D6539"/>
    <w:rsid w:val="004D6648"/>
    <w:rsid w:val="004D664D"/>
    <w:rsid w:val="004D6764"/>
    <w:rsid w:val="004D6887"/>
    <w:rsid w:val="004D6932"/>
    <w:rsid w:val="004D69BF"/>
    <w:rsid w:val="004D6BB1"/>
    <w:rsid w:val="004D6C75"/>
    <w:rsid w:val="004D6CBA"/>
    <w:rsid w:val="004D6DE9"/>
    <w:rsid w:val="004D6EA6"/>
    <w:rsid w:val="004D7118"/>
    <w:rsid w:val="004D7391"/>
    <w:rsid w:val="004D7440"/>
    <w:rsid w:val="004D74FC"/>
    <w:rsid w:val="004D75C0"/>
    <w:rsid w:val="004D75D1"/>
    <w:rsid w:val="004D75F0"/>
    <w:rsid w:val="004D761C"/>
    <w:rsid w:val="004D7660"/>
    <w:rsid w:val="004D767A"/>
    <w:rsid w:val="004D7721"/>
    <w:rsid w:val="004D7902"/>
    <w:rsid w:val="004D7A41"/>
    <w:rsid w:val="004D7E2C"/>
    <w:rsid w:val="004E012F"/>
    <w:rsid w:val="004E042A"/>
    <w:rsid w:val="004E06BA"/>
    <w:rsid w:val="004E0C13"/>
    <w:rsid w:val="004E0D0C"/>
    <w:rsid w:val="004E0DFD"/>
    <w:rsid w:val="004E0E2A"/>
    <w:rsid w:val="004E0EBB"/>
    <w:rsid w:val="004E0F33"/>
    <w:rsid w:val="004E11ED"/>
    <w:rsid w:val="004E1349"/>
    <w:rsid w:val="004E17B7"/>
    <w:rsid w:val="004E19FD"/>
    <w:rsid w:val="004E1BA7"/>
    <w:rsid w:val="004E1F02"/>
    <w:rsid w:val="004E1FB4"/>
    <w:rsid w:val="004E2006"/>
    <w:rsid w:val="004E215B"/>
    <w:rsid w:val="004E21A7"/>
    <w:rsid w:val="004E22DB"/>
    <w:rsid w:val="004E2357"/>
    <w:rsid w:val="004E24BD"/>
    <w:rsid w:val="004E2739"/>
    <w:rsid w:val="004E283A"/>
    <w:rsid w:val="004E2CC1"/>
    <w:rsid w:val="004E2DBA"/>
    <w:rsid w:val="004E2F98"/>
    <w:rsid w:val="004E3128"/>
    <w:rsid w:val="004E3405"/>
    <w:rsid w:val="004E356B"/>
    <w:rsid w:val="004E373B"/>
    <w:rsid w:val="004E37E2"/>
    <w:rsid w:val="004E3811"/>
    <w:rsid w:val="004E390E"/>
    <w:rsid w:val="004E3964"/>
    <w:rsid w:val="004E3AB2"/>
    <w:rsid w:val="004E3ABD"/>
    <w:rsid w:val="004E3B9E"/>
    <w:rsid w:val="004E3D1C"/>
    <w:rsid w:val="004E4257"/>
    <w:rsid w:val="004E437C"/>
    <w:rsid w:val="004E4609"/>
    <w:rsid w:val="004E478A"/>
    <w:rsid w:val="004E4A1C"/>
    <w:rsid w:val="004E4A80"/>
    <w:rsid w:val="004E4C01"/>
    <w:rsid w:val="004E4CD0"/>
    <w:rsid w:val="004E5010"/>
    <w:rsid w:val="004E502C"/>
    <w:rsid w:val="004E518B"/>
    <w:rsid w:val="004E5270"/>
    <w:rsid w:val="004E5481"/>
    <w:rsid w:val="004E56AC"/>
    <w:rsid w:val="004E5716"/>
    <w:rsid w:val="004E572C"/>
    <w:rsid w:val="004E5AEF"/>
    <w:rsid w:val="004E5C0C"/>
    <w:rsid w:val="004E5CA1"/>
    <w:rsid w:val="004E5D83"/>
    <w:rsid w:val="004E614C"/>
    <w:rsid w:val="004E62A1"/>
    <w:rsid w:val="004E63E2"/>
    <w:rsid w:val="004E650D"/>
    <w:rsid w:val="004E6567"/>
    <w:rsid w:val="004E664E"/>
    <w:rsid w:val="004E6824"/>
    <w:rsid w:val="004E68E2"/>
    <w:rsid w:val="004E6915"/>
    <w:rsid w:val="004E6AAB"/>
    <w:rsid w:val="004E6D3F"/>
    <w:rsid w:val="004E6FA6"/>
    <w:rsid w:val="004E6FE6"/>
    <w:rsid w:val="004E710F"/>
    <w:rsid w:val="004E7257"/>
    <w:rsid w:val="004E7A94"/>
    <w:rsid w:val="004E7B8B"/>
    <w:rsid w:val="004E7D09"/>
    <w:rsid w:val="004E7DB6"/>
    <w:rsid w:val="004E7EBA"/>
    <w:rsid w:val="004E7F70"/>
    <w:rsid w:val="004F014D"/>
    <w:rsid w:val="004F01C7"/>
    <w:rsid w:val="004F0325"/>
    <w:rsid w:val="004F05D7"/>
    <w:rsid w:val="004F0816"/>
    <w:rsid w:val="004F083C"/>
    <w:rsid w:val="004F08F8"/>
    <w:rsid w:val="004F0929"/>
    <w:rsid w:val="004F0A92"/>
    <w:rsid w:val="004F0B30"/>
    <w:rsid w:val="004F0E20"/>
    <w:rsid w:val="004F0E7D"/>
    <w:rsid w:val="004F0F8B"/>
    <w:rsid w:val="004F11C0"/>
    <w:rsid w:val="004F13C2"/>
    <w:rsid w:val="004F19D3"/>
    <w:rsid w:val="004F1A2C"/>
    <w:rsid w:val="004F1B9B"/>
    <w:rsid w:val="004F2048"/>
    <w:rsid w:val="004F2524"/>
    <w:rsid w:val="004F2A41"/>
    <w:rsid w:val="004F2A69"/>
    <w:rsid w:val="004F2AF2"/>
    <w:rsid w:val="004F2B41"/>
    <w:rsid w:val="004F2BF5"/>
    <w:rsid w:val="004F2DD4"/>
    <w:rsid w:val="004F2F8B"/>
    <w:rsid w:val="004F2FDD"/>
    <w:rsid w:val="004F3188"/>
    <w:rsid w:val="004F32D3"/>
    <w:rsid w:val="004F3489"/>
    <w:rsid w:val="004F35AF"/>
    <w:rsid w:val="004F36DE"/>
    <w:rsid w:val="004F3734"/>
    <w:rsid w:val="004F3EE1"/>
    <w:rsid w:val="004F3EE4"/>
    <w:rsid w:val="004F3F84"/>
    <w:rsid w:val="004F4173"/>
    <w:rsid w:val="004F417A"/>
    <w:rsid w:val="004F427D"/>
    <w:rsid w:val="004F42B8"/>
    <w:rsid w:val="004F4378"/>
    <w:rsid w:val="004F43CF"/>
    <w:rsid w:val="004F45FD"/>
    <w:rsid w:val="004F49B7"/>
    <w:rsid w:val="004F4B3A"/>
    <w:rsid w:val="004F4F35"/>
    <w:rsid w:val="004F4FA8"/>
    <w:rsid w:val="004F4FB9"/>
    <w:rsid w:val="004F53ED"/>
    <w:rsid w:val="004F5606"/>
    <w:rsid w:val="004F58D7"/>
    <w:rsid w:val="004F5B33"/>
    <w:rsid w:val="004F5B75"/>
    <w:rsid w:val="004F5ED7"/>
    <w:rsid w:val="004F5F78"/>
    <w:rsid w:val="004F61BC"/>
    <w:rsid w:val="004F62CF"/>
    <w:rsid w:val="004F66A9"/>
    <w:rsid w:val="004F682B"/>
    <w:rsid w:val="004F69B3"/>
    <w:rsid w:val="004F6E17"/>
    <w:rsid w:val="004F6F81"/>
    <w:rsid w:val="004F6FF4"/>
    <w:rsid w:val="004F7056"/>
    <w:rsid w:val="004F72AA"/>
    <w:rsid w:val="004F748B"/>
    <w:rsid w:val="004F751F"/>
    <w:rsid w:val="004F7709"/>
    <w:rsid w:val="004F7768"/>
    <w:rsid w:val="004F7A0B"/>
    <w:rsid w:val="004F7B6C"/>
    <w:rsid w:val="004F7BF0"/>
    <w:rsid w:val="004F7FE3"/>
    <w:rsid w:val="0050004D"/>
    <w:rsid w:val="005001DC"/>
    <w:rsid w:val="005001DF"/>
    <w:rsid w:val="00500257"/>
    <w:rsid w:val="005002D5"/>
    <w:rsid w:val="005004BE"/>
    <w:rsid w:val="00500681"/>
    <w:rsid w:val="005006F1"/>
    <w:rsid w:val="005008B2"/>
    <w:rsid w:val="00500903"/>
    <w:rsid w:val="00500A7A"/>
    <w:rsid w:val="00500ACB"/>
    <w:rsid w:val="00500B85"/>
    <w:rsid w:val="00500E01"/>
    <w:rsid w:val="00500E7D"/>
    <w:rsid w:val="00501006"/>
    <w:rsid w:val="0050109F"/>
    <w:rsid w:val="005010F1"/>
    <w:rsid w:val="00501120"/>
    <w:rsid w:val="00501202"/>
    <w:rsid w:val="0050147E"/>
    <w:rsid w:val="005014E4"/>
    <w:rsid w:val="005015C4"/>
    <w:rsid w:val="0050192F"/>
    <w:rsid w:val="00501A13"/>
    <w:rsid w:val="00501A73"/>
    <w:rsid w:val="00501C46"/>
    <w:rsid w:val="00501C51"/>
    <w:rsid w:val="00501D15"/>
    <w:rsid w:val="0050216A"/>
    <w:rsid w:val="00502240"/>
    <w:rsid w:val="00502323"/>
    <w:rsid w:val="00502A19"/>
    <w:rsid w:val="00502B22"/>
    <w:rsid w:val="00502C82"/>
    <w:rsid w:val="00502DA9"/>
    <w:rsid w:val="0050330A"/>
    <w:rsid w:val="005033B3"/>
    <w:rsid w:val="005033DF"/>
    <w:rsid w:val="00503459"/>
    <w:rsid w:val="005034A1"/>
    <w:rsid w:val="00503AB3"/>
    <w:rsid w:val="00503B6E"/>
    <w:rsid w:val="00503B9B"/>
    <w:rsid w:val="00503CFB"/>
    <w:rsid w:val="005041C4"/>
    <w:rsid w:val="0050429D"/>
    <w:rsid w:val="00504338"/>
    <w:rsid w:val="005043C4"/>
    <w:rsid w:val="0050440A"/>
    <w:rsid w:val="005047D5"/>
    <w:rsid w:val="00504893"/>
    <w:rsid w:val="005048C3"/>
    <w:rsid w:val="00504AE1"/>
    <w:rsid w:val="00504BB9"/>
    <w:rsid w:val="00504C0F"/>
    <w:rsid w:val="00504CE0"/>
    <w:rsid w:val="00504E3C"/>
    <w:rsid w:val="00504E55"/>
    <w:rsid w:val="00504EA2"/>
    <w:rsid w:val="00504F2F"/>
    <w:rsid w:val="00504F9A"/>
    <w:rsid w:val="0050505E"/>
    <w:rsid w:val="00505373"/>
    <w:rsid w:val="0050544C"/>
    <w:rsid w:val="005055F6"/>
    <w:rsid w:val="00505644"/>
    <w:rsid w:val="0050564D"/>
    <w:rsid w:val="00505663"/>
    <w:rsid w:val="0050566C"/>
    <w:rsid w:val="00505788"/>
    <w:rsid w:val="00505836"/>
    <w:rsid w:val="00505938"/>
    <w:rsid w:val="00505A4D"/>
    <w:rsid w:val="00505B09"/>
    <w:rsid w:val="00505B11"/>
    <w:rsid w:val="00505BEC"/>
    <w:rsid w:val="00505DE4"/>
    <w:rsid w:val="00505EBE"/>
    <w:rsid w:val="0050615D"/>
    <w:rsid w:val="005061C3"/>
    <w:rsid w:val="00506277"/>
    <w:rsid w:val="00506323"/>
    <w:rsid w:val="005063E5"/>
    <w:rsid w:val="005066FA"/>
    <w:rsid w:val="00506870"/>
    <w:rsid w:val="00506896"/>
    <w:rsid w:val="00506AC4"/>
    <w:rsid w:val="00506B8A"/>
    <w:rsid w:val="00506F56"/>
    <w:rsid w:val="00507021"/>
    <w:rsid w:val="0050712A"/>
    <w:rsid w:val="0050739F"/>
    <w:rsid w:val="005073FA"/>
    <w:rsid w:val="00507589"/>
    <w:rsid w:val="00507873"/>
    <w:rsid w:val="005079DD"/>
    <w:rsid w:val="00507B5B"/>
    <w:rsid w:val="00507C29"/>
    <w:rsid w:val="00507FD0"/>
    <w:rsid w:val="005100B3"/>
    <w:rsid w:val="0051077D"/>
    <w:rsid w:val="00510D7C"/>
    <w:rsid w:val="00510E2A"/>
    <w:rsid w:val="0051125E"/>
    <w:rsid w:val="00511447"/>
    <w:rsid w:val="00511578"/>
    <w:rsid w:val="00511607"/>
    <w:rsid w:val="00511662"/>
    <w:rsid w:val="005116A6"/>
    <w:rsid w:val="00511CDD"/>
    <w:rsid w:val="00511CFC"/>
    <w:rsid w:val="00511EBD"/>
    <w:rsid w:val="00512084"/>
    <w:rsid w:val="00512745"/>
    <w:rsid w:val="005129C9"/>
    <w:rsid w:val="00512A20"/>
    <w:rsid w:val="00512A41"/>
    <w:rsid w:val="00512C1B"/>
    <w:rsid w:val="00512C84"/>
    <w:rsid w:val="00513019"/>
    <w:rsid w:val="00513102"/>
    <w:rsid w:val="005132EC"/>
    <w:rsid w:val="00513412"/>
    <w:rsid w:val="00513604"/>
    <w:rsid w:val="00513667"/>
    <w:rsid w:val="005136D9"/>
    <w:rsid w:val="00513756"/>
    <w:rsid w:val="00513811"/>
    <w:rsid w:val="00513891"/>
    <w:rsid w:val="005138FB"/>
    <w:rsid w:val="00513A96"/>
    <w:rsid w:val="00513A9A"/>
    <w:rsid w:val="00513AAD"/>
    <w:rsid w:val="00513AE7"/>
    <w:rsid w:val="00513CC3"/>
    <w:rsid w:val="00513DA5"/>
    <w:rsid w:val="00513DBA"/>
    <w:rsid w:val="00513E92"/>
    <w:rsid w:val="00513EB0"/>
    <w:rsid w:val="00513FF4"/>
    <w:rsid w:val="00514032"/>
    <w:rsid w:val="00514093"/>
    <w:rsid w:val="00514451"/>
    <w:rsid w:val="00514471"/>
    <w:rsid w:val="00514592"/>
    <w:rsid w:val="005146B4"/>
    <w:rsid w:val="00514720"/>
    <w:rsid w:val="00514808"/>
    <w:rsid w:val="00514912"/>
    <w:rsid w:val="00514E07"/>
    <w:rsid w:val="00514F09"/>
    <w:rsid w:val="00514F57"/>
    <w:rsid w:val="00514FAC"/>
    <w:rsid w:val="00515071"/>
    <w:rsid w:val="005150CA"/>
    <w:rsid w:val="005150E7"/>
    <w:rsid w:val="00515184"/>
    <w:rsid w:val="0051527A"/>
    <w:rsid w:val="00515BE9"/>
    <w:rsid w:val="00515C6E"/>
    <w:rsid w:val="00515D7A"/>
    <w:rsid w:val="00515DFE"/>
    <w:rsid w:val="00515E1D"/>
    <w:rsid w:val="005163E6"/>
    <w:rsid w:val="005164BE"/>
    <w:rsid w:val="0051664C"/>
    <w:rsid w:val="005169C6"/>
    <w:rsid w:val="005173DF"/>
    <w:rsid w:val="00517B1F"/>
    <w:rsid w:val="00517D1B"/>
    <w:rsid w:val="00520226"/>
    <w:rsid w:val="005205E5"/>
    <w:rsid w:val="00520674"/>
    <w:rsid w:val="005208C5"/>
    <w:rsid w:val="00520C49"/>
    <w:rsid w:val="00520DA2"/>
    <w:rsid w:val="005211D8"/>
    <w:rsid w:val="00521236"/>
    <w:rsid w:val="0052133C"/>
    <w:rsid w:val="005215E2"/>
    <w:rsid w:val="005217F9"/>
    <w:rsid w:val="00521843"/>
    <w:rsid w:val="00521944"/>
    <w:rsid w:val="0052195D"/>
    <w:rsid w:val="00521982"/>
    <w:rsid w:val="00521BC2"/>
    <w:rsid w:val="00522080"/>
    <w:rsid w:val="005221C8"/>
    <w:rsid w:val="00522205"/>
    <w:rsid w:val="005222D6"/>
    <w:rsid w:val="0052242D"/>
    <w:rsid w:val="005230B2"/>
    <w:rsid w:val="0052314F"/>
    <w:rsid w:val="00523186"/>
    <w:rsid w:val="00523191"/>
    <w:rsid w:val="005231D0"/>
    <w:rsid w:val="0052341D"/>
    <w:rsid w:val="00523478"/>
    <w:rsid w:val="00523946"/>
    <w:rsid w:val="00523AB0"/>
    <w:rsid w:val="00523B76"/>
    <w:rsid w:val="00523CE5"/>
    <w:rsid w:val="00523DCA"/>
    <w:rsid w:val="00523E81"/>
    <w:rsid w:val="005240BC"/>
    <w:rsid w:val="005241C8"/>
    <w:rsid w:val="005241E1"/>
    <w:rsid w:val="0052435A"/>
    <w:rsid w:val="0052435F"/>
    <w:rsid w:val="005245BC"/>
    <w:rsid w:val="005246F0"/>
    <w:rsid w:val="00524720"/>
    <w:rsid w:val="00524A95"/>
    <w:rsid w:val="00524CAE"/>
    <w:rsid w:val="00524D6E"/>
    <w:rsid w:val="005251B8"/>
    <w:rsid w:val="00525598"/>
    <w:rsid w:val="005255BC"/>
    <w:rsid w:val="00525BB4"/>
    <w:rsid w:val="00525C93"/>
    <w:rsid w:val="00525F76"/>
    <w:rsid w:val="00525FA4"/>
    <w:rsid w:val="0052645E"/>
    <w:rsid w:val="005264DF"/>
    <w:rsid w:val="0052653A"/>
    <w:rsid w:val="00526643"/>
    <w:rsid w:val="005267A1"/>
    <w:rsid w:val="005267F9"/>
    <w:rsid w:val="005268ED"/>
    <w:rsid w:val="00526A2B"/>
    <w:rsid w:val="00526BBB"/>
    <w:rsid w:val="00526D15"/>
    <w:rsid w:val="00526EA0"/>
    <w:rsid w:val="00526F32"/>
    <w:rsid w:val="00527187"/>
    <w:rsid w:val="00527255"/>
    <w:rsid w:val="00527291"/>
    <w:rsid w:val="00527407"/>
    <w:rsid w:val="00527510"/>
    <w:rsid w:val="00527514"/>
    <w:rsid w:val="0052758B"/>
    <w:rsid w:val="00527B6F"/>
    <w:rsid w:val="00527D34"/>
    <w:rsid w:val="00527E82"/>
    <w:rsid w:val="005300C1"/>
    <w:rsid w:val="005305C4"/>
    <w:rsid w:val="005307B0"/>
    <w:rsid w:val="0053087F"/>
    <w:rsid w:val="00530959"/>
    <w:rsid w:val="00530D52"/>
    <w:rsid w:val="00530DE7"/>
    <w:rsid w:val="00530E8E"/>
    <w:rsid w:val="00531056"/>
    <w:rsid w:val="005311DC"/>
    <w:rsid w:val="0053120A"/>
    <w:rsid w:val="00531366"/>
    <w:rsid w:val="005315AD"/>
    <w:rsid w:val="00531639"/>
    <w:rsid w:val="0053199E"/>
    <w:rsid w:val="00531E4C"/>
    <w:rsid w:val="00531F4B"/>
    <w:rsid w:val="005320A9"/>
    <w:rsid w:val="005321DB"/>
    <w:rsid w:val="005323D3"/>
    <w:rsid w:val="005324BE"/>
    <w:rsid w:val="00532710"/>
    <w:rsid w:val="00532B80"/>
    <w:rsid w:val="00532C10"/>
    <w:rsid w:val="00532C77"/>
    <w:rsid w:val="00532E93"/>
    <w:rsid w:val="0053321E"/>
    <w:rsid w:val="005332F0"/>
    <w:rsid w:val="0053341A"/>
    <w:rsid w:val="00533444"/>
    <w:rsid w:val="00533667"/>
    <w:rsid w:val="005338A3"/>
    <w:rsid w:val="00533A19"/>
    <w:rsid w:val="00533A34"/>
    <w:rsid w:val="00533A4E"/>
    <w:rsid w:val="00533A7D"/>
    <w:rsid w:val="00533CB7"/>
    <w:rsid w:val="00533E57"/>
    <w:rsid w:val="00534088"/>
    <w:rsid w:val="0053437F"/>
    <w:rsid w:val="005346AA"/>
    <w:rsid w:val="005348CA"/>
    <w:rsid w:val="00534930"/>
    <w:rsid w:val="005349F4"/>
    <w:rsid w:val="00534A0F"/>
    <w:rsid w:val="00534C03"/>
    <w:rsid w:val="00534D20"/>
    <w:rsid w:val="00534DCE"/>
    <w:rsid w:val="00535054"/>
    <w:rsid w:val="005350E5"/>
    <w:rsid w:val="00535113"/>
    <w:rsid w:val="0053522C"/>
    <w:rsid w:val="005354D7"/>
    <w:rsid w:val="0053554D"/>
    <w:rsid w:val="0053567D"/>
    <w:rsid w:val="00535842"/>
    <w:rsid w:val="005358A5"/>
    <w:rsid w:val="00535AA9"/>
    <w:rsid w:val="00535B75"/>
    <w:rsid w:val="00535DC7"/>
    <w:rsid w:val="00535E8E"/>
    <w:rsid w:val="00535EC4"/>
    <w:rsid w:val="00535EEA"/>
    <w:rsid w:val="0053600B"/>
    <w:rsid w:val="0053601D"/>
    <w:rsid w:val="0053603B"/>
    <w:rsid w:val="0053616F"/>
    <w:rsid w:val="00536205"/>
    <w:rsid w:val="00536298"/>
    <w:rsid w:val="00536358"/>
    <w:rsid w:val="00536361"/>
    <w:rsid w:val="00536680"/>
    <w:rsid w:val="00536682"/>
    <w:rsid w:val="005368BA"/>
    <w:rsid w:val="0053698E"/>
    <w:rsid w:val="00536BBF"/>
    <w:rsid w:val="0053719A"/>
    <w:rsid w:val="005371D8"/>
    <w:rsid w:val="005371EC"/>
    <w:rsid w:val="00537416"/>
    <w:rsid w:val="0053749B"/>
    <w:rsid w:val="005374FD"/>
    <w:rsid w:val="0053754D"/>
    <w:rsid w:val="00537607"/>
    <w:rsid w:val="0053762A"/>
    <w:rsid w:val="0053775A"/>
    <w:rsid w:val="00537760"/>
    <w:rsid w:val="00537835"/>
    <w:rsid w:val="00537843"/>
    <w:rsid w:val="00537A43"/>
    <w:rsid w:val="00537B69"/>
    <w:rsid w:val="00537B78"/>
    <w:rsid w:val="00537C2B"/>
    <w:rsid w:val="005400D6"/>
    <w:rsid w:val="0054050B"/>
    <w:rsid w:val="0054079B"/>
    <w:rsid w:val="00540A1B"/>
    <w:rsid w:val="00540BB3"/>
    <w:rsid w:val="00540E9E"/>
    <w:rsid w:val="00540F71"/>
    <w:rsid w:val="005417A1"/>
    <w:rsid w:val="005417E9"/>
    <w:rsid w:val="00541A0E"/>
    <w:rsid w:val="00541B4D"/>
    <w:rsid w:val="00541DC5"/>
    <w:rsid w:val="00542191"/>
    <w:rsid w:val="00542424"/>
    <w:rsid w:val="005426D4"/>
    <w:rsid w:val="00542D0B"/>
    <w:rsid w:val="00542D61"/>
    <w:rsid w:val="00542E6E"/>
    <w:rsid w:val="00542F93"/>
    <w:rsid w:val="0054320A"/>
    <w:rsid w:val="00543313"/>
    <w:rsid w:val="0054336C"/>
    <w:rsid w:val="00543539"/>
    <w:rsid w:val="005436E8"/>
    <w:rsid w:val="00543802"/>
    <w:rsid w:val="0054389C"/>
    <w:rsid w:val="005438E6"/>
    <w:rsid w:val="005439F0"/>
    <w:rsid w:val="00543A09"/>
    <w:rsid w:val="00543B26"/>
    <w:rsid w:val="00543B67"/>
    <w:rsid w:val="00543B9A"/>
    <w:rsid w:val="00543CA6"/>
    <w:rsid w:val="00543F56"/>
    <w:rsid w:val="00544018"/>
    <w:rsid w:val="0054425D"/>
    <w:rsid w:val="00544301"/>
    <w:rsid w:val="0054433A"/>
    <w:rsid w:val="0054438C"/>
    <w:rsid w:val="00544547"/>
    <w:rsid w:val="00544A3A"/>
    <w:rsid w:val="005452B9"/>
    <w:rsid w:val="005453A1"/>
    <w:rsid w:val="005454E1"/>
    <w:rsid w:val="00545504"/>
    <w:rsid w:val="005456EF"/>
    <w:rsid w:val="00545748"/>
    <w:rsid w:val="005457C6"/>
    <w:rsid w:val="00545A3A"/>
    <w:rsid w:val="00545A7E"/>
    <w:rsid w:val="00545E28"/>
    <w:rsid w:val="00545F52"/>
    <w:rsid w:val="00545F70"/>
    <w:rsid w:val="00545F76"/>
    <w:rsid w:val="0054619C"/>
    <w:rsid w:val="005461AE"/>
    <w:rsid w:val="005461F7"/>
    <w:rsid w:val="00546351"/>
    <w:rsid w:val="005463AF"/>
    <w:rsid w:val="00546460"/>
    <w:rsid w:val="00546499"/>
    <w:rsid w:val="0054664A"/>
    <w:rsid w:val="00546950"/>
    <w:rsid w:val="00546A06"/>
    <w:rsid w:val="00546A9F"/>
    <w:rsid w:val="00546BAF"/>
    <w:rsid w:val="00546D85"/>
    <w:rsid w:val="00546DFE"/>
    <w:rsid w:val="00546EC9"/>
    <w:rsid w:val="00546F88"/>
    <w:rsid w:val="0054733B"/>
    <w:rsid w:val="005473CD"/>
    <w:rsid w:val="00547515"/>
    <w:rsid w:val="005475DD"/>
    <w:rsid w:val="005476AF"/>
    <w:rsid w:val="00547BBB"/>
    <w:rsid w:val="00547C0A"/>
    <w:rsid w:val="00547DF9"/>
    <w:rsid w:val="00547E51"/>
    <w:rsid w:val="0055040F"/>
    <w:rsid w:val="00550501"/>
    <w:rsid w:val="0055056B"/>
    <w:rsid w:val="005506CA"/>
    <w:rsid w:val="00550A99"/>
    <w:rsid w:val="00550C96"/>
    <w:rsid w:val="00550D5B"/>
    <w:rsid w:val="00551017"/>
    <w:rsid w:val="00551087"/>
    <w:rsid w:val="005511BD"/>
    <w:rsid w:val="00551212"/>
    <w:rsid w:val="005513C8"/>
    <w:rsid w:val="005513F1"/>
    <w:rsid w:val="00551407"/>
    <w:rsid w:val="00551678"/>
    <w:rsid w:val="005519AC"/>
    <w:rsid w:val="00551E0E"/>
    <w:rsid w:val="00551F4A"/>
    <w:rsid w:val="00552177"/>
    <w:rsid w:val="005523A8"/>
    <w:rsid w:val="00552643"/>
    <w:rsid w:val="005527C7"/>
    <w:rsid w:val="005529FD"/>
    <w:rsid w:val="00552B2E"/>
    <w:rsid w:val="00552BBE"/>
    <w:rsid w:val="00552C7C"/>
    <w:rsid w:val="00552CDA"/>
    <w:rsid w:val="00552FAC"/>
    <w:rsid w:val="00553042"/>
    <w:rsid w:val="00553045"/>
    <w:rsid w:val="005532FC"/>
    <w:rsid w:val="0055358F"/>
    <w:rsid w:val="00553733"/>
    <w:rsid w:val="005537D0"/>
    <w:rsid w:val="00553B20"/>
    <w:rsid w:val="00554053"/>
    <w:rsid w:val="00554135"/>
    <w:rsid w:val="0055416C"/>
    <w:rsid w:val="005541BC"/>
    <w:rsid w:val="0055451A"/>
    <w:rsid w:val="005545C6"/>
    <w:rsid w:val="00554742"/>
    <w:rsid w:val="005548B8"/>
    <w:rsid w:val="00554B82"/>
    <w:rsid w:val="00554C99"/>
    <w:rsid w:val="00554D6B"/>
    <w:rsid w:val="00554F30"/>
    <w:rsid w:val="00554F55"/>
    <w:rsid w:val="005552FC"/>
    <w:rsid w:val="00555329"/>
    <w:rsid w:val="005554C5"/>
    <w:rsid w:val="0055552E"/>
    <w:rsid w:val="00555550"/>
    <w:rsid w:val="005557E9"/>
    <w:rsid w:val="0055587F"/>
    <w:rsid w:val="00555891"/>
    <w:rsid w:val="005558EF"/>
    <w:rsid w:val="005558F6"/>
    <w:rsid w:val="00555B83"/>
    <w:rsid w:val="00555BE2"/>
    <w:rsid w:val="00555BF1"/>
    <w:rsid w:val="00555CC3"/>
    <w:rsid w:val="00555CD8"/>
    <w:rsid w:val="00555E85"/>
    <w:rsid w:val="0055605A"/>
    <w:rsid w:val="005563A1"/>
    <w:rsid w:val="00556485"/>
    <w:rsid w:val="005565AD"/>
    <w:rsid w:val="005565AF"/>
    <w:rsid w:val="005566D4"/>
    <w:rsid w:val="0055690F"/>
    <w:rsid w:val="00556C09"/>
    <w:rsid w:val="00556CB7"/>
    <w:rsid w:val="00556D86"/>
    <w:rsid w:val="00556E59"/>
    <w:rsid w:val="00556EBC"/>
    <w:rsid w:val="0055700B"/>
    <w:rsid w:val="0055708D"/>
    <w:rsid w:val="00557239"/>
    <w:rsid w:val="0055738E"/>
    <w:rsid w:val="00557424"/>
    <w:rsid w:val="0055748A"/>
    <w:rsid w:val="00557578"/>
    <w:rsid w:val="0055770E"/>
    <w:rsid w:val="00557997"/>
    <w:rsid w:val="005579FF"/>
    <w:rsid w:val="00557ACC"/>
    <w:rsid w:val="00557D0A"/>
    <w:rsid w:val="00557E30"/>
    <w:rsid w:val="00557EAA"/>
    <w:rsid w:val="005601A4"/>
    <w:rsid w:val="005601D6"/>
    <w:rsid w:val="00560238"/>
    <w:rsid w:val="00560267"/>
    <w:rsid w:val="005602BD"/>
    <w:rsid w:val="00560414"/>
    <w:rsid w:val="0056046D"/>
    <w:rsid w:val="0056048C"/>
    <w:rsid w:val="00560660"/>
    <w:rsid w:val="00560C81"/>
    <w:rsid w:val="00561141"/>
    <w:rsid w:val="00561396"/>
    <w:rsid w:val="005613FA"/>
    <w:rsid w:val="005614F9"/>
    <w:rsid w:val="00561607"/>
    <w:rsid w:val="0056165E"/>
    <w:rsid w:val="005619F2"/>
    <w:rsid w:val="00561E06"/>
    <w:rsid w:val="00561E5F"/>
    <w:rsid w:val="0056227F"/>
    <w:rsid w:val="005625EE"/>
    <w:rsid w:val="00562703"/>
    <w:rsid w:val="00562A0A"/>
    <w:rsid w:val="00562A23"/>
    <w:rsid w:val="00562AFC"/>
    <w:rsid w:val="00562AFE"/>
    <w:rsid w:val="00562B8A"/>
    <w:rsid w:val="00562DE9"/>
    <w:rsid w:val="00563171"/>
    <w:rsid w:val="0056323E"/>
    <w:rsid w:val="00563537"/>
    <w:rsid w:val="0056361E"/>
    <w:rsid w:val="00563790"/>
    <w:rsid w:val="00563A99"/>
    <w:rsid w:val="00563B2F"/>
    <w:rsid w:val="00563C99"/>
    <w:rsid w:val="00563CF4"/>
    <w:rsid w:val="00563EE5"/>
    <w:rsid w:val="00564368"/>
    <w:rsid w:val="005643C0"/>
    <w:rsid w:val="00564407"/>
    <w:rsid w:val="005645C2"/>
    <w:rsid w:val="005645C9"/>
    <w:rsid w:val="005648AE"/>
    <w:rsid w:val="00564930"/>
    <w:rsid w:val="00564C46"/>
    <w:rsid w:val="00564C53"/>
    <w:rsid w:val="00564DDF"/>
    <w:rsid w:val="00564E0A"/>
    <w:rsid w:val="00564E6A"/>
    <w:rsid w:val="00564F3A"/>
    <w:rsid w:val="00564FDD"/>
    <w:rsid w:val="0056525E"/>
    <w:rsid w:val="00565375"/>
    <w:rsid w:val="00565685"/>
    <w:rsid w:val="005658BD"/>
    <w:rsid w:val="00565AE1"/>
    <w:rsid w:val="00565F80"/>
    <w:rsid w:val="005660BF"/>
    <w:rsid w:val="00566399"/>
    <w:rsid w:val="00566421"/>
    <w:rsid w:val="00566546"/>
    <w:rsid w:val="005668A1"/>
    <w:rsid w:val="00566A7D"/>
    <w:rsid w:val="00566B43"/>
    <w:rsid w:val="00566BBE"/>
    <w:rsid w:val="00566C77"/>
    <w:rsid w:val="00566D46"/>
    <w:rsid w:val="00566E1B"/>
    <w:rsid w:val="00566E90"/>
    <w:rsid w:val="00566F6A"/>
    <w:rsid w:val="005672FA"/>
    <w:rsid w:val="00567525"/>
    <w:rsid w:val="0056764E"/>
    <w:rsid w:val="00567738"/>
    <w:rsid w:val="00567C3D"/>
    <w:rsid w:val="005701C0"/>
    <w:rsid w:val="005702B8"/>
    <w:rsid w:val="00570310"/>
    <w:rsid w:val="00570414"/>
    <w:rsid w:val="005704DD"/>
    <w:rsid w:val="0057079A"/>
    <w:rsid w:val="0057079D"/>
    <w:rsid w:val="00570A3E"/>
    <w:rsid w:val="00570C1E"/>
    <w:rsid w:val="00570CE1"/>
    <w:rsid w:val="00571093"/>
    <w:rsid w:val="00571351"/>
    <w:rsid w:val="00571480"/>
    <w:rsid w:val="00571683"/>
    <w:rsid w:val="0057173E"/>
    <w:rsid w:val="00571884"/>
    <w:rsid w:val="005718DB"/>
    <w:rsid w:val="00571903"/>
    <w:rsid w:val="0057196C"/>
    <w:rsid w:val="005719A6"/>
    <w:rsid w:val="00571B4C"/>
    <w:rsid w:val="00571C75"/>
    <w:rsid w:val="0057200C"/>
    <w:rsid w:val="0057227A"/>
    <w:rsid w:val="00572282"/>
    <w:rsid w:val="005722F2"/>
    <w:rsid w:val="005724B1"/>
    <w:rsid w:val="005724E5"/>
    <w:rsid w:val="005725BC"/>
    <w:rsid w:val="005725E2"/>
    <w:rsid w:val="0057267E"/>
    <w:rsid w:val="005727F8"/>
    <w:rsid w:val="00572A34"/>
    <w:rsid w:val="00572E28"/>
    <w:rsid w:val="00572ECB"/>
    <w:rsid w:val="00573042"/>
    <w:rsid w:val="0057327E"/>
    <w:rsid w:val="00573413"/>
    <w:rsid w:val="005734E9"/>
    <w:rsid w:val="005737A0"/>
    <w:rsid w:val="00573A95"/>
    <w:rsid w:val="00573C71"/>
    <w:rsid w:val="00573E49"/>
    <w:rsid w:val="00573E6C"/>
    <w:rsid w:val="00573FAF"/>
    <w:rsid w:val="0057400C"/>
    <w:rsid w:val="0057430D"/>
    <w:rsid w:val="005744B8"/>
    <w:rsid w:val="005745E4"/>
    <w:rsid w:val="00574685"/>
    <w:rsid w:val="005746E7"/>
    <w:rsid w:val="005746FB"/>
    <w:rsid w:val="005747CE"/>
    <w:rsid w:val="00574863"/>
    <w:rsid w:val="00574999"/>
    <w:rsid w:val="00574B3E"/>
    <w:rsid w:val="00574BED"/>
    <w:rsid w:val="00574C81"/>
    <w:rsid w:val="00574D66"/>
    <w:rsid w:val="00574EB1"/>
    <w:rsid w:val="00574EBE"/>
    <w:rsid w:val="0057510E"/>
    <w:rsid w:val="005751A1"/>
    <w:rsid w:val="00575212"/>
    <w:rsid w:val="005752EA"/>
    <w:rsid w:val="00575794"/>
    <w:rsid w:val="00575A1F"/>
    <w:rsid w:val="00575BC0"/>
    <w:rsid w:val="00575C72"/>
    <w:rsid w:val="00575D81"/>
    <w:rsid w:val="00575FAF"/>
    <w:rsid w:val="005761AA"/>
    <w:rsid w:val="00576368"/>
    <w:rsid w:val="00576472"/>
    <w:rsid w:val="0057688D"/>
    <w:rsid w:val="00576947"/>
    <w:rsid w:val="00576AAE"/>
    <w:rsid w:val="00576B95"/>
    <w:rsid w:val="00576BC9"/>
    <w:rsid w:val="00576F4F"/>
    <w:rsid w:val="005771AB"/>
    <w:rsid w:val="005774C3"/>
    <w:rsid w:val="005774C8"/>
    <w:rsid w:val="005778B2"/>
    <w:rsid w:val="00577A16"/>
    <w:rsid w:val="00577AFA"/>
    <w:rsid w:val="00577CD7"/>
    <w:rsid w:val="00577D8F"/>
    <w:rsid w:val="00577E62"/>
    <w:rsid w:val="00577F4F"/>
    <w:rsid w:val="00577FC0"/>
    <w:rsid w:val="0058068D"/>
    <w:rsid w:val="00580C20"/>
    <w:rsid w:val="00580C9F"/>
    <w:rsid w:val="00580CB9"/>
    <w:rsid w:val="00580E59"/>
    <w:rsid w:val="00580F5A"/>
    <w:rsid w:val="0058134A"/>
    <w:rsid w:val="00581A5C"/>
    <w:rsid w:val="00581B13"/>
    <w:rsid w:val="00581BB3"/>
    <w:rsid w:val="00581D26"/>
    <w:rsid w:val="005824AC"/>
    <w:rsid w:val="005825C7"/>
    <w:rsid w:val="005826D3"/>
    <w:rsid w:val="0058293D"/>
    <w:rsid w:val="00582A6C"/>
    <w:rsid w:val="00582AB7"/>
    <w:rsid w:val="00582C7B"/>
    <w:rsid w:val="00582E02"/>
    <w:rsid w:val="00583034"/>
    <w:rsid w:val="00583046"/>
    <w:rsid w:val="005830BA"/>
    <w:rsid w:val="00583101"/>
    <w:rsid w:val="0058321E"/>
    <w:rsid w:val="005833FE"/>
    <w:rsid w:val="005834EF"/>
    <w:rsid w:val="005837F6"/>
    <w:rsid w:val="00583819"/>
    <w:rsid w:val="00583870"/>
    <w:rsid w:val="00583A75"/>
    <w:rsid w:val="00583AA8"/>
    <w:rsid w:val="00583CB8"/>
    <w:rsid w:val="00583CF0"/>
    <w:rsid w:val="00583D4E"/>
    <w:rsid w:val="00583DD0"/>
    <w:rsid w:val="00583DD1"/>
    <w:rsid w:val="00583E52"/>
    <w:rsid w:val="0058414C"/>
    <w:rsid w:val="0058418D"/>
    <w:rsid w:val="00584267"/>
    <w:rsid w:val="00584282"/>
    <w:rsid w:val="00584311"/>
    <w:rsid w:val="00584360"/>
    <w:rsid w:val="00584572"/>
    <w:rsid w:val="005845D0"/>
    <w:rsid w:val="00584880"/>
    <w:rsid w:val="00584D9D"/>
    <w:rsid w:val="00584F8B"/>
    <w:rsid w:val="00584F93"/>
    <w:rsid w:val="005850BE"/>
    <w:rsid w:val="005851BB"/>
    <w:rsid w:val="0058530B"/>
    <w:rsid w:val="005853CF"/>
    <w:rsid w:val="00585431"/>
    <w:rsid w:val="00585528"/>
    <w:rsid w:val="00585721"/>
    <w:rsid w:val="005858A5"/>
    <w:rsid w:val="00585942"/>
    <w:rsid w:val="00585A71"/>
    <w:rsid w:val="00585B88"/>
    <w:rsid w:val="00585BFE"/>
    <w:rsid w:val="00585DD6"/>
    <w:rsid w:val="00585F36"/>
    <w:rsid w:val="0058618C"/>
    <w:rsid w:val="0058633D"/>
    <w:rsid w:val="00586468"/>
    <w:rsid w:val="005868A8"/>
    <w:rsid w:val="005869C2"/>
    <w:rsid w:val="00586A09"/>
    <w:rsid w:val="00586F2E"/>
    <w:rsid w:val="0058723E"/>
    <w:rsid w:val="00587332"/>
    <w:rsid w:val="00587428"/>
    <w:rsid w:val="00587461"/>
    <w:rsid w:val="00587679"/>
    <w:rsid w:val="005877BD"/>
    <w:rsid w:val="005879FF"/>
    <w:rsid w:val="00587A83"/>
    <w:rsid w:val="00587D64"/>
    <w:rsid w:val="00587DF0"/>
    <w:rsid w:val="00587E2E"/>
    <w:rsid w:val="00587E89"/>
    <w:rsid w:val="005909F9"/>
    <w:rsid w:val="00590D94"/>
    <w:rsid w:val="00590EC5"/>
    <w:rsid w:val="00591240"/>
    <w:rsid w:val="005912D4"/>
    <w:rsid w:val="005915AA"/>
    <w:rsid w:val="00591BDA"/>
    <w:rsid w:val="00591F43"/>
    <w:rsid w:val="00592023"/>
    <w:rsid w:val="0059203C"/>
    <w:rsid w:val="005920CE"/>
    <w:rsid w:val="0059214C"/>
    <w:rsid w:val="005921C5"/>
    <w:rsid w:val="00592284"/>
    <w:rsid w:val="0059233B"/>
    <w:rsid w:val="00592677"/>
    <w:rsid w:val="005928A5"/>
    <w:rsid w:val="00592A74"/>
    <w:rsid w:val="00592D58"/>
    <w:rsid w:val="0059332C"/>
    <w:rsid w:val="00593B2F"/>
    <w:rsid w:val="00593D08"/>
    <w:rsid w:val="00593E3A"/>
    <w:rsid w:val="005940FA"/>
    <w:rsid w:val="00594173"/>
    <w:rsid w:val="005941CC"/>
    <w:rsid w:val="0059469F"/>
    <w:rsid w:val="00594811"/>
    <w:rsid w:val="00594914"/>
    <w:rsid w:val="00594959"/>
    <w:rsid w:val="00594B9E"/>
    <w:rsid w:val="00594EEA"/>
    <w:rsid w:val="00594FB6"/>
    <w:rsid w:val="005950A4"/>
    <w:rsid w:val="00595375"/>
    <w:rsid w:val="005953FF"/>
    <w:rsid w:val="0059548C"/>
    <w:rsid w:val="00595787"/>
    <w:rsid w:val="00595795"/>
    <w:rsid w:val="005958A1"/>
    <w:rsid w:val="005958D3"/>
    <w:rsid w:val="005959F2"/>
    <w:rsid w:val="00595A7E"/>
    <w:rsid w:val="00595B13"/>
    <w:rsid w:val="00595EA7"/>
    <w:rsid w:val="00595EB0"/>
    <w:rsid w:val="00595F28"/>
    <w:rsid w:val="00595F9C"/>
    <w:rsid w:val="0059612D"/>
    <w:rsid w:val="00596276"/>
    <w:rsid w:val="005964ED"/>
    <w:rsid w:val="005966DE"/>
    <w:rsid w:val="00596711"/>
    <w:rsid w:val="00596746"/>
    <w:rsid w:val="00596790"/>
    <w:rsid w:val="005967AC"/>
    <w:rsid w:val="00596968"/>
    <w:rsid w:val="00596AC3"/>
    <w:rsid w:val="00596B59"/>
    <w:rsid w:val="00596D13"/>
    <w:rsid w:val="0059765E"/>
    <w:rsid w:val="005977C7"/>
    <w:rsid w:val="005977E5"/>
    <w:rsid w:val="00597A6B"/>
    <w:rsid w:val="00597A85"/>
    <w:rsid w:val="00597CE2"/>
    <w:rsid w:val="00597DD0"/>
    <w:rsid w:val="00597E0A"/>
    <w:rsid w:val="005A0294"/>
    <w:rsid w:val="005A0303"/>
    <w:rsid w:val="005A031C"/>
    <w:rsid w:val="005A040A"/>
    <w:rsid w:val="005A0431"/>
    <w:rsid w:val="005A0704"/>
    <w:rsid w:val="005A0952"/>
    <w:rsid w:val="005A09D5"/>
    <w:rsid w:val="005A0A8B"/>
    <w:rsid w:val="005A0B1C"/>
    <w:rsid w:val="005A0BDE"/>
    <w:rsid w:val="005A0E08"/>
    <w:rsid w:val="005A0E85"/>
    <w:rsid w:val="005A1374"/>
    <w:rsid w:val="005A13B0"/>
    <w:rsid w:val="005A1465"/>
    <w:rsid w:val="005A15BC"/>
    <w:rsid w:val="005A15E7"/>
    <w:rsid w:val="005A170F"/>
    <w:rsid w:val="005A191C"/>
    <w:rsid w:val="005A1C03"/>
    <w:rsid w:val="005A1D1C"/>
    <w:rsid w:val="005A1DF4"/>
    <w:rsid w:val="005A1E2B"/>
    <w:rsid w:val="005A1FB9"/>
    <w:rsid w:val="005A210D"/>
    <w:rsid w:val="005A2599"/>
    <w:rsid w:val="005A261E"/>
    <w:rsid w:val="005A280B"/>
    <w:rsid w:val="005A2B35"/>
    <w:rsid w:val="005A2C28"/>
    <w:rsid w:val="005A2FB0"/>
    <w:rsid w:val="005A34D6"/>
    <w:rsid w:val="005A3622"/>
    <w:rsid w:val="005A37EC"/>
    <w:rsid w:val="005A38E3"/>
    <w:rsid w:val="005A3B0D"/>
    <w:rsid w:val="005A3C83"/>
    <w:rsid w:val="005A3D5C"/>
    <w:rsid w:val="005A3DC3"/>
    <w:rsid w:val="005A4093"/>
    <w:rsid w:val="005A43BC"/>
    <w:rsid w:val="005A4550"/>
    <w:rsid w:val="005A491A"/>
    <w:rsid w:val="005A4A63"/>
    <w:rsid w:val="005A4AD8"/>
    <w:rsid w:val="005A4C4B"/>
    <w:rsid w:val="005A520E"/>
    <w:rsid w:val="005A528C"/>
    <w:rsid w:val="005A53D3"/>
    <w:rsid w:val="005A56E2"/>
    <w:rsid w:val="005A582A"/>
    <w:rsid w:val="005A594C"/>
    <w:rsid w:val="005A5BB5"/>
    <w:rsid w:val="005A5CA5"/>
    <w:rsid w:val="005A5CAA"/>
    <w:rsid w:val="005A5D81"/>
    <w:rsid w:val="005A61B7"/>
    <w:rsid w:val="005A61D7"/>
    <w:rsid w:val="005A64EA"/>
    <w:rsid w:val="005A64F3"/>
    <w:rsid w:val="005A65A7"/>
    <w:rsid w:val="005A6955"/>
    <w:rsid w:val="005A6B95"/>
    <w:rsid w:val="005A6C45"/>
    <w:rsid w:val="005A6CF4"/>
    <w:rsid w:val="005A6D16"/>
    <w:rsid w:val="005A6EE5"/>
    <w:rsid w:val="005A7048"/>
    <w:rsid w:val="005A7157"/>
    <w:rsid w:val="005A7395"/>
    <w:rsid w:val="005A751C"/>
    <w:rsid w:val="005A75EC"/>
    <w:rsid w:val="005A76D5"/>
    <w:rsid w:val="005A76EF"/>
    <w:rsid w:val="005A77E8"/>
    <w:rsid w:val="005A7A06"/>
    <w:rsid w:val="005A7C3E"/>
    <w:rsid w:val="005A7CC1"/>
    <w:rsid w:val="005A7D1A"/>
    <w:rsid w:val="005B0142"/>
    <w:rsid w:val="005B0197"/>
    <w:rsid w:val="005B01CA"/>
    <w:rsid w:val="005B02B4"/>
    <w:rsid w:val="005B03DD"/>
    <w:rsid w:val="005B0411"/>
    <w:rsid w:val="005B051F"/>
    <w:rsid w:val="005B054F"/>
    <w:rsid w:val="005B0750"/>
    <w:rsid w:val="005B0A2E"/>
    <w:rsid w:val="005B0A47"/>
    <w:rsid w:val="005B0FEB"/>
    <w:rsid w:val="005B107B"/>
    <w:rsid w:val="005B1121"/>
    <w:rsid w:val="005B11FB"/>
    <w:rsid w:val="005B1236"/>
    <w:rsid w:val="005B146C"/>
    <w:rsid w:val="005B14D6"/>
    <w:rsid w:val="005B151E"/>
    <w:rsid w:val="005B15C8"/>
    <w:rsid w:val="005B18D3"/>
    <w:rsid w:val="005B18F9"/>
    <w:rsid w:val="005B1949"/>
    <w:rsid w:val="005B1B5A"/>
    <w:rsid w:val="005B1BE6"/>
    <w:rsid w:val="005B1FF3"/>
    <w:rsid w:val="005B212F"/>
    <w:rsid w:val="005B21A9"/>
    <w:rsid w:val="005B21B1"/>
    <w:rsid w:val="005B236C"/>
    <w:rsid w:val="005B2677"/>
    <w:rsid w:val="005B2720"/>
    <w:rsid w:val="005B28BE"/>
    <w:rsid w:val="005B28CD"/>
    <w:rsid w:val="005B2BFA"/>
    <w:rsid w:val="005B2D80"/>
    <w:rsid w:val="005B2DEC"/>
    <w:rsid w:val="005B2E21"/>
    <w:rsid w:val="005B3160"/>
    <w:rsid w:val="005B334F"/>
    <w:rsid w:val="005B344C"/>
    <w:rsid w:val="005B34F9"/>
    <w:rsid w:val="005B3575"/>
    <w:rsid w:val="005B35BF"/>
    <w:rsid w:val="005B364A"/>
    <w:rsid w:val="005B372C"/>
    <w:rsid w:val="005B3888"/>
    <w:rsid w:val="005B396D"/>
    <w:rsid w:val="005B3C2C"/>
    <w:rsid w:val="005B3D0B"/>
    <w:rsid w:val="005B3D5D"/>
    <w:rsid w:val="005B3EE4"/>
    <w:rsid w:val="005B3EE6"/>
    <w:rsid w:val="005B4005"/>
    <w:rsid w:val="005B41C3"/>
    <w:rsid w:val="005B44A9"/>
    <w:rsid w:val="005B4513"/>
    <w:rsid w:val="005B4563"/>
    <w:rsid w:val="005B4572"/>
    <w:rsid w:val="005B477F"/>
    <w:rsid w:val="005B4936"/>
    <w:rsid w:val="005B4ADE"/>
    <w:rsid w:val="005B4C35"/>
    <w:rsid w:val="005B4CED"/>
    <w:rsid w:val="005B4D61"/>
    <w:rsid w:val="005B4DC7"/>
    <w:rsid w:val="005B4DD9"/>
    <w:rsid w:val="005B516D"/>
    <w:rsid w:val="005B53E2"/>
    <w:rsid w:val="005B5401"/>
    <w:rsid w:val="005B5813"/>
    <w:rsid w:val="005B5969"/>
    <w:rsid w:val="005B5B63"/>
    <w:rsid w:val="005B5DAF"/>
    <w:rsid w:val="005B5F4C"/>
    <w:rsid w:val="005B6105"/>
    <w:rsid w:val="005B624D"/>
    <w:rsid w:val="005B62CE"/>
    <w:rsid w:val="005B6360"/>
    <w:rsid w:val="005B64EF"/>
    <w:rsid w:val="005B679C"/>
    <w:rsid w:val="005B67E0"/>
    <w:rsid w:val="005B69C3"/>
    <w:rsid w:val="005B6D72"/>
    <w:rsid w:val="005B6DEF"/>
    <w:rsid w:val="005B6E06"/>
    <w:rsid w:val="005B70C4"/>
    <w:rsid w:val="005B71AE"/>
    <w:rsid w:val="005B7409"/>
    <w:rsid w:val="005B75D2"/>
    <w:rsid w:val="005B7B1B"/>
    <w:rsid w:val="005B7D2E"/>
    <w:rsid w:val="005B7D70"/>
    <w:rsid w:val="005B7ED3"/>
    <w:rsid w:val="005C00FB"/>
    <w:rsid w:val="005C012F"/>
    <w:rsid w:val="005C024E"/>
    <w:rsid w:val="005C0293"/>
    <w:rsid w:val="005C05E0"/>
    <w:rsid w:val="005C05F6"/>
    <w:rsid w:val="005C085E"/>
    <w:rsid w:val="005C09FE"/>
    <w:rsid w:val="005C0B49"/>
    <w:rsid w:val="005C0DA5"/>
    <w:rsid w:val="005C1053"/>
    <w:rsid w:val="005C11F8"/>
    <w:rsid w:val="005C1267"/>
    <w:rsid w:val="005C148E"/>
    <w:rsid w:val="005C1490"/>
    <w:rsid w:val="005C152C"/>
    <w:rsid w:val="005C177C"/>
    <w:rsid w:val="005C17C0"/>
    <w:rsid w:val="005C17C7"/>
    <w:rsid w:val="005C19B4"/>
    <w:rsid w:val="005C1BD3"/>
    <w:rsid w:val="005C1CE4"/>
    <w:rsid w:val="005C1E51"/>
    <w:rsid w:val="005C20BE"/>
    <w:rsid w:val="005C2174"/>
    <w:rsid w:val="005C21FB"/>
    <w:rsid w:val="005C2386"/>
    <w:rsid w:val="005C23FE"/>
    <w:rsid w:val="005C2421"/>
    <w:rsid w:val="005C2A95"/>
    <w:rsid w:val="005C2C8C"/>
    <w:rsid w:val="005C3062"/>
    <w:rsid w:val="005C3120"/>
    <w:rsid w:val="005C3325"/>
    <w:rsid w:val="005C3494"/>
    <w:rsid w:val="005C365F"/>
    <w:rsid w:val="005C38ED"/>
    <w:rsid w:val="005C3A9A"/>
    <w:rsid w:val="005C3AB2"/>
    <w:rsid w:val="005C4116"/>
    <w:rsid w:val="005C4308"/>
    <w:rsid w:val="005C4768"/>
    <w:rsid w:val="005C47D4"/>
    <w:rsid w:val="005C4865"/>
    <w:rsid w:val="005C4ACA"/>
    <w:rsid w:val="005C4B0B"/>
    <w:rsid w:val="005C4B88"/>
    <w:rsid w:val="005C4E65"/>
    <w:rsid w:val="005C50A6"/>
    <w:rsid w:val="005C50FF"/>
    <w:rsid w:val="005C511A"/>
    <w:rsid w:val="005C51A3"/>
    <w:rsid w:val="005C5600"/>
    <w:rsid w:val="005C5D39"/>
    <w:rsid w:val="005C604A"/>
    <w:rsid w:val="005C6475"/>
    <w:rsid w:val="005C6536"/>
    <w:rsid w:val="005C6804"/>
    <w:rsid w:val="005C68AD"/>
    <w:rsid w:val="005C6A95"/>
    <w:rsid w:val="005C7258"/>
    <w:rsid w:val="005C7299"/>
    <w:rsid w:val="005C72B5"/>
    <w:rsid w:val="005C7348"/>
    <w:rsid w:val="005C7606"/>
    <w:rsid w:val="005C7919"/>
    <w:rsid w:val="005C79E9"/>
    <w:rsid w:val="005C7AB4"/>
    <w:rsid w:val="005C7E95"/>
    <w:rsid w:val="005D0174"/>
    <w:rsid w:val="005D01EF"/>
    <w:rsid w:val="005D0450"/>
    <w:rsid w:val="005D0478"/>
    <w:rsid w:val="005D0485"/>
    <w:rsid w:val="005D04DA"/>
    <w:rsid w:val="005D056B"/>
    <w:rsid w:val="005D0585"/>
    <w:rsid w:val="005D05C5"/>
    <w:rsid w:val="005D092D"/>
    <w:rsid w:val="005D0991"/>
    <w:rsid w:val="005D0C1B"/>
    <w:rsid w:val="005D0DAC"/>
    <w:rsid w:val="005D11AA"/>
    <w:rsid w:val="005D1251"/>
    <w:rsid w:val="005D14A3"/>
    <w:rsid w:val="005D166D"/>
    <w:rsid w:val="005D1783"/>
    <w:rsid w:val="005D1ABB"/>
    <w:rsid w:val="005D1AC8"/>
    <w:rsid w:val="005D1B12"/>
    <w:rsid w:val="005D1C91"/>
    <w:rsid w:val="005D1E1E"/>
    <w:rsid w:val="005D1F03"/>
    <w:rsid w:val="005D1F65"/>
    <w:rsid w:val="005D223D"/>
    <w:rsid w:val="005D2277"/>
    <w:rsid w:val="005D273D"/>
    <w:rsid w:val="005D28CA"/>
    <w:rsid w:val="005D28DA"/>
    <w:rsid w:val="005D2C3C"/>
    <w:rsid w:val="005D2DA2"/>
    <w:rsid w:val="005D2EBC"/>
    <w:rsid w:val="005D31D6"/>
    <w:rsid w:val="005D34A8"/>
    <w:rsid w:val="005D352F"/>
    <w:rsid w:val="005D35E0"/>
    <w:rsid w:val="005D3626"/>
    <w:rsid w:val="005D36D5"/>
    <w:rsid w:val="005D380B"/>
    <w:rsid w:val="005D391D"/>
    <w:rsid w:val="005D3B83"/>
    <w:rsid w:val="005D3EFE"/>
    <w:rsid w:val="005D3F63"/>
    <w:rsid w:val="005D402F"/>
    <w:rsid w:val="005D42B5"/>
    <w:rsid w:val="005D45E3"/>
    <w:rsid w:val="005D4759"/>
    <w:rsid w:val="005D4839"/>
    <w:rsid w:val="005D4987"/>
    <w:rsid w:val="005D49C5"/>
    <w:rsid w:val="005D4A27"/>
    <w:rsid w:val="005D4AB3"/>
    <w:rsid w:val="005D4AE4"/>
    <w:rsid w:val="005D4F13"/>
    <w:rsid w:val="005D512F"/>
    <w:rsid w:val="005D519C"/>
    <w:rsid w:val="005D51B3"/>
    <w:rsid w:val="005D526A"/>
    <w:rsid w:val="005D56E9"/>
    <w:rsid w:val="005D5800"/>
    <w:rsid w:val="005D5877"/>
    <w:rsid w:val="005D591A"/>
    <w:rsid w:val="005D5BE7"/>
    <w:rsid w:val="005D5F54"/>
    <w:rsid w:val="005D60C3"/>
    <w:rsid w:val="005D6428"/>
    <w:rsid w:val="005D6618"/>
    <w:rsid w:val="005D6B2A"/>
    <w:rsid w:val="005D6B93"/>
    <w:rsid w:val="005D6E4E"/>
    <w:rsid w:val="005D7001"/>
    <w:rsid w:val="005D71A1"/>
    <w:rsid w:val="005D722E"/>
    <w:rsid w:val="005D7283"/>
    <w:rsid w:val="005D729E"/>
    <w:rsid w:val="005D76F4"/>
    <w:rsid w:val="005D780E"/>
    <w:rsid w:val="005D78EF"/>
    <w:rsid w:val="005D7B70"/>
    <w:rsid w:val="005D7EA5"/>
    <w:rsid w:val="005E0012"/>
    <w:rsid w:val="005E01FC"/>
    <w:rsid w:val="005E0527"/>
    <w:rsid w:val="005E064F"/>
    <w:rsid w:val="005E0844"/>
    <w:rsid w:val="005E0B02"/>
    <w:rsid w:val="005E0B7F"/>
    <w:rsid w:val="005E0BE0"/>
    <w:rsid w:val="005E0C7C"/>
    <w:rsid w:val="005E0DA3"/>
    <w:rsid w:val="005E10E5"/>
    <w:rsid w:val="005E136C"/>
    <w:rsid w:val="005E13B5"/>
    <w:rsid w:val="005E13B8"/>
    <w:rsid w:val="005E153A"/>
    <w:rsid w:val="005E1728"/>
    <w:rsid w:val="005E1A6E"/>
    <w:rsid w:val="005E1ADA"/>
    <w:rsid w:val="005E1CE3"/>
    <w:rsid w:val="005E1FEB"/>
    <w:rsid w:val="005E2060"/>
    <w:rsid w:val="005E21C3"/>
    <w:rsid w:val="005E2284"/>
    <w:rsid w:val="005E22C6"/>
    <w:rsid w:val="005E28BA"/>
    <w:rsid w:val="005E29E0"/>
    <w:rsid w:val="005E2AB5"/>
    <w:rsid w:val="005E2B96"/>
    <w:rsid w:val="005E3045"/>
    <w:rsid w:val="005E3254"/>
    <w:rsid w:val="005E344C"/>
    <w:rsid w:val="005E35DB"/>
    <w:rsid w:val="005E392E"/>
    <w:rsid w:val="005E39EA"/>
    <w:rsid w:val="005E3A6D"/>
    <w:rsid w:val="005E3B83"/>
    <w:rsid w:val="005E4074"/>
    <w:rsid w:val="005E42A7"/>
    <w:rsid w:val="005E43E7"/>
    <w:rsid w:val="005E44E7"/>
    <w:rsid w:val="005E453B"/>
    <w:rsid w:val="005E45AC"/>
    <w:rsid w:val="005E45B5"/>
    <w:rsid w:val="005E4964"/>
    <w:rsid w:val="005E4B2A"/>
    <w:rsid w:val="005E4B3F"/>
    <w:rsid w:val="005E5363"/>
    <w:rsid w:val="005E53E2"/>
    <w:rsid w:val="005E5440"/>
    <w:rsid w:val="005E56B6"/>
    <w:rsid w:val="005E56CB"/>
    <w:rsid w:val="005E5874"/>
    <w:rsid w:val="005E5BCC"/>
    <w:rsid w:val="005E5DA3"/>
    <w:rsid w:val="005E5DD6"/>
    <w:rsid w:val="005E5DE0"/>
    <w:rsid w:val="005E5E7C"/>
    <w:rsid w:val="005E5EF7"/>
    <w:rsid w:val="005E5F4F"/>
    <w:rsid w:val="005E609D"/>
    <w:rsid w:val="005E60F8"/>
    <w:rsid w:val="005E631E"/>
    <w:rsid w:val="005E65A6"/>
    <w:rsid w:val="005E6756"/>
    <w:rsid w:val="005E6787"/>
    <w:rsid w:val="005E6A4B"/>
    <w:rsid w:val="005E70CB"/>
    <w:rsid w:val="005E7151"/>
    <w:rsid w:val="005E71FE"/>
    <w:rsid w:val="005E7609"/>
    <w:rsid w:val="005E78C3"/>
    <w:rsid w:val="005E7A70"/>
    <w:rsid w:val="005E7BF4"/>
    <w:rsid w:val="005F005A"/>
    <w:rsid w:val="005F0461"/>
    <w:rsid w:val="005F07F5"/>
    <w:rsid w:val="005F0A3B"/>
    <w:rsid w:val="005F0BB5"/>
    <w:rsid w:val="005F0DED"/>
    <w:rsid w:val="005F0F53"/>
    <w:rsid w:val="005F0F9E"/>
    <w:rsid w:val="005F116B"/>
    <w:rsid w:val="005F123C"/>
    <w:rsid w:val="005F1317"/>
    <w:rsid w:val="005F13E3"/>
    <w:rsid w:val="005F144E"/>
    <w:rsid w:val="005F167F"/>
    <w:rsid w:val="005F171C"/>
    <w:rsid w:val="005F1732"/>
    <w:rsid w:val="005F1816"/>
    <w:rsid w:val="005F1ABC"/>
    <w:rsid w:val="005F1D13"/>
    <w:rsid w:val="005F1D58"/>
    <w:rsid w:val="005F1DB1"/>
    <w:rsid w:val="005F1E24"/>
    <w:rsid w:val="005F1E42"/>
    <w:rsid w:val="005F1FF5"/>
    <w:rsid w:val="005F2058"/>
    <w:rsid w:val="005F2449"/>
    <w:rsid w:val="005F25F1"/>
    <w:rsid w:val="005F294D"/>
    <w:rsid w:val="005F3106"/>
    <w:rsid w:val="005F3259"/>
    <w:rsid w:val="005F32A5"/>
    <w:rsid w:val="005F3336"/>
    <w:rsid w:val="005F338A"/>
    <w:rsid w:val="005F3525"/>
    <w:rsid w:val="005F3766"/>
    <w:rsid w:val="005F3785"/>
    <w:rsid w:val="005F37D0"/>
    <w:rsid w:val="005F3821"/>
    <w:rsid w:val="005F3893"/>
    <w:rsid w:val="005F39AB"/>
    <w:rsid w:val="005F3B33"/>
    <w:rsid w:val="005F3C55"/>
    <w:rsid w:val="005F3CF5"/>
    <w:rsid w:val="005F3D49"/>
    <w:rsid w:val="005F3DE7"/>
    <w:rsid w:val="005F3E18"/>
    <w:rsid w:val="005F3FAE"/>
    <w:rsid w:val="005F44D7"/>
    <w:rsid w:val="005F44DC"/>
    <w:rsid w:val="005F452A"/>
    <w:rsid w:val="005F4719"/>
    <w:rsid w:val="005F4ACC"/>
    <w:rsid w:val="005F4E00"/>
    <w:rsid w:val="005F4E29"/>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32E"/>
    <w:rsid w:val="005F66B9"/>
    <w:rsid w:val="005F6787"/>
    <w:rsid w:val="005F6862"/>
    <w:rsid w:val="005F695E"/>
    <w:rsid w:val="005F6972"/>
    <w:rsid w:val="005F6BDD"/>
    <w:rsid w:val="005F6F0B"/>
    <w:rsid w:val="005F7015"/>
    <w:rsid w:val="005F70A7"/>
    <w:rsid w:val="005F72C0"/>
    <w:rsid w:val="005F7333"/>
    <w:rsid w:val="005F739E"/>
    <w:rsid w:val="005F785C"/>
    <w:rsid w:val="005F7963"/>
    <w:rsid w:val="005F7B01"/>
    <w:rsid w:val="005F7C2C"/>
    <w:rsid w:val="005F7E6C"/>
    <w:rsid w:val="006000F2"/>
    <w:rsid w:val="006002A0"/>
    <w:rsid w:val="006002BE"/>
    <w:rsid w:val="006004BD"/>
    <w:rsid w:val="0060055B"/>
    <w:rsid w:val="00600584"/>
    <w:rsid w:val="006006FA"/>
    <w:rsid w:val="00600D36"/>
    <w:rsid w:val="00600F41"/>
    <w:rsid w:val="00600FBA"/>
    <w:rsid w:val="006010CB"/>
    <w:rsid w:val="006011D2"/>
    <w:rsid w:val="006013D2"/>
    <w:rsid w:val="00601668"/>
    <w:rsid w:val="006016FA"/>
    <w:rsid w:val="00601EB1"/>
    <w:rsid w:val="00601FF0"/>
    <w:rsid w:val="0060220A"/>
    <w:rsid w:val="0060230B"/>
    <w:rsid w:val="0060242B"/>
    <w:rsid w:val="00602534"/>
    <w:rsid w:val="006025CD"/>
    <w:rsid w:val="006029BC"/>
    <w:rsid w:val="00602DBD"/>
    <w:rsid w:val="00602F32"/>
    <w:rsid w:val="00602FE0"/>
    <w:rsid w:val="006031E1"/>
    <w:rsid w:val="0060321B"/>
    <w:rsid w:val="00603281"/>
    <w:rsid w:val="006032B6"/>
    <w:rsid w:val="006033A1"/>
    <w:rsid w:val="00603592"/>
    <w:rsid w:val="006037A0"/>
    <w:rsid w:val="006039B3"/>
    <w:rsid w:val="00603BE0"/>
    <w:rsid w:val="00603D4B"/>
    <w:rsid w:val="00603F0B"/>
    <w:rsid w:val="00604167"/>
    <w:rsid w:val="00604200"/>
    <w:rsid w:val="00604935"/>
    <w:rsid w:val="00604A46"/>
    <w:rsid w:val="00604AAF"/>
    <w:rsid w:val="00604C5F"/>
    <w:rsid w:val="00604DD1"/>
    <w:rsid w:val="00604EDF"/>
    <w:rsid w:val="00605082"/>
    <w:rsid w:val="00605263"/>
    <w:rsid w:val="0060529B"/>
    <w:rsid w:val="006052A7"/>
    <w:rsid w:val="006053A7"/>
    <w:rsid w:val="006057A6"/>
    <w:rsid w:val="006057F5"/>
    <w:rsid w:val="00605965"/>
    <w:rsid w:val="0060596D"/>
    <w:rsid w:val="00605BF4"/>
    <w:rsid w:val="00605C7B"/>
    <w:rsid w:val="00605CC1"/>
    <w:rsid w:val="00605D86"/>
    <w:rsid w:val="00605E10"/>
    <w:rsid w:val="006060DB"/>
    <w:rsid w:val="00606356"/>
    <w:rsid w:val="00606607"/>
    <w:rsid w:val="00606791"/>
    <w:rsid w:val="006069D9"/>
    <w:rsid w:val="00606A51"/>
    <w:rsid w:val="00606CE3"/>
    <w:rsid w:val="00606E1D"/>
    <w:rsid w:val="00606ED4"/>
    <w:rsid w:val="006070B4"/>
    <w:rsid w:val="00607263"/>
    <w:rsid w:val="006072ED"/>
    <w:rsid w:val="00607428"/>
    <w:rsid w:val="0060744B"/>
    <w:rsid w:val="006077F3"/>
    <w:rsid w:val="006078A6"/>
    <w:rsid w:val="00607AFF"/>
    <w:rsid w:val="00607B15"/>
    <w:rsid w:val="00607E2C"/>
    <w:rsid w:val="00610120"/>
    <w:rsid w:val="00610144"/>
    <w:rsid w:val="006104DF"/>
    <w:rsid w:val="0061068A"/>
    <w:rsid w:val="0061068E"/>
    <w:rsid w:val="0061069B"/>
    <w:rsid w:val="0061080E"/>
    <w:rsid w:val="00610934"/>
    <w:rsid w:val="00610A39"/>
    <w:rsid w:val="00610E36"/>
    <w:rsid w:val="0061104A"/>
    <w:rsid w:val="0061117E"/>
    <w:rsid w:val="006113C9"/>
    <w:rsid w:val="0061157A"/>
    <w:rsid w:val="00611748"/>
    <w:rsid w:val="00611845"/>
    <w:rsid w:val="0061184D"/>
    <w:rsid w:val="00611B41"/>
    <w:rsid w:val="00611C2C"/>
    <w:rsid w:val="00611F1F"/>
    <w:rsid w:val="00612422"/>
    <w:rsid w:val="00612602"/>
    <w:rsid w:val="006126DD"/>
    <w:rsid w:val="00612CAA"/>
    <w:rsid w:val="00612DF1"/>
    <w:rsid w:val="00613298"/>
    <w:rsid w:val="0061331B"/>
    <w:rsid w:val="00613331"/>
    <w:rsid w:val="00613558"/>
    <w:rsid w:val="0061364F"/>
    <w:rsid w:val="006139BC"/>
    <w:rsid w:val="006139D2"/>
    <w:rsid w:val="00613A12"/>
    <w:rsid w:val="00613D4E"/>
    <w:rsid w:val="00613FE7"/>
    <w:rsid w:val="0061419F"/>
    <w:rsid w:val="006143A6"/>
    <w:rsid w:val="006143E6"/>
    <w:rsid w:val="00614523"/>
    <w:rsid w:val="0061453A"/>
    <w:rsid w:val="00614779"/>
    <w:rsid w:val="0061494D"/>
    <w:rsid w:val="00614A1A"/>
    <w:rsid w:val="00614C00"/>
    <w:rsid w:val="00614CAB"/>
    <w:rsid w:val="00614DE8"/>
    <w:rsid w:val="00615085"/>
    <w:rsid w:val="006153C2"/>
    <w:rsid w:val="00615425"/>
    <w:rsid w:val="0061549A"/>
    <w:rsid w:val="006155F2"/>
    <w:rsid w:val="00615643"/>
    <w:rsid w:val="006158F2"/>
    <w:rsid w:val="00615A5C"/>
    <w:rsid w:val="00615AB8"/>
    <w:rsid w:val="00615AE0"/>
    <w:rsid w:val="00615D1F"/>
    <w:rsid w:val="00615DF9"/>
    <w:rsid w:val="00615E40"/>
    <w:rsid w:val="00616009"/>
    <w:rsid w:val="0061601B"/>
    <w:rsid w:val="006160E4"/>
    <w:rsid w:val="0061615A"/>
    <w:rsid w:val="00616164"/>
    <w:rsid w:val="0061616E"/>
    <w:rsid w:val="00616299"/>
    <w:rsid w:val="006163B6"/>
    <w:rsid w:val="00616846"/>
    <w:rsid w:val="00616B1F"/>
    <w:rsid w:val="00616D35"/>
    <w:rsid w:val="00616DBE"/>
    <w:rsid w:val="00616E45"/>
    <w:rsid w:val="00616E6C"/>
    <w:rsid w:val="0061730B"/>
    <w:rsid w:val="006173D8"/>
    <w:rsid w:val="00617525"/>
    <w:rsid w:val="006176B1"/>
    <w:rsid w:val="00617816"/>
    <w:rsid w:val="006179F4"/>
    <w:rsid w:val="00617A24"/>
    <w:rsid w:val="00617B0F"/>
    <w:rsid w:val="00617C55"/>
    <w:rsid w:val="00617D9A"/>
    <w:rsid w:val="00617FDE"/>
    <w:rsid w:val="00617FF1"/>
    <w:rsid w:val="00620132"/>
    <w:rsid w:val="006203A8"/>
    <w:rsid w:val="0062050B"/>
    <w:rsid w:val="006205B0"/>
    <w:rsid w:val="00620695"/>
    <w:rsid w:val="00620934"/>
    <w:rsid w:val="006209A8"/>
    <w:rsid w:val="00620D31"/>
    <w:rsid w:val="00620DCC"/>
    <w:rsid w:val="00620E22"/>
    <w:rsid w:val="0062106C"/>
    <w:rsid w:val="0062121B"/>
    <w:rsid w:val="006212A1"/>
    <w:rsid w:val="0062143B"/>
    <w:rsid w:val="0062157B"/>
    <w:rsid w:val="00621583"/>
    <w:rsid w:val="00621823"/>
    <w:rsid w:val="006219E2"/>
    <w:rsid w:val="00621AF4"/>
    <w:rsid w:val="00621CBD"/>
    <w:rsid w:val="00621ED7"/>
    <w:rsid w:val="00621EDD"/>
    <w:rsid w:val="006223C6"/>
    <w:rsid w:val="0062243D"/>
    <w:rsid w:val="00622508"/>
    <w:rsid w:val="0062250F"/>
    <w:rsid w:val="006226DB"/>
    <w:rsid w:val="00622972"/>
    <w:rsid w:val="00622B16"/>
    <w:rsid w:val="00622C85"/>
    <w:rsid w:val="00623259"/>
    <w:rsid w:val="006232B0"/>
    <w:rsid w:val="006233F7"/>
    <w:rsid w:val="0062349C"/>
    <w:rsid w:val="006234B9"/>
    <w:rsid w:val="006235CE"/>
    <w:rsid w:val="00623795"/>
    <w:rsid w:val="0062381C"/>
    <w:rsid w:val="0062393C"/>
    <w:rsid w:val="00623C19"/>
    <w:rsid w:val="006241F0"/>
    <w:rsid w:val="0062436B"/>
    <w:rsid w:val="006245AA"/>
    <w:rsid w:val="00624AAC"/>
    <w:rsid w:val="00624C05"/>
    <w:rsid w:val="0062511C"/>
    <w:rsid w:val="006251D9"/>
    <w:rsid w:val="00625500"/>
    <w:rsid w:val="00625520"/>
    <w:rsid w:val="0062575C"/>
    <w:rsid w:val="00625761"/>
    <w:rsid w:val="006257DE"/>
    <w:rsid w:val="006257E7"/>
    <w:rsid w:val="00625BEE"/>
    <w:rsid w:val="00625C14"/>
    <w:rsid w:val="00625E13"/>
    <w:rsid w:val="00625E39"/>
    <w:rsid w:val="00625EA7"/>
    <w:rsid w:val="00625FF6"/>
    <w:rsid w:val="0062606D"/>
    <w:rsid w:val="006260BB"/>
    <w:rsid w:val="00626219"/>
    <w:rsid w:val="00626332"/>
    <w:rsid w:val="006267CF"/>
    <w:rsid w:val="00626800"/>
    <w:rsid w:val="00626893"/>
    <w:rsid w:val="006268B4"/>
    <w:rsid w:val="0062697B"/>
    <w:rsid w:val="00626999"/>
    <w:rsid w:val="00626DA7"/>
    <w:rsid w:val="0062723F"/>
    <w:rsid w:val="00627349"/>
    <w:rsid w:val="00627454"/>
    <w:rsid w:val="006275FF"/>
    <w:rsid w:val="0062779F"/>
    <w:rsid w:val="00627995"/>
    <w:rsid w:val="00627B89"/>
    <w:rsid w:val="00627C33"/>
    <w:rsid w:val="00627CA6"/>
    <w:rsid w:val="00627CEB"/>
    <w:rsid w:val="00627D3D"/>
    <w:rsid w:val="00627DD5"/>
    <w:rsid w:val="00627E9A"/>
    <w:rsid w:val="00627F77"/>
    <w:rsid w:val="00630037"/>
    <w:rsid w:val="006306E2"/>
    <w:rsid w:val="00630919"/>
    <w:rsid w:val="006309E0"/>
    <w:rsid w:val="00630A1E"/>
    <w:rsid w:val="00630C9A"/>
    <w:rsid w:val="00630CD6"/>
    <w:rsid w:val="00631015"/>
    <w:rsid w:val="0063107B"/>
    <w:rsid w:val="006311D2"/>
    <w:rsid w:val="0063133C"/>
    <w:rsid w:val="00631455"/>
    <w:rsid w:val="00631511"/>
    <w:rsid w:val="00631516"/>
    <w:rsid w:val="00631590"/>
    <w:rsid w:val="00631D50"/>
    <w:rsid w:val="00631E62"/>
    <w:rsid w:val="006321D6"/>
    <w:rsid w:val="00632235"/>
    <w:rsid w:val="006322D4"/>
    <w:rsid w:val="00632884"/>
    <w:rsid w:val="00632BCA"/>
    <w:rsid w:val="006331DF"/>
    <w:rsid w:val="0063323C"/>
    <w:rsid w:val="00633350"/>
    <w:rsid w:val="00633412"/>
    <w:rsid w:val="006335D6"/>
    <w:rsid w:val="00633697"/>
    <w:rsid w:val="006336F0"/>
    <w:rsid w:val="00633766"/>
    <w:rsid w:val="006337C2"/>
    <w:rsid w:val="00633883"/>
    <w:rsid w:val="006339A2"/>
    <w:rsid w:val="00633AEB"/>
    <w:rsid w:val="00633B5B"/>
    <w:rsid w:val="00633BA4"/>
    <w:rsid w:val="00633FDC"/>
    <w:rsid w:val="006341F7"/>
    <w:rsid w:val="0063420D"/>
    <w:rsid w:val="0063429D"/>
    <w:rsid w:val="006342CB"/>
    <w:rsid w:val="006344B9"/>
    <w:rsid w:val="006346EF"/>
    <w:rsid w:val="00634B64"/>
    <w:rsid w:val="00634BA0"/>
    <w:rsid w:val="00634D74"/>
    <w:rsid w:val="00634E27"/>
    <w:rsid w:val="00635072"/>
    <w:rsid w:val="006350E6"/>
    <w:rsid w:val="00635101"/>
    <w:rsid w:val="0063513D"/>
    <w:rsid w:val="00635229"/>
    <w:rsid w:val="00635276"/>
    <w:rsid w:val="006352F3"/>
    <w:rsid w:val="006353AC"/>
    <w:rsid w:val="00635412"/>
    <w:rsid w:val="006354CD"/>
    <w:rsid w:val="00635625"/>
    <w:rsid w:val="006356FC"/>
    <w:rsid w:val="00635781"/>
    <w:rsid w:val="006357ED"/>
    <w:rsid w:val="006359D2"/>
    <w:rsid w:val="00635BAE"/>
    <w:rsid w:val="00635D32"/>
    <w:rsid w:val="00635EBE"/>
    <w:rsid w:val="00635F6C"/>
    <w:rsid w:val="0063614C"/>
    <w:rsid w:val="006365DF"/>
    <w:rsid w:val="00636783"/>
    <w:rsid w:val="006367C6"/>
    <w:rsid w:val="00636B80"/>
    <w:rsid w:val="00636D9D"/>
    <w:rsid w:val="00636F79"/>
    <w:rsid w:val="00636FEC"/>
    <w:rsid w:val="00637006"/>
    <w:rsid w:val="00637472"/>
    <w:rsid w:val="00637846"/>
    <w:rsid w:val="00637923"/>
    <w:rsid w:val="00637ABA"/>
    <w:rsid w:val="00637D4E"/>
    <w:rsid w:val="00637E58"/>
    <w:rsid w:val="006404A1"/>
    <w:rsid w:val="00640668"/>
    <w:rsid w:val="006406EA"/>
    <w:rsid w:val="00640870"/>
    <w:rsid w:val="006408D6"/>
    <w:rsid w:val="006409FE"/>
    <w:rsid w:val="00640ADA"/>
    <w:rsid w:val="00640B40"/>
    <w:rsid w:val="00640FB6"/>
    <w:rsid w:val="00641182"/>
    <w:rsid w:val="0064120A"/>
    <w:rsid w:val="0064147E"/>
    <w:rsid w:val="0064154F"/>
    <w:rsid w:val="006416AB"/>
    <w:rsid w:val="0064180D"/>
    <w:rsid w:val="00641936"/>
    <w:rsid w:val="00641C8B"/>
    <w:rsid w:val="00641FAE"/>
    <w:rsid w:val="0064201F"/>
    <w:rsid w:val="0064215D"/>
    <w:rsid w:val="00642372"/>
    <w:rsid w:val="0064265C"/>
    <w:rsid w:val="00642D55"/>
    <w:rsid w:val="00642F0C"/>
    <w:rsid w:val="00642FCB"/>
    <w:rsid w:val="0064324B"/>
    <w:rsid w:val="006434F3"/>
    <w:rsid w:val="00643549"/>
    <w:rsid w:val="00643683"/>
    <w:rsid w:val="00643B9D"/>
    <w:rsid w:val="00643EF1"/>
    <w:rsid w:val="006440D7"/>
    <w:rsid w:val="0064413E"/>
    <w:rsid w:val="006441D7"/>
    <w:rsid w:val="006446B4"/>
    <w:rsid w:val="006447C1"/>
    <w:rsid w:val="006448C1"/>
    <w:rsid w:val="00644948"/>
    <w:rsid w:val="00644AFF"/>
    <w:rsid w:val="00644B5D"/>
    <w:rsid w:val="00644B62"/>
    <w:rsid w:val="006450E8"/>
    <w:rsid w:val="00645226"/>
    <w:rsid w:val="0064538B"/>
    <w:rsid w:val="00645530"/>
    <w:rsid w:val="006455E3"/>
    <w:rsid w:val="006456AF"/>
    <w:rsid w:val="0064598B"/>
    <w:rsid w:val="006459DD"/>
    <w:rsid w:val="00645B91"/>
    <w:rsid w:val="00645C0F"/>
    <w:rsid w:val="00645C51"/>
    <w:rsid w:val="00645DDF"/>
    <w:rsid w:val="00645F0B"/>
    <w:rsid w:val="00646080"/>
    <w:rsid w:val="006462B5"/>
    <w:rsid w:val="006465AA"/>
    <w:rsid w:val="006466F3"/>
    <w:rsid w:val="0064674C"/>
    <w:rsid w:val="00646C23"/>
    <w:rsid w:val="00647155"/>
    <w:rsid w:val="0064743B"/>
    <w:rsid w:val="0064754A"/>
    <w:rsid w:val="00647694"/>
    <w:rsid w:val="006477A0"/>
    <w:rsid w:val="00647834"/>
    <w:rsid w:val="00647877"/>
    <w:rsid w:val="00647CC1"/>
    <w:rsid w:val="00647D3F"/>
    <w:rsid w:val="00650182"/>
    <w:rsid w:val="0065037F"/>
    <w:rsid w:val="00650403"/>
    <w:rsid w:val="0065062E"/>
    <w:rsid w:val="00650929"/>
    <w:rsid w:val="00650A75"/>
    <w:rsid w:val="00650D2D"/>
    <w:rsid w:val="006510C7"/>
    <w:rsid w:val="0065124C"/>
    <w:rsid w:val="006515F8"/>
    <w:rsid w:val="00651D79"/>
    <w:rsid w:val="00652008"/>
    <w:rsid w:val="006522A5"/>
    <w:rsid w:val="0065247F"/>
    <w:rsid w:val="00652613"/>
    <w:rsid w:val="006529EA"/>
    <w:rsid w:val="00652C4C"/>
    <w:rsid w:val="00652C64"/>
    <w:rsid w:val="00652D38"/>
    <w:rsid w:val="00652DBE"/>
    <w:rsid w:val="0065306D"/>
    <w:rsid w:val="006530C0"/>
    <w:rsid w:val="00653426"/>
    <w:rsid w:val="006535CC"/>
    <w:rsid w:val="00653C96"/>
    <w:rsid w:val="00653CDD"/>
    <w:rsid w:val="00653F69"/>
    <w:rsid w:val="00654185"/>
    <w:rsid w:val="006541CB"/>
    <w:rsid w:val="006541E4"/>
    <w:rsid w:val="006541EC"/>
    <w:rsid w:val="006543C7"/>
    <w:rsid w:val="00654452"/>
    <w:rsid w:val="006546E0"/>
    <w:rsid w:val="00654815"/>
    <w:rsid w:val="00654887"/>
    <w:rsid w:val="00654A58"/>
    <w:rsid w:val="00654B3C"/>
    <w:rsid w:val="00654B86"/>
    <w:rsid w:val="00654CDE"/>
    <w:rsid w:val="00654E84"/>
    <w:rsid w:val="00654E8E"/>
    <w:rsid w:val="00654EBC"/>
    <w:rsid w:val="006551FC"/>
    <w:rsid w:val="0065535C"/>
    <w:rsid w:val="00655399"/>
    <w:rsid w:val="0065545E"/>
    <w:rsid w:val="006558D4"/>
    <w:rsid w:val="006559E8"/>
    <w:rsid w:val="00655DB9"/>
    <w:rsid w:val="00655FC2"/>
    <w:rsid w:val="0065629D"/>
    <w:rsid w:val="0065693E"/>
    <w:rsid w:val="00656998"/>
    <w:rsid w:val="00656C80"/>
    <w:rsid w:val="006572E1"/>
    <w:rsid w:val="0065740F"/>
    <w:rsid w:val="006574F3"/>
    <w:rsid w:val="006576BD"/>
    <w:rsid w:val="00657A27"/>
    <w:rsid w:val="00657B73"/>
    <w:rsid w:val="00657CAE"/>
    <w:rsid w:val="006601B7"/>
    <w:rsid w:val="006602D6"/>
    <w:rsid w:val="00660365"/>
    <w:rsid w:val="0066036F"/>
    <w:rsid w:val="00660587"/>
    <w:rsid w:val="00660722"/>
    <w:rsid w:val="006608C6"/>
    <w:rsid w:val="00660917"/>
    <w:rsid w:val="00660A35"/>
    <w:rsid w:val="00660AC2"/>
    <w:rsid w:val="00660BA4"/>
    <w:rsid w:val="00660BDF"/>
    <w:rsid w:val="00660C40"/>
    <w:rsid w:val="00660DE1"/>
    <w:rsid w:val="00660F7C"/>
    <w:rsid w:val="00661325"/>
    <w:rsid w:val="006613B1"/>
    <w:rsid w:val="0066145A"/>
    <w:rsid w:val="006614A6"/>
    <w:rsid w:val="006615AF"/>
    <w:rsid w:val="006618DF"/>
    <w:rsid w:val="00661AB2"/>
    <w:rsid w:val="00661C11"/>
    <w:rsid w:val="00661C58"/>
    <w:rsid w:val="00661CE5"/>
    <w:rsid w:val="00661EA3"/>
    <w:rsid w:val="00662199"/>
    <w:rsid w:val="0066244E"/>
    <w:rsid w:val="006625CF"/>
    <w:rsid w:val="00662722"/>
    <w:rsid w:val="0066279E"/>
    <w:rsid w:val="00662846"/>
    <w:rsid w:val="006629AA"/>
    <w:rsid w:val="006629DE"/>
    <w:rsid w:val="006629F9"/>
    <w:rsid w:val="00662AA7"/>
    <w:rsid w:val="00662E85"/>
    <w:rsid w:val="00662E89"/>
    <w:rsid w:val="006633A2"/>
    <w:rsid w:val="00663695"/>
    <w:rsid w:val="0066390D"/>
    <w:rsid w:val="00663A52"/>
    <w:rsid w:val="00663A68"/>
    <w:rsid w:val="00663DC1"/>
    <w:rsid w:val="00663DF0"/>
    <w:rsid w:val="00663F74"/>
    <w:rsid w:val="006640CB"/>
    <w:rsid w:val="006643A8"/>
    <w:rsid w:val="00664B48"/>
    <w:rsid w:val="00664DED"/>
    <w:rsid w:val="00664E3D"/>
    <w:rsid w:val="00665026"/>
    <w:rsid w:val="0066503C"/>
    <w:rsid w:val="00665048"/>
    <w:rsid w:val="00665094"/>
    <w:rsid w:val="0066516D"/>
    <w:rsid w:val="006652CC"/>
    <w:rsid w:val="00665603"/>
    <w:rsid w:val="0066561B"/>
    <w:rsid w:val="006657A3"/>
    <w:rsid w:val="0066597C"/>
    <w:rsid w:val="00665A1A"/>
    <w:rsid w:val="00665A4B"/>
    <w:rsid w:val="00665AC1"/>
    <w:rsid w:val="00665B09"/>
    <w:rsid w:val="00665C5B"/>
    <w:rsid w:val="00666074"/>
    <w:rsid w:val="006660BA"/>
    <w:rsid w:val="00666324"/>
    <w:rsid w:val="006663CF"/>
    <w:rsid w:val="006665FD"/>
    <w:rsid w:val="006666E0"/>
    <w:rsid w:val="00666854"/>
    <w:rsid w:val="00666876"/>
    <w:rsid w:val="0066689F"/>
    <w:rsid w:val="0066713C"/>
    <w:rsid w:val="00667290"/>
    <w:rsid w:val="006673A8"/>
    <w:rsid w:val="006673DC"/>
    <w:rsid w:val="0066749F"/>
    <w:rsid w:val="006674D4"/>
    <w:rsid w:val="00667621"/>
    <w:rsid w:val="0066772C"/>
    <w:rsid w:val="0066777A"/>
    <w:rsid w:val="00667A4D"/>
    <w:rsid w:val="00667B85"/>
    <w:rsid w:val="006701F3"/>
    <w:rsid w:val="00670387"/>
    <w:rsid w:val="00670412"/>
    <w:rsid w:val="00670650"/>
    <w:rsid w:val="00670709"/>
    <w:rsid w:val="006707E2"/>
    <w:rsid w:val="00670B78"/>
    <w:rsid w:val="00670C6D"/>
    <w:rsid w:val="00670C79"/>
    <w:rsid w:val="00670D30"/>
    <w:rsid w:val="00670E45"/>
    <w:rsid w:val="00671143"/>
    <w:rsid w:val="00671306"/>
    <w:rsid w:val="00671555"/>
    <w:rsid w:val="0067157E"/>
    <w:rsid w:val="00671712"/>
    <w:rsid w:val="0067180F"/>
    <w:rsid w:val="00671970"/>
    <w:rsid w:val="0067199D"/>
    <w:rsid w:val="00671A14"/>
    <w:rsid w:val="00671A51"/>
    <w:rsid w:val="00671ACE"/>
    <w:rsid w:val="00671E7B"/>
    <w:rsid w:val="00672151"/>
    <w:rsid w:val="00672192"/>
    <w:rsid w:val="006724B4"/>
    <w:rsid w:val="006724C4"/>
    <w:rsid w:val="006725A6"/>
    <w:rsid w:val="006725AB"/>
    <w:rsid w:val="0067262E"/>
    <w:rsid w:val="00672725"/>
    <w:rsid w:val="0067297B"/>
    <w:rsid w:val="00672991"/>
    <w:rsid w:val="006729D7"/>
    <w:rsid w:val="00672A91"/>
    <w:rsid w:val="00672F20"/>
    <w:rsid w:val="00673050"/>
    <w:rsid w:val="00673109"/>
    <w:rsid w:val="00673270"/>
    <w:rsid w:val="006733E7"/>
    <w:rsid w:val="00673492"/>
    <w:rsid w:val="00673561"/>
    <w:rsid w:val="006735A5"/>
    <w:rsid w:val="00673740"/>
    <w:rsid w:val="006737CC"/>
    <w:rsid w:val="006739BE"/>
    <w:rsid w:val="00673BE5"/>
    <w:rsid w:val="00673D4B"/>
    <w:rsid w:val="00673ED9"/>
    <w:rsid w:val="00673F2B"/>
    <w:rsid w:val="00674157"/>
    <w:rsid w:val="006741E2"/>
    <w:rsid w:val="006743D7"/>
    <w:rsid w:val="00674607"/>
    <w:rsid w:val="006748CF"/>
    <w:rsid w:val="006748F0"/>
    <w:rsid w:val="00674A16"/>
    <w:rsid w:val="00674ADE"/>
    <w:rsid w:val="00674CF4"/>
    <w:rsid w:val="00674F0F"/>
    <w:rsid w:val="00674F68"/>
    <w:rsid w:val="00675366"/>
    <w:rsid w:val="0067549C"/>
    <w:rsid w:val="006754AA"/>
    <w:rsid w:val="006756A9"/>
    <w:rsid w:val="006757E8"/>
    <w:rsid w:val="00675A28"/>
    <w:rsid w:val="00675A4E"/>
    <w:rsid w:val="00675A66"/>
    <w:rsid w:val="00675BF0"/>
    <w:rsid w:val="00675E38"/>
    <w:rsid w:val="00675E5D"/>
    <w:rsid w:val="0067640E"/>
    <w:rsid w:val="00676525"/>
    <w:rsid w:val="006765E2"/>
    <w:rsid w:val="006765F8"/>
    <w:rsid w:val="006767B5"/>
    <w:rsid w:val="00676810"/>
    <w:rsid w:val="00676BB0"/>
    <w:rsid w:val="00676CF4"/>
    <w:rsid w:val="00676DB5"/>
    <w:rsid w:val="00676FB7"/>
    <w:rsid w:val="00677194"/>
    <w:rsid w:val="00677223"/>
    <w:rsid w:val="00677285"/>
    <w:rsid w:val="006772A0"/>
    <w:rsid w:val="006772EF"/>
    <w:rsid w:val="0067730E"/>
    <w:rsid w:val="0067733D"/>
    <w:rsid w:val="00677361"/>
    <w:rsid w:val="00677857"/>
    <w:rsid w:val="006778FC"/>
    <w:rsid w:val="00677A63"/>
    <w:rsid w:val="00677DC4"/>
    <w:rsid w:val="00677FCB"/>
    <w:rsid w:val="00677FDF"/>
    <w:rsid w:val="006800A2"/>
    <w:rsid w:val="006803D5"/>
    <w:rsid w:val="00680466"/>
    <w:rsid w:val="00680B55"/>
    <w:rsid w:val="00680BE1"/>
    <w:rsid w:val="00680C5F"/>
    <w:rsid w:val="00680CFF"/>
    <w:rsid w:val="00680FA2"/>
    <w:rsid w:val="00681113"/>
    <w:rsid w:val="0068144F"/>
    <w:rsid w:val="00681701"/>
    <w:rsid w:val="00681A39"/>
    <w:rsid w:val="00681B13"/>
    <w:rsid w:val="00681DA0"/>
    <w:rsid w:val="00681DB6"/>
    <w:rsid w:val="00681E4B"/>
    <w:rsid w:val="00681E96"/>
    <w:rsid w:val="00681EFF"/>
    <w:rsid w:val="006820EA"/>
    <w:rsid w:val="006823A8"/>
    <w:rsid w:val="00682480"/>
    <w:rsid w:val="00682639"/>
    <w:rsid w:val="00682784"/>
    <w:rsid w:val="0068283C"/>
    <w:rsid w:val="00682AB0"/>
    <w:rsid w:val="00682BE9"/>
    <w:rsid w:val="00682C5A"/>
    <w:rsid w:val="00682CD9"/>
    <w:rsid w:val="00682F47"/>
    <w:rsid w:val="00683101"/>
    <w:rsid w:val="0068321A"/>
    <w:rsid w:val="006834FA"/>
    <w:rsid w:val="00683651"/>
    <w:rsid w:val="00683932"/>
    <w:rsid w:val="00683CF7"/>
    <w:rsid w:val="00683F90"/>
    <w:rsid w:val="006841EA"/>
    <w:rsid w:val="006843E2"/>
    <w:rsid w:val="006847C1"/>
    <w:rsid w:val="00684977"/>
    <w:rsid w:val="00684B70"/>
    <w:rsid w:val="00684CB6"/>
    <w:rsid w:val="00684CE6"/>
    <w:rsid w:val="00684DDB"/>
    <w:rsid w:val="00685229"/>
    <w:rsid w:val="0068524C"/>
    <w:rsid w:val="006854DF"/>
    <w:rsid w:val="00685555"/>
    <w:rsid w:val="006856D9"/>
    <w:rsid w:val="006859BC"/>
    <w:rsid w:val="00685D1C"/>
    <w:rsid w:val="00685F06"/>
    <w:rsid w:val="00685F5B"/>
    <w:rsid w:val="00685FEB"/>
    <w:rsid w:val="00686134"/>
    <w:rsid w:val="0068615C"/>
    <w:rsid w:val="00686336"/>
    <w:rsid w:val="00686358"/>
    <w:rsid w:val="00686506"/>
    <w:rsid w:val="00686565"/>
    <w:rsid w:val="00686700"/>
    <w:rsid w:val="006868F5"/>
    <w:rsid w:val="00686BAB"/>
    <w:rsid w:val="00686C7A"/>
    <w:rsid w:val="00686F58"/>
    <w:rsid w:val="00687582"/>
    <w:rsid w:val="0068769F"/>
    <w:rsid w:val="006878F9"/>
    <w:rsid w:val="0068791B"/>
    <w:rsid w:val="00687B1F"/>
    <w:rsid w:val="00687DC5"/>
    <w:rsid w:val="00687F7C"/>
    <w:rsid w:val="0069025A"/>
    <w:rsid w:val="0069039E"/>
    <w:rsid w:val="00690416"/>
    <w:rsid w:val="0069053C"/>
    <w:rsid w:val="00690845"/>
    <w:rsid w:val="006908EF"/>
    <w:rsid w:val="00690AB0"/>
    <w:rsid w:val="00690C36"/>
    <w:rsid w:val="00690E54"/>
    <w:rsid w:val="0069156D"/>
    <w:rsid w:val="006915F3"/>
    <w:rsid w:val="00691693"/>
    <w:rsid w:val="00691729"/>
    <w:rsid w:val="0069174D"/>
    <w:rsid w:val="00691BB2"/>
    <w:rsid w:val="00691C2C"/>
    <w:rsid w:val="00691E76"/>
    <w:rsid w:val="006920FC"/>
    <w:rsid w:val="0069218F"/>
    <w:rsid w:val="00692451"/>
    <w:rsid w:val="00692633"/>
    <w:rsid w:val="00692810"/>
    <w:rsid w:val="00692823"/>
    <w:rsid w:val="006929E5"/>
    <w:rsid w:val="00692AA0"/>
    <w:rsid w:val="00692B4A"/>
    <w:rsid w:val="00692BCC"/>
    <w:rsid w:val="00692DBA"/>
    <w:rsid w:val="00692F13"/>
    <w:rsid w:val="00692F1C"/>
    <w:rsid w:val="00692FF0"/>
    <w:rsid w:val="00693256"/>
    <w:rsid w:val="006932B1"/>
    <w:rsid w:val="006934F5"/>
    <w:rsid w:val="0069354C"/>
    <w:rsid w:val="006937C8"/>
    <w:rsid w:val="00693976"/>
    <w:rsid w:val="006939B4"/>
    <w:rsid w:val="00693D10"/>
    <w:rsid w:val="00693D17"/>
    <w:rsid w:val="006942AB"/>
    <w:rsid w:val="0069437A"/>
    <w:rsid w:val="006943E8"/>
    <w:rsid w:val="00694658"/>
    <w:rsid w:val="006947ED"/>
    <w:rsid w:val="0069487C"/>
    <w:rsid w:val="00694E0E"/>
    <w:rsid w:val="00694F39"/>
    <w:rsid w:val="00695024"/>
    <w:rsid w:val="006951C2"/>
    <w:rsid w:val="006953A5"/>
    <w:rsid w:val="006956D5"/>
    <w:rsid w:val="0069587C"/>
    <w:rsid w:val="00695A15"/>
    <w:rsid w:val="00695AED"/>
    <w:rsid w:val="00695B0F"/>
    <w:rsid w:val="00695C41"/>
    <w:rsid w:val="006964EE"/>
    <w:rsid w:val="00696518"/>
    <w:rsid w:val="00696594"/>
    <w:rsid w:val="0069669D"/>
    <w:rsid w:val="006967BB"/>
    <w:rsid w:val="00696A43"/>
    <w:rsid w:val="00696C75"/>
    <w:rsid w:val="00696D26"/>
    <w:rsid w:val="00696EC5"/>
    <w:rsid w:val="00697001"/>
    <w:rsid w:val="006972F9"/>
    <w:rsid w:val="006973CF"/>
    <w:rsid w:val="00697909"/>
    <w:rsid w:val="006979FF"/>
    <w:rsid w:val="00697C4C"/>
    <w:rsid w:val="00697C6E"/>
    <w:rsid w:val="00697D67"/>
    <w:rsid w:val="00697F5E"/>
    <w:rsid w:val="006A08FE"/>
    <w:rsid w:val="006A0EDB"/>
    <w:rsid w:val="006A0F2A"/>
    <w:rsid w:val="006A120A"/>
    <w:rsid w:val="006A16F0"/>
    <w:rsid w:val="006A1C44"/>
    <w:rsid w:val="006A201A"/>
    <w:rsid w:val="006A20B3"/>
    <w:rsid w:val="006A25B7"/>
    <w:rsid w:val="006A27A8"/>
    <w:rsid w:val="006A2A54"/>
    <w:rsid w:val="006A2D90"/>
    <w:rsid w:val="006A2E25"/>
    <w:rsid w:val="006A30A7"/>
    <w:rsid w:val="006A3212"/>
    <w:rsid w:val="006A32C0"/>
    <w:rsid w:val="006A3399"/>
    <w:rsid w:val="006A34D0"/>
    <w:rsid w:val="006A35B1"/>
    <w:rsid w:val="006A3620"/>
    <w:rsid w:val="006A3A5B"/>
    <w:rsid w:val="006A3A5F"/>
    <w:rsid w:val="006A3C18"/>
    <w:rsid w:val="006A3E9F"/>
    <w:rsid w:val="006A40EF"/>
    <w:rsid w:val="006A4510"/>
    <w:rsid w:val="006A4641"/>
    <w:rsid w:val="006A4645"/>
    <w:rsid w:val="006A4754"/>
    <w:rsid w:val="006A483B"/>
    <w:rsid w:val="006A484E"/>
    <w:rsid w:val="006A4BA1"/>
    <w:rsid w:val="006A4BB4"/>
    <w:rsid w:val="006A4C55"/>
    <w:rsid w:val="006A4F89"/>
    <w:rsid w:val="006A539B"/>
    <w:rsid w:val="006A5521"/>
    <w:rsid w:val="006A556D"/>
    <w:rsid w:val="006A58FE"/>
    <w:rsid w:val="006A5AEC"/>
    <w:rsid w:val="006A5B73"/>
    <w:rsid w:val="006A616F"/>
    <w:rsid w:val="006A63BD"/>
    <w:rsid w:val="006A63C9"/>
    <w:rsid w:val="006A6426"/>
    <w:rsid w:val="006A64D1"/>
    <w:rsid w:val="006A6741"/>
    <w:rsid w:val="006A680E"/>
    <w:rsid w:val="006A6A16"/>
    <w:rsid w:val="006A6B37"/>
    <w:rsid w:val="006A6DD3"/>
    <w:rsid w:val="006A7029"/>
    <w:rsid w:val="006A72AD"/>
    <w:rsid w:val="006A7461"/>
    <w:rsid w:val="006A7464"/>
    <w:rsid w:val="006A7544"/>
    <w:rsid w:val="006A76FD"/>
    <w:rsid w:val="006A79B8"/>
    <w:rsid w:val="006A79EB"/>
    <w:rsid w:val="006A7DAB"/>
    <w:rsid w:val="006A7EAF"/>
    <w:rsid w:val="006A7EC3"/>
    <w:rsid w:val="006A7F95"/>
    <w:rsid w:val="006B002B"/>
    <w:rsid w:val="006B013C"/>
    <w:rsid w:val="006B0354"/>
    <w:rsid w:val="006B052B"/>
    <w:rsid w:val="006B05E8"/>
    <w:rsid w:val="006B0778"/>
    <w:rsid w:val="006B07A6"/>
    <w:rsid w:val="006B09EF"/>
    <w:rsid w:val="006B09F4"/>
    <w:rsid w:val="006B0A6B"/>
    <w:rsid w:val="006B0DA4"/>
    <w:rsid w:val="006B0FC4"/>
    <w:rsid w:val="006B0FE2"/>
    <w:rsid w:val="006B1617"/>
    <w:rsid w:val="006B16C7"/>
    <w:rsid w:val="006B17C5"/>
    <w:rsid w:val="006B191B"/>
    <w:rsid w:val="006B1958"/>
    <w:rsid w:val="006B1E44"/>
    <w:rsid w:val="006B20C1"/>
    <w:rsid w:val="006B22D8"/>
    <w:rsid w:val="006B2422"/>
    <w:rsid w:val="006B2462"/>
    <w:rsid w:val="006B2745"/>
    <w:rsid w:val="006B2789"/>
    <w:rsid w:val="006B286D"/>
    <w:rsid w:val="006B2988"/>
    <w:rsid w:val="006B2992"/>
    <w:rsid w:val="006B2A14"/>
    <w:rsid w:val="006B2BE2"/>
    <w:rsid w:val="006B2C5E"/>
    <w:rsid w:val="006B2E65"/>
    <w:rsid w:val="006B2F3C"/>
    <w:rsid w:val="006B32A6"/>
    <w:rsid w:val="006B3443"/>
    <w:rsid w:val="006B352A"/>
    <w:rsid w:val="006B3531"/>
    <w:rsid w:val="006B3748"/>
    <w:rsid w:val="006B3A9A"/>
    <w:rsid w:val="006B3D12"/>
    <w:rsid w:val="006B3E96"/>
    <w:rsid w:val="006B42C1"/>
    <w:rsid w:val="006B433A"/>
    <w:rsid w:val="006B49B9"/>
    <w:rsid w:val="006B49F3"/>
    <w:rsid w:val="006B4B68"/>
    <w:rsid w:val="006B4C50"/>
    <w:rsid w:val="006B50AB"/>
    <w:rsid w:val="006B52C7"/>
    <w:rsid w:val="006B532D"/>
    <w:rsid w:val="006B5335"/>
    <w:rsid w:val="006B5371"/>
    <w:rsid w:val="006B54A9"/>
    <w:rsid w:val="006B54F9"/>
    <w:rsid w:val="006B55F6"/>
    <w:rsid w:val="006B5AC8"/>
    <w:rsid w:val="006B5D66"/>
    <w:rsid w:val="006B5DFA"/>
    <w:rsid w:val="006B5EF3"/>
    <w:rsid w:val="006B5F11"/>
    <w:rsid w:val="006B62E7"/>
    <w:rsid w:val="006B6300"/>
    <w:rsid w:val="006B6339"/>
    <w:rsid w:val="006B6427"/>
    <w:rsid w:val="006B64E7"/>
    <w:rsid w:val="006B67CE"/>
    <w:rsid w:val="006B6A11"/>
    <w:rsid w:val="006B6B9A"/>
    <w:rsid w:val="006B6DD3"/>
    <w:rsid w:val="006B6E02"/>
    <w:rsid w:val="006B701F"/>
    <w:rsid w:val="006B73D3"/>
    <w:rsid w:val="006B7423"/>
    <w:rsid w:val="006B75A7"/>
    <w:rsid w:val="006B76D6"/>
    <w:rsid w:val="006B780E"/>
    <w:rsid w:val="006B7E86"/>
    <w:rsid w:val="006B7ED0"/>
    <w:rsid w:val="006C01B0"/>
    <w:rsid w:val="006C0398"/>
    <w:rsid w:val="006C087B"/>
    <w:rsid w:val="006C09D8"/>
    <w:rsid w:val="006C0B52"/>
    <w:rsid w:val="006C0C3D"/>
    <w:rsid w:val="006C1183"/>
    <w:rsid w:val="006C151F"/>
    <w:rsid w:val="006C1610"/>
    <w:rsid w:val="006C173D"/>
    <w:rsid w:val="006C1999"/>
    <w:rsid w:val="006C1B20"/>
    <w:rsid w:val="006C1C1E"/>
    <w:rsid w:val="006C1D2E"/>
    <w:rsid w:val="006C20E3"/>
    <w:rsid w:val="006C2762"/>
    <w:rsid w:val="006C2768"/>
    <w:rsid w:val="006C28DF"/>
    <w:rsid w:val="006C2AD3"/>
    <w:rsid w:val="006C2DBF"/>
    <w:rsid w:val="006C322B"/>
    <w:rsid w:val="006C3428"/>
    <w:rsid w:val="006C349E"/>
    <w:rsid w:val="006C34A0"/>
    <w:rsid w:val="006C3670"/>
    <w:rsid w:val="006C3724"/>
    <w:rsid w:val="006C3979"/>
    <w:rsid w:val="006C39B8"/>
    <w:rsid w:val="006C3B6F"/>
    <w:rsid w:val="006C3B7F"/>
    <w:rsid w:val="006C3C57"/>
    <w:rsid w:val="006C3DE9"/>
    <w:rsid w:val="006C3E55"/>
    <w:rsid w:val="006C4018"/>
    <w:rsid w:val="006C4360"/>
    <w:rsid w:val="006C451C"/>
    <w:rsid w:val="006C460E"/>
    <w:rsid w:val="006C4695"/>
    <w:rsid w:val="006C488B"/>
    <w:rsid w:val="006C489B"/>
    <w:rsid w:val="006C48A7"/>
    <w:rsid w:val="006C48F8"/>
    <w:rsid w:val="006C4FF4"/>
    <w:rsid w:val="006C537E"/>
    <w:rsid w:val="006C54B5"/>
    <w:rsid w:val="006C5680"/>
    <w:rsid w:val="006C590B"/>
    <w:rsid w:val="006C59A7"/>
    <w:rsid w:val="006C5B1E"/>
    <w:rsid w:val="006C5C2A"/>
    <w:rsid w:val="006C5CF0"/>
    <w:rsid w:val="006C5F0C"/>
    <w:rsid w:val="006C5FAE"/>
    <w:rsid w:val="006C6050"/>
    <w:rsid w:val="006C62B7"/>
    <w:rsid w:val="006C62FF"/>
    <w:rsid w:val="006C647B"/>
    <w:rsid w:val="006C65CA"/>
    <w:rsid w:val="006C674E"/>
    <w:rsid w:val="006C6ABE"/>
    <w:rsid w:val="006C6BBC"/>
    <w:rsid w:val="006C6C00"/>
    <w:rsid w:val="006C6C63"/>
    <w:rsid w:val="006C6CEA"/>
    <w:rsid w:val="006C6E80"/>
    <w:rsid w:val="006C6FCD"/>
    <w:rsid w:val="006C705E"/>
    <w:rsid w:val="006C7425"/>
    <w:rsid w:val="006C75FA"/>
    <w:rsid w:val="006C777E"/>
    <w:rsid w:val="006C77FB"/>
    <w:rsid w:val="006C7A5B"/>
    <w:rsid w:val="006C7B81"/>
    <w:rsid w:val="006C7BEB"/>
    <w:rsid w:val="006D0060"/>
    <w:rsid w:val="006D00C7"/>
    <w:rsid w:val="006D0260"/>
    <w:rsid w:val="006D046C"/>
    <w:rsid w:val="006D0622"/>
    <w:rsid w:val="006D08AE"/>
    <w:rsid w:val="006D0A0D"/>
    <w:rsid w:val="006D0C69"/>
    <w:rsid w:val="006D0D19"/>
    <w:rsid w:val="006D0EF4"/>
    <w:rsid w:val="006D0F7D"/>
    <w:rsid w:val="006D1055"/>
    <w:rsid w:val="006D1057"/>
    <w:rsid w:val="006D113D"/>
    <w:rsid w:val="006D1228"/>
    <w:rsid w:val="006D129B"/>
    <w:rsid w:val="006D12E5"/>
    <w:rsid w:val="006D16D0"/>
    <w:rsid w:val="006D16F5"/>
    <w:rsid w:val="006D1863"/>
    <w:rsid w:val="006D1B69"/>
    <w:rsid w:val="006D1D72"/>
    <w:rsid w:val="006D202F"/>
    <w:rsid w:val="006D231D"/>
    <w:rsid w:val="006D26A6"/>
    <w:rsid w:val="006D26D7"/>
    <w:rsid w:val="006D283B"/>
    <w:rsid w:val="006D2BA6"/>
    <w:rsid w:val="006D2E18"/>
    <w:rsid w:val="006D322D"/>
    <w:rsid w:val="006D388E"/>
    <w:rsid w:val="006D38D5"/>
    <w:rsid w:val="006D3A47"/>
    <w:rsid w:val="006D3C7A"/>
    <w:rsid w:val="006D3C9B"/>
    <w:rsid w:val="006D3F5F"/>
    <w:rsid w:val="006D4458"/>
    <w:rsid w:val="006D4464"/>
    <w:rsid w:val="006D44B2"/>
    <w:rsid w:val="006D4512"/>
    <w:rsid w:val="006D4557"/>
    <w:rsid w:val="006D45C6"/>
    <w:rsid w:val="006D46AA"/>
    <w:rsid w:val="006D4A1C"/>
    <w:rsid w:val="006D4C58"/>
    <w:rsid w:val="006D4C60"/>
    <w:rsid w:val="006D4E3D"/>
    <w:rsid w:val="006D543C"/>
    <w:rsid w:val="006D544D"/>
    <w:rsid w:val="006D54F5"/>
    <w:rsid w:val="006D5758"/>
    <w:rsid w:val="006D575A"/>
    <w:rsid w:val="006D5DE5"/>
    <w:rsid w:val="006D5F23"/>
    <w:rsid w:val="006D5F4A"/>
    <w:rsid w:val="006D5FC0"/>
    <w:rsid w:val="006D6395"/>
    <w:rsid w:val="006D63AC"/>
    <w:rsid w:val="006D6410"/>
    <w:rsid w:val="006D667D"/>
    <w:rsid w:val="006D6997"/>
    <w:rsid w:val="006D6A9C"/>
    <w:rsid w:val="006D6B28"/>
    <w:rsid w:val="006D6D22"/>
    <w:rsid w:val="006D6EA9"/>
    <w:rsid w:val="006D7014"/>
    <w:rsid w:val="006D7108"/>
    <w:rsid w:val="006D7159"/>
    <w:rsid w:val="006D734F"/>
    <w:rsid w:val="006D7399"/>
    <w:rsid w:val="006D742D"/>
    <w:rsid w:val="006D74A3"/>
    <w:rsid w:val="006D779D"/>
    <w:rsid w:val="006D7CB2"/>
    <w:rsid w:val="006D7D99"/>
    <w:rsid w:val="006D7F43"/>
    <w:rsid w:val="006D7F82"/>
    <w:rsid w:val="006E0260"/>
    <w:rsid w:val="006E066B"/>
    <w:rsid w:val="006E06ED"/>
    <w:rsid w:val="006E079F"/>
    <w:rsid w:val="006E0CC9"/>
    <w:rsid w:val="006E0D2F"/>
    <w:rsid w:val="006E0E9A"/>
    <w:rsid w:val="006E0ED9"/>
    <w:rsid w:val="006E0F29"/>
    <w:rsid w:val="006E0F4A"/>
    <w:rsid w:val="006E108A"/>
    <w:rsid w:val="006E118A"/>
    <w:rsid w:val="006E12C1"/>
    <w:rsid w:val="006E1321"/>
    <w:rsid w:val="006E1488"/>
    <w:rsid w:val="006E1499"/>
    <w:rsid w:val="006E16DB"/>
    <w:rsid w:val="006E1760"/>
    <w:rsid w:val="006E17E5"/>
    <w:rsid w:val="006E1B45"/>
    <w:rsid w:val="006E1CB0"/>
    <w:rsid w:val="006E1CD8"/>
    <w:rsid w:val="006E1D10"/>
    <w:rsid w:val="006E1FA0"/>
    <w:rsid w:val="006E2229"/>
    <w:rsid w:val="006E2643"/>
    <w:rsid w:val="006E26E5"/>
    <w:rsid w:val="006E272C"/>
    <w:rsid w:val="006E2D50"/>
    <w:rsid w:val="006E3012"/>
    <w:rsid w:val="006E338E"/>
    <w:rsid w:val="006E348C"/>
    <w:rsid w:val="006E3707"/>
    <w:rsid w:val="006E372D"/>
    <w:rsid w:val="006E3A7E"/>
    <w:rsid w:val="006E3AFB"/>
    <w:rsid w:val="006E3D4A"/>
    <w:rsid w:val="006E3DF7"/>
    <w:rsid w:val="006E3E9E"/>
    <w:rsid w:val="006E3EFA"/>
    <w:rsid w:val="006E4350"/>
    <w:rsid w:val="006E445D"/>
    <w:rsid w:val="006E4521"/>
    <w:rsid w:val="006E456F"/>
    <w:rsid w:val="006E480E"/>
    <w:rsid w:val="006E488C"/>
    <w:rsid w:val="006E498A"/>
    <w:rsid w:val="006E4A2C"/>
    <w:rsid w:val="006E4A8E"/>
    <w:rsid w:val="006E4AFB"/>
    <w:rsid w:val="006E4B75"/>
    <w:rsid w:val="006E4CA7"/>
    <w:rsid w:val="006E4EC0"/>
    <w:rsid w:val="006E4EE7"/>
    <w:rsid w:val="006E500E"/>
    <w:rsid w:val="006E505E"/>
    <w:rsid w:val="006E523B"/>
    <w:rsid w:val="006E5289"/>
    <w:rsid w:val="006E5348"/>
    <w:rsid w:val="006E5357"/>
    <w:rsid w:val="006E54D8"/>
    <w:rsid w:val="006E5590"/>
    <w:rsid w:val="006E5B97"/>
    <w:rsid w:val="006E5D4E"/>
    <w:rsid w:val="006E60F3"/>
    <w:rsid w:val="006E62EB"/>
    <w:rsid w:val="006E63AA"/>
    <w:rsid w:val="006E6591"/>
    <w:rsid w:val="006E6676"/>
    <w:rsid w:val="006E66BC"/>
    <w:rsid w:val="006E67CB"/>
    <w:rsid w:val="006E6964"/>
    <w:rsid w:val="006E6BB0"/>
    <w:rsid w:val="006E6DDD"/>
    <w:rsid w:val="006E6EFF"/>
    <w:rsid w:val="006E6F45"/>
    <w:rsid w:val="006E7032"/>
    <w:rsid w:val="006E7416"/>
    <w:rsid w:val="006E7644"/>
    <w:rsid w:val="006E774F"/>
    <w:rsid w:val="006E79F0"/>
    <w:rsid w:val="006E7A19"/>
    <w:rsid w:val="006E7BB1"/>
    <w:rsid w:val="006E7C9D"/>
    <w:rsid w:val="006E7E99"/>
    <w:rsid w:val="006E7EB2"/>
    <w:rsid w:val="006F01D0"/>
    <w:rsid w:val="006F01E7"/>
    <w:rsid w:val="006F0753"/>
    <w:rsid w:val="006F0900"/>
    <w:rsid w:val="006F0AB4"/>
    <w:rsid w:val="006F0BFA"/>
    <w:rsid w:val="006F0E87"/>
    <w:rsid w:val="006F0FD2"/>
    <w:rsid w:val="006F13D1"/>
    <w:rsid w:val="006F14FF"/>
    <w:rsid w:val="006F187B"/>
    <w:rsid w:val="006F1AF5"/>
    <w:rsid w:val="006F1F81"/>
    <w:rsid w:val="006F2129"/>
    <w:rsid w:val="006F2214"/>
    <w:rsid w:val="006F236E"/>
    <w:rsid w:val="006F23B5"/>
    <w:rsid w:val="006F23C1"/>
    <w:rsid w:val="006F252D"/>
    <w:rsid w:val="006F2533"/>
    <w:rsid w:val="006F2580"/>
    <w:rsid w:val="006F2680"/>
    <w:rsid w:val="006F2914"/>
    <w:rsid w:val="006F2A0C"/>
    <w:rsid w:val="006F2A20"/>
    <w:rsid w:val="006F2BDD"/>
    <w:rsid w:val="006F2BFB"/>
    <w:rsid w:val="006F2CF8"/>
    <w:rsid w:val="006F2DA3"/>
    <w:rsid w:val="006F2DEF"/>
    <w:rsid w:val="006F2E99"/>
    <w:rsid w:val="006F30A5"/>
    <w:rsid w:val="006F313E"/>
    <w:rsid w:val="006F3299"/>
    <w:rsid w:val="006F33CD"/>
    <w:rsid w:val="006F33DC"/>
    <w:rsid w:val="006F3544"/>
    <w:rsid w:val="006F35D9"/>
    <w:rsid w:val="006F35DD"/>
    <w:rsid w:val="006F37CE"/>
    <w:rsid w:val="006F3801"/>
    <w:rsid w:val="006F39CB"/>
    <w:rsid w:val="006F3A4F"/>
    <w:rsid w:val="006F3C52"/>
    <w:rsid w:val="006F3EA5"/>
    <w:rsid w:val="006F4071"/>
    <w:rsid w:val="006F4143"/>
    <w:rsid w:val="006F4235"/>
    <w:rsid w:val="006F429D"/>
    <w:rsid w:val="006F42A9"/>
    <w:rsid w:val="006F443C"/>
    <w:rsid w:val="006F45EA"/>
    <w:rsid w:val="006F469E"/>
    <w:rsid w:val="006F47D7"/>
    <w:rsid w:val="006F4AF8"/>
    <w:rsid w:val="006F4CCE"/>
    <w:rsid w:val="006F4DEB"/>
    <w:rsid w:val="006F4E73"/>
    <w:rsid w:val="006F4F0E"/>
    <w:rsid w:val="006F52AD"/>
    <w:rsid w:val="006F5364"/>
    <w:rsid w:val="006F53CB"/>
    <w:rsid w:val="006F548E"/>
    <w:rsid w:val="006F57A2"/>
    <w:rsid w:val="006F58B9"/>
    <w:rsid w:val="006F5950"/>
    <w:rsid w:val="006F5999"/>
    <w:rsid w:val="006F5C88"/>
    <w:rsid w:val="006F5CB1"/>
    <w:rsid w:val="006F5E43"/>
    <w:rsid w:val="006F5E9C"/>
    <w:rsid w:val="006F5FB5"/>
    <w:rsid w:val="006F612B"/>
    <w:rsid w:val="006F61B6"/>
    <w:rsid w:val="006F6445"/>
    <w:rsid w:val="006F66DB"/>
    <w:rsid w:val="006F6EE5"/>
    <w:rsid w:val="006F6F8B"/>
    <w:rsid w:val="006F6FE7"/>
    <w:rsid w:val="006F7107"/>
    <w:rsid w:val="006F740F"/>
    <w:rsid w:val="006F7428"/>
    <w:rsid w:val="006F74B6"/>
    <w:rsid w:val="006F77F6"/>
    <w:rsid w:val="006F7ABD"/>
    <w:rsid w:val="00700107"/>
    <w:rsid w:val="0070030D"/>
    <w:rsid w:val="00700505"/>
    <w:rsid w:val="00700695"/>
    <w:rsid w:val="007007BF"/>
    <w:rsid w:val="00700C33"/>
    <w:rsid w:val="00700DE3"/>
    <w:rsid w:val="00700E5F"/>
    <w:rsid w:val="00701111"/>
    <w:rsid w:val="0070122E"/>
    <w:rsid w:val="00701364"/>
    <w:rsid w:val="007013A4"/>
    <w:rsid w:val="00701468"/>
    <w:rsid w:val="00701592"/>
    <w:rsid w:val="00701791"/>
    <w:rsid w:val="0070179D"/>
    <w:rsid w:val="0070198F"/>
    <w:rsid w:val="007019AF"/>
    <w:rsid w:val="007019B6"/>
    <w:rsid w:val="00701A60"/>
    <w:rsid w:val="00701C4F"/>
    <w:rsid w:val="007020BE"/>
    <w:rsid w:val="0070216A"/>
    <w:rsid w:val="00702292"/>
    <w:rsid w:val="0070248A"/>
    <w:rsid w:val="007025D6"/>
    <w:rsid w:val="0070266D"/>
    <w:rsid w:val="00702B35"/>
    <w:rsid w:val="00702C4C"/>
    <w:rsid w:val="00702C9C"/>
    <w:rsid w:val="00702DA2"/>
    <w:rsid w:val="00702DAB"/>
    <w:rsid w:val="00702EF2"/>
    <w:rsid w:val="007030FC"/>
    <w:rsid w:val="007035AE"/>
    <w:rsid w:val="007038A0"/>
    <w:rsid w:val="00703993"/>
    <w:rsid w:val="00703B85"/>
    <w:rsid w:val="00703BDE"/>
    <w:rsid w:val="00703C52"/>
    <w:rsid w:val="00703E73"/>
    <w:rsid w:val="00703EB8"/>
    <w:rsid w:val="00703ED2"/>
    <w:rsid w:val="00703F3D"/>
    <w:rsid w:val="007040A9"/>
    <w:rsid w:val="00704592"/>
    <w:rsid w:val="007047D7"/>
    <w:rsid w:val="007049D4"/>
    <w:rsid w:val="00704F99"/>
    <w:rsid w:val="007051CE"/>
    <w:rsid w:val="0070529C"/>
    <w:rsid w:val="0070547B"/>
    <w:rsid w:val="007054F4"/>
    <w:rsid w:val="0070574A"/>
    <w:rsid w:val="00705BBF"/>
    <w:rsid w:val="00705CF7"/>
    <w:rsid w:val="00705E07"/>
    <w:rsid w:val="00705EC1"/>
    <w:rsid w:val="00705FD3"/>
    <w:rsid w:val="0070621B"/>
    <w:rsid w:val="0070630C"/>
    <w:rsid w:val="007063DD"/>
    <w:rsid w:val="007064DD"/>
    <w:rsid w:val="0070658D"/>
    <w:rsid w:val="0070660A"/>
    <w:rsid w:val="007066AF"/>
    <w:rsid w:val="00706B15"/>
    <w:rsid w:val="00706BB1"/>
    <w:rsid w:val="00706C1D"/>
    <w:rsid w:val="00706C36"/>
    <w:rsid w:val="00706D9F"/>
    <w:rsid w:val="00706F40"/>
    <w:rsid w:val="00706F52"/>
    <w:rsid w:val="00707055"/>
    <w:rsid w:val="00707079"/>
    <w:rsid w:val="0070713A"/>
    <w:rsid w:val="007072CB"/>
    <w:rsid w:val="00707357"/>
    <w:rsid w:val="00707362"/>
    <w:rsid w:val="00707585"/>
    <w:rsid w:val="0070765D"/>
    <w:rsid w:val="007078E1"/>
    <w:rsid w:val="007078EF"/>
    <w:rsid w:val="00707908"/>
    <w:rsid w:val="00707911"/>
    <w:rsid w:val="00707988"/>
    <w:rsid w:val="00707A5B"/>
    <w:rsid w:val="00707AD4"/>
    <w:rsid w:val="00707AF1"/>
    <w:rsid w:val="00707BD5"/>
    <w:rsid w:val="00707F72"/>
    <w:rsid w:val="0071005F"/>
    <w:rsid w:val="007100BF"/>
    <w:rsid w:val="00710233"/>
    <w:rsid w:val="00710287"/>
    <w:rsid w:val="007103EC"/>
    <w:rsid w:val="0071075C"/>
    <w:rsid w:val="0071094D"/>
    <w:rsid w:val="00710A5F"/>
    <w:rsid w:val="00710ACE"/>
    <w:rsid w:val="00710B67"/>
    <w:rsid w:val="00711078"/>
    <w:rsid w:val="00711185"/>
    <w:rsid w:val="0071151C"/>
    <w:rsid w:val="007116FD"/>
    <w:rsid w:val="007118BA"/>
    <w:rsid w:val="00711C70"/>
    <w:rsid w:val="007120C2"/>
    <w:rsid w:val="0071245B"/>
    <w:rsid w:val="007124E8"/>
    <w:rsid w:val="0071287E"/>
    <w:rsid w:val="0071294D"/>
    <w:rsid w:val="00712A19"/>
    <w:rsid w:val="00712CC8"/>
    <w:rsid w:val="00712D90"/>
    <w:rsid w:val="00712EA3"/>
    <w:rsid w:val="007131F1"/>
    <w:rsid w:val="0071323A"/>
    <w:rsid w:val="007134CA"/>
    <w:rsid w:val="00713614"/>
    <w:rsid w:val="007136D6"/>
    <w:rsid w:val="007137CF"/>
    <w:rsid w:val="007138E6"/>
    <w:rsid w:val="007139F4"/>
    <w:rsid w:val="00713A2B"/>
    <w:rsid w:val="00713B2A"/>
    <w:rsid w:val="00713DBC"/>
    <w:rsid w:val="00714340"/>
    <w:rsid w:val="00714441"/>
    <w:rsid w:val="007146F9"/>
    <w:rsid w:val="00714DD6"/>
    <w:rsid w:val="00715074"/>
    <w:rsid w:val="007152F1"/>
    <w:rsid w:val="007156D6"/>
    <w:rsid w:val="007157A9"/>
    <w:rsid w:val="007159B7"/>
    <w:rsid w:val="007159E4"/>
    <w:rsid w:val="00715B63"/>
    <w:rsid w:val="00715BE0"/>
    <w:rsid w:val="00715D3D"/>
    <w:rsid w:val="00715E09"/>
    <w:rsid w:val="0071605A"/>
    <w:rsid w:val="0071614B"/>
    <w:rsid w:val="0071627E"/>
    <w:rsid w:val="007162A3"/>
    <w:rsid w:val="00716329"/>
    <w:rsid w:val="0071632A"/>
    <w:rsid w:val="007168EA"/>
    <w:rsid w:val="00716C30"/>
    <w:rsid w:val="00716DE0"/>
    <w:rsid w:val="00716E6B"/>
    <w:rsid w:val="00716F15"/>
    <w:rsid w:val="0071707C"/>
    <w:rsid w:val="007177B7"/>
    <w:rsid w:val="0071787C"/>
    <w:rsid w:val="0071787F"/>
    <w:rsid w:val="00717924"/>
    <w:rsid w:val="00717952"/>
    <w:rsid w:val="0071797D"/>
    <w:rsid w:val="00717998"/>
    <w:rsid w:val="007179C5"/>
    <w:rsid w:val="007179F3"/>
    <w:rsid w:val="00717AF7"/>
    <w:rsid w:val="00717D8D"/>
    <w:rsid w:val="00717FFE"/>
    <w:rsid w:val="0072017C"/>
    <w:rsid w:val="007203C3"/>
    <w:rsid w:val="0072055A"/>
    <w:rsid w:val="007205BA"/>
    <w:rsid w:val="00720770"/>
    <w:rsid w:val="0072080A"/>
    <w:rsid w:val="00720ACE"/>
    <w:rsid w:val="00720EE4"/>
    <w:rsid w:val="00721087"/>
    <w:rsid w:val="00721209"/>
    <w:rsid w:val="007214B7"/>
    <w:rsid w:val="00721564"/>
    <w:rsid w:val="007219E2"/>
    <w:rsid w:val="00721ABB"/>
    <w:rsid w:val="00721C61"/>
    <w:rsid w:val="00721CCA"/>
    <w:rsid w:val="00721D00"/>
    <w:rsid w:val="00721DD9"/>
    <w:rsid w:val="00721E8F"/>
    <w:rsid w:val="00721EA9"/>
    <w:rsid w:val="00721F28"/>
    <w:rsid w:val="007220AB"/>
    <w:rsid w:val="00722179"/>
    <w:rsid w:val="007222D0"/>
    <w:rsid w:val="00722386"/>
    <w:rsid w:val="007226D9"/>
    <w:rsid w:val="007228DF"/>
    <w:rsid w:val="007229A4"/>
    <w:rsid w:val="007229F2"/>
    <w:rsid w:val="00722D1E"/>
    <w:rsid w:val="00723187"/>
    <w:rsid w:val="007231B0"/>
    <w:rsid w:val="007231B9"/>
    <w:rsid w:val="0072321A"/>
    <w:rsid w:val="00723570"/>
    <w:rsid w:val="0072360D"/>
    <w:rsid w:val="00723655"/>
    <w:rsid w:val="007237FC"/>
    <w:rsid w:val="00723997"/>
    <w:rsid w:val="00723A50"/>
    <w:rsid w:val="00723C03"/>
    <w:rsid w:val="00723C4E"/>
    <w:rsid w:val="00723E16"/>
    <w:rsid w:val="007242AD"/>
    <w:rsid w:val="007244FC"/>
    <w:rsid w:val="007247CC"/>
    <w:rsid w:val="00724839"/>
    <w:rsid w:val="00724D10"/>
    <w:rsid w:val="00724DA9"/>
    <w:rsid w:val="00724E7C"/>
    <w:rsid w:val="00725440"/>
    <w:rsid w:val="007254C8"/>
    <w:rsid w:val="00725874"/>
    <w:rsid w:val="00725A0E"/>
    <w:rsid w:val="00725D34"/>
    <w:rsid w:val="00725D4C"/>
    <w:rsid w:val="00725F48"/>
    <w:rsid w:val="00725F8F"/>
    <w:rsid w:val="00726097"/>
    <w:rsid w:val="007260CB"/>
    <w:rsid w:val="007260D3"/>
    <w:rsid w:val="0072612D"/>
    <w:rsid w:val="00726148"/>
    <w:rsid w:val="00726933"/>
    <w:rsid w:val="00726D2A"/>
    <w:rsid w:val="00726DB7"/>
    <w:rsid w:val="00726E4A"/>
    <w:rsid w:val="00727324"/>
    <w:rsid w:val="00727979"/>
    <w:rsid w:val="00727BAC"/>
    <w:rsid w:val="00727D62"/>
    <w:rsid w:val="00727F6C"/>
    <w:rsid w:val="00727FEA"/>
    <w:rsid w:val="0073005A"/>
    <w:rsid w:val="007301BA"/>
    <w:rsid w:val="00730360"/>
    <w:rsid w:val="00730391"/>
    <w:rsid w:val="00730696"/>
    <w:rsid w:val="007307A9"/>
    <w:rsid w:val="007307F4"/>
    <w:rsid w:val="00730AB7"/>
    <w:rsid w:val="00730EBF"/>
    <w:rsid w:val="00730ECF"/>
    <w:rsid w:val="00730FD9"/>
    <w:rsid w:val="00731069"/>
    <w:rsid w:val="007315CF"/>
    <w:rsid w:val="00731A8C"/>
    <w:rsid w:val="00731C83"/>
    <w:rsid w:val="00731D2E"/>
    <w:rsid w:val="00731D30"/>
    <w:rsid w:val="00731DC0"/>
    <w:rsid w:val="00731F8B"/>
    <w:rsid w:val="00732012"/>
    <w:rsid w:val="007321D2"/>
    <w:rsid w:val="00732229"/>
    <w:rsid w:val="007322A1"/>
    <w:rsid w:val="007324CE"/>
    <w:rsid w:val="0073265E"/>
    <w:rsid w:val="00732C51"/>
    <w:rsid w:val="00732CBC"/>
    <w:rsid w:val="0073321A"/>
    <w:rsid w:val="00733318"/>
    <w:rsid w:val="00733387"/>
    <w:rsid w:val="00733683"/>
    <w:rsid w:val="0073375F"/>
    <w:rsid w:val="007337E8"/>
    <w:rsid w:val="00733867"/>
    <w:rsid w:val="00733BB9"/>
    <w:rsid w:val="00733C02"/>
    <w:rsid w:val="00733DB9"/>
    <w:rsid w:val="00733DBC"/>
    <w:rsid w:val="0073401D"/>
    <w:rsid w:val="007340CA"/>
    <w:rsid w:val="00734320"/>
    <w:rsid w:val="0073434C"/>
    <w:rsid w:val="007345D7"/>
    <w:rsid w:val="0073461C"/>
    <w:rsid w:val="0073463B"/>
    <w:rsid w:val="007347B5"/>
    <w:rsid w:val="0073491A"/>
    <w:rsid w:val="007349D4"/>
    <w:rsid w:val="00734A90"/>
    <w:rsid w:val="00734AD6"/>
    <w:rsid w:val="00734C4E"/>
    <w:rsid w:val="00734CC8"/>
    <w:rsid w:val="00735087"/>
    <w:rsid w:val="007350D2"/>
    <w:rsid w:val="007350D9"/>
    <w:rsid w:val="00735126"/>
    <w:rsid w:val="00735351"/>
    <w:rsid w:val="0073538C"/>
    <w:rsid w:val="007355A2"/>
    <w:rsid w:val="00735628"/>
    <w:rsid w:val="00735815"/>
    <w:rsid w:val="00735849"/>
    <w:rsid w:val="00735861"/>
    <w:rsid w:val="0073594C"/>
    <w:rsid w:val="00735994"/>
    <w:rsid w:val="00735A41"/>
    <w:rsid w:val="00735C3C"/>
    <w:rsid w:val="00735D99"/>
    <w:rsid w:val="00735E29"/>
    <w:rsid w:val="007361DA"/>
    <w:rsid w:val="0073625A"/>
    <w:rsid w:val="00736380"/>
    <w:rsid w:val="0073643A"/>
    <w:rsid w:val="007366C7"/>
    <w:rsid w:val="007367D2"/>
    <w:rsid w:val="00736868"/>
    <w:rsid w:val="00736906"/>
    <w:rsid w:val="00736F5B"/>
    <w:rsid w:val="00737063"/>
    <w:rsid w:val="0073786B"/>
    <w:rsid w:val="00737AA4"/>
    <w:rsid w:val="00737C4D"/>
    <w:rsid w:val="00737C53"/>
    <w:rsid w:val="00737E59"/>
    <w:rsid w:val="00737FF4"/>
    <w:rsid w:val="00740304"/>
    <w:rsid w:val="00740652"/>
    <w:rsid w:val="007407AA"/>
    <w:rsid w:val="00740A6C"/>
    <w:rsid w:val="00740D3E"/>
    <w:rsid w:val="00740E79"/>
    <w:rsid w:val="00740F27"/>
    <w:rsid w:val="007410E6"/>
    <w:rsid w:val="00741222"/>
    <w:rsid w:val="007412B6"/>
    <w:rsid w:val="007412D7"/>
    <w:rsid w:val="00741417"/>
    <w:rsid w:val="0074153A"/>
    <w:rsid w:val="0074157F"/>
    <w:rsid w:val="00741606"/>
    <w:rsid w:val="00741732"/>
    <w:rsid w:val="0074176D"/>
    <w:rsid w:val="007417AD"/>
    <w:rsid w:val="007418CA"/>
    <w:rsid w:val="007418DF"/>
    <w:rsid w:val="00741976"/>
    <w:rsid w:val="00741F74"/>
    <w:rsid w:val="007420BE"/>
    <w:rsid w:val="00742206"/>
    <w:rsid w:val="007422FB"/>
    <w:rsid w:val="0074246A"/>
    <w:rsid w:val="0074255B"/>
    <w:rsid w:val="0074271A"/>
    <w:rsid w:val="00742A21"/>
    <w:rsid w:val="00742C7B"/>
    <w:rsid w:val="00742F3C"/>
    <w:rsid w:val="007430F2"/>
    <w:rsid w:val="007433F7"/>
    <w:rsid w:val="0074358E"/>
    <w:rsid w:val="0074377B"/>
    <w:rsid w:val="00743952"/>
    <w:rsid w:val="00743BA6"/>
    <w:rsid w:val="00743DBF"/>
    <w:rsid w:val="00743EF9"/>
    <w:rsid w:val="007442F1"/>
    <w:rsid w:val="0074461D"/>
    <w:rsid w:val="00744854"/>
    <w:rsid w:val="00744899"/>
    <w:rsid w:val="00744DE2"/>
    <w:rsid w:val="00744EA0"/>
    <w:rsid w:val="007450B1"/>
    <w:rsid w:val="007454C2"/>
    <w:rsid w:val="007456DA"/>
    <w:rsid w:val="0074583C"/>
    <w:rsid w:val="0074590D"/>
    <w:rsid w:val="00745DEF"/>
    <w:rsid w:val="00745E5B"/>
    <w:rsid w:val="00746050"/>
    <w:rsid w:val="007460B0"/>
    <w:rsid w:val="00746117"/>
    <w:rsid w:val="007462EC"/>
    <w:rsid w:val="00746B9B"/>
    <w:rsid w:val="00746D2F"/>
    <w:rsid w:val="00746E15"/>
    <w:rsid w:val="00746FAD"/>
    <w:rsid w:val="007470A6"/>
    <w:rsid w:val="00747636"/>
    <w:rsid w:val="007477B5"/>
    <w:rsid w:val="00747908"/>
    <w:rsid w:val="00747C90"/>
    <w:rsid w:val="00747D1C"/>
    <w:rsid w:val="00747D21"/>
    <w:rsid w:val="00747D62"/>
    <w:rsid w:val="00747E5C"/>
    <w:rsid w:val="00747EEE"/>
    <w:rsid w:val="00747F74"/>
    <w:rsid w:val="00747FEF"/>
    <w:rsid w:val="007500AF"/>
    <w:rsid w:val="0075026D"/>
    <w:rsid w:val="007503F3"/>
    <w:rsid w:val="0075047C"/>
    <w:rsid w:val="00750490"/>
    <w:rsid w:val="00750503"/>
    <w:rsid w:val="007505EA"/>
    <w:rsid w:val="007505EF"/>
    <w:rsid w:val="007506EE"/>
    <w:rsid w:val="00750845"/>
    <w:rsid w:val="00750AF8"/>
    <w:rsid w:val="00750B51"/>
    <w:rsid w:val="00750E31"/>
    <w:rsid w:val="00750E54"/>
    <w:rsid w:val="00750F5B"/>
    <w:rsid w:val="00750F77"/>
    <w:rsid w:val="00750FE9"/>
    <w:rsid w:val="00751052"/>
    <w:rsid w:val="007510FD"/>
    <w:rsid w:val="0075128C"/>
    <w:rsid w:val="007512BA"/>
    <w:rsid w:val="00751404"/>
    <w:rsid w:val="00751544"/>
    <w:rsid w:val="00751582"/>
    <w:rsid w:val="007515D2"/>
    <w:rsid w:val="007515FA"/>
    <w:rsid w:val="00751776"/>
    <w:rsid w:val="00751B23"/>
    <w:rsid w:val="00751C04"/>
    <w:rsid w:val="00751C5B"/>
    <w:rsid w:val="00751C66"/>
    <w:rsid w:val="00751C97"/>
    <w:rsid w:val="00751D30"/>
    <w:rsid w:val="00751F60"/>
    <w:rsid w:val="00752290"/>
    <w:rsid w:val="0075231E"/>
    <w:rsid w:val="007523BF"/>
    <w:rsid w:val="0075255B"/>
    <w:rsid w:val="007527AE"/>
    <w:rsid w:val="0075288A"/>
    <w:rsid w:val="007529A3"/>
    <w:rsid w:val="00752A88"/>
    <w:rsid w:val="00752B65"/>
    <w:rsid w:val="00752C10"/>
    <w:rsid w:val="00752DEB"/>
    <w:rsid w:val="007530BA"/>
    <w:rsid w:val="0075329A"/>
    <w:rsid w:val="00753410"/>
    <w:rsid w:val="007535AD"/>
    <w:rsid w:val="00753750"/>
    <w:rsid w:val="00753810"/>
    <w:rsid w:val="0075391B"/>
    <w:rsid w:val="0075398A"/>
    <w:rsid w:val="007539FD"/>
    <w:rsid w:val="00753B4A"/>
    <w:rsid w:val="00753D56"/>
    <w:rsid w:val="00753EA4"/>
    <w:rsid w:val="00754022"/>
    <w:rsid w:val="007543F9"/>
    <w:rsid w:val="00754448"/>
    <w:rsid w:val="0075467C"/>
    <w:rsid w:val="00754687"/>
    <w:rsid w:val="0075493B"/>
    <w:rsid w:val="00754947"/>
    <w:rsid w:val="007549C5"/>
    <w:rsid w:val="00754A53"/>
    <w:rsid w:val="00754EA7"/>
    <w:rsid w:val="0075534A"/>
    <w:rsid w:val="0075544F"/>
    <w:rsid w:val="007554CE"/>
    <w:rsid w:val="0075573E"/>
    <w:rsid w:val="007557F9"/>
    <w:rsid w:val="007558CB"/>
    <w:rsid w:val="007559F5"/>
    <w:rsid w:val="007559FE"/>
    <w:rsid w:val="00755CB7"/>
    <w:rsid w:val="00755CE1"/>
    <w:rsid w:val="00755CE8"/>
    <w:rsid w:val="00755F48"/>
    <w:rsid w:val="00756315"/>
    <w:rsid w:val="0075653D"/>
    <w:rsid w:val="007565BC"/>
    <w:rsid w:val="00756650"/>
    <w:rsid w:val="007566AA"/>
    <w:rsid w:val="00756814"/>
    <w:rsid w:val="0075689F"/>
    <w:rsid w:val="0075698C"/>
    <w:rsid w:val="00756A3C"/>
    <w:rsid w:val="00756ACF"/>
    <w:rsid w:val="00756B8E"/>
    <w:rsid w:val="00756DD5"/>
    <w:rsid w:val="00756F46"/>
    <w:rsid w:val="00756F48"/>
    <w:rsid w:val="00757261"/>
    <w:rsid w:val="0075736A"/>
    <w:rsid w:val="00757427"/>
    <w:rsid w:val="00757556"/>
    <w:rsid w:val="00757982"/>
    <w:rsid w:val="00757A00"/>
    <w:rsid w:val="00757C36"/>
    <w:rsid w:val="00757DFF"/>
    <w:rsid w:val="00757E39"/>
    <w:rsid w:val="00760525"/>
    <w:rsid w:val="0076054B"/>
    <w:rsid w:val="00760670"/>
    <w:rsid w:val="00760714"/>
    <w:rsid w:val="0076075C"/>
    <w:rsid w:val="00760780"/>
    <w:rsid w:val="00760813"/>
    <w:rsid w:val="00760859"/>
    <w:rsid w:val="00760B59"/>
    <w:rsid w:val="00760E39"/>
    <w:rsid w:val="00760FF4"/>
    <w:rsid w:val="00761036"/>
    <w:rsid w:val="00761460"/>
    <w:rsid w:val="007614BE"/>
    <w:rsid w:val="00761604"/>
    <w:rsid w:val="00761620"/>
    <w:rsid w:val="00761A12"/>
    <w:rsid w:val="00761AFD"/>
    <w:rsid w:val="00761E33"/>
    <w:rsid w:val="00761EEB"/>
    <w:rsid w:val="00761F18"/>
    <w:rsid w:val="007624D4"/>
    <w:rsid w:val="007624DA"/>
    <w:rsid w:val="00762653"/>
    <w:rsid w:val="00762807"/>
    <w:rsid w:val="00762AE2"/>
    <w:rsid w:val="00762B12"/>
    <w:rsid w:val="00763089"/>
    <w:rsid w:val="00763710"/>
    <w:rsid w:val="00763768"/>
    <w:rsid w:val="00763D6A"/>
    <w:rsid w:val="007644CE"/>
    <w:rsid w:val="007645EC"/>
    <w:rsid w:val="00764669"/>
    <w:rsid w:val="00764706"/>
    <w:rsid w:val="00764717"/>
    <w:rsid w:val="0076490A"/>
    <w:rsid w:val="00764931"/>
    <w:rsid w:val="00764A24"/>
    <w:rsid w:val="00764C61"/>
    <w:rsid w:val="00764DC1"/>
    <w:rsid w:val="00764DD4"/>
    <w:rsid w:val="00764DEC"/>
    <w:rsid w:val="00764F6E"/>
    <w:rsid w:val="00765062"/>
    <w:rsid w:val="0076521C"/>
    <w:rsid w:val="007652AE"/>
    <w:rsid w:val="007654B5"/>
    <w:rsid w:val="007658BE"/>
    <w:rsid w:val="0076596C"/>
    <w:rsid w:val="00765B9C"/>
    <w:rsid w:val="00765D74"/>
    <w:rsid w:val="00766195"/>
    <w:rsid w:val="007662D6"/>
    <w:rsid w:val="00766320"/>
    <w:rsid w:val="00766539"/>
    <w:rsid w:val="007667A5"/>
    <w:rsid w:val="007667DC"/>
    <w:rsid w:val="00766897"/>
    <w:rsid w:val="00766C47"/>
    <w:rsid w:val="00766CF4"/>
    <w:rsid w:val="00766DC2"/>
    <w:rsid w:val="00766FF0"/>
    <w:rsid w:val="00767292"/>
    <w:rsid w:val="007675CD"/>
    <w:rsid w:val="00767668"/>
    <w:rsid w:val="007676A4"/>
    <w:rsid w:val="007678C0"/>
    <w:rsid w:val="00767C4E"/>
    <w:rsid w:val="00767DA4"/>
    <w:rsid w:val="00767DBB"/>
    <w:rsid w:val="00767F0C"/>
    <w:rsid w:val="00767F36"/>
    <w:rsid w:val="0077021B"/>
    <w:rsid w:val="007702B2"/>
    <w:rsid w:val="00770427"/>
    <w:rsid w:val="00770562"/>
    <w:rsid w:val="00770A03"/>
    <w:rsid w:val="00770A8A"/>
    <w:rsid w:val="00770C75"/>
    <w:rsid w:val="00770E10"/>
    <w:rsid w:val="00770E1E"/>
    <w:rsid w:val="00770E33"/>
    <w:rsid w:val="00770FB5"/>
    <w:rsid w:val="00771177"/>
    <w:rsid w:val="00771329"/>
    <w:rsid w:val="00771596"/>
    <w:rsid w:val="00771771"/>
    <w:rsid w:val="00771905"/>
    <w:rsid w:val="00771987"/>
    <w:rsid w:val="00771A3C"/>
    <w:rsid w:val="00771A88"/>
    <w:rsid w:val="00771CD5"/>
    <w:rsid w:val="00771DCC"/>
    <w:rsid w:val="00771EDB"/>
    <w:rsid w:val="007720B2"/>
    <w:rsid w:val="007722F1"/>
    <w:rsid w:val="00772328"/>
    <w:rsid w:val="00772356"/>
    <w:rsid w:val="00772442"/>
    <w:rsid w:val="0077270C"/>
    <w:rsid w:val="00772768"/>
    <w:rsid w:val="0077288D"/>
    <w:rsid w:val="007728C3"/>
    <w:rsid w:val="00772A4C"/>
    <w:rsid w:val="00772CF1"/>
    <w:rsid w:val="00772D51"/>
    <w:rsid w:val="00773234"/>
    <w:rsid w:val="00773551"/>
    <w:rsid w:val="00773769"/>
    <w:rsid w:val="00773A97"/>
    <w:rsid w:val="00773BEB"/>
    <w:rsid w:val="00773D81"/>
    <w:rsid w:val="00773D84"/>
    <w:rsid w:val="00773EEF"/>
    <w:rsid w:val="00773F16"/>
    <w:rsid w:val="00773F36"/>
    <w:rsid w:val="00773F3B"/>
    <w:rsid w:val="00773F65"/>
    <w:rsid w:val="00774180"/>
    <w:rsid w:val="00774217"/>
    <w:rsid w:val="007742AF"/>
    <w:rsid w:val="00774415"/>
    <w:rsid w:val="007746AC"/>
    <w:rsid w:val="00774DC9"/>
    <w:rsid w:val="00774FFB"/>
    <w:rsid w:val="00775338"/>
    <w:rsid w:val="00775343"/>
    <w:rsid w:val="00775365"/>
    <w:rsid w:val="00775453"/>
    <w:rsid w:val="007755B4"/>
    <w:rsid w:val="007756BC"/>
    <w:rsid w:val="00775733"/>
    <w:rsid w:val="00775747"/>
    <w:rsid w:val="00775A1E"/>
    <w:rsid w:val="00775AC9"/>
    <w:rsid w:val="00775E76"/>
    <w:rsid w:val="00775F5D"/>
    <w:rsid w:val="0077605B"/>
    <w:rsid w:val="0077607F"/>
    <w:rsid w:val="00776149"/>
    <w:rsid w:val="00776297"/>
    <w:rsid w:val="00776299"/>
    <w:rsid w:val="007763C9"/>
    <w:rsid w:val="00776417"/>
    <w:rsid w:val="007764B5"/>
    <w:rsid w:val="0077675D"/>
    <w:rsid w:val="0077682D"/>
    <w:rsid w:val="007768DA"/>
    <w:rsid w:val="00776AB0"/>
    <w:rsid w:val="00776B66"/>
    <w:rsid w:val="00776D62"/>
    <w:rsid w:val="00776F03"/>
    <w:rsid w:val="0077713B"/>
    <w:rsid w:val="00777196"/>
    <w:rsid w:val="007772F9"/>
    <w:rsid w:val="0077742A"/>
    <w:rsid w:val="00777462"/>
    <w:rsid w:val="0077753F"/>
    <w:rsid w:val="00777573"/>
    <w:rsid w:val="0077758D"/>
    <w:rsid w:val="007775AC"/>
    <w:rsid w:val="00777636"/>
    <w:rsid w:val="007779B3"/>
    <w:rsid w:val="00777ADC"/>
    <w:rsid w:val="00777B07"/>
    <w:rsid w:val="00777CEF"/>
    <w:rsid w:val="00777E96"/>
    <w:rsid w:val="00777EA3"/>
    <w:rsid w:val="0078029C"/>
    <w:rsid w:val="007803AB"/>
    <w:rsid w:val="0078080A"/>
    <w:rsid w:val="00780A04"/>
    <w:rsid w:val="00780AF0"/>
    <w:rsid w:val="00780CA6"/>
    <w:rsid w:val="00780D4E"/>
    <w:rsid w:val="00780D59"/>
    <w:rsid w:val="00780F98"/>
    <w:rsid w:val="007810DA"/>
    <w:rsid w:val="0078122A"/>
    <w:rsid w:val="00781516"/>
    <w:rsid w:val="007815AD"/>
    <w:rsid w:val="007815EF"/>
    <w:rsid w:val="00781927"/>
    <w:rsid w:val="00781A14"/>
    <w:rsid w:val="00781CFB"/>
    <w:rsid w:val="00781DEA"/>
    <w:rsid w:val="00781EA1"/>
    <w:rsid w:val="00782012"/>
    <w:rsid w:val="0078209C"/>
    <w:rsid w:val="007822AD"/>
    <w:rsid w:val="007823B1"/>
    <w:rsid w:val="00782490"/>
    <w:rsid w:val="0078249D"/>
    <w:rsid w:val="00782941"/>
    <w:rsid w:val="00782996"/>
    <w:rsid w:val="00782D26"/>
    <w:rsid w:val="00782E55"/>
    <w:rsid w:val="00782E57"/>
    <w:rsid w:val="007830B9"/>
    <w:rsid w:val="0078343A"/>
    <w:rsid w:val="007834CE"/>
    <w:rsid w:val="007835BE"/>
    <w:rsid w:val="0078372A"/>
    <w:rsid w:val="007837B7"/>
    <w:rsid w:val="00783941"/>
    <w:rsid w:val="00783D53"/>
    <w:rsid w:val="00783DAD"/>
    <w:rsid w:val="00784228"/>
    <w:rsid w:val="007842A7"/>
    <w:rsid w:val="0078468F"/>
    <w:rsid w:val="007846B9"/>
    <w:rsid w:val="00784704"/>
    <w:rsid w:val="00784809"/>
    <w:rsid w:val="00784A81"/>
    <w:rsid w:val="00784B0D"/>
    <w:rsid w:val="00784D68"/>
    <w:rsid w:val="00784DCC"/>
    <w:rsid w:val="00784FD5"/>
    <w:rsid w:val="00785140"/>
    <w:rsid w:val="007853B7"/>
    <w:rsid w:val="0078552C"/>
    <w:rsid w:val="007858AC"/>
    <w:rsid w:val="00785A4A"/>
    <w:rsid w:val="00785A54"/>
    <w:rsid w:val="00785C81"/>
    <w:rsid w:val="00785CBD"/>
    <w:rsid w:val="00785E96"/>
    <w:rsid w:val="00785ED9"/>
    <w:rsid w:val="00785FAC"/>
    <w:rsid w:val="00786234"/>
    <w:rsid w:val="00786318"/>
    <w:rsid w:val="00786387"/>
    <w:rsid w:val="00786479"/>
    <w:rsid w:val="007865A1"/>
    <w:rsid w:val="007866B6"/>
    <w:rsid w:val="00786728"/>
    <w:rsid w:val="00786974"/>
    <w:rsid w:val="00786DC2"/>
    <w:rsid w:val="007873A3"/>
    <w:rsid w:val="007873C7"/>
    <w:rsid w:val="00787636"/>
    <w:rsid w:val="0078765F"/>
    <w:rsid w:val="007877AC"/>
    <w:rsid w:val="00787842"/>
    <w:rsid w:val="00787A33"/>
    <w:rsid w:val="00787A75"/>
    <w:rsid w:val="00787AE3"/>
    <w:rsid w:val="00787B4F"/>
    <w:rsid w:val="00787BCA"/>
    <w:rsid w:val="00787D51"/>
    <w:rsid w:val="00787E53"/>
    <w:rsid w:val="00787E64"/>
    <w:rsid w:val="007901AD"/>
    <w:rsid w:val="0079031C"/>
    <w:rsid w:val="007903C6"/>
    <w:rsid w:val="00790408"/>
    <w:rsid w:val="00790804"/>
    <w:rsid w:val="00790B24"/>
    <w:rsid w:val="00790CDA"/>
    <w:rsid w:val="00790DEC"/>
    <w:rsid w:val="00791153"/>
    <w:rsid w:val="00791435"/>
    <w:rsid w:val="00791567"/>
    <w:rsid w:val="0079164C"/>
    <w:rsid w:val="0079180E"/>
    <w:rsid w:val="0079191A"/>
    <w:rsid w:val="00791F0E"/>
    <w:rsid w:val="00792082"/>
    <w:rsid w:val="007921A3"/>
    <w:rsid w:val="00792362"/>
    <w:rsid w:val="007929B3"/>
    <w:rsid w:val="00792CBB"/>
    <w:rsid w:val="00792E98"/>
    <w:rsid w:val="00792ED1"/>
    <w:rsid w:val="007930A2"/>
    <w:rsid w:val="00793193"/>
    <w:rsid w:val="00793318"/>
    <w:rsid w:val="00793547"/>
    <w:rsid w:val="00793894"/>
    <w:rsid w:val="00793920"/>
    <w:rsid w:val="00793BDC"/>
    <w:rsid w:val="00793F2E"/>
    <w:rsid w:val="00793FDE"/>
    <w:rsid w:val="00794192"/>
    <w:rsid w:val="00794296"/>
    <w:rsid w:val="007942F4"/>
    <w:rsid w:val="00794315"/>
    <w:rsid w:val="0079440D"/>
    <w:rsid w:val="007944AA"/>
    <w:rsid w:val="007945A2"/>
    <w:rsid w:val="007946AE"/>
    <w:rsid w:val="007948E1"/>
    <w:rsid w:val="00794BCF"/>
    <w:rsid w:val="00794C94"/>
    <w:rsid w:val="00794D7B"/>
    <w:rsid w:val="00794F9F"/>
    <w:rsid w:val="0079511C"/>
    <w:rsid w:val="007951D9"/>
    <w:rsid w:val="00795409"/>
    <w:rsid w:val="00795449"/>
    <w:rsid w:val="00795632"/>
    <w:rsid w:val="007957BF"/>
    <w:rsid w:val="007959AD"/>
    <w:rsid w:val="00795C0A"/>
    <w:rsid w:val="0079605B"/>
    <w:rsid w:val="007963A2"/>
    <w:rsid w:val="007963BA"/>
    <w:rsid w:val="00796505"/>
    <w:rsid w:val="00796841"/>
    <w:rsid w:val="00796866"/>
    <w:rsid w:val="00796A81"/>
    <w:rsid w:val="00796AD0"/>
    <w:rsid w:val="00796B26"/>
    <w:rsid w:val="00796BBC"/>
    <w:rsid w:val="00796E6B"/>
    <w:rsid w:val="00797384"/>
    <w:rsid w:val="0079758F"/>
    <w:rsid w:val="007976BB"/>
    <w:rsid w:val="0079774A"/>
    <w:rsid w:val="00797A39"/>
    <w:rsid w:val="00797A52"/>
    <w:rsid w:val="007A01EC"/>
    <w:rsid w:val="007A03D4"/>
    <w:rsid w:val="007A04CD"/>
    <w:rsid w:val="007A0512"/>
    <w:rsid w:val="007A052D"/>
    <w:rsid w:val="007A0825"/>
    <w:rsid w:val="007A09BD"/>
    <w:rsid w:val="007A0DC0"/>
    <w:rsid w:val="007A1277"/>
    <w:rsid w:val="007A1349"/>
    <w:rsid w:val="007A139C"/>
    <w:rsid w:val="007A16AA"/>
    <w:rsid w:val="007A16F9"/>
    <w:rsid w:val="007A19C7"/>
    <w:rsid w:val="007A1A71"/>
    <w:rsid w:val="007A1C4C"/>
    <w:rsid w:val="007A1CBA"/>
    <w:rsid w:val="007A1F58"/>
    <w:rsid w:val="007A2008"/>
    <w:rsid w:val="007A208F"/>
    <w:rsid w:val="007A2290"/>
    <w:rsid w:val="007A23EF"/>
    <w:rsid w:val="007A261D"/>
    <w:rsid w:val="007A2EAC"/>
    <w:rsid w:val="007A2F2B"/>
    <w:rsid w:val="007A3087"/>
    <w:rsid w:val="007A3272"/>
    <w:rsid w:val="007A32A1"/>
    <w:rsid w:val="007A35D7"/>
    <w:rsid w:val="007A361D"/>
    <w:rsid w:val="007A3BDE"/>
    <w:rsid w:val="007A3E2D"/>
    <w:rsid w:val="007A4041"/>
    <w:rsid w:val="007A44D3"/>
    <w:rsid w:val="007A47BD"/>
    <w:rsid w:val="007A48EC"/>
    <w:rsid w:val="007A4C66"/>
    <w:rsid w:val="007A4EAB"/>
    <w:rsid w:val="007A5021"/>
    <w:rsid w:val="007A5420"/>
    <w:rsid w:val="007A5A74"/>
    <w:rsid w:val="007A5F68"/>
    <w:rsid w:val="007A6310"/>
    <w:rsid w:val="007A65B2"/>
    <w:rsid w:val="007A6767"/>
    <w:rsid w:val="007A6E5F"/>
    <w:rsid w:val="007A7292"/>
    <w:rsid w:val="007A7494"/>
    <w:rsid w:val="007A78A0"/>
    <w:rsid w:val="007A7A33"/>
    <w:rsid w:val="007A7ACC"/>
    <w:rsid w:val="007A7BE5"/>
    <w:rsid w:val="007A7C73"/>
    <w:rsid w:val="007B01EA"/>
    <w:rsid w:val="007B03AA"/>
    <w:rsid w:val="007B03E2"/>
    <w:rsid w:val="007B0430"/>
    <w:rsid w:val="007B0725"/>
    <w:rsid w:val="007B08C6"/>
    <w:rsid w:val="007B0B9A"/>
    <w:rsid w:val="007B106F"/>
    <w:rsid w:val="007B10E3"/>
    <w:rsid w:val="007B119F"/>
    <w:rsid w:val="007B16F2"/>
    <w:rsid w:val="007B195A"/>
    <w:rsid w:val="007B1D7F"/>
    <w:rsid w:val="007B1D8C"/>
    <w:rsid w:val="007B1EA0"/>
    <w:rsid w:val="007B1F6E"/>
    <w:rsid w:val="007B2149"/>
    <w:rsid w:val="007B214D"/>
    <w:rsid w:val="007B25F1"/>
    <w:rsid w:val="007B27C5"/>
    <w:rsid w:val="007B2B23"/>
    <w:rsid w:val="007B2B50"/>
    <w:rsid w:val="007B2BF1"/>
    <w:rsid w:val="007B2CD7"/>
    <w:rsid w:val="007B2FF9"/>
    <w:rsid w:val="007B339E"/>
    <w:rsid w:val="007B33D1"/>
    <w:rsid w:val="007B34A8"/>
    <w:rsid w:val="007B34C9"/>
    <w:rsid w:val="007B3541"/>
    <w:rsid w:val="007B35EC"/>
    <w:rsid w:val="007B35FA"/>
    <w:rsid w:val="007B360D"/>
    <w:rsid w:val="007B36B3"/>
    <w:rsid w:val="007B3792"/>
    <w:rsid w:val="007B39B2"/>
    <w:rsid w:val="007B3CCD"/>
    <w:rsid w:val="007B3F0C"/>
    <w:rsid w:val="007B400F"/>
    <w:rsid w:val="007B404B"/>
    <w:rsid w:val="007B405F"/>
    <w:rsid w:val="007B4122"/>
    <w:rsid w:val="007B4365"/>
    <w:rsid w:val="007B4546"/>
    <w:rsid w:val="007B45FF"/>
    <w:rsid w:val="007B4654"/>
    <w:rsid w:val="007B4721"/>
    <w:rsid w:val="007B47E7"/>
    <w:rsid w:val="007B4867"/>
    <w:rsid w:val="007B49E2"/>
    <w:rsid w:val="007B4A88"/>
    <w:rsid w:val="007B4B0A"/>
    <w:rsid w:val="007B4CE1"/>
    <w:rsid w:val="007B502F"/>
    <w:rsid w:val="007B507A"/>
    <w:rsid w:val="007B5329"/>
    <w:rsid w:val="007B5333"/>
    <w:rsid w:val="007B561C"/>
    <w:rsid w:val="007B57BC"/>
    <w:rsid w:val="007B589D"/>
    <w:rsid w:val="007B591C"/>
    <w:rsid w:val="007B5CBC"/>
    <w:rsid w:val="007B5CE1"/>
    <w:rsid w:val="007B5D7F"/>
    <w:rsid w:val="007B5E6C"/>
    <w:rsid w:val="007B61F8"/>
    <w:rsid w:val="007B6460"/>
    <w:rsid w:val="007B64FA"/>
    <w:rsid w:val="007B661A"/>
    <w:rsid w:val="007B664B"/>
    <w:rsid w:val="007B68CC"/>
    <w:rsid w:val="007B690E"/>
    <w:rsid w:val="007B69C5"/>
    <w:rsid w:val="007B6AEA"/>
    <w:rsid w:val="007B6C14"/>
    <w:rsid w:val="007B6DFA"/>
    <w:rsid w:val="007B6E4A"/>
    <w:rsid w:val="007B70B7"/>
    <w:rsid w:val="007B71AE"/>
    <w:rsid w:val="007B7472"/>
    <w:rsid w:val="007B77AC"/>
    <w:rsid w:val="007B78A3"/>
    <w:rsid w:val="007C00DD"/>
    <w:rsid w:val="007C0114"/>
    <w:rsid w:val="007C0230"/>
    <w:rsid w:val="007C0268"/>
    <w:rsid w:val="007C0329"/>
    <w:rsid w:val="007C0509"/>
    <w:rsid w:val="007C055D"/>
    <w:rsid w:val="007C074C"/>
    <w:rsid w:val="007C0790"/>
    <w:rsid w:val="007C07EF"/>
    <w:rsid w:val="007C098B"/>
    <w:rsid w:val="007C0CBE"/>
    <w:rsid w:val="007C0DC8"/>
    <w:rsid w:val="007C0DDE"/>
    <w:rsid w:val="007C0F35"/>
    <w:rsid w:val="007C0FE5"/>
    <w:rsid w:val="007C103B"/>
    <w:rsid w:val="007C110E"/>
    <w:rsid w:val="007C13FE"/>
    <w:rsid w:val="007C1497"/>
    <w:rsid w:val="007C1732"/>
    <w:rsid w:val="007C18C8"/>
    <w:rsid w:val="007C191B"/>
    <w:rsid w:val="007C1BD0"/>
    <w:rsid w:val="007C1D84"/>
    <w:rsid w:val="007C1E2B"/>
    <w:rsid w:val="007C211A"/>
    <w:rsid w:val="007C249D"/>
    <w:rsid w:val="007C27BA"/>
    <w:rsid w:val="007C286D"/>
    <w:rsid w:val="007C2C2D"/>
    <w:rsid w:val="007C2E91"/>
    <w:rsid w:val="007C31FC"/>
    <w:rsid w:val="007C3411"/>
    <w:rsid w:val="007C3431"/>
    <w:rsid w:val="007C3672"/>
    <w:rsid w:val="007C3B83"/>
    <w:rsid w:val="007C3BBA"/>
    <w:rsid w:val="007C3D4B"/>
    <w:rsid w:val="007C3EBD"/>
    <w:rsid w:val="007C3F1F"/>
    <w:rsid w:val="007C3F46"/>
    <w:rsid w:val="007C4397"/>
    <w:rsid w:val="007C43FD"/>
    <w:rsid w:val="007C44E0"/>
    <w:rsid w:val="007C454D"/>
    <w:rsid w:val="007C45B5"/>
    <w:rsid w:val="007C4737"/>
    <w:rsid w:val="007C4840"/>
    <w:rsid w:val="007C48B5"/>
    <w:rsid w:val="007C4A66"/>
    <w:rsid w:val="007C4C4F"/>
    <w:rsid w:val="007C4F34"/>
    <w:rsid w:val="007C4F43"/>
    <w:rsid w:val="007C5098"/>
    <w:rsid w:val="007C5637"/>
    <w:rsid w:val="007C5693"/>
    <w:rsid w:val="007C5906"/>
    <w:rsid w:val="007C5D9D"/>
    <w:rsid w:val="007C6084"/>
    <w:rsid w:val="007C621F"/>
    <w:rsid w:val="007C636F"/>
    <w:rsid w:val="007C662A"/>
    <w:rsid w:val="007C6677"/>
    <w:rsid w:val="007C6821"/>
    <w:rsid w:val="007C68D8"/>
    <w:rsid w:val="007C68F0"/>
    <w:rsid w:val="007C6AC9"/>
    <w:rsid w:val="007C6C73"/>
    <w:rsid w:val="007C6C80"/>
    <w:rsid w:val="007C6CD3"/>
    <w:rsid w:val="007C6E6C"/>
    <w:rsid w:val="007C6EAC"/>
    <w:rsid w:val="007C70F6"/>
    <w:rsid w:val="007C710D"/>
    <w:rsid w:val="007C7181"/>
    <w:rsid w:val="007C72D3"/>
    <w:rsid w:val="007C7342"/>
    <w:rsid w:val="007C73F5"/>
    <w:rsid w:val="007C74BE"/>
    <w:rsid w:val="007C7A6E"/>
    <w:rsid w:val="007C7CD8"/>
    <w:rsid w:val="007C7D9F"/>
    <w:rsid w:val="007C7E7B"/>
    <w:rsid w:val="007C7EFA"/>
    <w:rsid w:val="007D018F"/>
    <w:rsid w:val="007D047D"/>
    <w:rsid w:val="007D0884"/>
    <w:rsid w:val="007D08AA"/>
    <w:rsid w:val="007D0953"/>
    <w:rsid w:val="007D09D0"/>
    <w:rsid w:val="007D0B7B"/>
    <w:rsid w:val="007D0CDC"/>
    <w:rsid w:val="007D0CFB"/>
    <w:rsid w:val="007D1043"/>
    <w:rsid w:val="007D1078"/>
    <w:rsid w:val="007D11DB"/>
    <w:rsid w:val="007D1626"/>
    <w:rsid w:val="007D1633"/>
    <w:rsid w:val="007D170A"/>
    <w:rsid w:val="007D170C"/>
    <w:rsid w:val="007D1711"/>
    <w:rsid w:val="007D1D89"/>
    <w:rsid w:val="007D1E5C"/>
    <w:rsid w:val="007D1EC9"/>
    <w:rsid w:val="007D207F"/>
    <w:rsid w:val="007D212D"/>
    <w:rsid w:val="007D2AFA"/>
    <w:rsid w:val="007D2E15"/>
    <w:rsid w:val="007D2FC5"/>
    <w:rsid w:val="007D3058"/>
    <w:rsid w:val="007D3085"/>
    <w:rsid w:val="007D3177"/>
    <w:rsid w:val="007D320F"/>
    <w:rsid w:val="007D3419"/>
    <w:rsid w:val="007D3485"/>
    <w:rsid w:val="007D349F"/>
    <w:rsid w:val="007D34F0"/>
    <w:rsid w:val="007D3569"/>
    <w:rsid w:val="007D36DE"/>
    <w:rsid w:val="007D38CF"/>
    <w:rsid w:val="007D3979"/>
    <w:rsid w:val="007D3B12"/>
    <w:rsid w:val="007D3B83"/>
    <w:rsid w:val="007D3C6E"/>
    <w:rsid w:val="007D421A"/>
    <w:rsid w:val="007D4234"/>
    <w:rsid w:val="007D4284"/>
    <w:rsid w:val="007D43A3"/>
    <w:rsid w:val="007D43D5"/>
    <w:rsid w:val="007D4898"/>
    <w:rsid w:val="007D48AC"/>
    <w:rsid w:val="007D48C1"/>
    <w:rsid w:val="007D4B9B"/>
    <w:rsid w:val="007D4DC8"/>
    <w:rsid w:val="007D4FC1"/>
    <w:rsid w:val="007D528B"/>
    <w:rsid w:val="007D56D0"/>
    <w:rsid w:val="007D5A86"/>
    <w:rsid w:val="007D5ACD"/>
    <w:rsid w:val="007D5EB4"/>
    <w:rsid w:val="007D5F0D"/>
    <w:rsid w:val="007D5F5D"/>
    <w:rsid w:val="007D62CE"/>
    <w:rsid w:val="007D6477"/>
    <w:rsid w:val="007D65F4"/>
    <w:rsid w:val="007D6684"/>
    <w:rsid w:val="007D6741"/>
    <w:rsid w:val="007D682B"/>
    <w:rsid w:val="007D6865"/>
    <w:rsid w:val="007D68BB"/>
    <w:rsid w:val="007D6AA2"/>
    <w:rsid w:val="007D6B3D"/>
    <w:rsid w:val="007D6B4D"/>
    <w:rsid w:val="007D6B97"/>
    <w:rsid w:val="007D6BC6"/>
    <w:rsid w:val="007D6CF1"/>
    <w:rsid w:val="007D6D19"/>
    <w:rsid w:val="007D6D6A"/>
    <w:rsid w:val="007D703C"/>
    <w:rsid w:val="007D7079"/>
    <w:rsid w:val="007D7096"/>
    <w:rsid w:val="007D70AA"/>
    <w:rsid w:val="007D7149"/>
    <w:rsid w:val="007D71CC"/>
    <w:rsid w:val="007D7215"/>
    <w:rsid w:val="007D733D"/>
    <w:rsid w:val="007D7372"/>
    <w:rsid w:val="007D73C4"/>
    <w:rsid w:val="007D7708"/>
    <w:rsid w:val="007D7721"/>
    <w:rsid w:val="007D7A06"/>
    <w:rsid w:val="007D7E9A"/>
    <w:rsid w:val="007E002B"/>
    <w:rsid w:val="007E011C"/>
    <w:rsid w:val="007E0139"/>
    <w:rsid w:val="007E01BA"/>
    <w:rsid w:val="007E0475"/>
    <w:rsid w:val="007E059F"/>
    <w:rsid w:val="007E0902"/>
    <w:rsid w:val="007E0B0C"/>
    <w:rsid w:val="007E0B9B"/>
    <w:rsid w:val="007E0C59"/>
    <w:rsid w:val="007E0E13"/>
    <w:rsid w:val="007E0F00"/>
    <w:rsid w:val="007E0FFE"/>
    <w:rsid w:val="007E1004"/>
    <w:rsid w:val="007E11FF"/>
    <w:rsid w:val="007E1399"/>
    <w:rsid w:val="007E1417"/>
    <w:rsid w:val="007E149F"/>
    <w:rsid w:val="007E15B7"/>
    <w:rsid w:val="007E15D2"/>
    <w:rsid w:val="007E165F"/>
    <w:rsid w:val="007E1693"/>
    <w:rsid w:val="007E16DE"/>
    <w:rsid w:val="007E1887"/>
    <w:rsid w:val="007E1896"/>
    <w:rsid w:val="007E18E6"/>
    <w:rsid w:val="007E1B86"/>
    <w:rsid w:val="007E1DFD"/>
    <w:rsid w:val="007E2007"/>
    <w:rsid w:val="007E212B"/>
    <w:rsid w:val="007E2149"/>
    <w:rsid w:val="007E235D"/>
    <w:rsid w:val="007E23DD"/>
    <w:rsid w:val="007E263D"/>
    <w:rsid w:val="007E2660"/>
    <w:rsid w:val="007E266F"/>
    <w:rsid w:val="007E288D"/>
    <w:rsid w:val="007E2927"/>
    <w:rsid w:val="007E295B"/>
    <w:rsid w:val="007E2A91"/>
    <w:rsid w:val="007E2AA8"/>
    <w:rsid w:val="007E2C0D"/>
    <w:rsid w:val="007E2DF4"/>
    <w:rsid w:val="007E2E54"/>
    <w:rsid w:val="007E30D7"/>
    <w:rsid w:val="007E3175"/>
    <w:rsid w:val="007E3177"/>
    <w:rsid w:val="007E3193"/>
    <w:rsid w:val="007E324E"/>
    <w:rsid w:val="007E3330"/>
    <w:rsid w:val="007E3637"/>
    <w:rsid w:val="007E3899"/>
    <w:rsid w:val="007E3944"/>
    <w:rsid w:val="007E39DF"/>
    <w:rsid w:val="007E3BBF"/>
    <w:rsid w:val="007E3C55"/>
    <w:rsid w:val="007E3CEC"/>
    <w:rsid w:val="007E3D07"/>
    <w:rsid w:val="007E3D50"/>
    <w:rsid w:val="007E3D72"/>
    <w:rsid w:val="007E3DCC"/>
    <w:rsid w:val="007E4149"/>
    <w:rsid w:val="007E41D9"/>
    <w:rsid w:val="007E41E3"/>
    <w:rsid w:val="007E4254"/>
    <w:rsid w:val="007E4431"/>
    <w:rsid w:val="007E444D"/>
    <w:rsid w:val="007E44BE"/>
    <w:rsid w:val="007E46E5"/>
    <w:rsid w:val="007E46FE"/>
    <w:rsid w:val="007E4A0D"/>
    <w:rsid w:val="007E4ACA"/>
    <w:rsid w:val="007E4B38"/>
    <w:rsid w:val="007E4C47"/>
    <w:rsid w:val="007E4D72"/>
    <w:rsid w:val="007E4EEF"/>
    <w:rsid w:val="007E4FDD"/>
    <w:rsid w:val="007E5181"/>
    <w:rsid w:val="007E5217"/>
    <w:rsid w:val="007E540E"/>
    <w:rsid w:val="007E567B"/>
    <w:rsid w:val="007E56A5"/>
    <w:rsid w:val="007E58CC"/>
    <w:rsid w:val="007E5A41"/>
    <w:rsid w:val="007E5B0C"/>
    <w:rsid w:val="007E5C52"/>
    <w:rsid w:val="007E5CEA"/>
    <w:rsid w:val="007E5DE6"/>
    <w:rsid w:val="007E5FEA"/>
    <w:rsid w:val="007E6072"/>
    <w:rsid w:val="007E6082"/>
    <w:rsid w:val="007E6109"/>
    <w:rsid w:val="007E6527"/>
    <w:rsid w:val="007E65A6"/>
    <w:rsid w:val="007E65CF"/>
    <w:rsid w:val="007E67DC"/>
    <w:rsid w:val="007E688A"/>
    <w:rsid w:val="007E6996"/>
    <w:rsid w:val="007E6B17"/>
    <w:rsid w:val="007E6EFA"/>
    <w:rsid w:val="007E6FF6"/>
    <w:rsid w:val="007E70ED"/>
    <w:rsid w:val="007E74D4"/>
    <w:rsid w:val="007E796F"/>
    <w:rsid w:val="007E7BF8"/>
    <w:rsid w:val="007E7C5A"/>
    <w:rsid w:val="007E7D55"/>
    <w:rsid w:val="007F012B"/>
    <w:rsid w:val="007F0151"/>
    <w:rsid w:val="007F01A8"/>
    <w:rsid w:val="007F0232"/>
    <w:rsid w:val="007F06BB"/>
    <w:rsid w:val="007F07E9"/>
    <w:rsid w:val="007F099D"/>
    <w:rsid w:val="007F0C8C"/>
    <w:rsid w:val="007F0CE0"/>
    <w:rsid w:val="007F0D99"/>
    <w:rsid w:val="007F0E70"/>
    <w:rsid w:val="007F0F6A"/>
    <w:rsid w:val="007F11BA"/>
    <w:rsid w:val="007F11DC"/>
    <w:rsid w:val="007F126B"/>
    <w:rsid w:val="007F13FF"/>
    <w:rsid w:val="007F14FD"/>
    <w:rsid w:val="007F1750"/>
    <w:rsid w:val="007F179B"/>
    <w:rsid w:val="007F191A"/>
    <w:rsid w:val="007F19FC"/>
    <w:rsid w:val="007F1B4E"/>
    <w:rsid w:val="007F1B8C"/>
    <w:rsid w:val="007F1CA3"/>
    <w:rsid w:val="007F1D68"/>
    <w:rsid w:val="007F1D77"/>
    <w:rsid w:val="007F1E10"/>
    <w:rsid w:val="007F1E70"/>
    <w:rsid w:val="007F1EC5"/>
    <w:rsid w:val="007F20E2"/>
    <w:rsid w:val="007F20E3"/>
    <w:rsid w:val="007F21CD"/>
    <w:rsid w:val="007F24E3"/>
    <w:rsid w:val="007F29D9"/>
    <w:rsid w:val="007F2D2D"/>
    <w:rsid w:val="007F2D54"/>
    <w:rsid w:val="007F3170"/>
    <w:rsid w:val="007F325F"/>
    <w:rsid w:val="007F33C9"/>
    <w:rsid w:val="007F3480"/>
    <w:rsid w:val="007F34F2"/>
    <w:rsid w:val="007F353A"/>
    <w:rsid w:val="007F355E"/>
    <w:rsid w:val="007F374B"/>
    <w:rsid w:val="007F3A34"/>
    <w:rsid w:val="007F3C42"/>
    <w:rsid w:val="007F3D1D"/>
    <w:rsid w:val="007F3D27"/>
    <w:rsid w:val="007F3DBB"/>
    <w:rsid w:val="007F3EB8"/>
    <w:rsid w:val="007F3EC9"/>
    <w:rsid w:val="007F3EE1"/>
    <w:rsid w:val="007F3F9D"/>
    <w:rsid w:val="007F430B"/>
    <w:rsid w:val="007F43E5"/>
    <w:rsid w:val="007F4492"/>
    <w:rsid w:val="007F460E"/>
    <w:rsid w:val="007F4727"/>
    <w:rsid w:val="007F48AD"/>
    <w:rsid w:val="007F4D32"/>
    <w:rsid w:val="007F4DBB"/>
    <w:rsid w:val="007F4F79"/>
    <w:rsid w:val="007F503C"/>
    <w:rsid w:val="007F51EE"/>
    <w:rsid w:val="007F547C"/>
    <w:rsid w:val="007F548C"/>
    <w:rsid w:val="007F54CC"/>
    <w:rsid w:val="007F5538"/>
    <w:rsid w:val="007F556A"/>
    <w:rsid w:val="007F55CC"/>
    <w:rsid w:val="007F572A"/>
    <w:rsid w:val="007F57D8"/>
    <w:rsid w:val="007F583F"/>
    <w:rsid w:val="007F5919"/>
    <w:rsid w:val="007F59EB"/>
    <w:rsid w:val="007F5B23"/>
    <w:rsid w:val="007F5B42"/>
    <w:rsid w:val="007F5D61"/>
    <w:rsid w:val="007F5F81"/>
    <w:rsid w:val="007F60A9"/>
    <w:rsid w:val="007F611D"/>
    <w:rsid w:val="007F6375"/>
    <w:rsid w:val="007F64F7"/>
    <w:rsid w:val="007F6576"/>
    <w:rsid w:val="007F67BD"/>
    <w:rsid w:val="007F67C6"/>
    <w:rsid w:val="007F6895"/>
    <w:rsid w:val="007F69B2"/>
    <w:rsid w:val="007F6C5E"/>
    <w:rsid w:val="007F6F10"/>
    <w:rsid w:val="007F70A3"/>
    <w:rsid w:val="007F713D"/>
    <w:rsid w:val="007F7273"/>
    <w:rsid w:val="007F7318"/>
    <w:rsid w:val="007F7867"/>
    <w:rsid w:val="007F7AA5"/>
    <w:rsid w:val="007F7AD5"/>
    <w:rsid w:val="007F7CA2"/>
    <w:rsid w:val="007F7F85"/>
    <w:rsid w:val="008001AE"/>
    <w:rsid w:val="008003E9"/>
    <w:rsid w:val="00800431"/>
    <w:rsid w:val="00800594"/>
    <w:rsid w:val="008005B6"/>
    <w:rsid w:val="0080076E"/>
    <w:rsid w:val="0080087B"/>
    <w:rsid w:val="0080095C"/>
    <w:rsid w:val="00800AF6"/>
    <w:rsid w:val="00800F16"/>
    <w:rsid w:val="00801071"/>
    <w:rsid w:val="0080107F"/>
    <w:rsid w:val="00801158"/>
    <w:rsid w:val="0080171E"/>
    <w:rsid w:val="008017CB"/>
    <w:rsid w:val="008019D9"/>
    <w:rsid w:val="00801DDA"/>
    <w:rsid w:val="00801E0A"/>
    <w:rsid w:val="00801E1F"/>
    <w:rsid w:val="00801E71"/>
    <w:rsid w:val="00801EAC"/>
    <w:rsid w:val="0080212A"/>
    <w:rsid w:val="0080222A"/>
    <w:rsid w:val="00802935"/>
    <w:rsid w:val="00802D18"/>
    <w:rsid w:val="008032A4"/>
    <w:rsid w:val="008032AC"/>
    <w:rsid w:val="008032E8"/>
    <w:rsid w:val="0080336B"/>
    <w:rsid w:val="00803412"/>
    <w:rsid w:val="00803A37"/>
    <w:rsid w:val="00803C44"/>
    <w:rsid w:val="00803FB8"/>
    <w:rsid w:val="00803FD2"/>
    <w:rsid w:val="00804006"/>
    <w:rsid w:val="0080401A"/>
    <w:rsid w:val="008042AA"/>
    <w:rsid w:val="008042EA"/>
    <w:rsid w:val="00804314"/>
    <w:rsid w:val="00804355"/>
    <w:rsid w:val="00804428"/>
    <w:rsid w:val="008047E8"/>
    <w:rsid w:val="008047ED"/>
    <w:rsid w:val="008048FE"/>
    <w:rsid w:val="00804999"/>
    <w:rsid w:val="00804BD8"/>
    <w:rsid w:val="00804CB3"/>
    <w:rsid w:val="00805020"/>
    <w:rsid w:val="008053CF"/>
    <w:rsid w:val="00805609"/>
    <w:rsid w:val="0080571A"/>
    <w:rsid w:val="0080577A"/>
    <w:rsid w:val="008058E5"/>
    <w:rsid w:val="0080596F"/>
    <w:rsid w:val="0080598C"/>
    <w:rsid w:val="00805A9B"/>
    <w:rsid w:val="00805B1E"/>
    <w:rsid w:val="00805D04"/>
    <w:rsid w:val="00805F40"/>
    <w:rsid w:val="008060CF"/>
    <w:rsid w:val="008061B5"/>
    <w:rsid w:val="00806304"/>
    <w:rsid w:val="00806403"/>
    <w:rsid w:val="008064B4"/>
    <w:rsid w:val="0080679C"/>
    <w:rsid w:val="00806923"/>
    <w:rsid w:val="00806986"/>
    <w:rsid w:val="00806F9D"/>
    <w:rsid w:val="00807094"/>
    <w:rsid w:val="008070F1"/>
    <w:rsid w:val="008075D2"/>
    <w:rsid w:val="00807655"/>
    <w:rsid w:val="00807679"/>
    <w:rsid w:val="0080771B"/>
    <w:rsid w:val="00807844"/>
    <w:rsid w:val="00807B0A"/>
    <w:rsid w:val="00807B7F"/>
    <w:rsid w:val="00810014"/>
    <w:rsid w:val="008103C5"/>
    <w:rsid w:val="00810620"/>
    <w:rsid w:val="00810D8D"/>
    <w:rsid w:val="008111AC"/>
    <w:rsid w:val="00811268"/>
    <w:rsid w:val="00811473"/>
    <w:rsid w:val="008114CC"/>
    <w:rsid w:val="0081163B"/>
    <w:rsid w:val="008116DD"/>
    <w:rsid w:val="0081177A"/>
    <w:rsid w:val="0081179E"/>
    <w:rsid w:val="00811BF8"/>
    <w:rsid w:val="00811D7D"/>
    <w:rsid w:val="00811E63"/>
    <w:rsid w:val="0081203C"/>
    <w:rsid w:val="00812062"/>
    <w:rsid w:val="00812068"/>
    <w:rsid w:val="008120B0"/>
    <w:rsid w:val="0081219D"/>
    <w:rsid w:val="00812362"/>
    <w:rsid w:val="008124FC"/>
    <w:rsid w:val="00812642"/>
    <w:rsid w:val="00812680"/>
    <w:rsid w:val="00812AD0"/>
    <w:rsid w:val="00812B1E"/>
    <w:rsid w:val="00812E37"/>
    <w:rsid w:val="00812F94"/>
    <w:rsid w:val="00812FA9"/>
    <w:rsid w:val="00813044"/>
    <w:rsid w:val="008132D2"/>
    <w:rsid w:val="0081354E"/>
    <w:rsid w:val="0081361A"/>
    <w:rsid w:val="008136A2"/>
    <w:rsid w:val="00813A27"/>
    <w:rsid w:val="00813CAA"/>
    <w:rsid w:val="00814338"/>
    <w:rsid w:val="00814385"/>
    <w:rsid w:val="0081455A"/>
    <w:rsid w:val="008145F8"/>
    <w:rsid w:val="008149EE"/>
    <w:rsid w:val="00815232"/>
    <w:rsid w:val="0081525E"/>
    <w:rsid w:val="00815318"/>
    <w:rsid w:val="0081531A"/>
    <w:rsid w:val="0081537F"/>
    <w:rsid w:val="008153BF"/>
    <w:rsid w:val="00815462"/>
    <w:rsid w:val="008154A0"/>
    <w:rsid w:val="00815508"/>
    <w:rsid w:val="008157E7"/>
    <w:rsid w:val="00815847"/>
    <w:rsid w:val="00815987"/>
    <w:rsid w:val="00815A6B"/>
    <w:rsid w:val="00815BEA"/>
    <w:rsid w:val="00815D9E"/>
    <w:rsid w:val="00815FF3"/>
    <w:rsid w:val="008160EB"/>
    <w:rsid w:val="008162C2"/>
    <w:rsid w:val="008164BE"/>
    <w:rsid w:val="00816AB0"/>
    <w:rsid w:val="00816AEC"/>
    <w:rsid w:val="00816D06"/>
    <w:rsid w:val="00817082"/>
    <w:rsid w:val="008170E8"/>
    <w:rsid w:val="008170FD"/>
    <w:rsid w:val="008173C9"/>
    <w:rsid w:val="00817492"/>
    <w:rsid w:val="008174F9"/>
    <w:rsid w:val="00817BF0"/>
    <w:rsid w:val="00817CFC"/>
    <w:rsid w:val="00817FB7"/>
    <w:rsid w:val="00820018"/>
    <w:rsid w:val="008201C3"/>
    <w:rsid w:val="008201E2"/>
    <w:rsid w:val="0082063E"/>
    <w:rsid w:val="00820642"/>
    <w:rsid w:val="008207A4"/>
    <w:rsid w:val="008207B8"/>
    <w:rsid w:val="008207E6"/>
    <w:rsid w:val="00820873"/>
    <w:rsid w:val="00820977"/>
    <w:rsid w:val="00820B68"/>
    <w:rsid w:val="00820CA8"/>
    <w:rsid w:val="00820F29"/>
    <w:rsid w:val="0082128E"/>
    <w:rsid w:val="00821351"/>
    <w:rsid w:val="008215D7"/>
    <w:rsid w:val="008217A7"/>
    <w:rsid w:val="00821872"/>
    <w:rsid w:val="00821937"/>
    <w:rsid w:val="00821A50"/>
    <w:rsid w:val="00821C0C"/>
    <w:rsid w:val="00821CB9"/>
    <w:rsid w:val="00821D92"/>
    <w:rsid w:val="00821E36"/>
    <w:rsid w:val="00821F32"/>
    <w:rsid w:val="00822251"/>
    <w:rsid w:val="00822263"/>
    <w:rsid w:val="008223E3"/>
    <w:rsid w:val="00822416"/>
    <w:rsid w:val="008224AB"/>
    <w:rsid w:val="008227B1"/>
    <w:rsid w:val="008227F2"/>
    <w:rsid w:val="0082289C"/>
    <w:rsid w:val="008228C3"/>
    <w:rsid w:val="00822C69"/>
    <w:rsid w:val="00822EF2"/>
    <w:rsid w:val="00823053"/>
    <w:rsid w:val="00823150"/>
    <w:rsid w:val="0082319E"/>
    <w:rsid w:val="00823338"/>
    <w:rsid w:val="0082339F"/>
    <w:rsid w:val="00823600"/>
    <w:rsid w:val="00823758"/>
    <w:rsid w:val="00823778"/>
    <w:rsid w:val="0082378B"/>
    <w:rsid w:val="00823913"/>
    <w:rsid w:val="00823DC4"/>
    <w:rsid w:val="00823FA4"/>
    <w:rsid w:val="0082454D"/>
    <w:rsid w:val="00824B13"/>
    <w:rsid w:val="00824CF6"/>
    <w:rsid w:val="00824E28"/>
    <w:rsid w:val="00824FBD"/>
    <w:rsid w:val="008250B3"/>
    <w:rsid w:val="008250FF"/>
    <w:rsid w:val="00825113"/>
    <w:rsid w:val="008254B1"/>
    <w:rsid w:val="008255F6"/>
    <w:rsid w:val="008257EE"/>
    <w:rsid w:val="00825816"/>
    <w:rsid w:val="00825B10"/>
    <w:rsid w:val="00825D08"/>
    <w:rsid w:val="00825D43"/>
    <w:rsid w:val="00825D6B"/>
    <w:rsid w:val="00825D9B"/>
    <w:rsid w:val="00825E67"/>
    <w:rsid w:val="00825F03"/>
    <w:rsid w:val="008261A3"/>
    <w:rsid w:val="00826479"/>
    <w:rsid w:val="008264E9"/>
    <w:rsid w:val="0082683A"/>
    <w:rsid w:val="00826A7B"/>
    <w:rsid w:val="00826A99"/>
    <w:rsid w:val="00826C79"/>
    <w:rsid w:val="00826C84"/>
    <w:rsid w:val="00826D32"/>
    <w:rsid w:val="008270B9"/>
    <w:rsid w:val="0082751F"/>
    <w:rsid w:val="00827CF7"/>
    <w:rsid w:val="0083005E"/>
    <w:rsid w:val="008303E7"/>
    <w:rsid w:val="00830650"/>
    <w:rsid w:val="00830669"/>
    <w:rsid w:val="008307A9"/>
    <w:rsid w:val="00830826"/>
    <w:rsid w:val="00830883"/>
    <w:rsid w:val="00830B3A"/>
    <w:rsid w:val="00830C25"/>
    <w:rsid w:val="00830EA1"/>
    <w:rsid w:val="00831049"/>
    <w:rsid w:val="0083112B"/>
    <w:rsid w:val="00831174"/>
    <w:rsid w:val="00831946"/>
    <w:rsid w:val="00831985"/>
    <w:rsid w:val="00831D16"/>
    <w:rsid w:val="00832304"/>
    <w:rsid w:val="00832305"/>
    <w:rsid w:val="00832316"/>
    <w:rsid w:val="00832344"/>
    <w:rsid w:val="0083265A"/>
    <w:rsid w:val="0083291D"/>
    <w:rsid w:val="00832C18"/>
    <w:rsid w:val="00833149"/>
    <w:rsid w:val="00833273"/>
    <w:rsid w:val="00833369"/>
    <w:rsid w:val="0083339E"/>
    <w:rsid w:val="00833439"/>
    <w:rsid w:val="0083362B"/>
    <w:rsid w:val="008336E2"/>
    <w:rsid w:val="00833808"/>
    <w:rsid w:val="00833910"/>
    <w:rsid w:val="00833CA4"/>
    <w:rsid w:val="00833EEB"/>
    <w:rsid w:val="00833F90"/>
    <w:rsid w:val="00833FD9"/>
    <w:rsid w:val="0083402E"/>
    <w:rsid w:val="0083419A"/>
    <w:rsid w:val="008341FF"/>
    <w:rsid w:val="0083454C"/>
    <w:rsid w:val="00834927"/>
    <w:rsid w:val="00834952"/>
    <w:rsid w:val="00834969"/>
    <w:rsid w:val="00834997"/>
    <w:rsid w:val="00834B07"/>
    <w:rsid w:val="00834EFD"/>
    <w:rsid w:val="00834F1A"/>
    <w:rsid w:val="0083535B"/>
    <w:rsid w:val="008353E3"/>
    <w:rsid w:val="0083582D"/>
    <w:rsid w:val="00835B03"/>
    <w:rsid w:val="00835C41"/>
    <w:rsid w:val="00835CF6"/>
    <w:rsid w:val="00835EB6"/>
    <w:rsid w:val="00836016"/>
    <w:rsid w:val="00836219"/>
    <w:rsid w:val="0083623E"/>
    <w:rsid w:val="00836243"/>
    <w:rsid w:val="008364F8"/>
    <w:rsid w:val="00836744"/>
    <w:rsid w:val="00836777"/>
    <w:rsid w:val="008367B1"/>
    <w:rsid w:val="008367E6"/>
    <w:rsid w:val="0083699B"/>
    <w:rsid w:val="0083699F"/>
    <w:rsid w:val="00836BC5"/>
    <w:rsid w:val="00836C09"/>
    <w:rsid w:val="00836CDE"/>
    <w:rsid w:val="00836E2D"/>
    <w:rsid w:val="00837219"/>
    <w:rsid w:val="0083722F"/>
    <w:rsid w:val="00837389"/>
    <w:rsid w:val="00837559"/>
    <w:rsid w:val="008375CD"/>
    <w:rsid w:val="008375E4"/>
    <w:rsid w:val="00837C74"/>
    <w:rsid w:val="00837EB2"/>
    <w:rsid w:val="00837EB3"/>
    <w:rsid w:val="00837EDC"/>
    <w:rsid w:val="008401B1"/>
    <w:rsid w:val="0084022D"/>
    <w:rsid w:val="008402D5"/>
    <w:rsid w:val="008406E3"/>
    <w:rsid w:val="00840894"/>
    <w:rsid w:val="008408EE"/>
    <w:rsid w:val="008409EE"/>
    <w:rsid w:val="008409EF"/>
    <w:rsid w:val="00840EB7"/>
    <w:rsid w:val="0084101D"/>
    <w:rsid w:val="008411DE"/>
    <w:rsid w:val="008411F4"/>
    <w:rsid w:val="00841344"/>
    <w:rsid w:val="00841487"/>
    <w:rsid w:val="0084194E"/>
    <w:rsid w:val="00841B27"/>
    <w:rsid w:val="00841B43"/>
    <w:rsid w:val="00841D01"/>
    <w:rsid w:val="00841DEA"/>
    <w:rsid w:val="00841E02"/>
    <w:rsid w:val="00841E3A"/>
    <w:rsid w:val="00841F33"/>
    <w:rsid w:val="008420C1"/>
    <w:rsid w:val="008422CB"/>
    <w:rsid w:val="008423F9"/>
    <w:rsid w:val="008424FA"/>
    <w:rsid w:val="008425E6"/>
    <w:rsid w:val="008425F7"/>
    <w:rsid w:val="00842769"/>
    <w:rsid w:val="00842B78"/>
    <w:rsid w:val="00842E61"/>
    <w:rsid w:val="00842E90"/>
    <w:rsid w:val="0084312B"/>
    <w:rsid w:val="00843162"/>
    <w:rsid w:val="008433C2"/>
    <w:rsid w:val="008433F4"/>
    <w:rsid w:val="00843445"/>
    <w:rsid w:val="008434FF"/>
    <w:rsid w:val="008435FF"/>
    <w:rsid w:val="008436FD"/>
    <w:rsid w:val="008437BD"/>
    <w:rsid w:val="00843C81"/>
    <w:rsid w:val="00843D88"/>
    <w:rsid w:val="00843D8B"/>
    <w:rsid w:val="00843F90"/>
    <w:rsid w:val="00844477"/>
    <w:rsid w:val="008444F2"/>
    <w:rsid w:val="0084480B"/>
    <w:rsid w:val="00844950"/>
    <w:rsid w:val="00844969"/>
    <w:rsid w:val="00844CE0"/>
    <w:rsid w:val="00844E5C"/>
    <w:rsid w:val="008452AF"/>
    <w:rsid w:val="0084531E"/>
    <w:rsid w:val="0084540F"/>
    <w:rsid w:val="00845583"/>
    <w:rsid w:val="008455F7"/>
    <w:rsid w:val="0084565D"/>
    <w:rsid w:val="008456C2"/>
    <w:rsid w:val="0084572E"/>
    <w:rsid w:val="00845883"/>
    <w:rsid w:val="00845D92"/>
    <w:rsid w:val="00845DE5"/>
    <w:rsid w:val="00845E26"/>
    <w:rsid w:val="00845E7C"/>
    <w:rsid w:val="00845F8D"/>
    <w:rsid w:val="00846452"/>
    <w:rsid w:val="00846490"/>
    <w:rsid w:val="008465B0"/>
    <w:rsid w:val="00846887"/>
    <w:rsid w:val="00846B27"/>
    <w:rsid w:val="00846C55"/>
    <w:rsid w:val="00846D71"/>
    <w:rsid w:val="00846E41"/>
    <w:rsid w:val="00846E73"/>
    <w:rsid w:val="00846EA0"/>
    <w:rsid w:val="00846FF2"/>
    <w:rsid w:val="00847401"/>
    <w:rsid w:val="008474AD"/>
    <w:rsid w:val="00847818"/>
    <w:rsid w:val="008479D6"/>
    <w:rsid w:val="00847B83"/>
    <w:rsid w:val="00847BD2"/>
    <w:rsid w:val="00847E11"/>
    <w:rsid w:val="00847F61"/>
    <w:rsid w:val="008500F8"/>
    <w:rsid w:val="008501ED"/>
    <w:rsid w:val="008504B0"/>
    <w:rsid w:val="008505BB"/>
    <w:rsid w:val="00850781"/>
    <w:rsid w:val="00850A3F"/>
    <w:rsid w:val="00850AE3"/>
    <w:rsid w:val="00850F8C"/>
    <w:rsid w:val="00851138"/>
    <w:rsid w:val="00851167"/>
    <w:rsid w:val="008513A3"/>
    <w:rsid w:val="00851A68"/>
    <w:rsid w:val="00851B9F"/>
    <w:rsid w:val="00851C1B"/>
    <w:rsid w:val="00851E31"/>
    <w:rsid w:val="00851EF3"/>
    <w:rsid w:val="00852019"/>
    <w:rsid w:val="00852080"/>
    <w:rsid w:val="008520A6"/>
    <w:rsid w:val="0085222A"/>
    <w:rsid w:val="008522E9"/>
    <w:rsid w:val="00852402"/>
    <w:rsid w:val="008525F2"/>
    <w:rsid w:val="00852662"/>
    <w:rsid w:val="008526E5"/>
    <w:rsid w:val="00852776"/>
    <w:rsid w:val="0085294F"/>
    <w:rsid w:val="00852B35"/>
    <w:rsid w:val="00852B39"/>
    <w:rsid w:val="008530F9"/>
    <w:rsid w:val="00853184"/>
    <w:rsid w:val="00853412"/>
    <w:rsid w:val="0085343B"/>
    <w:rsid w:val="00853470"/>
    <w:rsid w:val="0085355C"/>
    <w:rsid w:val="0085363C"/>
    <w:rsid w:val="00853946"/>
    <w:rsid w:val="00853D5D"/>
    <w:rsid w:val="00853EE2"/>
    <w:rsid w:val="00853F2D"/>
    <w:rsid w:val="00853F99"/>
    <w:rsid w:val="008540BE"/>
    <w:rsid w:val="00854122"/>
    <w:rsid w:val="008541D0"/>
    <w:rsid w:val="008544B7"/>
    <w:rsid w:val="0085462B"/>
    <w:rsid w:val="00854717"/>
    <w:rsid w:val="0085479F"/>
    <w:rsid w:val="008547B7"/>
    <w:rsid w:val="008547BA"/>
    <w:rsid w:val="00854CF9"/>
    <w:rsid w:val="00854D4C"/>
    <w:rsid w:val="00855061"/>
    <w:rsid w:val="008550B2"/>
    <w:rsid w:val="008552A4"/>
    <w:rsid w:val="008555D2"/>
    <w:rsid w:val="008555D9"/>
    <w:rsid w:val="008557DF"/>
    <w:rsid w:val="0085582B"/>
    <w:rsid w:val="00855930"/>
    <w:rsid w:val="00855C90"/>
    <w:rsid w:val="00855EC5"/>
    <w:rsid w:val="00855FDD"/>
    <w:rsid w:val="0085630C"/>
    <w:rsid w:val="008564F3"/>
    <w:rsid w:val="008567D7"/>
    <w:rsid w:val="00856828"/>
    <w:rsid w:val="008568DF"/>
    <w:rsid w:val="00856A6D"/>
    <w:rsid w:val="00856CA4"/>
    <w:rsid w:val="00856D50"/>
    <w:rsid w:val="00856E73"/>
    <w:rsid w:val="00856F34"/>
    <w:rsid w:val="00857008"/>
    <w:rsid w:val="0085704E"/>
    <w:rsid w:val="00857463"/>
    <w:rsid w:val="008576E6"/>
    <w:rsid w:val="00857883"/>
    <w:rsid w:val="00857A5F"/>
    <w:rsid w:val="00857BDF"/>
    <w:rsid w:val="00857CD1"/>
    <w:rsid w:val="00857EB2"/>
    <w:rsid w:val="008603F2"/>
    <w:rsid w:val="0086052A"/>
    <w:rsid w:val="0086067A"/>
    <w:rsid w:val="00860917"/>
    <w:rsid w:val="00860B3A"/>
    <w:rsid w:val="00860C52"/>
    <w:rsid w:val="00860CBA"/>
    <w:rsid w:val="00860DEB"/>
    <w:rsid w:val="00860E7C"/>
    <w:rsid w:val="00860FE2"/>
    <w:rsid w:val="00860FE4"/>
    <w:rsid w:val="008611EC"/>
    <w:rsid w:val="00861699"/>
    <w:rsid w:val="008616BD"/>
    <w:rsid w:val="00861919"/>
    <w:rsid w:val="008619AE"/>
    <w:rsid w:val="00861A03"/>
    <w:rsid w:val="00861AD2"/>
    <w:rsid w:val="00861D9E"/>
    <w:rsid w:val="0086206C"/>
    <w:rsid w:val="008625E8"/>
    <w:rsid w:val="00862654"/>
    <w:rsid w:val="00862785"/>
    <w:rsid w:val="008627D8"/>
    <w:rsid w:val="00862824"/>
    <w:rsid w:val="008629BB"/>
    <w:rsid w:val="00862A39"/>
    <w:rsid w:val="00862DDD"/>
    <w:rsid w:val="00862DE1"/>
    <w:rsid w:val="00862E5A"/>
    <w:rsid w:val="00862E8F"/>
    <w:rsid w:val="00862F50"/>
    <w:rsid w:val="00862FA4"/>
    <w:rsid w:val="00863556"/>
    <w:rsid w:val="00863634"/>
    <w:rsid w:val="00863683"/>
    <w:rsid w:val="00863725"/>
    <w:rsid w:val="00863762"/>
    <w:rsid w:val="008638EA"/>
    <w:rsid w:val="00863D8D"/>
    <w:rsid w:val="00863E89"/>
    <w:rsid w:val="00864124"/>
    <w:rsid w:val="00864259"/>
    <w:rsid w:val="00864320"/>
    <w:rsid w:val="00864621"/>
    <w:rsid w:val="008646DC"/>
    <w:rsid w:val="0086491D"/>
    <w:rsid w:val="008649AA"/>
    <w:rsid w:val="00864C28"/>
    <w:rsid w:val="00864CAF"/>
    <w:rsid w:val="00864F9C"/>
    <w:rsid w:val="0086500A"/>
    <w:rsid w:val="00865444"/>
    <w:rsid w:val="008655D5"/>
    <w:rsid w:val="008656D2"/>
    <w:rsid w:val="008657D0"/>
    <w:rsid w:val="0086598D"/>
    <w:rsid w:val="00865B8E"/>
    <w:rsid w:val="008661EF"/>
    <w:rsid w:val="008662A0"/>
    <w:rsid w:val="008664D8"/>
    <w:rsid w:val="0086659D"/>
    <w:rsid w:val="0086669E"/>
    <w:rsid w:val="008666F2"/>
    <w:rsid w:val="00866806"/>
    <w:rsid w:val="008668B1"/>
    <w:rsid w:val="00866B2D"/>
    <w:rsid w:val="00866B3E"/>
    <w:rsid w:val="00866BF7"/>
    <w:rsid w:val="00866CCB"/>
    <w:rsid w:val="00866DC5"/>
    <w:rsid w:val="00866F69"/>
    <w:rsid w:val="0086702C"/>
    <w:rsid w:val="0086715B"/>
    <w:rsid w:val="008674C2"/>
    <w:rsid w:val="00867747"/>
    <w:rsid w:val="00867772"/>
    <w:rsid w:val="00867903"/>
    <w:rsid w:val="00867A15"/>
    <w:rsid w:val="00867D61"/>
    <w:rsid w:val="008700AF"/>
    <w:rsid w:val="0087059A"/>
    <w:rsid w:val="00870610"/>
    <w:rsid w:val="0087073F"/>
    <w:rsid w:val="00870749"/>
    <w:rsid w:val="0087079F"/>
    <w:rsid w:val="00870863"/>
    <w:rsid w:val="0087088D"/>
    <w:rsid w:val="0087089F"/>
    <w:rsid w:val="008708F6"/>
    <w:rsid w:val="00870916"/>
    <w:rsid w:val="008709C5"/>
    <w:rsid w:val="00870A19"/>
    <w:rsid w:val="00870A7E"/>
    <w:rsid w:val="00870BCD"/>
    <w:rsid w:val="00870C64"/>
    <w:rsid w:val="00870DB1"/>
    <w:rsid w:val="00870E7C"/>
    <w:rsid w:val="008712E0"/>
    <w:rsid w:val="008713DC"/>
    <w:rsid w:val="00871593"/>
    <w:rsid w:val="00871A6B"/>
    <w:rsid w:val="00871F12"/>
    <w:rsid w:val="00871F5B"/>
    <w:rsid w:val="008720CB"/>
    <w:rsid w:val="0087215B"/>
    <w:rsid w:val="00872354"/>
    <w:rsid w:val="00872669"/>
    <w:rsid w:val="008727E9"/>
    <w:rsid w:val="00872979"/>
    <w:rsid w:val="008729EF"/>
    <w:rsid w:val="00872A45"/>
    <w:rsid w:val="00872BD3"/>
    <w:rsid w:val="00872C22"/>
    <w:rsid w:val="00872C45"/>
    <w:rsid w:val="00873070"/>
    <w:rsid w:val="00873109"/>
    <w:rsid w:val="0087346E"/>
    <w:rsid w:val="0087360E"/>
    <w:rsid w:val="00873756"/>
    <w:rsid w:val="008739CB"/>
    <w:rsid w:val="00873ACB"/>
    <w:rsid w:val="00873BB0"/>
    <w:rsid w:val="00873CF6"/>
    <w:rsid w:val="008740A9"/>
    <w:rsid w:val="00874647"/>
    <w:rsid w:val="00874723"/>
    <w:rsid w:val="00874897"/>
    <w:rsid w:val="008748D9"/>
    <w:rsid w:val="0087497C"/>
    <w:rsid w:val="00874B4D"/>
    <w:rsid w:val="00874BA4"/>
    <w:rsid w:val="00874D32"/>
    <w:rsid w:val="00874E33"/>
    <w:rsid w:val="008753B6"/>
    <w:rsid w:val="00875511"/>
    <w:rsid w:val="0087575C"/>
    <w:rsid w:val="008757E6"/>
    <w:rsid w:val="008757EF"/>
    <w:rsid w:val="00875C7E"/>
    <w:rsid w:val="00875CAA"/>
    <w:rsid w:val="00875E79"/>
    <w:rsid w:val="00875FDA"/>
    <w:rsid w:val="0087600A"/>
    <w:rsid w:val="008760F1"/>
    <w:rsid w:val="0087644E"/>
    <w:rsid w:val="008765E4"/>
    <w:rsid w:val="008765F4"/>
    <w:rsid w:val="0087688D"/>
    <w:rsid w:val="00876B58"/>
    <w:rsid w:val="00876B8C"/>
    <w:rsid w:val="00876E6E"/>
    <w:rsid w:val="00876ED9"/>
    <w:rsid w:val="00877035"/>
    <w:rsid w:val="00877497"/>
    <w:rsid w:val="0087756D"/>
    <w:rsid w:val="008775C4"/>
    <w:rsid w:val="008776A4"/>
    <w:rsid w:val="00877DB8"/>
    <w:rsid w:val="00877E0F"/>
    <w:rsid w:val="00877ED1"/>
    <w:rsid w:val="0088009F"/>
    <w:rsid w:val="0088016D"/>
    <w:rsid w:val="008801B2"/>
    <w:rsid w:val="008806C9"/>
    <w:rsid w:val="008806CD"/>
    <w:rsid w:val="0088073A"/>
    <w:rsid w:val="008809B3"/>
    <w:rsid w:val="008809FB"/>
    <w:rsid w:val="00880B1A"/>
    <w:rsid w:val="00880D06"/>
    <w:rsid w:val="008811FB"/>
    <w:rsid w:val="008819EF"/>
    <w:rsid w:val="00881C07"/>
    <w:rsid w:val="00881C5F"/>
    <w:rsid w:val="00881D27"/>
    <w:rsid w:val="00881E40"/>
    <w:rsid w:val="00881F60"/>
    <w:rsid w:val="008820AD"/>
    <w:rsid w:val="00882331"/>
    <w:rsid w:val="008827CD"/>
    <w:rsid w:val="008829FE"/>
    <w:rsid w:val="00882A09"/>
    <w:rsid w:val="00882B97"/>
    <w:rsid w:val="00882BE9"/>
    <w:rsid w:val="00882D55"/>
    <w:rsid w:val="00882F07"/>
    <w:rsid w:val="00883113"/>
    <w:rsid w:val="0088342F"/>
    <w:rsid w:val="0088365F"/>
    <w:rsid w:val="0088367E"/>
    <w:rsid w:val="00883699"/>
    <w:rsid w:val="008836C1"/>
    <w:rsid w:val="00883A4E"/>
    <w:rsid w:val="00883F0A"/>
    <w:rsid w:val="00883FCA"/>
    <w:rsid w:val="00884120"/>
    <w:rsid w:val="008841A1"/>
    <w:rsid w:val="00884315"/>
    <w:rsid w:val="00884504"/>
    <w:rsid w:val="00884919"/>
    <w:rsid w:val="00884C80"/>
    <w:rsid w:val="00884CD1"/>
    <w:rsid w:val="00884DAE"/>
    <w:rsid w:val="00884E2D"/>
    <w:rsid w:val="00884EE8"/>
    <w:rsid w:val="0088502E"/>
    <w:rsid w:val="00885061"/>
    <w:rsid w:val="008850EB"/>
    <w:rsid w:val="008851D2"/>
    <w:rsid w:val="008855F5"/>
    <w:rsid w:val="00885695"/>
    <w:rsid w:val="008858AE"/>
    <w:rsid w:val="00885A30"/>
    <w:rsid w:val="00885E26"/>
    <w:rsid w:val="00885E82"/>
    <w:rsid w:val="00885EA9"/>
    <w:rsid w:val="008863A3"/>
    <w:rsid w:val="00886547"/>
    <w:rsid w:val="00886915"/>
    <w:rsid w:val="00886922"/>
    <w:rsid w:val="00886A1F"/>
    <w:rsid w:val="00886D5C"/>
    <w:rsid w:val="00886F54"/>
    <w:rsid w:val="0088706A"/>
    <w:rsid w:val="008872E0"/>
    <w:rsid w:val="00887549"/>
    <w:rsid w:val="00887565"/>
    <w:rsid w:val="008876A7"/>
    <w:rsid w:val="00887872"/>
    <w:rsid w:val="00887AC5"/>
    <w:rsid w:val="00887B37"/>
    <w:rsid w:val="00887C71"/>
    <w:rsid w:val="00887FCD"/>
    <w:rsid w:val="0089009A"/>
    <w:rsid w:val="0089019F"/>
    <w:rsid w:val="008902A7"/>
    <w:rsid w:val="008902B9"/>
    <w:rsid w:val="0089034C"/>
    <w:rsid w:val="008903A9"/>
    <w:rsid w:val="00890489"/>
    <w:rsid w:val="008905BC"/>
    <w:rsid w:val="00890653"/>
    <w:rsid w:val="008907CF"/>
    <w:rsid w:val="008907DE"/>
    <w:rsid w:val="008908CE"/>
    <w:rsid w:val="00890E3D"/>
    <w:rsid w:val="00890F67"/>
    <w:rsid w:val="008911DF"/>
    <w:rsid w:val="00891308"/>
    <w:rsid w:val="0089151B"/>
    <w:rsid w:val="008917C8"/>
    <w:rsid w:val="00891A64"/>
    <w:rsid w:val="00891ABD"/>
    <w:rsid w:val="00891D14"/>
    <w:rsid w:val="00891E1B"/>
    <w:rsid w:val="00891F72"/>
    <w:rsid w:val="00892174"/>
    <w:rsid w:val="00892180"/>
    <w:rsid w:val="008921F9"/>
    <w:rsid w:val="00892230"/>
    <w:rsid w:val="0089226D"/>
    <w:rsid w:val="008923EE"/>
    <w:rsid w:val="0089293F"/>
    <w:rsid w:val="00892AD2"/>
    <w:rsid w:val="00892F37"/>
    <w:rsid w:val="00893022"/>
    <w:rsid w:val="00893057"/>
    <w:rsid w:val="008935CB"/>
    <w:rsid w:val="008935E8"/>
    <w:rsid w:val="00893811"/>
    <w:rsid w:val="0089395D"/>
    <w:rsid w:val="00893A33"/>
    <w:rsid w:val="00893AEB"/>
    <w:rsid w:val="00893B92"/>
    <w:rsid w:val="00893BF3"/>
    <w:rsid w:val="00893C57"/>
    <w:rsid w:val="00893E0F"/>
    <w:rsid w:val="00893FEE"/>
    <w:rsid w:val="008940D6"/>
    <w:rsid w:val="00894325"/>
    <w:rsid w:val="00894E9F"/>
    <w:rsid w:val="00894EE1"/>
    <w:rsid w:val="00894F49"/>
    <w:rsid w:val="00894FE1"/>
    <w:rsid w:val="00895044"/>
    <w:rsid w:val="0089530D"/>
    <w:rsid w:val="0089540E"/>
    <w:rsid w:val="0089562E"/>
    <w:rsid w:val="00895834"/>
    <w:rsid w:val="00895B12"/>
    <w:rsid w:val="00895BE0"/>
    <w:rsid w:val="00896352"/>
    <w:rsid w:val="00896BF4"/>
    <w:rsid w:val="00897480"/>
    <w:rsid w:val="00897653"/>
    <w:rsid w:val="0089776C"/>
    <w:rsid w:val="008979A7"/>
    <w:rsid w:val="00897A17"/>
    <w:rsid w:val="00897D3B"/>
    <w:rsid w:val="00897EBB"/>
    <w:rsid w:val="008A01E8"/>
    <w:rsid w:val="008A0434"/>
    <w:rsid w:val="008A04F4"/>
    <w:rsid w:val="008A07B7"/>
    <w:rsid w:val="008A07CC"/>
    <w:rsid w:val="008A0A9F"/>
    <w:rsid w:val="008A0AD1"/>
    <w:rsid w:val="008A0E6D"/>
    <w:rsid w:val="008A0FC5"/>
    <w:rsid w:val="008A10A9"/>
    <w:rsid w:val="008A10AD"/>
    <w:rsid w:val="008A114F"/>
    <w:rsid w:val="008A13DA"/>
    <w:rsid w:val="008A152F"/>
    <w:rsid w:val="008A16DF"/>
    <w:rsid w:val="008A17E2"/>
    <w:rsid w:val="008A1A17"/>
    <w:rsid w:val="008A1B50"/>
    <w:rsid w:val="008A242E"/>
    <w:rsid w:val="008A26B0"/>
    <w:rsid w:val="008A2B71"/>
    <w:rsid w:val="008A2BC5"/>
    <w:rsid w:val="008A2F1D"/>
    <w:rsid w:val="008A3019"/>
    <w:rsid w:val="008A309F"/>
    <w:rsid w:val="008A310E"/>
    <w:rsid w:val="008A319E"/>
    <w:rsid w:val="008A3368"/>
    <w:rsid w:val="008A3705"/>
    <w:rsid w:val="008A371F"/>
    <w:rsid w:val="008A376A"/>
    <w:rsid w:val="008A37F3"/>
    <w:rsid w:val="008A3912"/>
    <w:rsid w:val="008A3BC3"/>
    <w:rsid w:val="008A3D38"/>
    <w:rsid w:val="008A3D77"/>
    <w:rsid w:val="008A3F2E"/>
    <w:rsid w:val="008A4076"/>
    <w:rsid w:val="008A43BD"/>
    <w:rsid w:val="008A45DF"/>
    <w:rsid w:val="008A4656"/>
    <w:rsid w:val="008A470C"/>
    <w:rsid w:val="008A47F7"/>
    <w:rsid w:val="008A4831"/>
    <w:rsid w:val="008A4D39"/>
    <w:rsid w:val="008A4DD2"/>
    <w:rsid w:val="008A5211"/>
    <w:rsid w:val="008A525E"/>
    <w:rsid w:val="008A5416"/>
    <w:rsid w:val="008A54BC"/>
    <w:rsid w:val="008A5582"/>
    <w:rsid w:val="008A57F6"/>
    <w:rsid w:val="008A58C5"/>
    <w:rsid w:val="008A591D"/>
    <w:rsid w:val="008A5A7E"/>
    <w:rsid w:val="008A5C6B"/>
    <w:rsid w:val="008A5DFC"/>
    <w:rsid w:val="008A6025"/>
    <w:rsid w:val="008A619F"/>
    <w:rsid w:val="008A62C4"/>
    <w:rsid w:val="008A63F8"/>
    <w:rsid w:val="008A668C"/>
    <w:rsid w:val="008A69BC"/>
    <w:rsid w:val="008A6A2C"/>
    <w:rsid w:val="008A6BF6"/>
    <w:rsid w:val="008A6BF9"/>
    <w:rsid w:val="008A6DEE"/>
    <w:rsid w:val="008A6E1A"/>
    <w:rsid w:val="008A7120"/>
    <w:rsid w:val="008A7308"/>
    <w:rsid w:val="008A767D"/>
    <w:rsid w:val="008A7940"/>
    <w:rsid w:val="008A7BB0"/>
    <w:rsid w:val="008A7C48"/>
    <w:rsid w:val="008A7DBB"/>
    <w:rsid w:val="008A7EE1"/>
    <w:rsid w:val="008A7F43"/>
    <w:rsid w:val="008A7F58"/>
    <w:rsid w:val="008B0093"/>
    <w:rsid w:val="008B0197"/>
    <w:rsid w:val="008B0352"/>
    <w:rsid w:val="008B04A2"/>
    <w:rsid w:val="008B05EB"/>
    <w:rsid w:val="008B0811"/>
    <w:rsid w:val="008B09D0"/>
    <w:rsid w:val="008B0BB9"/>
    <w:rsid w:val="008B1043"/>
    <w:rsid w:val="008B1213"/>
    <w:rsid w:val="008B15BB"/>
    <w:rsid w:val="008B1BFC"/>
    <w:rsid w:val="008B1D98"/>
    <w:rsid w:val="008B1F90"/>
    <w:rsid w:val="008B215E"/>
    <w:rsid w:val="008B247C"/>
    <w:rsid w:val="008B253D"/>
    <w:rsid w:val="008B2582"/>
    <w:rsid w:val="008B25E1"/>
    <w:rsid w:val="008B2611"/>
    <w:rsid w:val="008B2617"/>
    <w:rsid w:val="008B2619"/>
    <w:rsid w:val="008B26E8"/>
    <w:rsid w:val="008B2A1D"/>
    <w:rsid w:val="008B2C77"/>
    <w:rsid w:val="008B2DAD"/>
    <w:rsid w:val="008B2E02"/>
    <w:rsid w:val="008B2E47"/>
    <w:rsid w:val="008B2ECD"/>
    <w:rsid w:val="008B3042"/>
    <w:rsid w:val="008B3220"/>
    <w:rsid w:val="008B3234"/>
    <w:rsid w:val="008B34D1"/>
    <w:rsid w:val="008B3501"/>
    <w:rsid w:val="008B360F"/>
    <w:rsid w:val="008B38A4"/>
    <w:rsid w:val="008B39A5"/>
    <w:rsid w:val="008B3A7B"/>
    <w:rsid w:val="008B3E3E"/>
    <w:rsid w:val="008B4117"/>
    <w:rsid w:val="008B42B5"/>
    <w:rsid w:val="008B435B"/>
    <w:rsid w:val="008B43EA"/>
    <w:rsid w:val="008B4540"/>
    <w:rsid w:val="008B46AC"/>
    <w:rsid w:val="008B48E0"/>
    <w:rsid w:val="008B48F3"/>
    <w:rsid w:val="008B4A0B"/>
    <w:rsid w:val="008B4BEF"/>
    <w:rsid w:val="008B4C77"/>
    <w:rsid w:val="008B4D77"/>
    <w:rsid w:val="008B4E52"/>
    <w:rsid w:val="008B4E70"/>
    <w:rsid w:val="008B5003"/>
    <w:rsid w:val="008B533D"/>
    <w:rsid w:val="008B561E"/>
    <w:rsid w:val="008B59B3"/>
    <w:rsid w:val="008B5CDB"/>
    <w:rsid w:val="008B5EFC"/>
    <w:rsid w:val="008B6105"/>
    <w:rsid w:val="008B6175"/>
    <w:rsid w:val="008B6240"/>
    <w:rsid w:val="008B653F"/>
    <w:rsid w:val="008B667C"/>
    <w:rsid w:val="008B67D8"/>
    <w:rsid w:val="008B67E7"/>
    <w:rsid w:val="008B6E4A"/>
    <w:rsid w:val="008B7063"/>
    <w:rsid w:val="008B73C0"/>
    <w:rsid w:val="008B74E7"/>
    <w:rsid w:val="008B79C7"/>
    <w:rsid w:val="008B7A93"/>
    <w:rsid w:val="008B7AD9"/>
    <w:rsid w:val="008B7B2F"/>
    <w:rsid w:val="008B7B88"/>
    <w:rsid w:val="008B7DE3"/>
    <w:rsid w:val="008B7E66"/>
    <w:rsid w:val="008B7FC0"/>
    <w:rsid w:val="008C01CD"/>
    <w:rsid w:val="008C040C"/>
    <w:rsid w:val="008C07A0"/>
    <w:rsid w:val="008C07A3"/>
    <w:rsid w:val="008C0824"/>
    <w:rsid w:val="008C092F"/>
    <w:rsid w:val="008C0948"/>
    <w:rsid w:val="008C0EEF"/>
    <w:rsid w:val="008C0F0C"/>
    <w:rsid w:val="008C0F77"/>
    <w:rsid w:val="008C0FA9"/>
    <w:rsid w:val="008C1006"/>
    <w:rsid w:val="008C1184"/>
    <w:rsid w:val="008C1185"/>
    <w:rsid w:val="008C13EF"/>
    <w:rsid w:val="008C1596"/>
    <w:rsid w:val="008C1776"/>
    <w:rsid w:val="008C1B76"/>
    <w:rsid w:val="008C1D8D"/>
    <w:rsid w:val="008C1DB1"/>
    <w:rsid w:val="008C1E63"/>
    <w:rsid w:val="008C1F3D"/>
    <w:rsid w:val="008C21B6"/>
    <w:rsid w:val="008C21BF"/>
    <w:rsid w:val="008C237A"/>
    <w:rsid w:val="008C269A"/>
    <w:rsid w:val="008C26CB"/>
    <w:rsid w:val="008C26E6"/>
    <w:rsid w:val="008C2948"/>
    <w:rsid w:val="008C2C55"/>
    <w:rsid w:val="008C2C72"/>
    <w:rsid w:val="008C3567"/>
    <w:rsid w:val="008C35E3"/>
    <w:rsid w:val="008C383E"/>
    <w:rsid w:val="008C3E6D"/>
    <w:rsid w:val="008C4117"/>
    <w:rsid w:val="008C4539"/>
    <w:rsid w:val="008C4586"/>
    <w:rsid w:val="008C4760"/>
    <w:rsid w:val="008C47B5"/>
    <w:rsid w:val="008C47F1"/>
    <w:rsid w:val="008C4817"/>
    <w:rsid w:val="008C4B2D"/>
    <w:rsid w:val="008C4B4B"/>
    <w:rsid w:val="008C4BD1"/>
    <w:rsid w:val="008C4D75"/>
    <w:rsid w:val="008C4DE9"/>
    <w:rsid w:val="008C504C"/>
    <w:rsid w:val="008C5146"/>
    <w:rsid w:val="008C549B"/>
    <w:rsid w:val="008C5615"/>
    <w:rsid w:val="008C56ED"/>
    <w:rsid w:val="008C56FB"/>
    <w:rsid w:val="008C5C4B"/>
    <w:rsid w:val="008C5CE6"/>
    <w:rsid w:val="008C5E13"/>
    <w:rsid w:val="008C5EF1"/>
    <w:rsid w:val="008C6176"/>
    <w:rsid w:val="008C61AC"/>
    <w:rsid w:val="008C62EC"/>
    <w:rsid w:val="008C6305"/>
    <w:rsid w:val="008C633B"/>
    <w:rsid w:val="008C6403"/>
    <w:rsid w:val="008C647B"/>
    <w:rsid w:val="008C66D6"/>
    <w:rsid w:val="008C66E3"/>
    <w:rsid w:val="008C6831"/>
    <w:rsid w:val="008C68F4"/>
    <w:rsid w:val="008C6972"/>
    <w:rsid w:val="008C6ED0"/>
    <w:rsid w:val="008C6F34"/>
    <w:rsid w:val="008C7047"/>
    <w:rsid w:val="008C70CA"/>
    <w:rsid w:val="008C7184"/>
    <w:rsid w:val="008C719E"/>
    <w:rsid w:val="008C72D5"/>
    <w:rsid w:val="008C7443"/>
    <w:rsid w:val="008C74B2"/>
    <w:rsid w:val="008C7571"/>
    <w:rsid w:val="008C7606"/>
    <w:rsid w:val="008C77C4"/>
    <w:rsid w:val="008C7928"/>
    <w:rsid w:val="008C79CA"/>
    <w:rsid w:val="008C7D17"/>
    <w:rsid w:val="008C7F54"/>
    <w:rsid w:val="008D005F"/>
    <w:rsid w:val="008D00F9"/>
    <w:rsid w:val="008D02DC"/>
    <w:rsid w:val="008D038E"/>
    <w:rsid w:val="008D0595"/>
    <w:rsid w:val="008D06F2"/>
    <w:rsid w:val="008D0816"/>
    <w:rsid w:val="008D08AE"/>
    <w:rsid w:val="008D090E"/>
    <w:rsid w:val="008D0CEE"/>
    <w:rsid w:val="008D0EF1"/>
    <w:rsid w:val="008D1115"/>
    <w:rsid w:val="008D11BC"/>
    <w:rsid w:val="008D1285"/>
    <w:rsid w:val="008D1393"/>
    <w:rsid w:val="008D1588"/>
    <w:rsid w:val="008D15CD"/>
    <w:rsid w:val="008D17D3"/>
    <w:rsid w:val="008D1B55"/>
    <w:rsid w:val="008D1B88"/>
    <w:rsid w:val="008D1CF0"/>
    <w:rsid w:val="008D1E81"/>
    <w:rsid w:val="008D1FB7"/>
    <w:rsid w:val="008D2016"/>
    <w:rsid w:val="008D223B"/>
    <w:rsid w:val="008D23E4"/>
    <w:rsid w:val="008D24CA"/>
    <w:rsid w:val="008D24D3"/>
    <w:rsid w:val="008D269F"/>
    <w:rsid w:val="008D2734"/>
    <w:rsid w:val="008D28EB"/>
    <w:rsid w:val="008D2A18"/>
    <w:rsid w:val="008D2BCF"/>
    <w:rsid w:val="008D2D32"/>
    <w:rsid w:val="008D2F93"/>
    <w:rsid w:val="008D330E"/>
    <w:rsid w:val="008D352E"/>
    <w:rsid w:val="008D364A"/>
    <w:rsid w:val="008D3772"/>
    <w:rsid w:val="008D37FB"/>
    <w:rsid w:val="008D38B6"/>
    <w:rsid w:val="008D3906"/>
    <w:rsid w:val="008D3A96"/>
    <w:rsid w:val="008D3C67"/>
    <w:rsid w:val="008D3CB3"/>
    <w:rsid w:val="008D3D0B"/>
    <w:rsid w:val="008D3D0E"/>
    <w:rsid w:val="008D3E4F"/>
    <w:rsid w:val="008D4150"/>
    <w:rsid w:val="008D416D"/>
    <w:rsid w:val="008D4639"/>
    <w:rsid w:val="008D47C3"/>
    <w:rsid w:val="008D4826"/>
    <w:rsid w:val="008D49EC"/>
    <w:rsid w:val="008D4AA8"/>
    <w:rsid w:val="008D4AF9"/>
    <w:rsid w:val="008D4B22"/>
    <w:rsid w:val="008D4C1D"/>
    <w:rsid w:val="008D4D1E"/>
    <w:rsid w:val="008D52E8"/>
    <w:rsid w:val="008D530A"/>
    <w:rsid w:val="008D5494"/>
    <w:rsid w:val="008D5561"/>
    <w:rsid w:val="008D5796"/>
    <w:rsid w:val="008D58C6"/>
    <w:rsid w:val="008D5CAB"/>
    <w:rsid w:val="008D5E7F"/>
    <w:rsid w:val="008D6367"/>
    <w:rsid w:val="008D63B1"/>
    <w:rsid w:val="008D645F"/>
    <w:rsid w:val="008D646D"/>
    <w:rsid w:val="008D68C4"/>
    <w:rsid w:val="008D690C"/>
    <w:rsid w:val="008D69F5"/>
    <w:rsid w:val="008D6A86"/>
    <w:rsid w:val="008D6C2D"/>
    <w:rsid w:val="008D6DBD"/>
    <w:rsid w:val="008D6FC8"/>
    <w:rsid w:val="008D71A5"/>
    <w:rsid w:val="008D7519"/>
    <w:rsid w:val="008D75C4"/>
    <w:rsid w:val="008D77F8"/>
    <w:rsid w:val="008D7A94"/>
    <w:rsid w:val="008D7AC9"/>
    <w:rsid w:val="008D7E1A"/>
    <w:rsid w:val="008E0006"/>
    <w:rsid w:val="008E0049"/>
    <w:rsid w:val="008E009A"/>
    <w:rsid w:val="008E01FD"/>
    <w:rsid w:val="008E0299"/>
    <w:rsid w:val="008E0538"/>
    <w:rsid w:val="008E091C"/>
    <w:rsid w:val="008E099E"/>
    <w:rsid w:val="008E0B81"/>
    <w:rsid w:val="008E0CBA"/>
    <w:rsid w:val="008E0D63"/>
    <w:rsid w:val="008E0E70"/>
    <w:rsid w:val="008E0E7C"/>
    <w:rsid w:val="008E0EC4"/>
    <w:rsid w:val="008E0F36"/>
    <w:rsid w:val="008E10D9"/>
    <w:rsid w:val="008E1289"/>
    <w:rsid w:val="008E143F"/>
    <w:rsid w:val="008E153E"/>
    <w:rsid w:val="008E1542"/>
    <w:rsid w:val="008E1851"/>
    <w:rsid w:val="008E1A77"/>
    <w:rsid w:val="008E1E9A"/>
    <w:rsid w:val="008E20A1"/>
    <w:rsid w:val="008E20C8"/>
    <w:rsid w:val="008E21E7"/>
    <w:rsid w:val="008E22BC"/>
    <w:rsid w:val="008E2A69"/>
    <w:rsid w:val="008E2B91"/>
    <w:rsid w:val="008E2BE5"/>
    <w:rsid w:val="008E2D30"/>
    <w:rsid w:val="008E2DC9"/>
    <w:rsid w:val="008E3125"/>
    <w:rsid w:val="008E3282"/>
    <w:rsid w:val="008E3423"/>
    <w:rsid w:val="008E3440"/>
    <w:rsid w:val="008E3444"/>
    <w:rsid w:val="008E3719"/>
    <w:rsid w:val="008E39E2"/>
    <w:rsid w:val="008E3BF9"/>
    <w:rsid w:val="008E3C31"/>
    <w:rsid w:val="008E3E21"/>
    <w:rsid w:val="008E423D"/>
    <w:rsid w:val="008E441D"/>
    <w:rsid w:val="008E4462"/>
    <w:rsid w:val="008E44F1"/>
    <w:rsid w:val="008E45D3"/>
    <w:rsid w:val="008E4C59"/>
    <w:rsid w:val="008E4C7D"/>
    <w:rsid w:val="008E4E7E"/>
    <w:rsid w:val="008E50A4"/>
    <w:rsid w:val="008E5481"/>
    <w:rsid w:val="008E54B2"/>
    <w:rsid w:val="008E5643"/>
    <w:rsid w:val="008E56FE"/>
    <w:rsid w:val="008E574A"/>
    <w:rsid w:val="008E5889"/>
    <w:rsid w:val="008E59FD"/>
    <w:rsid w:val="008E5A4E"/>
    <w:rsid w:val="008E5B69"/>
    <w:rsid w:val="008E5BB2"/>
    <w:rsid w:val="008E5D18"/>
    <w:rsid w:val="008E5EA7"/>
    <w:rsid w:val="008E5FEC"/>
    <w:rsid w:val="008E61E9"/>
    <w:rsid w:val="008E62FB"/>
    <w:rsid w:val="008E64A8"/>
    <w:rsid w:val="008E6508"/>
    <w:rsid w:val="008E657B"/>
    <w:rsid w:val="008E677F"/>
    <w:rsid w:val="008E68CF"/>
    <w:rsid w:val="008E6996"/>
    <w:rsid w:val="008E6B70"/>
    <w:rsid w:val="008E6BB3"/>
    <w:rsid w:val="008E6D35"/>
    <w:rsid w:val="008E6F74"/>
    <w:rsid w:val="008E70AD"/>
    <w:rsid w:val="008E7113"/>
    <w:rsid w:val="008E7153"/>
    <w:rsid w:val="008E777C"/>
    <w:rsid w:val="008E798F"/>
    <w:rsid w:val="008E7A90"/>
    <w:rsid w:val="008E7AA4"/>
    <w:rsid w:val="008E7C15"/>
    <w:rsid w:val="008E7C37"/>
    <w:rsid w:val="008E7C49"/>
    <w:rsid w:val="008E7EC1"/>
    <w:rsid w:val="008E7F25"/>
    <w:rsid w:val="008E7F5B"/>
    <w:rsid w:val="008F07DB"/>
    <w:rsid w:val="008F0897"/>
    <w:rsid w:val="008F0CAE"/>
    <w:rsid w:val="008F0FC0"/>
    <w:rsid w:val="008F10DB"/>
    <w:rsid w:val="008F119D"/>
    <w:rsid w:val="008F1212"/>
    <w:rsid w:val="008F124F"/>
    <w:rsid w:val="008F132C"/>
    <w:rsid w:val="008F148C"/>
    <w:rsid w:val="008F15EC"/>
    <w:rsid w:val="008F1848"/>
    <w:rsid w:val="008F18DF"/>
    <w:rsid w:val="008F19A9"/>
    <w:rsid w:val="008F1BC8"/>
    <w:rsid w:val="008F1BED"/>
    <w:rsid w:val="008F1E31"/>
    <w:rsid w:val="008F2070"/>
    <w:rsid w:val="008F2110"/>
    <w:rsid w:val="008F2151"/>
    <w:rsid w:val="008F2176"/>
    <w:rsid w:val="008F246A"/>
    <w:rsid w:val="008F28FD"/>
    <w:rsid w:val="008F2AFD"/>
    <w:rsid w:val="008F2BEB"/>
    <w:rsid w:val="008F2CAA"/>
    <w:rsid w:val="008F2E44"/>
    <w:rsid w:val="008F2EC1"/>
    <w:rsid w:val="008F3385"/>
    <w:rsid w:val="008F3429"/>
    <w:rsid w:val="008F34AF"/>
    <w:rsid w:val="008F34FB"/>
    <w:rsid w:val="008F37D1"/>
    <w:rsid w:val="008F3C3D"/>
    <w:rsid w:val="008F3E0C"/>
    <w:rsid w:val="008F3E31"/>
    <w:rsid w:val="008F3F8D"/>
    <w:rsid w:val="008F453F"/>
    <w:rsid w:val="008F464A"/>
    <w:rsid w:val="008F4A4D"/>
    <w:rsid w:val="008F4A64"/>
    <w:rsid w:val="008F4CCB"/>
    <w:rsid w:val="008F4ECF"/>
    <w:rsid w:val="008F511E"/>
    <w:rsid w:val="008F529D"/>
    <w:rsid w:val="008F52CE"/>
    <w:rsid w:val="008F55B4"/>
    <w:rsid w:val="008F56DC"/>
    <w:rsid w:val="008F5817"/>
    <w:rsid w:val="008F5D1F"/>
    <w:rsid w:val="008F5F58"/>
    <w:rsid w:val="008F61AC"/>
    <w:rsid w:val="008F61FC"/>
    <w:rsid w:val="008F63A8"/>
    <w:rsid w:val="008F6585"/>
    <w:rsid w:val="008F673F"/>
    <w:rsid w:val="008F70AD"/>
    <w:rsid w:val="008F723E"/>
    <w:rsid w:val="008F7580"/>
    <w:rsid w:val="008F779E"/>
    <w:rsid w:val="008F782F"/>
    <w:rsid w:val="008F78C7"/>
    <w:rsid w:val="008F7915"/>
    <w:rsid w:val="008F7B78"/>
    <w:rsid w:val="008F7CC0"/>
    <w:rsid w:val="008F7ECF"/>
    <w:rsid w:val="009002B2"/>
    <w:rsid w:val="009002C6"/>
    <w:rsid w:val="0090034B"/>
    <w:rsid w:val="00900457"/>
    <w:rsid w:val="0090067F"/>
    <w:rsid w:val="009007FB"/>
    <w:rsid w:val="00900EEC"/>
    <w:rsid w:val="00900F6C"/>
    <w:rsid w:val="00900FE8"/>
    <w:rsid w:val="009010A8"/>
    <w:rsid w:val="009010EE"/>
    <w:rsid w:val="00901494"/>
    <w:rsid w:val="0090158C"/>
    <w:rsid w:val="00901672"/>
    <w:rsid w:val="00901714"/>
    <w:rsid w:val="00901746"/>
    <w:rsid w:val="00901C9A"/>
    <w:rsid w:val="00901E78"/>
    <w:rsid w:val="0090205C"/>
    <w:rsid w:val="00902145"/>
    <w:rsid w:val="009021F8"/>
    <w:rsid w:val="0090225A"/>
    <w:rsid w:val="00902534"/>
    <w:rsid w:val="009026CE"/>
    <w:rsid w:val="009027A0"/>
    <w:rsid w:val="009028B5"/>
    <w:rsid w:val="00902926"/>
    <w:rsid w:val="00902B79"/>
    <w:rsid w:val="00902D98"/>
    <w:rsid w:val="00902E74"/>
    <w:rsid w:val="00903082"/>
    <w:rsid w:val="00903168"/>
    <w:rsid w:val="00903176"/>
    <w:rsid w:val="009032F7"/>
    <w:rsid w:val="009033E7"/>
    <w:rsid w:val="00903409"/>
    <w:rsid w:val="0090343D"/>
    <w:rsid w:val="009034ED"/>
    <w:rsid w:val="00903574"/>
    <w:rsid w:val="009035CE"/>
    <w:rsid w:val="009038B5"/>
    <w:rsid w:val="00903C53"/>
    <w:rsid w:val="00903CA1"/>
    <w:rsid w:val="00903D6F"/>
    <w:rsid w:val="00903ECE"/>
    <w:rsid w:val="0090408B"/>
    <w:rsid w:val="00904109"/>
    <w:rsid w:val="0090445C"/>
    <w:rsid w:val="009044B6"/>
    <w:rsid w:val="00904576"/>
    <w:rsid w:val="00904C51"/>
    <w:rsid w:val="00904DE9"/>
    <w:rsid w:val="0090509E"/>
    <w:rsid w:val="009050C1"/>
    <w:rsid w:val="00905258"/>
    <w:rsid w:val="00905379"/>
    <w:rsid w:val="0090539C"/>
    <w:rsid w:val="009053A5"/>
    <w:rsid w:val="00905613"/>
    <w:rsid w:val="0090569E"/>
    <w:rsid w:val="009058E9"/>
    <w:rsid w:val="00905ABB"/>
    <w:rsid w:val="00905BCD"/>
    <w:rsid w:val="00905CEB"/>
    <w:rsid w:val="00905EBD"/>
    <w:rsid w:val="00905F34"/>
    <w:rsid w:val="00905F9D"/>
    <w:rsid w:val="00906074"/>
    <w:rsid w:val="00906359"/>
    <w:rsid w:val="00906641"/>
    <w:rsid w:val="00906768"/>
    <w:rsid w:val="0090694F"/>
    <w:rsid w:val="00906ADC"/>
    <w:rsid w:val="00906C37"/>
    <w:rsid w:val="00906C40"/>
    <w:rsid w:val="00906DD3"/>
    <w:rsid w:val="00906EDB"/>
    <w:rsid w:val="00907127"/>
    <w:rsid w:val="00907149"/>
    <w:rsid w:val="009071AF"/>
    <w:rsid w:val="009071B0"/>
    <w:rsid w:val="009071EA"/>
    <w:rsid w:val="009072E4"/>
    <w:rsid w:val="009072F8"/>
    <w:rsid w:val="00907430"/>
    <w:rsid w:val="0090772F"/>
    <w:rsid w:val="00907750"/>
    <w:rsid w:val="009079FF"/>
    <w:rsid w:val="00907B94"/>
    <w:rsid w:val="00907EB8"/>
    <w:rsid w:val="009100D9"/>
    <w:rsid w:val="00910193"/>
    <w:rsid w:val="0091035C"/>
    <w:rsid w:val="009104D6"/>
    <w:rsid w:val="0091069D"/>
    <w:rsid w:val="009106D5"/>
    <w:rsid w:val="009108D3"/>
    <w:rsid w:val="0091098A"/>
    <w:rsid w:val="00910ACC"/>
    <w:rsid w:val="009111EE"/>
    <w:rsid w:val="0091130C"/>
    <w:rsid w:val="00911609"/>
    <w:rsid w:val="0091160E"/>
    <w:rsid w:val="0091188D"/>
    <w:rsid w:val="00911B82"/>
    <w:rsid w:val="00911EBD"/>
    <w:rsid w:val="00911FB4"/>
    <w:rsid w:val="009120AE"/>
    <w:rsid w:val="009120F0"/>
    <w:rsid w:val="009121B1"/>
    <w:rsid w:val="009121B4"/>
    <w:rsid w:val="00912208"/>
    <w:rsid w:val="009122EB"/>
    <w:rsid w:val="009125F0"/>
    <w:rsid w:val="00912664"/>
    <w:rsid w:val="009126DC"/>
    <w:rsid w:val="009129A3"/>
    <w:rsid w:val="00912BAC"/>
    <w:rsid w:val="00912DF2"/>
    <w:rsid w:val="00912E44"/>
    <w:rsid w:val="00912EAD"/>
    <w:rsid w:val="00913297"/>
    <w:rsid w:val="00913403"/>
    <w:rsid w:val="00913559"/>
    <w:rsid w:val="00913A11"/>
    <w:rsid w:val="00913C9E"/>
    <w:rsid w:val="00913CF2"/>
    <w:rsid w:val="00913F7A"/>
    <w:rsid w:val="00914099"/>
    <w:rsid w:val="009140B7"/>
    <w:rsid w:val="0091424D"/>
    <w:rsid w:val="009143AE"/>
    <w:rsid w:val="00914430"/>
    <w:rsid w:val="00914565"/>
    <w:rsid w:val="0091477C"/>
    <w:rsid w:val="009147C1"/>
    <w:rsid w:val="00914825"/>
    <w:rsid w:val="0091482C"/>
    <w:rsid w:val="00914840"/>
    <w:rsid w:val="00914BD0"/>
    <w:rsid w:val="00914E65"/>
    <w:rsid w:val="00914E87"/>
    <w:rsid w:val="00914F00"/>
    <w:rsid w:val="00915044"/>
    <w:rsid w:val="0091520A"/>
    <w:rsid w:val="0091521E"/>
    <w:rsid w:val="00915399"/>
    <w:rsid w:val="009154DA"/>
    <w:rsid w:val="0091552E"/>
    <w:rsid w:val="0091556A"/>
    <w:rsid w:val="009155BA"/>
    <w:rsid w:val="00915662"/>
    <w:rsid w:val="0091567B"/>
    <w:rsid w:val="0091569D"/>
    <w:rsid w:val="009156C6"/>
    <w:rsid w:val="0091587B"/>
    <w:rsid w:val="00915927"/>
    <w:rsid w:val="00915952"/>
    <w:rsid w:val="00915A14"/>
    <w:rsid w:val="00915A73"/>
    <w:rsid w:val="00915AAA"/>
    <w:rsid w:val="00915B34"/>
    <w:rsid w:val="00915E0E"/>
    <w:rsid w:val="0091611F"/>
    <w:rsid w:val="00916212"/>
    <w:rsid w:val="00916276"/>
    <w:rsid w:val="0091627F"/>
    <w:rsid w:val="009164DC"/>
    <w:rsid w:val="009165E1"/>
    <w:rsid w:val="00916669"/>
    <w:rsid w:val="00916805"/>
    <w:rsid w:val="009168A5"/>
    <w:rsid w:val="00916946"/>
    <w:rsid w:val="009169BE"/>
    <w:rsid w:val="00916D38"/>
    <w:rsid w:val="00916EA4"/>
    <w:rsid w:val="009176ED"/>
    <w:rsid w:val="00917858"/>
    <w:rsid w:val="00917911"/>
    <w:rsid w:val="0091796A"/>
    <w:rsid w:val="00917BF3"/>
    <w:rsid w:val="00917CDA"/>
    <w:rsid w:val="00917E61"/>
    <w:rsid w:val="00917F36"/>
    <w:rsid w:val="00917F42"/>
    <w:rsid w:val="00920021"/>
    <w:rsid w:val="009203BB"/>
    <w:rsid w:val="009205BD"/>
    <w:rsid w:val="00920940"/>
    <w:rsid w:val="00920A4B"/>
    <w:rsid w:val="00920AE6"/>
    <w:rsid w:val="00920B34"/>
    <w:rsid w:val="00920B9C"/>
    <w:rsid w:val="00921015"/>
    <w:rsid w:val="009211AD"/>
    <w:rsid w:val="0092124B"/>
    <w:rsid w:val="009212E0"/>
    <w:rsid w:val="00921BEB"/>
    <w:rsid w:val="00921C51"/>
    <w:rsid w:val="00921D25"/>
    <w:rsid w:val="00921FE5"/>
    <w:rsid w:val="0092203D"/>
    <w:rsid w:val="009221BB"/>
    <w:rsid w:val="009225B1"/>
    <w:rsid w:val="009225DB"/>
    <w:rsid w:val="0092262D"/>
    <w:rsid w:val="00922656"/>
    <w:rsid w:val="0092266C"/>
    <w:rsid w:val="00922701"/>
    <w:rsid w:val="0092275F"/>
    <w:rsid w:val="009227D8"/>
    <w:rsid w:val="009227F6"/>
    <w:rsid w:val="00922C67"/>
    <w:rsid w:val="00922DA8"/>
    <w:rsid w:val="00922E1E"/>
    <w:rsid w:val="00922F0E"/>
    <w:rsid w:val="00923395"/>
    <w:rsid w:val="009235C8"/>
    <w:rsid w:val="009236C6"/>
    <w:rsid w:val="0092374A"/>
    <w:rsid w:val="0092381F"/>
    <w:rsid w:val="009239D6"/>
    <w:rsid w:val="00923B9C"/>
    <w:rsid w:val="00923CB3"/>
    <w:rsid w:val="00923EBF"/>
    <w:rsid w:val="00924089"/>
    <w:rsid w:val="0092416F"/>
    <w:rsid w:val="009241F3"/>
    <w:rsid w:val="00924422"/>
    <w:rsid w:val="00924838"/>
    <w:rsid w:val="00924A31"/>
    <w:rsid w:val="00924BE1"/>
    <w:rsid w:val="00924C07"/>
    <w:rsid w:val="00924EBE"/>
    <w:rsid w:val="00925066"/>
    <w:rsid w:val="0092513C"/>
    <w:rsid w:val="00925192"/>
    <w:rsid w:val="009252BB"/>
    <w:rsid w:val="009255A4"/>
    <w:rsid w:val="00925869"/>
    <w:rsid w:val="00925896"/>
    <w:rsid w:val="009258EA"/>
    <w:rsid w:val="00925C61"/>
    <w:rsid w:val="00925DA4"/>
    <w:rsid w:val="00925E44"/>
    <w:rsid w:val="00925FC1"/>
    <w:rsid w:val="009262FB"/>
    <w:rsid w:val="00926343"/>
    <w:rsid w:val="009263BC"/>
    <w:rsid w:val="009264EC"/>
    <w:rsid w:val="0092657A"/>
    <w:rsid w:val="0092661F"/>
    <w:rsid w:val="00926880"/>
    <w:rsid w:val="00926E08"/>
    <w:rsid w:val="00926E74"/>
    <w:rsid w:val="00927067"/>
    <w:rsid w:val="009272F9"/>
    <w:rsid w:val="00927508"/>
    <w:rsid w:val="0092766E"/>
    <w:rsid w:val="009277E9"/>
    <w:rsid w:val="00927835"/>
    <w:rsid w:val="0092797A"/>
    <w:rsid w:val="00927E79"/>
    <w:rsid w:val="00930086"/>
    <w:rsid w:val="00930168"/>
    <w:rsid w:val="00930237"/>
    <w:rsid w:val="009302B0"/>
    <w:rsid w:val="0093079B"/>
    <w:rsid w:val="00930D01"/>
    <w:rsid w:val="00931000"/>
    <w:rsid w:val="00931284"/>
    <w:rsid w:val="009312CD"/>
    <w:rsid w:val="00931521"/>
    <w:rsid w:val="0093188C"/>
    <w:rsid w:val="009318D2"/>
    <w:rsid w:val="00931950"/>
    <w:rsid w:val="00931B30"/>
    <w:rsid w:val="00931CCF"/>
    <w:rsid w:val="00931DF0"/>
    <w:rsid w:val="00931E1F"/>
    <w:rsid w:val="00931EF4"/>
    <w:rsid w:val="00931F7F"/>
    <w:rsid w:val="00931FCE"/>
    <w:rsid w:val="00932079"/>
    <w:rsid w:val="0093255A"/>
    <w:rsid w:val="009329E9"/>
    <w:rsid w:val="00932BC1"/>
    <w:rsid w:val="00932D9F"/>
    <w:rsid w:val="00932DA7"/>
    <w:rsid w:val="00932EA0"/>
    <w:rsid w:val="00932ECB"/>
    <w:rsid w:val="0093317C"/>
    <w:rsid w:val="009333C7"/>
    <w:rsid w:val="00933639"/>
    <w:rsid w:val="009336B9"/>
    <w:rsid w:val="0093376D"/>
    <w:rsid w:val="009337A4"/>
    <w:rsid w:val="00933B06"/>
    <w:rsid w:val="00933BA4"/>
    <w:rsid w:val="00933BE8"/>
    <w:rsid w:val="00933CD3"/>
    <w:rsid w:val="00933DE7"/>
    <w:rsid w:val="00933F09"/>
    <w:rsid w:val="00933F5C"/>
    <w:rsid w:val="0093405D"/>
    <w:rsid w:val="00934086"/>
    <w:rsid w:val="009340AF"/>
    <w:rsid w:val="00934163"/>
    <w:rsid w:val="0093433A"/>
    <w:rsid w:val="009344B3"/>
    <w:rsid w:val="009345E0"/>
    <w:rsid w:val="00934676"/>
    <w:rsid w:val="009347EB"/>
    <w:rsid w:val="00934809"/>
    <w:rsid w:val="00934A4C"/>
    <w:rsid w:val="00934B6E"/>
    <w:rsid w:val="00934BD1"/>
    <w:rsid w:val="00934BFE"/>
    <w:rsid w:val="00934C5F"/>
    <w:rsid w:val="00934F71"/>
    <w:rsid w:val="00935108"/>
    <w:rsid w:val="009351AD"/>
    <w:rsid w:val="009351DE"/>
    <w:rsid w:val="009353BE"/>
    <w:rsid w:val="0093546F"/>
    <w:rsid w:val="009354DD"/>
    <w:rsid w:val="00935729"/>
    <w:rsid w:val="00935799"/>
    <w:rsid w:val="00935866"/>
    <w:rsid w:val="009359E1"/>
    <w:rsid w:val="00935ACF"/>
    <w:rsid w:val="00935CC0"/>
    <w:rsid w:val="00935E88"/>
    <w:rsid w:val="00936065"/>
    <w:rsid w:val="00936437"/>
    <w:rsid w:val="00936596"/>
    <w:rsid w:val="0093686C"/>
    <w:rsid w:val="00936C27"/>
    <w:rsid w:val="00937234"/>
    <w:rsid w:val="00937750"/>
    <w:rsid w:val="00937832"/>
    <w:rsid w:val="0093790C"/>
    <w:rsid w:val="0093798F"/>
    <w:rsid w:val="009379CA"/>
    <w:rsid w:val="00937A1A"/>
    <w:rsid w:val="00937ACC"/>
    <w:rsid w:val="00937AE3"/>
    <w:rsid w:val="00937AE5"/>
    <w:rsid w:val="00937DE5"/>
    <w:rsid w:val="009400FA"/>
    <w:rsid w:val="009401A6"/>
    <w:rsid w:val="009403C5"/>
    <w:rsid w:val="009403FC"/>
    <w:rsid w:val="009405B7"/>
    <w:rsid w:val="00940813"/>
    <w:rsid w:val="00940847"/>
    <w:rsid w:val="00940921"/>
    <w:rsid w:val="00940A97"/>
    <w:rsid w:val="00940BEA"/>
    <w:rsid w:val="00940BFA"/>
    <w:rsid w:val="00940C41"/>
    <w:rsid w:val="00940D67"/>
    <w:rsid w:val="00940E85"/>
    <w:rsid w:val="0094148B"/>
    <w:rsid w:val="00941737"/>
    <w:rsid w:val="00941790"/>
    <w:rsid w:val="0094183A"/>
    <w:rsid w:val="009418C5"/>
    <w:rsid w:val="00941995"/>
    <w:rsid w:val="009419DA"/>
    <w:rsid w:val="00941A57"/>
    <w:rsid w:val="00941A65"/>
    <w:rsid w:val="00941CA0"/>
    <w:rsid w:val="0094208B"/>
    <w:rsid w:val="009420CA"/>
    <w:rsid w:val="00942133"/>
    <w:rsid w:val="0094222A"/>
    <w:rsid w:val="00942502"/>
    <w:rsid w:val="0094284D"/>
    <w:rsid w:val="00942B17"/>
    <w:rsid w:val="00942DDD"/>
    <w:rsid w:val="00942E14"/>
    <w:rsid w:val="00942EA0"/>
    <w:rsid w:val="00942F95"/>
    <w:rsid w:val="009430CC"/>
    <w:rsid w:val="0094346F"/>
    <w:rsid w:val="00943490"/>
    <w:rsid w:val="00943576"/>
    <w:rsid w:val="00943666"/>
    <w:rsid w:val="0094367E"/>
    <w:rsid w:val="00943778"/>
    <w:rsid w:val="00943989"/>
    <w:rsid w:val="00943ADB"/>
    <w:rsid w:val="00943D0A"/>
    <w:rsid w:val="00943F00"/>
    <w:rsid w:val="00943F23"/>
    <w:rsid w:val="00943F75"/>
    <w:rsid w:val="00943F7F"/>
    <w:rsid w:val="00943FDF"/>
    <w:rsid w:val="009442BE"/>
    <w:rsid w:val="009442CE"/>
    <w:rsid w:val="00944489"/>
    <w:rsid w:val="009445A8"/>
    <w:rsid w:val="0094476F"/>
    <w:rsid w:val="009448AD"/>
    <w:rsid w:val="00944AE3"/>
    <w:rsid w:val="00944D5B"/>
    <w:rsid w:val="0094514C"/>
    <w:rsid w:val="009454B3"/>
    <w:rsid w:val="009454CB"/>
    <w:rsid w:val="009454E4"/>
    <w:rsid w:val="00945542"/>
    <w:rsid w:val="0094578A"/>
    <w:rsid w:val="009457DA"/>
    <w:rsid w:val="009458C3"/>
    <w:rsid w:val="00945941"/>
    <w:rsid w:val="009459B4"/>
    <w:rsid w:val="009459DC"/>
    <w:rsid w:val="00945B3F"/>
    <w:rsid w:val="00945D0E"/>
    <w:rsid w:val="00946011"/>
    <w:rsid w:val="00946031"/>
    <w:rsid w:val="0094629A"/>
    <w:rsid w:val="009462C5"/>
    <w:rsid w:val="009466FC"/>
    <w:rsid w:val="00946714"/>
    <w:rsid w:val="009468AB"/>
    <w:rsid w:val="00946B07"/>
    <w:rsid w:val="00946C49"/>
    <w:rsid w:val="00946D46"/>
    <w:rsid w:val="00946FCF"/>
    <w:rsid w:val="009470B4"/>
    <w:rsid w:val="00947351"/>
    <w:rsid w:val="009473C6"/>
    <w:rsid w:val="0094743F"/>
    <w:rsid w:val="009475A3"/>
    <w:rsid w:val="009476E1"/>
    <w:rsid w:val="00947713"/>
    <w:rsid w:val="00947847"/>
    <w:rsid w:val="00947930"/>
    <w:rsid w:val="00947A98"/>
    <w:rsid w:val="0095024E"/>
    <w:rsid w:val="00950268"/>
    <w:rsid w:val="0095049F"/>
    <w:rsid w:val="00950846"/>
    <w:rsid w:val="00950991"/>
    <w:rsid w:val="00950C14"/>
    <w:rsid w:val="00950C49"/>
    <w:rsid w:val="00950D16"/>
    <w:rsid w:val="00951131"/>
    <w:rsid w:val="009512D5"/>
    <w:rsid w:val="009515F7"/>
    <w:rsid w:val="0095162C"/>
    <w:rsid w:val="0095188F"/>
    <w:rsid w:val="00951AE2"/>
    <w:rsid w:val="00951CBC"/>
    <w:rsid w:val="00951CD9"/>
    <w:rsid w:val="00951D4C"/>
    <w:rsid w:val="00951ECB"/>
    <w:rsid w:val="0095206B"/>
    <w:rsid w:val="00952260"/>
    <w:rsid w:val="009523B6"/>
    <w:rsid w:val="009527A4"/>
    <w:rsid w:val="00952B90"/>
    <w:rsid w:val="00952FF2"/>
    <w:rsid w:val="00953065"/>
    <w:rsid w:val="009530B5"/>
    <w:rsid w:val="009531EE"/>
    <w:rsid w:val="0095377B"/>
    <w:rsid w:val="00953782"/>
    <w:rsid w:val="00953853"/>
    <w:rsid w:val="00953BA6"/>
    <w:rsid w:val="00953D39"/>
    <w:rsid w:val="00953F24"/>
    <w:rsid w:val="00954270"/>
    <w:rsid w:val="009542AC"/>
    <w:rsid w:val="00954392"/>
    <w:rsid w:val="00954437"/>
    <w:rsid w:val="0095454B"/>
    <w:rsid w:val="00955055"/>
    <w:rsid w:val="009551C4"/>
    <w:rsid w:val="0095535B"/>
    <w:rsid w:val="0095566D"/>
    <w:rsid w:val="00955716"/>
    <w:rsid w:val="0095571B"/>
    <w:rsid w:val="00955733"/>
    <w:rsid w:val="0095585D"/>
    <w:rsid w:val="00955A1C"/>
    <w:rsid w:val="00955A4E"/>
    <w:rsid w:val="00955A95"/>
    <w:rsid w:val="00955C59"/>
    <w:rsid w:val="00955CB1"/>
    <w:rsid w:val="00955D5A"/>
    <w:rsid w:val="00955DD0"/>
    <w:rsid w:val="00955F46"/>
    <w:rsid w:val="00955F63"/>
    <w:rsid w:val="00956184"/>
    <w:rsid w:val="00956312"/>
    <w:rsid w:val="009563D7"/>
    <w:rsid w:val="009563EB"/>
    <w:rsid w:val="00956458"/>
    <w:rsid w:val="0095663E"/>
    <w:rsid w:val="00956661"/>
    <w:rsid w:val="009566F3"/>
    <w:rsid w:val="00956767"/>
    <w:rsid w:val="00956968"/>
    <w:rsid w:val="0095698B"/>
    <w:rsid w:val="00956A42"/>
    <w:rsid w:val="00956AB0"/>
    <w:rsid w:val="00956B3E"/>
    <w:rsid w:val="00956B7C"/>
    <w:rsid w:val="00956BEF"/>
    <w:rsid w:val="00956F21"/>
    <w:rsid w:val="00956F91"/>
    <w:rsid w:val="00956FBC"/>
    <w:rsid w:val="009570E9"/>
    <w:rsid w:val="009571AB"/>
    <w:rsid w:val="009574D4"/>
    <w:rsid w:val="00957506"/>
    <w:rsid w:val="009578E2"/>
    <w:rsid w:val="00957C23"/>
    <w:rsid w:val="009600BA"/>
    <w:rsid w:val="009600E9"/>
    <w:rsid w:val="009603A5"/>
    <w:rsid w:val="009604EF"/>
    <w:rsid w:val="009606CC"/>
    <w:rsid w:val="00960C6C"/>
    <w:rsid w:val="00960E1D"/>
    <w:rsid w:val="00961000"/>
    <w:rsid w:val="00961034"/>
    <w:rsid w:val="009612ED"/>
    <w:rsid w:val="009614DA"/>
    <w:rsid w:val="00961518"/>
    <w:rsid w:val="0096152B"/>
    <w:rsid w:val="0096183D"/>
    <w:rsid w:val="00961D62"/>
    <w:rsid w:val="0096200E"/>
    <w:rsid w:val="009622E4"/>
    <w:rsid w:val="00962464"/>
    <w:rsid w:val="0096255D"/>
    <w:rsid w:val="009626A1"/>
    <w:rsid w:val="00962813"/>
    <w:rsid w:val="00962871"/>
    <w:rsid w:val="009628CC"/>
    <w:rsid w:val="00962BBC"/>
    <w:rsid w:val="00962D57"/>
    <w:rsid w:val="00962DA2"/>
    <w:rsid w:val="00962E6A"/>
    <w:rsid w:val="00962F67"/>
    <w:rsid w:val="00962F8E"/>
    <w:rsid w:val="009630F3"/>
    <w:rsid w:val="00963202"/>
    <w:rsid w:val="009633AD"/>
    <w:rsid w:val="00963884"/>
    <w:rsid w:val="00963F87"/>
    <w:rsid w:val="0096408F"/>
    <w:rsid w:val="009640D3"/>
    <w:rsid w:val="009640DE"/>
    <w:rsid w:val="009640F8"/>
    <w:rsid w:val="0096435E"/>
    <w:rsid w:val="00964387"/>
    <w:rsid w:val="00964409"/>
    <w:rsid w:val="0096448B"/>
    <w:rsid w:val="009644DF"/>
    <w:rsid w:val="0096483F"/>
    <w:rsid w:val="009648F7"/>
    <w:rsid w:val="00964B1F"/>
    <w:rsid w:val="00964BBF"/>
    <w:rsid w:val="00964F40"/>
    <w:rsid w:val="009650FF"/>
    <w:rsid w:val="00965192"/>
    <w:rsid w:val="009655E2"/>
    <w:rsid w:val="00965931"/>
    <w:rsid w:val="009659F8"/>
    <w:rsid w:val="00965A58"/>
    <w:rsid w:val="00965C08"/>
    <w:rsid w:val="0096601C"/>
    <w:rsid w:val="0096607C"/>
    <w:rsid w:val="00966101"/>
    <w:rsid w:val="0096620B"/>
    <w:rsid w:val="009662C9"/>
    <w:rsid w:val="0096661C"/>
    <w:rsid w:val="00966629"/>
    <w:rsid w:val="00966851"/>
    <w:rsid w:val="0096691E"/>
    <w:rsid w:val="0096698F"/>
    <w:rsid w:val="009669C8"/>
    <w:rsid w:val="00966B93"/>
    <w:rsid w:val="00966BD3"/>
    <w:rsid w:val="00966DEA"/>
    <w:rsid w:val="00966E03"/>
    <w:rsid w:val="00966F0D"/>
    <w:rsid w:val="00966F88"/>
    <w:rsid w:val="0096709C"/>
    <w:rsid w:val="009672C8"/>
    <w:rsid w:val="0096757E"/>
    <w:rsid w:val="0096764A"/>
    <w:rsid w:val="00967874"/>
    <w:rsid w:val="009678F8"/>
    <w:rsid w:val="00967A2E"/>
    <w:rsid w:val="00967E54"/>
    <w:rsid w:val="00967E76"/>
    <w:rsid w:val="00967F60"/>
    <w:rsid w:val="00967F85"/>
    <w:rsid w:val="009703CF"/>
    <w:rsid w:val="0097040D"/>
    <w:rsid w:val="00970477"/>
    <w:rsid w:val="009706F1"/>
    <w:rsid w:val="009707E6"/>
    <w:rsid w:val="0097084A"/>
    <w:rsid w:val="009708F4"/>
    <w:rsid w:val="009709FE"/>
    <w:rsid w:val="00970CFB"/>
    <w:rsid w:val="00970FAA"/>
    <w:rsid w:val="00970FD2"/>
    <w:rsid w:val="009712C4"/>
    <w:rsid w:val="0097153B"/>
    <w:rsid w:val="00971598"/>
    <w:rsid w:val="0097162A"/>
    <w:rsid w:val="009718EB"/>
    <w:rsid w:val="0097191F"/>
    <w:rsid w:val="00971AB1"/>
    <w:rsid w:val="00971B58"/>
    <w:rsid w:val="00971C45"/>
    <w:rsid w:val="00971D49"/>
    <w:rsid w:val="0097207E"/>
    <w:rsid w:val="00972225"/>
    <w:rsid w:val="00972428"/>
    <w:rsid w:val="009724A1"/>
    <w:rsid w:val="009724AA"/>
    <w:rsid w:val="00972A88"/>
    <w:rsid w:val="00972C11"/>
    <w:rsid w:val="00972C45"/>
    <w:rsid w:val="00972FFE"/>
    <w:rsid w:val="00973163"/>
    <w:rsid w:val="009732D5"/>
    <w:rsid w:val="00973339"/>
    <w:rsid w:val="0097352E"/>
    <w:rsid w:val="00973619"/>
    <w:rsid w:val="0097361C"/>
    <w:rsid w:val="0097361E"/>
    <w:rsid w:val="009738AB"/>
    <w:rsid w:val="009738D0"/>
    <w:rsid w:val="009738F0"/>
    <w:rsid w:val="00973A08"/>
    <w:rsid w:val="00973B85"/>
    <w:rsid w:val="00973EA9"/>
    <w:rsid w:val="00974302"/>
    <w:rsid w:val="00974308"/>
    <w:rsid w:val="0097466D"/>
    <w:rsid w:val="0097477E"/>
    <w:rsid w:val="009748A4"/>
    <w:rsid w:val="00974A02"/>
    <w:rsid w:val="00974A0E"/>
    <w:rsid w:val="00974A1E"/>
    <w:rsid w:val="00974F70"/>
    <w:rsid w:val="00975018"/>
    <w:rsid w:val="0097507F"/>
    <w:rsid w:val="009753C7"/>
    <w:rsid w:val="009753EB"/>
    <w:rsid w:val="009753F8"/>
    <w:rsid w:val="009755A2"/>
    <w:rsid w:val="00975649"/>
    <w:rsid w:val="00975837"/>
    <w:rsid w:val="00975D50"/>
    <w:rsid w:val="00975D98"/>
    <w:rsid w:val="00975DBD"/>
    <w:rsid w:val="00975E4C"/>
    <w:rsid w:val="00975E6B"/>
    <w:rsid w:val="0097648E"/>
    <w:rsid w:val="009764E6"/>
    <w:rsid w:val="009765A9"/>
    <w:rsid w:val="00976620"/>
    <w:rsid w:val="009766B2"/>
    <w:rsid w:val="009768E7"/>
    <w:rsid w:val="00976A23"/>
    <w:rsid w:val="00976C8C"/>
    <w:rsid w:val="00976F33"/>
    <w:rsid w:val="00976F9F"/>
    <w:rsid w:val="00977009"/>
    <w:rsid w:val="00977134"/>
    <w:rsid w:val="00977565"/>
    <w:rsid w:val="00977AAD"/>
    <w:rsid w:val="00977C21"/>
    <w:rsid w:val="00977C89"/>
    <w:rsid w:val="00977DEF"/>
    <w:rsid w:val="00980021"/>
    <w:rsid w:val="009800F4"/>
    <w:rsid w:val="00980257"/>
    <w:rsid w:val="009805A1"/>
    <w:rsid w:val="0098062B"/>
    <w:rsid w:val="00980676"/>
    <w:rsid w:val="009807B7"/>
    <w:rsid w:val="009809E5"/>
    <w:rsid w:val="00980A2F"/>
    <w:rsid w:val="00980A34"/>
    <w:rsid w:val="00980AD9"/>
    <w:rsid w:val="00980BB3"/>
    <w:rsid w:val="00980CFA"/>
    <w:rsid w:val="00980E59"/>
    <w:rsid w:val="00980E5D"/>
    <w:rsid w:val="00981254"/>
    <w:rsid w:val="009812F5"/>
    <w:rsid w:val="009813A2"/>
    <w:rsid w:val="0098150B"/>
    <w:rsid w:val="009815AE"/>
    <w:rsid w:val="00981698"/>
    <w:rsid w:val="00981A0C"/>
    <w:rsid w:val="00981AD5"/>
    <w:rsid w:val="00981B31"/>
    <w:rsid w:val="00981C6B"/>
    <w:rsid w:val="0098207C"/>
    <w:rsid w:val="009821CE"/>
    <w:rsid w:val="00982599"/>
    <w:rsid w:val="009825D4"/>
    <w:rsid w:val="009826CE"/>
    <w:rsid w:val="00982852"/>
    <w:rsid w:val="00982A09"/>
    <w:rsid w:val="00982A27"/>
    <w:rsid w:val="00982B8D"/>
    <w:rsid w:val="00982BF2"/>
    <w:rsid w:val="00982CAF"/>
    <w:rsid w:val="00982E62"/>
    <w:rsid w:val="00983120"/>
    <w:rsid w:val="009831E4"/>
    <w:rsid w:val="00983605"/>
    <w:rsid w:val="0098378A"/>
    <w:rsid w:val="009839E0"/>
    <w:rsid w:val="009839E7"/>
    <w:rsid w:val="00983CE3"/>
    <w:rsid w:val="00983D78"/>
    <w:rsid w:val="00983F3B"/>
    <w:rsid w:val="009840B6"/>
    <w:rsid w:val="0098413C"/>
    <w:rsid w:val="009841C8"/>
    <w:rsid w:val="0098442A"/>
    <w:rsid w:val="0098452B"/>
    <w:rsid w:val="00984991"/>
    <w:rsid w:val="00984BC8"/>
    <w:rsid w:val="00984C90"/>
    <w:rsid w:val="00985145"/>
    <w:rsid w:val="00985237"/>
    <w:rsid w:val="009859A6"/>
    <w:rsid w:val="009859E5"/>
    <w:rsid w:val="00985C06"/>
    <w:rsid w:val="00985D81"/>
    <w:rsid w:val="00985F83"/>
    <w:rsid w:val="00986029"/>
    <w:rsid w:val="0098625C"/>
    <w:rsid w:val="0098640E"/>
    <w:rsid w:val="00986435"/>
    <w:rsid w:val="00986478"/>
    <w:rsid w:val="009864D9"/>
    <w:rsid w:val="009865A4"/>
    <w:rsid w:val="0098666D"/>
    <w:rsid w:val="00986769"/>
    <w:rsid w:val="00986872"/>
    <w:rsid w:val="00986A7C"/>
    <w:rsid w:val="00986E32"/>
    <w:rsid w:val="00986F01"/>
    <w:rsid w:val="009870A9"/>
    <w:rsid w:val="009870F2"/>
    <w:rsid w:val="0098735A"/>
    <w:rsid w:val="009874A4"/>
    <w:rsid w:val="009874C6"/>
    <w:rsid w:val="0098752D"/>
    <w:rsid w:val="00987546"/>
    <w:rsid w:val="00987755"/>
    <w:rsid w:val="00987DF2"/>
    <w:rsid w:val="00987ED2"/>
    <w:rsid w:val="009900AC"/>
    <w:rsid w:val="009900B2"/>
    <w:rsid w:val="00990101"/>
    <w:rsid w:val="00990130"/>
    <w:rsid w:val="009902AF"/>
    <w:rsid w:val="00990340"/>
    <w:rsid w:val="00990662"/>
    <w:rsid w:val="00990678"/>
    <w:rsid w:val="0099068A"/>
    <w:rsid w:val="0099076B"/>
    <w:rsid w:val="009907C1"/>
    <w:rsid w:val="009907D1"/>
    <w:rsid w:val="009907E0"/>
    <w:rsid w:val="00990A51"/>
    <w:rsid w:val="00990B8F"/>
    <w:rsid w:val="00990CFA"/>
    <w:rsid w:val="00990E77"/>
    <w:rsid w:val="00991254"/>
    <w:rsid w:val="00991505"/>
    <w:rsid w:val="00991828"/>
    <w:rsid w:val="009918C1"/>
    <w:rsid w:val="009919AD"/>
    <w:rsid w:val="00991A1A"/>
    <w:rsid w:val="00991C03"/>
    <w:rsid w:val="00991C97"/>
    <w:rsid w:val="0099207E"/>
    <w:rsid w:val="0099221B"/>
    <w:rsid w:val="00992441"/>
    <w:rsid w:val="00992506"/>
    <w:rsid w:val="00992942"/>
    <w:rsid w:val="009929B2"/>
    <w:rsid w:val="00992AE0"/>
    <w:rsid w:val="00992D7E"/>
    <w:rsid w:val="00992DB8"/>
    <w:rsid w:val="00992E1B"/>
    <w:rsid w:val="00992EFF"/>
    <w:rsid w:val="009934DB"/>
    <w:rsid w:val="0099391C"/>
    <w:rsid w:val="00993B29"/>
    <w:rsid w:val="00993EB6"/>
    <w:rsid w:val="00993F96"/>
    <w:rsid w:val="00994097"/>
    <w:rsid w:val="0099424B"/>
    <w:rsid w:val="00994348"/>
    <w:rsid w:val="00994583"/>
    <w:rsid w:val="009945CE"/>
    <w:rsid w:val="0099483B"/>
    <w:rsid w:val="009948B5"/>
    <w:rsid w:val="00994A79"/>
    <w:rsid w:val="00994A80"/>
    <w:rsid w:val="00994BAD"/>
    <w:rsid w:val="00994CA7"/>
    <w:rsid w:val="0099516F"/>
    <w:rsid w:val="00995652"/>
    <w:rsid w:val="0099583F"/>
    <w:rsid w:val="009959FF"/>
    <w:rsid w:val="00995B3B"/>
    <w:rsid w:val="00995C2B"/>
    <w:rsid w:val="00995CC5"/>
    <w:rsid w:val="0099607B"/>
    <w:rsid w:val="00996099"/>
    <w:rsid w:val="0099632B"/>
    <w:rsid w:val="009965EC"/>
    <w:rsid w:val="009966A7"/>
    <w:rsid w:val="00996728"/>
    <w:rsid w:val="009968AB"/>
    <w:rsid w:val="0099694D"/>
    <w:rsid w:val="009969A4"/>
    <w:rsid w:val="009969A9"/>
    <w:rsid w:val="00996BA0"/>
    <w:rsid w:val="00996D2D"/>
    <w:rsid w:val="00996E1C"/>
    <w:rsid w:val="00996E7A"/>
    <w:rsid w:val="00996FA3"/>
    <w:rsid w:val="00997019"/>
    <w:rsid w:val="00997141"/>
    <w:rsid w:val="009976C2"/>
    <w:rsid w:val="0099776B"/>
    <w:rsid w:val="00997779"/>
    <w:rsid w:val="00997807"/>
    <w:rsid w:val="0099783A"/>
    <w:rsid w:val="00997929"/>
    <w:rsid w:val="00997992"/>
    <w:rsid w:val="00997B00"/>
    <w:rsid w:val="00997D0B"/>
    <w:rsid w:val="00997DBE"/>
    <w:rsid w:val="00997E14"/>
    <w:rsid w:val="00997E91"/>
    <w:rsid w:val="009A00B7"/>
    <w:rsid w:val="009A0332"/>
    <w:rsid w:val="009A04B9"/>
    <w:rsid w:val="009A0645"/>
    <w:rsid w:val="009A09F8"/>
    <w:rsid w:val="009A0DC6"/>
    <w:rsid w:val="009A0E22"/>
    <w:rsid w:val="009A0E7C"/>
    <w:rsid w:val="009A110C"/>
    <w:rsid w:val="009A136B"/>
    <w:rsid w:val="009A1379"/>
    <w:rsid w:val="009A13F3"/>
    <w:rsid w:val="009A1480"/>
    <w:rsid w:val="009A1941"/>
    <w:rsid w:val="009A1A06"/>
    <w:rsid w:val="009A1A98"/>
    <w:rsid w:val="009A1DDB"/>
    <w:rsid w:val="009A25DF"/>
    <w:rsid w:val="009A26CD"/>
    <w:rsid w:val="009A26FF"/>
    <w:rsid w:val="009A27A3"/>
    <w:rsid w:val="009A2874"/>
    <w:rsid w:val="009A2A0B"/>
    <w:rsid w:val="009A2A31"/>
    <w:rsid w:val="009A2B6B"/>
    <w:rsid w:val="009A2B81"/>
    <w:rsid w:val="009A2BE1"/>
    <w:rsid w:val="009A2C77"/>
    <w:rsid w:val="009A2D16"/>
    <w:rsid w:val="009A2DD1"/>
    <w:rsid w:val="009A2F81"/>
    <w:rsid w:val="009A3257"/>
    <w:rsid w:val="009A36A2"/>
    <w:rsid w:val="009A3730"/>
    <w:rsid w:val="009A3B41"/>
    <w:rsid w:val="009A3D56"/>
    <w:rsid w:val="009A3EA8"/>
    <w:rsid w:val="009A3EEF"/>
    <w:rsid w:val="009A3F22"/>
    <w:rsid w:val="009A407B"/>
    <w:rsid w:val="009A4082"/>
    <w:rsid w:val="009A4102"/>
    <w:rsid w:val="009A4299"/>
    <w:rsid w:val="009A44F5"/>
    <w:rsid w:val="009A44FA"/>
    <w:rsid w:val="009A4505"/>
    <w:rsid w:val="009A4611"/>
    <w:rsid w:val="009A46EF"/>
    <w:rsid w:val="009A4815"/>
    <w:rsid w:val="009A4B90"/>
    <w:rsid w:val="009A4C0B"/>
    <w:rsid w:val="009A4C4E"/>
    <w:rsid w:val="009A4CA0"/>
    <w:rsid w:val="009A4E41"/>
    <w:rsid w:val="009A5297"/>
    <w:rsid w:val="009A52B3"/>
    <w:rsid w:val="009A5327"/>
    <w:rsid w:val="009A53A1"/>
    <w:rsid w:val="009A5849"/>
    <w:rsid w:val="009A5908"/>
    <w:rsid w:val="009A5AE7"/>
    <w:rsid w:val="009A5EE2"/>
    <w:rsid w:val="009A5FD8"/>
    <w:rsid w:val="009A615B"/>
    <w:rsid w:val="009A6417"/>
    <w:rsid w:val="009A642E"/>
    <w:rsid w:val="009A650B"/>
    <w:rsid w:val="009A66FE"/>
    <w:rsid w:val="009A6950"/>
    <w:rsid w:val="009A6C1F"/>
    <w:rsid w:val="009A6C34"/>
    <w:rsid w:val="009A6C6D"/>
    <w:rsid w:val="009A6C86"/>
    <w:rsid w:val="009A6D89"/>
    <w:rsid w:val="009A703B"/>
    <w:rsid w:val="009A70D0"/>
    <w:rsid w:val="009A739F"/>
    <w:rsid w:val="009A73AE"/>
    <w:rsid w:val="009A7643"/>
    <w:rsid w:val="009A77F1"/>
    <w:rsid w:val="009A7B1A"/>
    <w:rsid w:val="009A7B82"/>
    <w:rsid w:val="009A7BB4"/>
    <w:rsid w:val="009A7D40"/>
    <w:rsid w:val="009A7D68"/>
    <w:rsid w:val="009A7DCC"/>
    <w:rsid w:val="009A7E28"/>
    <w:rsid w:val="009B0102"/>
    <w:rsid w:val="009B0438"/>
    <w:rsid w:val="009B04B8"/>
    <w:rsid w:val="009B0560"/>
    <w:rsid w:val="009B06E1"/>
    <w:rsid w:val="009B0716"/>
    <w:rsid w:val="009B07AC"/>
    <w:rsid w:val="009B07C4"/>
    <w:rsid w:val="009B0801"/>
    <w:rsid w:val="009B086D"/>
    <w:rsid w:val="009B0870"/>
    <w:rsid w:val="009B08B0"/>
    <w:rsid w:val="009B09C2"/>
    <w:rsid w:val="009B09D3"/>
    <w:rsid w:val="009B0A3A"/>
    <w:rsid w:val="009B0C56"/>
    <w:rsid w:val="009B0CAB"/>
    <w:rsid w:val="009B0CB5"/>
    <w:rsid w:val="009B0CE4"/>
    <w:rsid w:val="009B0E6A"/>
    <w:rsid w:val="009B0F1F"/>
    <w:rsid w:val="009B128F"/>
    <w:rsid w:val="009B145D"/>
    <w:rsid w:val="009B163F"/>
    <w:rsid w:val="009B185B"/>
    <w:rsid w:val="009B19F4"/>
    <w:rsid w:val="009B1A59"/>
    <w:rsid w:val="009B1B01"/>
    <w:rsid w:val="009B1BA4"/>
    <w:rsid w:val="009B1D07"/>
    <w:rsid w:val="009B1D47"/>
    <w:rsid w:val="009B1DF0"/>
    <w:rsid w:val="009B204B"/>
    <w:rsid w:val="009B2187"/>
    <w:rsid w:val="009B2302"/>
    <w:rsid w:val="009B2769"/>
    <w:rsid w:val="009B2A92"/>
    <w:rsid w:val="009B2AB8"/>
    <w:rsid w:val="009B2C31"/>
    <w:rsid w:val="009B2D9F"/>
    <w:rsid w:val="009B2F6A"/>
    <w:rsid w:val="009B3082"/>
    <w:rsid w:val="009B30CB"/>
    <w:rsid w:val="009B3261"/>
    <w:rsid w:val="009B3459"/>
    <w:rsid w:val="009B363A"/>
    <w:rsid w:val="009B3A2D"/>
    <w:rsid w:val="009B3E21"/>
    <w:rsid w:val="009B4138"/>
    <w:rsid w:val="009B4228"/>
    <w:rsid w:val="009B4438"/>
    <w:rsid w:val="009B462A"/>
    <w:rsid w:val="009B48B2"/>
    <w:rsid w:val="009B48D1"/>
    <w:rsid w:val="009B4B9B"/>
    <w:rsid w:val="009B4C15"/>
    <w:rsid w:val="009B4C5C"/>
    <w:rsid w:val="009B4D36"/>
    <w:rsid w:val="009B5273"/>
    <w:rsid w:val="009B53F8"/>
    <w:rsid w:val="009B560E"/>
    <w:rsid w:val="009B56B7"/>
    <w:rsid w:val="009B579A"/>
    <w:rsid w:val="009B57DB"/>
    <w:rsid w:val="009B5B9D"/>
    <w:rsid w:val="009B5BE7"/>
    <w:rsid w:val="009B5C80"/>
    <w:rsid w:val="009B6392"/>
    <w:rsid w:val="009B63B1"/>
    <w:rsid w:val="009B64B8"/>
    <w:rsid w:val="009B677A"/>
    <w:rsid w:val="009B67C0"/>
    <w:rsid w:val="009B6A81"/>
    <w:rsid w:val="009B6D7B"/>
    <w:rsid w:val="009B6FA9"/>
    <w:rsid w:val="009B6FEF"/>
    <w:rsid w:val="009B7093"/>
    <w:rsid w:val="009B7190"/>
    <w:rsid w:val="009B7376"/>
    <w:rsid w:val="009B7478"/>
    <w:rsid w:val="009B74E1"/>
    <w:rsid w:val="009B76A6"/>
    <w:rsid w:val="009B76EB"/>
    <w:rsid w:val="009B7724"/>
    <w:rsid w:val="009B7922"/>
    <w:rsid w:val="009B79FA"/>
    <w:rsid w:val="009B7C26"/>
    <w:rsid w:val="009B7C80"/>
    <w:rsid w:val="009B7ED4"/>
    <w:rsid w:val="009B7FD1"/>
    <w:rsid w:val="009C06F1"/>
    <w:rsid w:val="009C0705"/>
    <w:rsid w:val="009C07C0"/>
    <w:rsid w:val="009C0844"/>
    <w:rsid w:val="009C0A0A"/>
    <w:rsid w:val="009C0BCE"/>
    <w:rsid w:val="009C0BE0"/>
    <w:rsid w:val="009C0C4E"/>
    <w:rsid w:val="009C0D7C"/>
    <w:rsid w:val="009C0DE1"/>
    <w:rsid w:val="009C0E19"/>
    <w:rsid w:val="009C10ED"/>
    <w:rsid w:val="009C10F3"/>
    <w:rsid w:val="009C1386"/>
    <w:rsid w:val="009C1398"/>
    <w:rsid w:val="009C1558"/>
    <w:rsid w:val="009C15DA"/>
    <w:rsid w:val="009C1866"/>
    <w:rsid w:val="009C1CF6"/>
    <w:rsid w:val="009C201D"/>
    <w:rsid w:val="009C21FD"/>
    <w:rsid w:val="009C23DF"/>
    <w:rsid w:val="009C2598"/>
    <w:rsid w:val="009C26A8"/>
    <w:rsid w:val="009C2720"/>
    <w:rsid w:val="009C2C45"/>
    <w:rsid w:val="009C2C50"/>
    <w:rsid w:val="009C2D91"/>
    <w:rsid w:val="009C3587"/>
    <w:rsid w:val="009C392B"/>
    <w:rsid w:val="009C39A4"/>
    <w:rsid w:val="009C3BEB"/>
    <w:rsid w:val="009C3DA0"/>
    <w:rsid w:val="009C3F6D"/>
    <w:rsid w:val="009C40EF"/>
    <w:rsid w:val="009C410E"/>
    <w:rsid w:val="009C424E"/>
    <w:rsid w:val="009C4338"/>
    <w:rsid w:val="009C4696"/>
    <w:rsid w:val="009C47B2"/>
    <w:rsid w:val="009C4830"/>
    <w:rsid w:val="009C4C9E"/>
    <w:rsid w:val="009C51CD"/>
    <w:rsid w:val="009C5287"/>
    <w:rsid w:val="009C52A5"/>
    <w:rsid w:val="009C5628"/>
    <w:rsid w:val="009C567D"/>
    <w:rsid w:val="009C5A48"/>
    <w:rsid w:val="009C5B90"/>
    <w:rsid w:val="009C5B9A"/>
    <w:rsid w:val="009C5D17"/>
    <w:rsid w:val="009C5D66"/>
    <w:rsid w:val="009C5D68"/>
    <w:rsid w:val="009C5D86"/>
    <w:rsid w:val="009C5DEC"/>
    <w:rsid w:val="009C5E8E"/>
    <w:rsid w:val="009C5EAA"/>
    <w:rsid w:val="009C6296"/>
    <w:rsid w:val="009C63EA"/>
    <w:rsid w:val="009C6591"/>
    <w:rsid w:val="009C666D"/>
    <w:rsid w:val="009C678E"/>
    <w:rsid w:val="009C6791"/>
    <w:rsid w:val="009C6915"/>
    <w:rsid w:val="009C6A5D"/>
    <w:rsid w:val="009C6A9D"/>
    <w:rsid w:val="009C6D22"/>
    <w:rsid w:val="009C6D53"/>
    <w:rsid w:val="009C6E0B"/>
    <w:rsid w:val="009C7070"/>
    <w:rsid w:val="009C7169"/>
    <w:rsid w:val="009C71F5"/>
    <w:rsid w:val="009C7409"/>
    <w:rsid w:val="009C7412"/>
    <w:rsid w:val="009C7686"/>
    <w:rsid w:val="009C7919"/>
    <w:rsid w:val="009C7A13"/>
    <w:rsid w:val="009C7C34"/>
    <w:rsid w:val="009C7CCB"/>
    <w:rsid w:val="009C7EDD"/>
    <w:rsid w:val="009D0043"/>
    <w:rsid w:val="009D017F"/>
    <w:rsid w:val="009D0318"/>
    <w:rsid w:val="009D0386"/>
    <w:rsid w:val="009D03D7"/>
    <w:rsid w:val="009D0449"/>
    <w:rsid w:val="009D0462"/>
    <w:rsid w:val="009D0529"/>
    <w:rsid w:val="009D05CA"/>
    <w:rsid w:val="009D0669"/>
    <w:rsid w:val="009D06E5"/>
    <w:rsid w:val="009D0A55"/>
    <w:rsid w:val="009D0A6B"/>
    <w:rsid w:val="009D0AD7"/>
    <w:rsid w:val="009D0EBB"/>
    <w:rsid w:val="009D11A0"/>
    <w:rsid w:val="009D1569"/>
    <w:rsid w:val="009D190B"/>
    <w:rsid w:val="009D192C"/>
    <w:rsid w:val="009D1992"/>
    <w:rsid w:val="009D19F3"/>
    <w:rsid w:val="009D1D5B"/>
    <w:rsid w:val="009D21E1"/>
    <w:rsid w:val="009D22CF"/>
    <w:rsid w:val="009D23E4"/>
    <w:rsid w:val="009D26AB"/>
    <w:rsid w:val="009D28A8"/>
    <w:rsid w:val="009D2A18"/>
    <w:rsid w:val="009D2A8E"/>
    <w:rsid w:val="009D31AF"/>
    <w:rsid w:val="009D323F"/>
    <w:rsid w:val="009D32EE"/>
    <w:rsid w:val="009D35D6"/>
    <w:rsid w:val="009D3737"/>
    <w:rsid w:val="009D3795"/>
    <w:rsid w:val="009D38AE"/>
    <w:rsid w:val="009D3914"/>
    <w:rsid w:val="009D3942"/>
    <w:rsid w:val="009D3985"/>
    <w:rsid w:val="009D3A92"/>
    <w:rsid w:val="009D3AFC"/>
    <w:rsid w:val="009D3B5D"/>
    <w:rsid w:val="009D3D7D"/>
    <w:rsid w:val="009D3E04"/>
    <w:rsid w:val="009D3EE8"/>
    <w:rsid w:val="009D43CC"/>
    <w:rsid w:val="009D45C1"/>
    <w:rsid w:val="009D4680"/>
    <w:rsid w:val="009D46BA"/>
    <w:rsid w:val="009D4803"/>
    <w:rsid w:val="009D4935"/>
    <w:rsid w:val="009D4B15"/>
    <w:rsid w:val="009D4B44"/>
    <w:rsid w:val="009D4B71"/>
    <w:rsid w:val="009D4E16"/>
    <w:rsid w:val="009D5028"/>
    <w:rsid w:val="009D505F"/>
    <w:rsid w:val="009D517B"/>
    <w:rsid w:val="009D5200"/>
    <w:rsid w:val="009D55F4"/>
    <w:rsid w:val="009D5809"/>
    <w:rsid w:val="009D59DC"/>
    <w:rsid w:val="009D5A09"/>
    <w:rsid w:val="009D5A39"/>
    <w:rsid w:val="009D5A49"/>
    <w:rsid w:val="009D5B59"/>
    <w:rsid w:val="009D5C74"/>
    <w:rsid w:val="009D5D6B"/>
    <w:rsid w:val="009D5D8E"/>
    <w:rsid w:val="009D5E19"/>
    <w:rsid w:val="009D5F96"/>
    <w:rsid w:val="009D606B"/>
    <w:rsid w:val="009D611E"/>
    <w:rsid w:val="009D625D"/>
    <w:rsid w:val="009D628A"/>
    <w:rsid w:val="009D6306"/>
    <w:rsid w:val="009D632B"/>
    <w:rsid w:val="009D65FD"/>
    <w:rsid w:val="009D6620"/>
    <w:rsid w:val="009D6634"/>
    <w:rsid w:val="009D6788"/>
    <w:rsid w:val="009D67AB"/>
    <w:rsid w:val="009D6C0D"/>
    <w:rsid w:val="009D6C50"/>
    <w:rsid w:val="009D6F01"/>
    <w:rsid w:val="009D6F98"/>
    <w:rsid w:val="009D7024"/>
    <w:rsid w:val="009D707B"/>
    <w:rsid w:val="009D72C7"/>
    <w:rsid w:val="009D72D5"/>
    <w:rsid w:val="009D753E"/>
    <w:rsid w:val="009D7546"/>
    <w:rsid w:val="009D7643"/>
    <w:rsid w:val="009D7840"/>
    <w:rsid w:val="009D790D"/>
    <w:rsid w:val="009D7A00"/>
    <w:rsid w:val="009D7A42"/>
    <w:rsid w:val="009D7A52"/>
    <w:rsid w:val="009D7CE0"/>
    <w:rsid w:val="009D7E0F"/>
    <w:rsid w:val="009D7E20"/>
    <w:rsid w:val="009D7E71"/>
    <w:rsid w:val="009D7FE2"/>
    <w:rsid w:val="009E00D2"/>
    <w:rsid w:val="009E01ED"/>
    <w:rsid w:val="009E02A5"/>
    <w:rsid w:val="009E0377"/>
    <w:rsid w:val="009E0770"/>
    <w:rsid w:val="009E08E4"/>
    <w:rsid w:val="009E0A3C"/>
    <w:rsid w:val="009E0E70"/>
    <w:rsid w:val="009E0E7F"/>
    <w:rsid w:val="009E0F17"/>
    <w:rsid w:val="009E0F58"/>
    <w:rsid w:val="009E0F59"/>
    <w:rsid w:val="009E1195"/>
    <w:rsid w:val="009E122C"/>
    <w:rsid w:val="009E12E2"/>
    <w:rsid w:val="009E14A5"/>
    <w:rsid w:val="009E15E4"/>
    <w:rsid w:val="009E164B"/>
    <w:rsid w:val="009E18C3"/>
    <w:rsid w:val="009E1930"/>
    <w:rsid w:val="009E1BBF"/>
    <w:rsid w:val="009E1D69"/>
    <w:rsid w:val="009E1E09"/>
    <w:rsid w:val="009E1FD2"/>
    <w:rsid w:val="009E21C4"/>
    <w:rsid w:val="009E22C8"/>
    <w:rsid w:val="009E2344"/>
    <w:rsid w:val="009E23E2"/>
    <w:rsid w:val="009E2528"/>
    <w:rsid w:val="009E2709"/>
    <w:rsid w:val="009E2722"/>
    <w:rsid w:val="009E2A8D"/>
    <w:rsid w:val="009E2B84"/>
    <w:rsid w:val="009E2F9F"/>
    <w:rsid w:val="009E30FC"/>
    <w:rsid w:val="009E33F9"/>
    <w:rsid w:val="009E347B"/>
    <w:rsid w:val="009E391A"/>
    <w:rsid w:val="009E3B9A"/>
    <w:rsid w:val="009E3C3A"/>
    <w:rsid w:val="009E3C76"/>
    <w:rsid w:val="009E3CEE"/>
    <w:rsid w:val="009E3D26"/>
    <w:rsid w:val="009E3F12"/>
    <w:rsid w:val="009E421E"/>
    <w:rsid w:val="009E496A"/>
    <w:rsid w:val="009E4A42"/>
    <w:rsid w:val="009E4B06"/>
    <w:rsid w:val="009E4E0B"/>
    <w:rsid w:val="009E4E2D"/>
    <w:rsid w:val="009E5614"/>
    <w:rsid w:val="009E5800"/>
    <w:rsid w:val="009E58A2"/>
    <w:rsid w:val="009E596F"/>
    <w:rsid w:val="009E5B9E"/>
    <w:rsid w:val="009E5BB6"/>
    <w:rsid w:val="009E5DD5"/>
    <w:rsid w:val="009E5E74"/>
    <w:rsid w:val="009E5F2C"/>
    <w:rsid w:val="009E60D2"/>
    <w:rsid w:val="009E6470"/>
    <w:rsid w:val="009E660B"/>
    <w:rsid w:val="009E660F"/>
    <w:rsid w:val="009E6767"/>
    <w:rsid w:val="009E6772"/>
    <w:rsid w:val="009E6A4F"/>
    <w:rsid w:val="009E6A9F"/>
    <w:rsid w:val="009E6B72"/>
    <w:rsid w:val="009E6D7D"/>
    <w:rsid w:val="009E6ED4"/>
    <w:rsid w:val="009E6F5D"/>
    <w:rsid w:val="009E7112"/>
    <w:rsid w:val="009E74B4"/>
    <w:rsid w:val="009E7706"/>
    <w:rsid w:val="009E7B2B"/>
    <w:rsid w:val="009E7E5A"/>
    <w:rsid w:val="009F00DD"/>
    <w:rsid w:val="009F023E"/>
    <w:rsid w:val="009F0266"/>
    <w:rsid w:val="009F02F8"/>
    <w:rsid w:val="009F03C6"/>
    <w:rsid w:val="009F049A"/>
    <w:rsid w:val="009F0A7F"/>
    <w:rsid w:val="009F0AAF"/>
    <w:rsid w:val="009F0C3A"/>
    <w:rsid w:val="009F0D31"/>
    <w:rsid w:val="009F0F7D"/>
    <w:rsid w:val="009F1018"/>
    <w:rsid w:val="009F1310"/>
    <w:rsid w:val="009F1390"/>
    <w:rsid w:val="009F167E"/>
    <w:rsid w:val="009F1946"/>
    <w:rsid w:val="009F19FA"/>
    <w:rsid w:val="009F1A4E"/>
    <w:rsid w:val="009F1BC5"/>
    <w:rsid w:val="009F1E48"/>
    <w:rsid w:val="009F1E69"/>
    <w:rsid w:val="009F21FE"/>
    <w:rsid w:val="009F23AC"/>
    <w:rsid w:val="009F23C7"/>
    <w:rsid w:val="009F2710"/>
    <w:rsid w:val="009F2757"/>
    <w:rsid w:val="009F28B0"/>
    <w:rsid w:val="009F2932"/>
    <w:rsid w:val="009F2AA8"/>
    <w:rsid w:val="009F2CAC"/>
    <w:rsid w:val="009F2CB4"/>
    <w:rsid w:val="009F2DFB"/>
    <w:rsid w:val="009F31CB"/>
    <w:rsid w:val="009F3231"/>
    <w:rsid w:val="009F324C"/>
    <w:rsid w:val="009F3361"/>
    <w:rsid w:val="009F3377"/>
    <w:rsid w:val="009F33C1"/>
    <w:rsid w:val="009F341A"/>
    <w:rsid w:val="009F362E"/>
    <w:rsid w:val="009F3694"/>
    <w:rsid w:val="009F36CB"/>
    <w:rsid w:val="009F3927"/>
    <w:rsid w:val="009F39F4"/>
    <w:rsid w:val="009F3ADA"/>
    <w:rsid w:val="009F3D30"/>
    <w:rsid w:val="009F3DFB"/>
    <w:rsid w:val="009F3E3B"/>
    <w:rsid w:val="009F3FC5"/>
    <w:rsid w:val="009F4319"/>
    <w:rsid w:val="009F4502"/>
    <w:rsid w:val="009F4AE9"/>
    <w:rsid w:val="009F4C04"/>
    <w:rsid w:val="009F4DFE"/>
    <w:rsid w:val="009F4E19"/>
    <w:rsid w:val="009F4E30"/>
    <w:rsid w:val="009F4E8D"/>
    <w:rsid w:val="009F50DC"/>
    <w:rsid w:val="009F524A"/>
    <w:rsid w:val="009F525B"/>
    <w:rsid w:val="009F52D1"/>
    <w:rsid w:val="009F52E9"/>
    <w:rsid w:val="009F558C"/>
    <w:rsid w:val="009F5812"/>
    <w:rsid w:val="009F58E2"/>
    <w:rsid w:val="009F5935"/>
    <w:rsid w:val="009F5C03"/>
    <w:rsid w:val="009F5C3B"/>
    <w:rsid w:val="009F5DE0"/>
    <w:rsid w:val="009F5F57"/>
    <w:rsid w:val="009F6005"/>
    <w:rsid w:val="009F6180"/>
    <w:rsid w:val="009F6233"/>
    <w:rsid w:val="009F63C2"/>
    <w:rsid w:val="009F6531"/>
    <w:rsid w:val="009F655D"/>
    <w:rsid w:val="009F6784"/>
    <w:rsid w:val="009F67AC"/>
    <w:rsid w:val="009F6859"/>
    <w:rsid w:val="009F6C0C"/>
    <w:rsid w:val="009F6CA3"/>
    <w:rsid w:val="009F6D31"/>
    <w:rsid w:val="009F6DA9"/>
    <w:rsid w:val="009F735E"/>
    <w:rsid w:val="009F73B9"/>
    <w:rsid w:val="009F7445"/>
    <w:rsid w:val="009F748C"/>
    <w:rsid w:val="009F7552"/>
    <w:rsid w:val="009F7570"/>
    <w:rsid w:val="009F7585"/>
    <w:rsid w:val="009F7872"/>
    <w:rsid w:val="009F7946"/>
    <w:rsid w:val="009F7A59"/>
    <w:rsid w:val="009F7BE4"/>
    <w:rsid w:val="009F7C86"/>
    <w:rsid w:val="00A0012C"/>
    <w:rsid w:val="00A005BC"/>
    <w:rsid w:val="00A0067C"/>
    <w:rsid w:val="00A0084B"/>
    <w:rsid w:val="00A00BA2"/>
    <w:rsid w:val="00A00BD4"/>
    <w:rsid w:val="00A00E5C"/>
    <w:rsid w:val="00A00F23"/>
    <w:rsid w:val="00A0112E"/>
    <w:rsid w:val="00A01198"/>
    <w:rsid w:val="00A012F9"/>
    <w:rsid w:val="00A017F8"/>
    <w:rsid w:val="00A018B2"/>
    <w:rsid w:val="00A01BED"/>
    <w:rsid w:val="00A01CDD"/>
    <w:rsid w:val="00A01CDF"/>
    <w:rsid w:val="00A01D01"/>
    <w:rsid w:val="00A01DCA"/>
    <w:rsid w:val="00A01EB5"/>
    <w:rsid w:val="00A02002"/>
    <w:rsid w:val="00A020C4"/>
    <w:rsid w:val="00A02184"/>
    <w:rsid w:val="00A02454"/>
    <w:rsid w:val="00A026A5"/>
    <w:rsid w:val="00A027D5"/>
    <w:rsid w:val="00A028E8"/>
    <w:rsid w:val="00A0292E"/>
    <w:rsid w:val="00A029EE"/>
    <w:rsid w:val="00A02DE8"/>
    <w:rsid w:val="00A02E37"/>
    <w:rsid w:val="00A02E5E"/>
    <w:rsid w:val="00A02F8C"/>
    <w:rsid w:val="00A03199"/>
    <w:rsid w:val="00A03269"/>
    <w:rsid w:val="00A037F6"/>
    <w:rsid w:val="00A03860"/>
    <w:rsid w:val="00A039BF"/>
    <w:rsid w:val="00A039E1"/>
    <w:rsid w:val="00A04101"/>
    <w:rsid w:val="00A04213"/>
    <w:rsid w:val="00A04320"/>
    <w:rsid w:val="00A0437C"/>
    <w:rsid w:val="00A044B0"/>
    <w:rsid w:val="00A04739"/>
    <w:rsid w:val="00A0499C"/>
    <w:rsid w:val="00A04A88"/>
    <w:rsid w:val="00A04AD7"/>
    <w:rsid w:val="00A04E7D"/>
    <w:rsid w:val="00A04F19"/>
    <w:rsid w:val="00A050FB"/>
    <w:rsid w:val="00A05103"/>
    <w:rsid w:val="00A05127"/>
    <w:rsid w:val="00A052CC"/>
    <w:rsid w:val="00A05369"/>
    <w:rsid w:val="00A05373"/>
    <w:rsid w:val="00A059D9"/>
    <w:rsid w:val="00A059EC"/>
    <w:rsid w:val="00A05B65"/>
    <w:rsid w:val="00A05BD4"/>
    <w:rsid w:val="00A05D9B"/>
    <w:rsid w:val="00A06052"/>
    <w:rsid w:val="00A06173"/>
    <w:rsid w:val="00A06507"/>
    <w:rsid w:val="00A0660E"/>
    <w:rsid w:val="00A067E0"/>
    <w:rsid w:val="00A06951"/>
    <w:rsid w:val="00A07282"/>
    <w:rsid w:val="00A072FA"/>
    <w:rsid w:val="00A07632"/>
    <w:rsid w:val="00A07940"/>
    <w:rsid w:val="00A07991"/>
    <w:rsid w:val="00A079E6"/>
    <w:rsid w:val="00A07A6F"/>
    <w:rsid w:val="00A07AA0"/>
    <w:rsid w:val="00A07C20"/>
    <w:rsid w:val="00A07D54"/>
    <w:rsid w:val="00A07DCC"/>
    <w:rsid w:val="00A10058"/>
    <w:rsid w:val="00A100E6"/>
    <w:rsid w:val="00A10739"/>
    <w:rsid w:val="00A108C6"/>
    <w:rsid w:val="00A10BC1"/>
    <w:rsid w:val="00A10BE0"/>
    <w:rsid w:val="00A10BE7"/>
    <w:rsid w:val="00A10D53"/>
    <w:rsid w:val="00A113FB"/>
    <w:rsid w:val="00A11459"/>
    <w:rsid w:val="00A1171C"/>
    <w:rsid w:val="00A11A94"/>
    <w:rsid w:val="00A11B96"/>
    <w:rsid w:val="00A11D39"/>
    <w:rsid w:val="00A11D5F"/>
    <w:rsid w:val="00A11D75"/>
    <w:rsid w:val="00A11E20"/>
    <w:rsid w:val="00A12047"/>
    <w:rsid w:val="00A126B3"/>
    <w:rsid w:val="00A12D1D"/>
    <w:rsid w:val="00A12DFC"/>
    <w:rsid w:val="00A12E6C"/>
    <w:rsid w:val="00A12FD9"/>
    <w:rsid w:val="00A13164"/>
    <w:rsid w:val="00A1325F"/>
    <w:rsid w:val="00A13263"/>
    <w:rsid w:val="00A132BA"/>
    <w:rsid w:val="00A1335B"/>
    <w:rsid w:val="00A133D7"/>
    <w:rsid w:val="00A136B6"/>
    <w:rsid w:val="00A138D0"/>
    <w:rsid w:val="00A1396B"/>
    <w:rsid w:val="00A13A53"/>
    <w:rsid w:val="00A13A5D"/>
    <w:rsid w:val="00A13C05"/>
    <w:rsid w:val="00A13EDF"/>
    <w:rsid w:val="00A13FFB"/>
    <w:rsid w:val="00A1402F"/>
    <w:rsid w:val="00A144A7"/>
    <w:rsid w:val="00A144E6"/>
    <w:rsid w:val="00A14B06"/>
    <w:rsid w:val="00A14C5F"/>
    <w:rsid w:val="00A14CF5"/>
    <w:rsid w:val="00A14D44"/>
    <w:rsid w:val="00A14E89"/>
    <w:rsid w:val="00A15024"/>
    <w:rsid w:val="00A15124"/>
    <w:rsid w:val="00A1517E"/>
    <w:rsid w:val="00A151A8"/>
    <w:rsid w:val="00A152D5"/>
    <w:rsid w:val="00A153AE"/>
    <w:rsid w:val="00A153CB"/>
    <w:rsid w:val="00A1542F"/>
    <w:rsid w:val="00A154C5"/>
    <w:rsid w:val="00A155D0"/>
    <w:rsid w:val="00A15643"/>
    <w:rsid w:val="00A1566C"/>
    <w:rsid w:val="00A15981"/>
    <w:rsid w:val="00A15A31"/>
    <w:rsid w:val="00A15CFB"/>
    <w:rsid w:val="00A15D86"/>
    <w:rsid w:val="00A15F08"/>
    <w:rsid w:val="00A163DA"/>
    <w:rsid w:val="00A16524"/>
    <w:rsid w:val="00A165B5"/>
    <w:rsid w:val="00A1675C"/>
    <w:rsid w:val="00A16AA9"/>
    <w:rsid w:val="00A16B97"/>
    <w:rsid w:val="00A16E6A"/>
    <w:rsid w:val="00A16F4A"/>
    <w:rsid w:val="00A17136"/>
    <w:rsid w:val="00A1740C"/>
    <w:rsid w:val="00A1771A"/>
    <w:rsid w:val="00A1772C"/>
    <w:rsid w:val="00A178EF"/>
    <w:rsid w:val="00A17C49"/>
    <w:rsid w:val="00A17EBD"/>
    <w:rsid w:val="00A17F3B"/>
    <w:rsid w:val="00A17F65"/>
    <w:rsid w:val="00A201C7"/>
    <w:rsid w:val="00A2028A"/>
    <w:rsid w:val="00A2063D"/>
    <w:rsid w:val="00A2091D"/>
    <w:rsid w:val="00A20A0E"/>
    <w:rsid w:val="00A20A86"/>
    <w:rsid w:val="00A20AA0"/>
    <w:rsid w:val="00A20BBE"/>
    <w:rsid w:val="00A20D06"/>
    <w:rsid w:val="00A20D41"/>
    <w:rsid w:val="00A21243"/>
    <w:rsid w:val="00A21304"/>
    <w:rsid w:val="00A21612"/>
    <w:rsid w:val="00A216F8"/>
    <w:rsid w:val="00A217DC"/>
    <w:rsid w:val="00A21A2C"/>
    <w:rsid w:val="00A21A47"/>
    <w:rsid w:val="00A21CB8"/>
    <w:rsid w:val="00A21E73"/>
    <w:rsid w:val="00A222DC"/>
    <w:rsid w:val="00A22346"/>
    <w:rsid w:val="00A22432"/>
    <w:rsid w:val="00A2249F"/>
    <w:rsid w:val="00A225AB"/>
    <w:rsid w:val="00A2298D"/>
    <w:rsid w:val="00A22A15"/>
    <w:rsid w:val="00A22A80"/>
    <w:rsid w:val="00A22C9C"/>
    <w:rsid w:val="00A22D0E"/>
    <w:rsid w:val="00A22FCB"/>
    <w:rsid w:val="00A2320C"/>
    <w:rsid w:val="00A23AB6"/>
    <w:rsid w:val="00A23AE6"/>
    <w:rsid w:val="00A23CDE"/>
    <w:rsid w:val="00A23DFE"/>
    <w:rsid w:val="00A24032"/>
    <w:rsid w:val="00A2404A"/>
    <w:rsid w:val="00A240F7"/>
    <w:rsid w:val="00A241E5"/>
    <w:rsid w:val="00A244D4"/>
    <w:rsid w:val="00A244E5"/>
    <w:rsid w:val="00A2487A"/>
    <w:rsid w:val="00A24A20"/>
    <w:rsid w:val="00A24D5B"/>
    <w:rsid w:val="00A24E3C"/>
    <w:rsid w:val="00A2524E"/>
    <w:rsid w:val="00A25651"/>
    <w:rsid w:val="00A25A5C"/>
    <w:rsid w:val="00A25B13"/>
    <w:rsid w:val="00A25D17"/>
    <w:rsid w:val="00A26205"/>
    <w:rsid w:val="00A262BD"/>
    <w:rsid w:val="00A26351"/>
    <w:rsid w:val="00A263A1"/>
    <w:rsid w:val="00A263AC"/>
    <w:rsid w:val="00A26439"/>
    <w:rsid w:val="00A264E9"/>
    <w:rsid w:val="00A26540"/>
    <w:rsid w:val="00A269F8"/>
    <w:rsid w:val="00A26C01"/>
    <w:rsid w:val="00A26C61"/>
    <w:rsid w:val="00A26CB9"/>
    <w:rsid w:val="00A26ED6"/>
    <w:rsid w:val="00A27179"/>
    <w:rsid w:val="00A271A7"/>
    <w:rsid w:val="00A273C2"/>
    <w:rsid w:val="00A27449"/>
    <w:rsid w:val="00A274A8"/>
    <w:rsid w:val="00A27871"/>
    <w:rsid w:val="00A27984"/>
    <w:rsid w:val="00A27D48"/>
    <w:rsid w:val="00A27F61"/>
    <w:rsid w:val="00A27FFE"/>
    <w:rsid w:val="00A30075"/>
    <w:rsid w:val="00A300CF"/>
    <w:rsid w:val="00A30698"/>
    <w:rsid w:val="00A30AFA"/>
    <w:rsid w:val="00A30DAA"/>
    <w:rsid w:val="00A30FA5"/>
    <w:rsid w:val="00A30FAE"/>
    <w:rsid w:val="00A31260"/>
    <w:rsid w:val="00A312DB"/>
    <w:rsid w:val="00A314E9"/>
    <w:rsid w:val="00A31704"/>
    <w:rsid w:val="00A3181A"/>
    <w:rsid w:val="00A318F1"/>
    <w:rsid w:val="00A31B14"/>
    <w:rsid w:val="00A31BAC"/>
    <w:rsid w:val="00A31C04"/>
    <w:rsid w:val="00A31ECA"/>
    <w:rsid w:val="00A32019"/>
    <w:rsid w:val="00A32130"/>
    <w:rsid w:val="00A3260F"/>
    <w:rsid w:val="00A32A61"/>
    <w:rsid w:val="00A32C60"/>
    <w:rsid w:val="00A32D1B"/>
    <w:rsid w:val="00A32D6B"/>
    <w:rsid w:val="00A32DC6"/>
    <w:rsid w:val="00A32E91"/>
    <w:rsid w:val="00A330E3"/>
    <w:rsid w:val="00A33275"/>
    <w:rsid w:val="00A33AFA"/>
    <w:rsid w:val="00A33D26"/>
    <w:rsid w:val="00A3409B"/>
    <w:rsid w:val="00A3424A"/>
    <w:rsid w:val="00A342AA"/>
    <w:rsid w:val="00A3430A"/>
    <w:rsid w:val="00A34331"/>
    <w:rsid w:val="00A344A1"/>
    <w:rsid w:val="00A3454D"/>
    <w:rsid w:val="00A34598"/>
    <w:rsid w:val="00A347FA"/>
    <w:rsid w:val="00A34998"/>
    <w:rsid w:val="00A349C4"/>
    <w:rsid w:val="00A34BD1"/>
    <w:rsid w:val="00A34EAC"/>
    <w:rsid w:val="00A350FF"/>
    <w:rsid w:val="00A35446"/>
    <w:rsid w:val="00A3559D"/>
    <w:rsid w:val="00A3566C"/>
    <w:rsid w:val="00A35DF0"/>
    <w:rsid w:val="00A35F3A"/>
    <w:rsid w:val="00A36026"/>
    <w:rsid w:val="00A36231"/>
    <w:rsid w:val="00A3624B"/>
    <w:rsid w:val="00A363A5"/>
    <w:rsid w:val="00A363C0"/>
    <w:rsid w:val="00A363ED"/>
    <w:rsid w:val="00A36550"/>
    <w:rsid w:val="00A3658E"/>
    <w:rsid w:val="00A36653"/>
    <w:rsid w:val="00A36753"/>
    <w:rsid w:val="00A367B8"/>
    <w:rsid w:val="00A36868"/>
    <w:rsid w:val="00A36A97"/>
    <w:rsid w:val="00A36CDC"/>
    <w:rsid w:val="00A36E29"/>
    <w:rsid w:val="00A37306"/>
    <w:rsid w:val="00A37516"/>
    <w:rsid w:val="00A37549"/>
    <w:rsid w:val="00A3777D"/>
    <w:rsid w:val="00A37931"/>
    <w:rsid w:val="00A37A26"/>
    <w:rsid w:val="00A37A8E"/>
    <w:rsid w:val="00A37B57"/>
    <w:rsid w:val="00A37D29"/>
    <w:rsid w:val="00A40282"/>
    <w:rsid w:val="00A40605"/>
    <w:rsid w:val="00A40652"/>
    <w:rsid w:val="00A406F3"/>
    <w:rsid w:val="00A4071B"/>
    <w:rsid w:val="00A40898"/>
    <w:rsid w:val="00A408B9"/>
    <w:rsid w:val="00A409CE"/>
    <w:rsid w:val="00A409F3"/>
    <w:rsid w:val="00A40B6E"/>
    <w:rsid w:val="00A40C17"/>
    <w:rsid w:val="00A40E6D"/>
    <w:rsid w:val="00A411AE"/>
    <w:rsid w:val="00A41378"/>
    <w:rsid w:val="00A41786"/>
    <w:rsid w:val="00A41932"/>
    <w:rsid w:val="00A41AE5"/>
    <w:rsid w:val="00A41B73"/>
    <w:rsid w:val="00A41DD1"/>
    <w:rsid w:val="00A41E23"/>
    <w:rsid w:val="00A41E3B"/>
    <w:rsid w:val="00A41E43"/>
    <w:rsid w:val="00A41EA2"/>
    <w:rsid w:val="00A41EAF"/>
    <w:rsid w:val="00A41FD8"/>
    <w:rsid w:val="00A42030"/>
    <w:rsid w:val="00A42065"/>
    <w:rsid w:val="00A42268"/>
    <w:rsid w:val="00A4242C"/>
    <w:rsid w:val="00A42440"/>
    <w:rsid w:val="00A4261C"/>
    <w:rsid w:val="00A42687"/>
    <w:rsid w:val="00A426FC"/>
    <w:rsid w:val="00A4287A"/>
    <w:rsid w:val="00A428A7"/>
    <w:rsid w:val="00A42CF4"/>
    <w:rsid w:val="00A42E40"/>
    <w:rsid w:val="00A42F80"/>
    <w:rsid w:val="00A42FB7"/>
    <w:rsid w:val="00A43616"/>
    <w:rsid w:val="00A437CF"/>
    <w:rsid w:val="00A43BB0"/>
    <w:rsid w:val="00A43CD9"/>
    <w:rsid w:val="00A44104"/>
    <w:rsid w:val="00A441A3"/>
    <w:rsid w:val="00A44244"/>
    <w:rsid w:val="00A442C5"/>
    <w:rsid w:val="00A443D7"/>
    <w:rsid w:val="00A44949"/>
    <w:rsid w:val="00A44A36"/>
    <w:rsid w:val="00A44AB3"/>
    <w:rsid w:val="00A44DA4"/>
    <w:rsid w:val="00A44E35"/>
    <w:rsid w:val="00A4515C"/>
    <w:rsid w:val="00A45197"/>
    <w:rsid w:val="00A452F1"/>
    <w:rsid w:val="00A4538E"/>
    <w:rsid w:val="00A45409"/>
    <w:rsid w:val="00A4545E"/>
    <w:rsid w:val="00A454AF"/>
    <w:rsid w:val="00A455EB"/>
    <w:rsid w:val="00A45627"/>
    <w:rsid w:val="00A45629"/>
    <w:rsid w:val="00A45643"/>
    <w:rsid w:val="00A45A35"/>
    <w:rsid w:val="00A45CF7"/>
    <w:rsid w:val="00A45F72"/>
    <w:rsid w:val="00A464F3"/>
    <w:rsid w:val="00A46618"/>
    <w:rsid w:val="00A466E6"/>
    <w:rsid w:val="00A467A0"/>
    <w:rsid w:val="00A46A22"/>
    <w:rsid w:val="00A46BA4"/>
    <w:rsid w:val="00A46BB5"/>
    <w:rsid w:val="00A46F12"/>
    <w:rsid w:val="00A4736B"/>
    <w:rsid w:val="00A4738F"/>
    <w:rsid w:val="00A473AE"/>
    <w:rsid w:val="00A473B5"/>
    <w:rsid w:val="00A4769F"/>
    <w:rsid w:val="00A477DA"/>
    <w:rsid w:val="00A47849"/>
    <w:rsid w:val="00A47ABA"/>
    <w:rsid w:val="00A47B89"/>
    <w:rsid w:val="00A500D9"/>
    <w:rsid w:val="00A501A5"/>
    <w:rsid w:val="00A5071A"/>
    <w:rsid w:val="00A507AC"/>
    <w:rsid w:val="00A507CA"/>
    <w:rsid w:val="00A5098F"/>
    <w:rsid w:val="00A50AE2"/>
    <w:rsid w:val="00A50BEA"/>
    <w:rsid w:val="00A50C5F"/>
    <w:rsid w:val="00A50CF2"/>
    <w:rsid w:val="00A50EB0"/>
    <w:rsid w:val="00A510CB"/>
    <w:rsid w:val="00A515D5"/>
    <w:rsid w:val="00A51916"/>
    <w:rsid w:val="00A51F43"/>
    <w:rsid w:val="00A521AD"/>
    <w:rsid w:val="00A52577"/>
    <w:rsid w:val="00A52619"/>
    <w:rsid w:val="00A52754"/>
    <w:rsid w:val="00A528AE"/>
    <w:rsid w:val="00A52BE2"/>
    <w:rsid w:val="00A52BE5"/>
    <w:rsid w:val="00A52ED8"/>
    <w:rsid w:val="00A52F3A"/>
    <w:rsid w:val="00A52F80"/>
    <w:rsid w:val="00A533B8"/>
    <w:rsid w:val="00A533DC"/>
    <w:rsid w:val="00A53823"/>
    <w:rsid w:val="00A53A19"/>
    <w:rsid w:val="00A53AF7"/>
    <w:rsid w:val="00A53B1C"/>
    <w:rsid w:val="00A53BF4"/>
    <w:rsid w:val="00A53F10"/>
    <w:rsid w:val="00A5402F"/>
    <w:rsid w:val="00A54370"/>
    <w:rsid w:val="00A5455C"/>
    <w:rsid w:val="00A5464E"/>
    <w:rsid w:val="00A5475E"/>
    <w:rsid w:val="00A54764"/>
    <w:rsid w:val="00A547B3"/>
    <w:rsid w:val="00A5495A"/>
    <w:rsid w:val="00A54B86"/>
    <w:rsid w:val="00A54CA0"/>
    <w:rsid w:val="00A54D0F"/>
    <w:rsid w:val="00A54DEA"/>
    <w:rsid w:val="00A54FD0"/>
    <w:rsid w:val="00A55045"/>
    <w:rsid w:val="00A550B2"/>
    <w:rsid w:val="00A55106"/>
    <w:rsid w:val="00A5536E"/>
    <w:rsid w:val="00A55405"/>
    <w:rsid w:val="00A55409"/>
    <w:rsid w:val="00A55668"/>
    <w:rsid w:val="00A557B6"/>
    <w:rsid w:val="00A557ED"/>
    <w:rsid w:val="00A55A9A"/>
    <w:rsid w:val="00A55EDF"/>
    <w:rsid w:val="00A55F5E"/>
    <w:rsid w:val="00A5628C"/>
    <w:rsid w:val="00A562B7"/>
    <w:rsid w:val="00A563BE"/>
    <w:rsid w:val="00A564B5"/>
    <w:rsid w:val="00A56569"/>
    <w:rsid w:val="00A56916"/>
    <w:rsid w:val="00A56A54"/>
    <w:rsid w:val="00A56A6E"/>
    <w:rsid w:val="00A56FF9"/>
    <w:rsid w:val="00A57104"/>
    <w:rsid w:val="00A5760D"/>
    <w:rsid w:val="00A577B8"/>
    <w:rsid w:val="00A57964"/>
    <w:rsid w:val="00A5797B"/>
    <w:rsid w:val="00A601D9"/>
    <w:rsid w:val="00A602DC"/>
    <w:rsid w:val="00A60340"/>
    <w:rsid w:val="00A603D2"/>
    <w:rsid w:val="00A605FA"/>
    <w:rsid w:val="00A60769"/>
    <w:rsid w:val="00A60775"/>
    <w:rsid w:val="00A60A5C"/>
    <w:rsid w:val="00A60AE9"/>
    <w:rsid w:val="00A60C53"/>
    <w:rsid w:val="00A60C65"/>
    <w:rsid w:val="00A60F3E"/>
    <w:rsid w:val="00A60F7E"/>
    <w:rsid w:val="00A610E5"/>
    <w:rsid w:val="00A611E2"/>
    <w:rsid w:val="00A61464"/>
    <w:rsid w:val="00A6158B"/>
    <w:rsid w:val="00A6173E"/>
    <w:rsid w:val="00A6183C"/>
    <w:rsid w:val="00A61A6F"/>
    <w:rsid w:val="00A61BC6"/>
    <w:rsid w:val="00A61E65"/>
    <w:rsid w:val="00A61E8F"/>
    <w:rsid w:val="00A61F37"/>
    <w:rsid w:val="00A61FC1"/>
    <w:rsid w:val="00A623D9"/>
    <w:rsid w:val="00A623F5"/>
    <w:rsid w:val="00A6240B"/>
    <w:rsid w:val="00A62502"/>
    <w:rsid w:val="00A6257A"/>
    <w:rsid w:val="00A625FC"/>
    <w:rsid w:val="00A62A0C"/>
    <w:rsid w:val="00A62A8D"/>
    <w:rsid w:val="00A62AD7"/>
    <w:rsid w:val="00A62C89"/>
    <w:rsid w:val="00A62CB1"/>
    <w:rsid w:val="00A62CDE"/>
    <w:rsid w:val="00A62E43"/>
    <w:rsid w:val="00A62E8B"/>
    <w:rsid w:val="00A6300C"/>
    <w:rsid w:val="00A6312E"/>
    <w:rsid w:val="00A631BB"/>
    <w:rsid w:val="00A6324F"/>
    <w:rsid w:val="00A63491"/>
    <w:rsid w:val="00A6359C"/>
    <w:rsid w:val="00A638F5"/>
    <w:rsid w:val="00A63A24"/>
    <w:rsid w:val="00A63BC7"/>
    <w:rsid w:val="00A63CD2"/>
    <w:rsid w:val="00A64302"/>
    <w:rsid w:val="00A643E8"/>
    <w:rsid w:val="00A6442B"/>
    <w:rsid w:val="00A64440"/>
    <w:rsid w:val="00A6454D"/>
    <w:rsid w:val="00A6488B"/>
    <w:rsid w:val="00A64B9B"/>
    <w:rsid w:val="00A64C3C"/>
    <w:rsid w:val="00A64CB0"/>
    <w:rsid w:val="00A65133"/>
    <w:rsid w:val="00A65161"/>
    <w:rsid w:val="00A6534C"/>
    <w:rsid w:val="00A65506"/>
    <w:rsid w:val="00A65533"/>
    <w:rsid w:val="00A65739"/>
    <w:rsid w:val="00A6580A"/>
    <w:rsid w:val="00A658E4"/>
    <w:rsid w:val="00A65CFF"/>
    <w:rsid w:val="00A65F9E"/>
    <w:rsid w:val="00A65FDC"/>
    <w:rsid w:val="00A663A8"/>
    <w:rsid w:val="00A664D6"/>
    <w:rsid w:val="00A66547"/>
    <w:rsid w:val="00A6655B"/>
    <w:rsid w:val="00A66D1A"/>
    <w:rsid w:val="00A66E0D"/>
    <w:rsid w:val="00A66FED"/>
    <w:rsid w:val="00A67017"/>
    <w:rsid w:val="00A67064"/>
    <w:rsid w:val="00A671B4"/>
    <w:rsid w:val="00A673C1"/>
    <w:rsid w:val="00A673EF"/>
    <w:rsid w:val="00A67551"/>
    <w:rsid w:val="00A67589"/>
    <w:rsid w:val="00A679AF"/>
    <w:rsid w:val="00A679E6"/>
    <w:rsid w:val="00A701AD"/>
    <w:rsid w:val="00A7030E"/>
    <w:rsid w:val="00A70364"/>
    <w:rsid w:val="00A7085B"/>
    <w:rsid w:val="00A70992"/>
    <w:rsid w:val="00A709FC"/>
    <w:rsid w:val="00A70A1F"/>
    <w:rsid w:val="00A70A53"/>
    <w:rsid w:val="00A70B1D"/>
    <w:rsid w:val="00A71028"/>
    <w:rsid w:val="00A71346"/>
    <w:rsid w:val="00A7155E"/>
    <w:rsid w:val="00A715B5"/>
    <w:rsid w:val="00A71724"/>
    <w:rsid w:val="00A71741"/>
    <w:rsid w:val="00A718DF"/>
    <w:rsid w:val="00A71965"/>
    <w:rsid w:val="00A7198E"/>
    <w:rsid w:val="00A71A40"/>
    <w:rsid w:val="00A71C2A"/>
    <w:rsid w:val="00A71E28"/>
    <w:rsid w:val="00A71E2E"/>
    <w:rsid w:val="00A71E63"/>
    <w:rsid w:val="00A722F0"/>
    <w:rsid w:val="00A7235A"/>
    <w:rsid w:val="00A723B5"/>
    <w:rsid w:val="00A729D7"/>
    <w:rsid w:val="00A72A37"/>
    <w:rsid w:val="00A72A7A"/>
    <w:rsid w:val="00A72AEC"/>
    <w:rsid w:val="00A72C6E"/>
    <w:rsid w:val="00A72D4C"/>
    <w:rsid w:val="00A72E5D"/>
    <w:rsid w:val="00A72FA6"/>
    <w:rsid w:val="00A72FDD"/>
    <w:rsid w:val="00A7322B"/>
    <w:rsid w:val="00A73232"/>
    <w:rsid w:val="00A73254"/>
    <w:rsid w:val="00A73314"/>
    <w:rsid w:val="00A733D7"/>
    <w:rsid w:val="00A73B70"/>
    <w:rsid w:val="00A73C3C"/>
    <w:rsid w:val="00A73DEE"/>
    <w:rsid w:val="00A73E0F"/>
    <w:rsid w:val="00A73EDD"/>
    <w:rsid w:val="00A74083"/>
    <w:rsid w:val="00A741DC"/>
    <w:rsid w:val="00A743F9"/>
    <w:rsid w:val="00A74454"/>
    <w:rsid w:val="00A744AF"/>
    <w:rsid w:val="00A744FE"/>
    <w:rsid w:val="00A74568"/>
    <w:rsid w:val="00A74792"/>
    <w:rsid w:val="00A74A6F"/>
    <w:rsid w:val="00A74B32"/>
    <w:rsid w:val="00A74D32"/>
    <w:rsid w:val="00A75460"/>
    <w:rsid w:val="00A75D73"/>
    <w:rsid w:val="00A75F8C"/>
    <w:rsid w:val="00A76188"/>
    <w:rsid w:val="00A764DF"/>
    <w:rsid w:val="00A764F0"/>
    <w:rsid w:val="00A76AB1"/>
    <w:rsid w:val="00A76B08"/>
    <w:rsid w:val="00A76C62"/>
    <w:rsid w:val="00A76C8D"/>
    <w:rsid w:val="00A76CB5"/>
    <w:rsid w:val="00A76CBC"/>
    <w:rsid w:val="00A76D35"/>
    <w:rsid w:val="00A76E20"/>
    <w:rsid w:val="00A76F7F"/>
    <w:rsid w:val="00A76FBE"/>
    <w:rsid w:val="00A778DF"/>
    <w:rsid w:val="00A7795A"/>
    <w:rsid w:val="00A7795E"/>
    <w:rsid w:val="00A779C8"/>
    <w:rsid w:val="00A77A1C"/>
    <w:rsid w:val="00A77BD0"/>
    <w:rsid w:val="00A77C1E"/>
    <w:rsid w:val="00A77CCA"/>
    <w:rsid w:val="00A77D45"/>
    <w:rsid w:val="00A77D49"/>
    <w:rsid w:val="00A77DDA"/>
    <w:rsid w:val="00A77F5B"/>
    <w:rsid w:val="00A80014"/>
    <w:rsid w:val="00A80060"/>
    <w:rsid w:val="00A801E1"/>
    <w:rsid w:val="00A801FE"/>
    <w:rsid w:val="00A802C9"/>
    <w:rsid w:val="00A8048C"/>
    <w:rsid w:val="00A806E4"/>
    <w:rsid w:val="00A80731"/>
    <w:rsid w:val="00A80903"/>
    <w:rsid w:val="00A8098F"/>
    <w:rsid w:val="00A80CD4"/>
    <w:rsid w:val="00A80D08"/>
    <w:rsid w:val="00A80DE7"/>
    <w:rsid w:val="00A80E63"/>
    <w:rsid w:val="00A80F4E"/>
    <w:rsid w:val="00A80FBC"/>
    <w:rsid w:val="00A80FF2"/>
    <w:rsid w:val="00A81409"/>
    <w:rsid w:val="00A81455"/>
    <w:rsid w:val="00A8169B"/>
    <w:rsid w:val="00A819A5"/>
    <w:rsid w:val="00A81AAA"/>
    <w:rsid w:val="00A81E9E"/>
    <w:rsid w:val="00A81F5E"/>
    <w:rsid w:val="00A81FD3"/>
    <w:rsid w:val="00A81FD9"/>
    <w:rsid w:val="00A823E8"/>
    <w:rsid w:val="00A82835"/>
    <w:rsid w:val="00A82905"/>
    <w:rsid w:val="00A8291F"/>
    <w:rsid w:val="00A8293E"/>
    <w:rsid w:val="00A82B48"/>
    <w:rsid w:val="00A82B84"/>
    <w:rsid w:val="00A82DBD"/>
    <w:rsid w:val="00A83031"/>
    <w:rsid w:val="00A8311E"/>
    <w:rsid w:val="00A831A4"/>
    <w:rsid w:val="00A831E9"/>
    <w:rsid w:val="00A83323"/>
    <w:rsid w:val="00A83534"/>
    <w:rsid w:val="00A835BF"/>
    <w:rsid w:val="00A835C1"/>
    <w:rsid w:val="00A83850"/>
    <w:rsid w:val="00A83956"/>
    <w:rsid w:val="00A839A7"/>
    <w:rsid w:val="00A83B10"/>
    <w:rsid w:val="00A83B62"/>
    <w:rsid w:val="00A83B68"/>
    <w:rsid w:val="00A83C4D"/>
    <w:rsid w:val="00A83E90"/>
    <w:rsid w:val="00A83EC2"/>
    <w:rsid w:val="00A840D0"/>
    <w:rsid w:val="00A84507"/>
    <w:rsid w:val="00A84832"/>
    <w:rsid w:val="00A8483F"/>
    <w:rsid w:val="00A84B91"/>
    <w:rsid w:val="00A84D1F"/>
    <w:rsid w:val="00A84D67"/>
    <w:rsid w:val="00A84F9F"/>
    <w:rsid w:val="00A851D8"/>
    <w:rsid w:val="00A8540B"/>
    <w:rsid w:val="00A85786"/>
    <w:rsid w:val="00A85804"/>
    <w:rsid w:val="00A85AB7"/>
    <w:rsid w:val="00A85CAD"/>
    <w:rsid w:val="00A85EA5"/>
    <w:rsid w:val="00A860C5"/>
    <w:rsid w:val="00A8624A"/>
    <w:rsid w:val="00A862EE"/>
    <w:rsid w:val="00A8660A"/>
    <w:rsid w:val="00A867E7"/>
    <w:rsid w:val="00A8690C"/>
    <w:rsid w:val="00A869A1"/>
    <w:rsid w:val="00A869D5"/>
    <w:rsid w:val="00A86C27"/>
    <w:rsid w:val="00A86D5D"/>
    <w:rsid w:val="00A86E78"/>
    <w:rsid w:val="00A86EE9"/>
    <w:rsid w:val="00A86F00"/>
    <w:rsid w:val="00A87001"/>
    <w:rsid w:val="00A8717D"/>
    <w:rsid w:val="00A87273"/>
    <w:rsid w:val="00A87425"/>
    <w:rsid w:val="00A875D8"/>
    <w:rsid w:val="00A87697"/>
    <w:rsid w:val="00A87704"/>
    <w:rsid w:val="00A87CEB"/>
    <w:rsid w:val="00A87DCF"/>
    <w:rsid w:val="00A90079"/>
    <w:rsid w:val="00A90308"/>
    <w:rsid w:val="00A903BF"/>
    <w:rsid w:val="00A90566"/>
    <w:rsid w:val="00A9068D"/>
    <w:rsid w:val="00A90823"/>
    <w:rsid w:val="00A90A74"/>
    <w:rsid w:val="00A90A92"/>
    <w:rsid w:val="00A90D40"/>
    <w:rsid w:val="00A90E2B"/>
    <w:rsid w:val="00A90EBF"/>
    <w:rsid w:val="00A911B4"/>
    <w:rsid w:val="00A911D9"/>
    <w:rsid w:val="00A912A1"/>
    <w:rsid w:val="00A91650"/>
    <w:rsid w:val="00A917EB"/>
    <w:rsid w:val="00A91902"/>
    <w:rsid w:val="00A91938"/>
    <w:rsid w:val="00A91ADA"/>
    <w:rsid w:val="00A91C72"/>
    <w:rsid w:val="00A91D57"/>
    <w:rsid w:val="00A91EAB"/>
    <w:rsid w:val="00A92003"/>
    <w:rsid w:val="00A922D8"/>
    <w:rsid w:val="00A9238D"/>
    <w:rsid w:val="00A92464"/>
    <w:rsid w:val="00A92502"/>
    <w:rsid w:val="00A925B0"/>
    <w:rsid w:val="00A9266B"/>
    <w:rsid w:val="00A92863"/>
    <w:rsid w:val="00A92953"/>
    <w:rsid w:val="00A92968"/>
    <w:rsid w:val="00A92D72"/>
    <w:rsid w:val="00A93080"/>
    <w:rsid w:val="00A9316F"/>
    <w:rsid w:val="00A93263"/>
    <w:rsid w:val="00A93367"/>
    <w:rsid w:val="00A934C1"/>
    <w:rsid w:val="00A93761"/>
    <w:rsid w:val="00A938EB"/>
    <w:rsid w:val="00A939D0"/>
    <w:rsid w:val="00A93CA8"/>
    <w:rsid w:val="00A93D72"/>
    <w:rsid w:val="00A93EDE"/>
    <w:rsid w:val="00A94128"/>
    <w:rsid w:val="00A9433B"/>
    <w:rsid w:val="00A9489E"/>
    <w:rsid w:val="00A94936"/>
    <w:rsid w:val="00A94A23"/>
    <w:rsid w:val="00A94A33"/>
    <w:rsid w:val="00A94B04"/>
    <w:rsid w:val="00A94C1D"/>
    <w:rsid w:val="00A94DC8"/>
    <w:rsid w:val="00A955EB"/>
    <w:rsid w:val="00A95970"/>
    <w:rsid w:val="00A959A1"/>
    <w:rsid w:val="00A95BA5"/>
    <w:rsid w:val="00A95BD3"/>
    <w:rsid w:val="00A95E67"/>
    <w:rsid w:val="00A95FEE"/>
    <w:rsid w:val="00A96098"/>
    <w:rsid w:val="00A96222"/>
    <w:rsid w:val="00A963B2"/>
    <w:rsid w:val="00A96551"/>
    <w:rsid w:val="00A965CD"/>
    <w:rsid w:val="00A96621"/>
    <w:rsid w:val="00A96837"/>
    <w:rsid w:val="00A969CF"/>
    <w:rsid w:val="00A971D9"/>
    <w:rsid w:val="00A97E48"/>
    <w:rsid w:val="00A97FE3"/>
    <w:rsid w:val="00AA0285"/>
    <w:rsid w:val="00AA0854"/>
    <w:rsid w:val="00AA0925"/>
    <w:rsid w:val="00AA0A1B"/>
    <w:rsid w:val="00AA0C22"/>
    <w:rsid w:val="00AA0C89"/>
    <w:rsid w:val="00AA0D6B"/>
    <w:rsid w:val="00AA10F7"/>
    <w:rsid w:val="00AA11F0"/>
    <w:rsid w:val="00AA11F6"/>
    <w:rsid w:val="00AA1489"/>
    <w:rsid w:val="00AA15B2"/>
    <w:rsid w:val="00AA15B9"/>
    <w:rsid w:val="00AA16D8"/>
    <w:rsid w:val="00AA1754"/>
    <w:rsid w:val="00AA1800"/>
    <w:rsid w:val="00AA1A8A"/>
    <w:rsid w:val="00AA1B0A"/>
    <w:rsid w:val="00AA1B97"/>
    <w:rsid w:val="00AA1BEF"/>
    <w:rsid w:val="00AA1C5F"/>
    <w:rsid w:val="00AA1C68"/>
    <w:rsid w:val="00AA1C93"/>
    <w:rsid w:val="00AA1E25"/>
    <w:rsid w:val="00AA2062"/>
    <w:rsid w:val="00AA2089"/>
    <w:rsid w:val="00AA2198"/>
    <w:rsid w:val="00AA25C4"/>
    <w:rsid w:val="00AA28A9"/>
    <w:rsid w:val="00AA2A32"/>
    <w:rsid w:val="00AA2BC1"/>
    <w:rsid w:val="00AA2D73"/>
    <w:rsid w:val="00AA2E48"/>
    <w:rsid w:val="00AA2E4A"/>
    <w:rsid w:val="00AA2EFA"/>
    <w:rsid w:val="00AA2F5A"/>
    <w:rsid w:val="00AA3166"/>
    <w:rsid w:val="00AA32B4"/>
    <w:rsid w:val="00AA3350"/>
    <w:rsid w:val="00AA36D4"/>
    <w:rsid w:val="00AA3741"/>
    <w:rsid w:val="00AA3AEC"/>
    <w:rsid w:val="00AA3D1C"/>
    <w:rsid w:val="00AA42DF"/>
    <w:rsid w:val="00AA4479"/>
    <w:rsid w:val="00AA4770"/>
    <w:rsid w:val="00AA4A5F"/>
    <w:rsid w:val="00AA4D9D"/>
    <w:rsid w:val="00AA4F00"/>
    <w:rsid w:val="00AA5165"/>
    <w:rsid w:val="00AA520B"/>
    <w:rsid w:val="00AA536C"/>
    <w:rsid w:val="00AA53F7"/>
    <w:rsid w:val="00AA546B"/>
    <w:rsid w:val="00AA552A"/>
    <w:rsid w:val="00AA5717"/>
    <w:rsid w:val="00AA58C2"/>
    <w:rsid w:val="00AA590A"/>
    <w:rsid w:val="00AA5963"/>
    <w:rsid w:val="00AA59B5"/>
    <w:rsid w:val="00AA5CAD"/>
    <w:rsid w:val="00AA60A7"/>
    <w:rsid w:val="00AA60E5"/>
    <w:rsid w:val="00AA640E"/>
    <w:rsid w:val="00AA65A0"/>
    <w:rsid w:val="00AA679E"/>
    <w:rsid w:val="00AA67A9"/>
    <w:rsid w:val="00AA69DF"/>
    <w:rsid w:val="00AA69FC"/>
    <w:rsid w:val="00AA6F5D"/>
    <w:rsid w:val="00AA7207"/>
    <w:rsid w:val="00AB007B"/>
    <w:rsid w:val="00AB0208"/>
    <w:rsid w:val="00AB020C"/>
    <w:rsid w:val="00AB0536"/>
    <w:rsid w:val="00AB07C7"/>
    <w:rsid w:val="00AB0870"/>
    <w:rsid w:val="00AB08C4"/>
    <w:rsid w:val="00AB095F"/>
    <w:rsid w:val="00AB0BD8"/>
    <w:rsid w:val="00AB0E44"/>
    <w:rsid w:val="00AB0EB0"/>
    <w:rsid w:val="00AB0F6C"/>
    <w:rsid w:val="00AB123B"/>
    <w:rsid w:val="00AB128E"/>
    <w:rsid w:val="00AB131C"/>
    <w:rsid w:val="00AB1568"/>
    <w:rsid w:val="00AB15AB"/>
    <w:rsid w:val="00AB196C"/>
    <w:rsid w:val="00AB199B"/>
    <w:rsid w:val="00AB19EE"/>
    <w:rsid w:val="00AB1A44"/>
    <w:rsid w:val="00AB1A5B"/>
    <w:rsid w:val="00AB1B73"/>
    <w:rsid w:val="00AB1C0A"/>
    <w:rsid w:val="00AB1C43"/>
    <w:rsid w:val="00AB1D16"/>
    <w:rsid w:val="00AB1EC7"/>
    <w:rsid w:val="00AB1FB6"/>
    <w:rsid w:val="00AB1FF9"/>
    <w:rsid w:val="00AB228F"/>
    <w:rsid w:val="00AB2295"/>
    <w:rsid w:val="00AB22B2"/>
    <w:rsid w:val="00AB268F"/>
    <w:rsid w:val="00AB26A6"/>
    <w:rsid w:val="00AB27A5"/>
    <w:rsid w:val="00AB2844"/>
    <w:rsid w:val="00AB2DF0"/>
    <w:rsid w:val="00AB2FC1"/>
    <w:rsid w:val="00AB30C9"/>
    <w:rsid w:val="00AB32EA"/>
    <w:rsid w:val="00AB340D"/>
    <w:rsid w:val="00AB356C"/>
    <w:rsid w:val="00AB3640"/>
    <w:rsid w:val="00AB36CE"/>
    <w:rsid w:val="00AB36E8"/>
    <w:rsid w:val="00AB3AB0"/>
    <w:rsid w:val="00AB3DB3"/>
    <w:rsid w:val="00AB40B7"/>
    <w:rsid w:val="00AB4352"/>
    <w:rsid w:val="00AB44A7"/>
    <w:rsid w:val="00AB45B8"/>
    <w:rsid w:val="00AB45C9"/>
    <w:rsid w:val="00AB4B56"/>
    <w:rsid w:val="00AB4B93"/>
    <w:rsid w:val="00AB4D57"/>
    <w:rsid w:val="00AB4DAF"/>
    <w:rsid w:val="00AB4DE7"/>
    <w:rsid w:val="00AB4E24"/>
    <w:rsid w:val="00AB50F1"/>
    <w:rsid w:val="00AB50FB"/>
    <w:rsid w:val="00AB51E7"/>
    <w:rsid w:val="00AB523E"/>
    <w:rsid w:val="00AB52DA"/>
    <w:rsid w:val="00AB560E"/>
    <w:rsid w:val="00AB5760"/>
    <w:rsid w:val="00AB5A9A"/>
    <w:rsid w:val="00AB5BCD"/>
    <w:rsid w:val="00AB5C1D"/>
    <w:rsid w:val="00AB5DE1"/>
    <w:rsid w:val="00AB5F1F"/>
    <w:rsid w:val="00AB6032"/>
    <w:rsid w:val="00AB63E9"/>
    <w:rsid w:val="00AB65A0"/>
    <w:rsid w:val="00AB66F8"/>
    <w:rsid w:val="00AB695D"/>
    <w:rsid w:val="00AB6968"/>
    <w:rsid w:val="00AB6A90"/>
    <w:rsid w:val="00AB6C57"/>
    <w:rsid w:val="00AB6CA7"/>
    <w:rsid w:val="00AB6F4C"/>
    <w:rsid w:val="00AB6F90"/>
    <w:rsid w:val="00AB70A7"/>
    <w:rsid w:val="00AB73F8"/>
    <w:rsid w:val="00AB7591"/>
    <w:rsid w:val="00AB7625"/>
    <w:rsid w:val="00AB7D24"/>
    <w:rsid w:val="00AC0207"/>
    <w:rsid w:val="00AC0253"/>
    <w:rsid w:val="00AC0330"/>
    <w:rsid w:val="00AC0931"/>
    <w:rsid w:val="00AC0D9F"/>
    <w:rsid w:val="00AC0DF8"/>
    <w:rsid w:val="00AC0E8E"/>
    <w:rsid w:val="00AC0EE5"/>
    <w:rsid w:val="00AC0FE1"/>
    <w:rsid w:val="00AC0FFC"/>
    <w:rsid w:val="00AC10E9"/>
    <w:rsid w:val="00AC124F"/>
    <w:rsid w:val="00AC1270"/>
    <w:rsid w:val="00AC143E"/>
    <w:rsid w:val="00AC1812"/>
    <w:rsid w:val="00AC1823"/>
    <w:rsid w:val="00AC18A7"/>
    <w:rsid w:val="00AC1907"/>
    <w:rsid w:val="00AC1CCB"/>
    <w:rsid w:val="00AC1EFE"/>
    <w:rsid w:val="00AC1F80"/>
    <w:rsid w:val="00AC224D"/>
    <w:rsid w:val="00AC22DC"/>
    <w:rsid w:val="00AC2425"/>
    <w:rsid w:val="00AC2497"/>
    <w:rsid w:val="00AC27E5"/>
    <w:rsid w:val="00AC2988"/>
    <w:rsid w:val="00AC2A6E"/>
    <w:rsid w:val="00AC304C"/>
    <w:rsid w:val="00AC30E5"/>
    <w:rsid w:val="00AC3103"/>
    <w:rsid w:val="00AC3155"/>
    <w:rsid w:val="00AC3341"/>
    <w:rsid w:val="00AC3692"/>
    <w:rsid w:val="00AC37F9"/>
    <w:rsid w:val="00AC3836"/>
    <w:rsid w:val="00AC39AD"/>
    <w:rsid w:val="00AC3A08"/>
    <w:rsid w:val="00AC3BCA"/>
    <w:rsid w:val="00AC3ECC"/>
    <w:rsid w:val="00AC4204"/>
    <w:rsid w:val="00AC426A"/>
    <w:rsid w:val="00AC42D6"/>
    <w:rsid w:val="00AC4510"/>
    <w:rsid w:val="00AC47EB"/>
    <w:rsid w:val="00AC4952"/>
    <w:rsid w:val="00AC4A2D"/>
    <w:rsid w:val="00AC4B7E"/>
    <w:rsid w:val="00AC4C84"/>
    <w:rsid w:val="00AC4C9B"/>
    <w:rsid w:val="00AC517F"/>
    <w:rsid w:val="00AC52E9"/>
    <w:rsid w:val="00AC5306"/>
    <w:rsid w:val="00AC54BB"/>
    <w:rsid w:val="00AC55D7"/>
    <w:rsid w:val="00AC560F"/>
    <w:rsid w:val="00AC5722"/>
    <w:rsid w:val="00AC5762"/>
    <w:rsid w:val="00AC59E0"/>
    <w:rsid w:val="00AC5A28"/>
    <w:rsid w:val="00AC5CC2"/>
    <w:rsid w:val="00AC61AD"/>
    <w:rsid w:val="00AC62C5"/>
    <w:rsid w:val="00AC6322"/>
    <w:rsid w:val="00AC6597"/>
    <w:rsid w:val="00AC659F"/>
    <w:rsid w:val="00AC662F"/>
    <w:rsid w:val="00AC67AC"/>
    <w:rsid w:val="00AC6AE3"/>
    <w:rsid w:val="00AC6B42"/>
    <w:rsid w:val="00AC6DEC"/>
    <w:rsid w:val="00AC6E09"/>
    <w:rsid w:val="00AC7037"/>
    <w:rsid w:val="00AC70BE"/>
    <w:rsid w:val="00AC70C5"/>
    <w:rsid w:val="00AC719E"/>
    <w:rsid w:val="00AC7220"/>
    <w:rsid w:val="00AC730E"/>
    <w:rsid w:val="00AC73E0"/>
    <w:rsid w:val="00AC7472"/>
    <w:rsid w:val="00AC76FC"/>
    <w:rsid w:val="00AC7A4C"/>
    <w:rsid w:val="00AC7E35"/>
    <w:rsid w:val="00AD0012"/>
    <w:rsid w:val="00AD006E"/>
    <w:rsid w:val="00AD019A"/>
    <w:rsid w:val="00AD02AC"/>
    <w:rsid w:val="00AD03B9"/>
    <w:rsid w:val="00AD054A"/>
    <w:rsid w:val="00AD05C8"/>
    <w:rsid w:val="00AD06D2"/>
    <w:rsid w:val="00AD06FD"/>
    <w:rsid w:val="00AD07B4"/>
    <w:rsid w:val="00AD08AC"/>
    <w:rsid w:val="00AD0992"/>
    <w:rsid w:val="00AD0ACF"/>
    <w:rsid w:val="00AD0E55"/>
    <w:rsid w:val="00AD11B2"/>
    <w:rsid w:val="00AD1235"/>
    <w:rsid w:val="00AD1246"/>
    <w:rsid w:val="00AD13CE"/>
    <w:rsid w:val="00AD1726"/>
    <w:rsid w:val="00AD1B96"/>
    <w:rsid w:val="00AD1C14"/>
    <w:rsid w:val="00AD1DB1"/>
    <w:rsid w:val="00AD1FAB"/>
    <w:rsid w:val="00AD2095"/>
    <w:rsid w:val="00AD209E"/>
    <w:rsid w:val="00AD2187"/>
    <w:rsid w:val="00AD21D5"/>
    <w:rsid w:val="00AD2411"/>
    <w:rsid w:val="00AD2432"/>
    <w:rsid w:val="00AD2565"/>
    <w:rsid w:val="00AD281A"/>
    <w:rsid w:val="00AD2B56"/>
    <w:rsid w:val="00AD2EF4"/>
    <w:rsid w:val="00AD2EFB"/>
    <w:rsid w:val="00AD2F3A"/>
    <w:rsid w:val="00AD3029"/>
    <w:rsid w:val="00AD3087"/>
    <w:rsid w:val="00AD348E"/>
    <w:rsid w:val="00AD353A"/>
    <w:rsid w:val="00AD3576"/>
    <w:rsid w:val="00AD35D9"/>
    <w:rsid w:val="00AD3876"/>
    <w:rsid w:val="00AD3976"/>
    <w:rsid w:val="00AD3AD5"/>
    <w:rsid w:val="00AD3B5E"/>
    <w:rsid w:val="00AD3BC4"/>
    <w:rsid w:val="00AD3D93"/>
    <w:rsid w:val="00AD3E6F"/>
    <w:rsid w:val="00AD3EEB"/>
    <w:rsid w:val="00AD44C0"/>
    <w:rsid w:val="00AD4722"/>
    <w:rsid w:val="00AD4AC7"/>
    <w:rsid w:val="00AD4E32"/>
    <w:rsid w:val="00AD50B3"/>
    <w:rsid w:val="00AD57A4"/>
    <w:rsid w:val="00AD59E8"/>
    <w:rsid w:val="00AD5A60"/>
    <w:rsid w:val="00AD5D23"/>
    <w:rsid w:val="00AD5D59"/>
    <w:rsid w:val="00AD621B"/>
    <w:rsid w:val="00AD65EE"/>
    <w:rsid w:val="00AD6751"/>
    <w:rsid w:val="00AD67D6"/>
    <w:rsid w:val="00AD6856"/>
    <w:rsid w:val="00AD6912"/>
    <w:rsid w:val="00AD69E9"/>
    <w:rsid w:val="00AD6B23"/>
    <w:rsid w:val="00AD6B7A"/>
    <w:rsid w:val="00AD6BC2"/>
    <w:rsid w:val="00AD7074"/>
    <w:rsid w:val="00AD71FD"/>
    <w:rsid w:val="00AD7200"/>
    <w:rsid w:val="00AD750F"/>
    <w:rsid w:val="00AD7567"/>
    <w:rsid w:val="00AD7728"/>
    <w:rsid w:val="00AD7810"/>
    <w:rsid w:val="00AD7913"/>
    <w:rsid w:val="00AD79D4"/>
    <w:rsid w:val="00AD7AA3"/>
    <w:rsid w:val="00AD7C3E"/>
    <w:rsid w:val="00AD7CEF"/>
    <w:rsid w:val="00AD7EEB"/>
    <w:rsid w:val="00AD7F23"/>
    <w:rsid w:val="00AE010E"/>
    <w:rsid w:val="00AE04B3"/>
    <w:rsid w:val="00AE04EE"/>
    <w:rsid w:val="00AE053D"/>
    <w:rsid w:val="00AE0745"/>
    <w:rsid w:val="00AE0A85"/>
    <w:rsid w:val="00AE0B6E"/>
    <w:rsid w:val="00AE0BCB"/>
    <w:rsid w:val="00AE0D40"/>
    <w:rsid w:val="00AE0D62"/>
    <w:rsid w:val="00AE0D64"/>
    <w:rsid w:val="00AE0DA8"/>
    <w:rsid w:val="00AE0F85"/>
    <w:rsid w:val="00AE1543"/>
    <w:rsid w:val="00AE164D"/>
    <w:rsid w:val="00AE1903"/>
    <w:rsid w:val="00AE1B33"/>
    <w:rsid w:val="00AE1D40"/>
    <w:rsid w:val="00AE1E17"/>
    <w:rsid w:val="00AE1F50"/>
    <w:rsid w:val="00AE2086"/>
    <w:rsid w:val="00AE20B8"/>
    <w:rsid w:val="00AE226A"/>
    <w:rsid w:val="00AE2562"/>
    <w:rsid w:val="00AE2EAD"/>
    <w:rsid w:val="00AE32AE"/>
    <w:rsid w:val="00AE330E"/>
    <w:rsid w:val="00AE3899"/>
    <w:rsid w:val="00AE39C8"/>
    <w:rsid w:val="00AE39D8"/>
    <w:rsid w:val="00AE3A47"/>
    <w:rsid w:val="00AE3DF1"/>
    <w:rsid w:val="00AE3DF8"/>
    <w:rsid w:val="00AE3FE7"/>
    <w:rsid w:val="00AE4076"/>
    <w:rsid w:val="00AE40DA"/>
    <w:rsid w:val="00AE41C8"/>
    <w:rsid w:val="00AE42B4"/>
    <w:rsid w:val="00AE4392"/>
    <w:rsid w:val="00AE442F"/>
    <w:rsid w:val="00AE4484"/>
    <w:rsid w:val="00AE44F8"/>
    <w:rsid w:val="00AE4694"/>
    <w:rsid w:val="00AE46BC"/>
    <w:rsid w:val="00AE47A2"/>
    <w:rsid w:val="00AE482B"/>
    <w:rsid w:val="00AE487C"/>
    <w:rsid w:val="00AE4A0D"/>
    <w:rsid w:val="00AE4C52"/>
    <w:rsid w:val="00AE4C80"/>
    <w:rsid w:val="00AE4EBC"/>
    <w:rsid w:val="00AE4F18"/>
    <w:rsid w:val="00AE4F22"/>
    <w:rsid w:val="00AE4F38"/>
    <w:rsid w:val="00AE51A7"/>
    <w:rsid w:val="00AE5485"/>
    <w:rsid w:val="00AE551D"/>
    <w:rsid w:val="00AE5840"/>
    <w:rsid w:val="00AE5A37"/>
    <w:rsid w:val="00AE5A38"/>
    <w:rsid w:val="00AE5B6B"/>
    <w:rsid w:val="00AE5C7A"/>
    <w:rsid w:val="00AE5DC4"/>
    <w:rsid w:val="00AE5DD3"/>
    <w:rsid w:val="00AE610E"/>
    <w:rsid w:val="00AE614A"/>
    <w:rsid w:val="00AE617F"/>
    <w:rsid w:val="00AE62EE"/>
    <w:rsid w:val="00AE6347"/>
    <w:rsid w:val="00AE66D1"/>
    <w:rsid w:val="00AE6826"/>
    <w:rsid w:val="00AE701B"/>
    <w:rsid w:val="00AE707C"/>
    <w:rsid w:val="00AE7338"/>
    <w:rsid w:val="00AE73B5"/>
    <w:rsid w:val="00AE750E"/>
    <w:rsid w:val="00AE754E"/>
    <w:rsid w:val="00AE75FE"/>
    <w:rsid w:val="00AE77B6"/>
    <w:rsid w:val="00AE7825"/>
    <w:rsid w:val="00AE7A7B"/>
    <w:rsid w:val="00AE7BFF"/>
    <w:rsid w:val="00AE7D05"/>
    <w:rsid w:val="00AE7D3C"/>
    <w:rsid w:val="00AE7E3B"/>
    <w:rsid w:val="00AF0576"/>
    <w:rsid w:val="00AF06AC"/>
    <w:rsid w:val="00AF07EF"/>
    <w:rsid w:val="00AF0AAD"/>
    <w:rsid w:val="00AF0C78"/>
    <w:rsid w:val="00AF0E7C"/>
    <w:rsid w:val="00AF0EA2"/>
    <w:rsid w:val="00AF0F10"/>
    <w:rsid w:val="00AF0FAD"/>
    <w:rsid w:val="00AF1023"/>
    <w:rsid w:val="00AF1102"/>
    <w:rsid w:val="00AF1296"/>
    <w:rsid w:val="00AF13EE"/>
    <w:rsid w:val="00AF168F"/>
    <w:rsid w:val="00AF1724"/>
    <w:rsid w:val="00AF17CD"/>
    <w:rsid w:val="00AF182B"/>
    <w:rsid w:val="00AF18EA"/>
    <w:rsid w:val="00AF1945"/>
    <w:rsid w:val="00AF19BE"/>
    <w:rsid w:val="00AF1B69"/>
    <w:rsid w:val="00AF1B6B"/>
    <w:rsid w:val="00AF1F4A"/>
    <w:rsid w:val="00AF2000"/>
    <w:rsid w:val="00AF2153"/>
    <w:rsid w:val="00AF22A3"/>
    <w:rsid w:val="00AF25C5"/>
    <w:rsid w:val="00AF2789"/>
    <w:rsid w:val="00AF29AC"/>
    <w:rsid w:val="00AF29B0"/>
    <w:rsid w:val="00AF2AB8"/>
    <w:rsid w:val="00AF2C66"/>
    <w:rsid w:val="00AF2E04"/>
    <w:rsid w:val="00AF2F19"/>
    <w:rsid w:val="00AF2F47"/>
    <w:rsid w:val="00AF2FE1"/>
    <w:rsid w:val="00AF30A0"/>
    <w:rsid w:val="00AF30C8"/>
    <w:rsid w:val="00AF3190"/>
    <w:rsid w:val="00AF31DB"/>
    <w:rsid w:val="00AF3219"/>
    <w:rsid w:val="00AF3536"/>
    <w:rsid w:val="00AF3735"/>
    <w:rsid w:val="00AF37C6"/>
    <w:rsid w:val="00AF386A"/>
    <w:rsid w:val="00AF38D0"/>
    <w:rsid w:val="00AF3983"/>
    <w:rsid w:val="00AF3A5E"/>
    <w:rsid w:val="00AF3C56"/>
    <w:rsid w:val="00AF3D26"/>
    <w:rsid w:val="00AF3DB0"/>
    <w:rsid w:val="00AF40E9"/>
    <w:rsid w:val="00AF41E5"/>
    <w:rsid w:val="00AF429A"/>
    <w:rsid w:val="00AF449A"/>
    <w:rsid w:val="00AF45C5"/>
    <w:rsid w:val="00AF472E"/>
    <w:rsid w:val="00AF47B1"/>
    <w:rsid w:val="00AF47B3"/>
    <w:rsid w:val="00AF4809"/>
    <w:rsid w:val="00AF4881"/>
    <w:rsid w:val="00AF48CD"/>
    <w:rsid w:val="00AF4AA8"/>
    <w:rsid w:val="00AF4AB3"/>
    <w:rsid w:val="00AF4AF5"/>
    <w:rsid w:val="00AF4CFE"/>
    <w:rsid w:val="00AF4F95"/>
    <w:rsid w:val="00AF5075"/>
    <w:rsid w:val="00AF5144"/>
    <w:rsid w:val="00AF51FB"/>
    <w:rsid w:val="00AF5372"/>
    <w:rsid w:val="00AF5951"/>
    <w:rsid w:val="00AF5D45"/>
    <w:rsid w:val="00AF5D7E"/>
    <w:rsid w:val="00AF5DB0"/>
    <w:rsid w:val="00AF5EAD"/>
    <w:rsid w:val="00AF5F09"/>
    <w:rsid w:val="00AF6209"/>
    <w:rsid w:val="00AF6278"/>
    <w:rsid w:val="00AF6286"/>
    <w:rsid w:val="00AF65D1"/>
    <w:rsid w:val="00AF65E9"/>
    <w:rsid w:val="00AF6722"/>
    <w:rsid w:val="00AF676C"/>
    <w:rsid w:val="00AF67DE"/>
    <w:rsid w:val="00AF6879"/>
    <w:rsid w:val="00AF6982"/>
    <w:rsid w:val="00AF6CD6"/>
    <w:rsid w:val="00AF7041"/>
    <w:rsid w:val="00AF73E7"/>
    <w:rsid w:val="00AF7412"/>
    <w:rsid w:val="00AF753E"/>
    <w:rsid w:val="00AF764F"/>
    <w:rsid w:val="00AF768C"/>
    <w:rsid w:val="00AF76D8"/>
    <w:rsid w:val="00AF777F"/>
    <w:rsid w:val="00AF77A0"/>
    <w:rsid w:val="00AF791F"/>
    <w:rsid w:val="00AF7E74"/>
    <w:rsid w:val="00AF7EFF"/>
    <w:rsid w:val="00B00099"/>
    <w:rsid w:val="00B000E4"/>
    <w:rsid w:val="00B0031A"/>
    <w:rsid w:val="00B00390"/>
    <w:rsid w:val="00B004FE"/>
    <w:rsid w:val="00B006DF"/>
    <w:rsid w:val="00B00808"/>
    <w:rsid w:val="00B009CA"/>
    <w:rsid w:val="00B00DA6"/>
    <w:rsid w:val="00B00F25"/>
    <w:rsid w:val="00B012D5"/>
    <w:rsid w:val="00B01376"/>
    <w:rsid w:val="00B014B1"/>
    <w:rsid w:val="00B014E5"/>
    <w:rsid w:val="00B01A9A"/>
    <w:rsid w:val="00B01DD0"/>
    <w:rsid w:val="00B01DDC"/>
    <w:rsid w:val="00B02041"/>
    <w:rsid w:val="00B02061"/>
    <w:rsid w:val="00B0218B"/>
    <w:rsid w:val="00B0229B"/>
    <w:rsid w:val="00B023A8"/>
    <w:rsid w:val="00B02651"/>
    <w:rsid w:val="00B02766"/>
    <w:rsid w:val="00B027C1"/>
    <w:rsid w:val="00B029FA"/>
    <w:rsid w:val="00B02A66"/>
    <w:rsid w:val="00B02B23"/>
    <w:rsid w:val="00B02D67"/>
    <w:rsid w:val="00B03222"/>
    <w:rsid w:val="00B03278"/>
    <w:rsid w:val="00B033F3"/>
    <w:rsid w:val="00B03691"/>
    <w:rsid w:val="00B0382A"/>
    <w:rsid w:val="00B038EF"/>
    <w:rsid w:val="00B03985"/>
    <w:rsid w:val="00B0398B"/>
    <w:rsid w:val="00B039B4"/>
    <w:rsid w:val="00B03CB8"/>
    <w:rsid w:val="00B03CE8"/>
    <w:rsid w:val="00B03DC2"/>
    <w:rsid w:val="00B03E2C"/>
    <w:rsid w:val="00B041DD"/>
    <w:rsid w:val="00B041FE"/>
    <w:rsid w:val="00B043DB"/>
    <w:rsid w:val="00B0441B"/>
    <w:rsid w:val="00B04451"/>
    <w:rsid w:val="00B044CF"/>
    <w:rsid w:val="00B0477C"/>
    <w:rsid w:val="00B04C4D"/>
    <w:rsid w:val="00B04D7C"/>
    <w:rsid w:val="00B04DFF"/>
    <w:rsid w:val="00B04FF5"/>
    <w:rsid w:val="00B0533A"/>
    <w:rsid w:val="00B054FA"/>
    <w:rsid w:val="00B05614"/>
    <w:rsid w:val="00B05751"/>
    <w:rsid w:val="00B0595A"/>
    <w:rsid w:val="00B05D7E"/>
    <w:rsid w:val="00B05EAC"/>
    <w:rsid w:val="00B06140"/>
    <w:rsid w:val="00B0616C"/>
    <w:rsid w:val="00B06478"/>
    <w:rsid w:val="00B067B6"/>
    <w:rsid w:val="00B06859"/>
    <w:rsid w:val="00B06ADD"/>
    <w:rsid w:val="00B06BE1"/>
    <w:rsid w:val="00B06F8E"/>
    <w:rsid w:val="00B06F9F"/>
    <w:rsid w:val="00B07031"/>
    <w:rsid w:val="00B07070"/>
    <w:rsid w:val="00B07280"/>
    <w:rsid w:val="00B072E9"/>
    <w:rsid w:val="00B07360"/>
    <w:rsid w:val="00B074D3"/>
    <w:rsid w:val="00B07550"/>
    <w:rsid w:val="00B07731"/>
    <w:rsid w:val="00B07ADF"/>
    <w:rsid w:val="00B07D30"/>
    <w:rsid w:val="00B07D83"/>
    <w:rsid w:val="00B07DFD"/>
    <w:rsid w:val="00B07EA8"/>
    <w:rsid w:val="00B07FB2"/>
    <w:rsid w:val="00B1009D"/>
    <w:rsid w:val="00B1014F"/>
    <w:rsid w:val="00B10193"/>
    <w:rsid w:val="00B1026F"/>
    <w:rsid w:val="00B10290"/>
    <w:rsid w:val="00B104E8"/>
    <w:rsid w:val="00B10590"/>
    <w:rsid w:val="00B105D6"/>
    <w:rsid w:val="00B10748"/>
    <w:rsid w:val="00B108F1"/>
    <w:rsid w:val="00B108FE"/>
    <w:rsid w:val="00B10951"/>
    <w:rsid w:val="00B10AFC"/>
    <w:rsid w:val="00B10E4D"/>
    <w:rsid w:val="00B10F05"/>
    <w:rsid w:val="00B11114"/>
    <w:rsid w:val="00B11304"/>
    <w:rsid w:val="00B1133F"/>
    <w:rsid w:val="00B1158A"/>
    <w:rsid w:val="00B11643"/>
    <w:rsid w:val="00B118D0"/>
    <w:rsid w:val="00B11993"/>
    <w:rsid w:val="00B11A78"/>
    <w:rsid w:val="00B11A93"/>
    <w:rsid w:val="00B11B38"/>
    <w:rsid w:val="00B11C12"/>
    <w:rsid w:val="00B11CDF"/>
    <w:rsid w:val="00B11D9D"/>
    <w:rsid w:val="00B122BC"/>
    <w:rsid w:val="00B12A2A"/>
    <w:rsid w:val="00B12C34"/>
    <w:rsid w:val="00B12D6E"/>
    <w:rsid w:val="00B12F59"/>
    <w:rsid w:val="00B13011"/>
    <w:rsid w:val="00B131C8"/>
    <w:rsid w:val="00B1371E"/>
    <w:rsid w:val="00B138EC"/>
    <w:rsid w:val="00B13BD9"/>
    <w:rsid w:val="00B13D80"/>
    <w:rsid w:val="00B13DF8"/>
    <w:rsid w:val="00B13F9A"/>
    <w:rsid w:val="00B141F8"/>
    <w:rsid w:val="00B14224"/>
    <w:rsid w:val="00B142BF"/>
    <w:rsid w:val="00B1441C"/>
    <w:rsid w:val="00B149FB"/>
    <w:rsid w:val="00B14BF3"/>
    <w:rsid w:val="00B14C4F"/>
    <w:rsid w:val="00B14D70"/>
    <w:rsid w:val="00B14E11"/>
    <w:rsid w:val="00B14E37"/>
    <w:rsid w:val="00B14E5D"/>
    <w:rsid w:val="00B150B4"/>
    <w:rsid w:val="00B1549C"/>
    <w:rsid w:val="00B155A4"/>
    <w:rsid w:val="00B155C0"/>
    <w:rsid w:val="00B15695"/>
    <w:rsid w:val="00B15ABD"/>
    <w:rsid w:val="00B1606A"/>
    <w:rsid w:val="00B1607A"/>
    <w:rsid w:val="00B160C9"/>
    <w:rsid w:val="00B160EA"/>
    <w:rsid w:val="00B1633B"/>
    <w:rsid w:val="00B165A2"/>
    <w:rsid w:val="00B16A10"/>
    <w:rsid w:val="00B16A20"/>
    <w:rsid w:val="00B16A78"/>
    <w:rsid w:val="00B16A99"/>
    <w:rsid w:val="00B16B47"/>
    <w:rsid w:val="00B16EBE"/>
    <w:rsid w:val="00B1705B"/>
    <w:rsid w:val="00B1774D"/>
    <w:rsid w:val="00B1776F"/>
    <w:rsid w:val="00B177C7"/>
    <w:rsid w:val="00B17975"/>
    <w:rsid w:val="00B17B73"/>
    <w:rsid w:val="00B17CDF"/>
    <w:rsid w:val="00B17F90"/>
    <w:rsid w:val="00B201AE"/>
    <w:rsid w:val="00B20263"/>
    <w:rsid w:val="00B2066B"/>
    <w:rsid w:val="00B20958"/>
    <w:rsid w:val="00B209B7"/>
    <w:rsid w:val="00B20AD4"/>
    <w:rsid w:val="00B20AD8"/>
    <w:rsid w:val="00B20BED"/>
    <w:rsid w:val="00B20C8E"/>
    <w:rsid w:val="00B20DB3"/>
    <w:rsid w:val="00B20E7B"/>
    <w:rsid w:val="00B20FA8"/>
    <w:rsid w:val="00B210B5"/>
    <w:rsid w:val="00B210F7"/>
    <w:rsid w:val="00B21401"/>
    <w:rsid w:val="00B21475"/>
    <w:rsid w:val="00B214D2"/>
    <w:rsid w:val="00B21A16"/>
    <w:rsid w:val="00B21A19"/>
    <w:rsid w:val="00B21BF5"/>
    <w:rsid w:val="00B21D0D"/>
    <w:rsid w:val="00B21DCA"/>
    <w:rsid w:val="00B21E68"/>
    <w:rsid w:val="00B21ED6"/>
    <w:rsid w:val="00B21ED9"/>
    <w:rsid w:val="00B2212A"/>
    <w:rsid w:val="00B221C6"/>
    <w:rsid w:val="00B22336"/>
    <w:rsid w:val="00B224B6"/>
    <w:rsid w:val="00B22669"/>
    <w:rsid w:val="00B22708"/>
    <w:rsid w:val="00B22FE3"/>
    <w:rsid w:val="00B23373"/>
    <w:rsid w:val="00B2365C"/>
    <w:rsid w:val="00B237E8"/>
    <w:rsid w:val="00B2392F"/>
    <w:rsid w:val="00B239E5"/>
    <w:rsid w:val="00B23C17"/>
    <w:rsid w:val="00B23DAD"/>
    <w:rsid w:val="00B23F8C"/>
    <w:rsid w:val="00B241B6"/>
    <w:rsid w:val="00B242EB"/>
    <w:rsid w:val="00B24357"/>
    <w:rsid w:val="00B24434"/>
    <w:rsid w:val="00B245E4"/>
    <w:rsid w:val="00B24A0A"/>
    <w:rsid w:val="00B24D90"/>
    <w:rsid w:val="00B24FD5"/>
    <w:rsid w:val="00B25083"/>
    <w:rsid w:val="00B25352"/>
    <w:rsid w:val="00B2542E"/>
    <w:rsid w:val="00B2596C"/>
    <w:rsid w:val="00B259F4"/>
    <w:rsid w:val="00B25C4E"/>
    <w:rsid w:val="00B25D18"/>
    <w:rsid w:val="00B25D70"/>
    <w:rsid w:val="00B25F5F"/>
    <w:rsid w:val="00B2615E"/>
    <w:rsid w:val="00B26264"/>
    <w:rsid w:val="00B2628C"/>
    <w:rsid w:val="00B262F5"/>
    <w:rsid w:val="00B262F6"/>
    <w:rsid w:val="00B264AF"/>
    <w:rsid w:val="00B265DD"/>
    <w:rsid w:val="00B26970"/>
    <w:rsid w:val="00B26A40"/>
    <w:rsid w:val="00B26ACF"/>
    <w:rsid w:val="00B26B88"/>
    <w:rsid w:val="00B26B89"/>
    <w:rsid w:val="00B26D9E"/>
    <w:rsid w:val="00B26E57"/>
    <w:rsid w:val="00B26F50"/>
    <w:rsid w:val="00B270AA"/>
    <w:rsid w:val="00B27109"/>
    <w:rsid w:val="00B2719E"/>
    <w:rsid w:val="00B274D4"/>
    <w:rsid w:val="00B27648"/>
    <w:rsid w:val="00B2798A"/>
    <w:rsid w:val="00B27B37"/>
    <w:rsid w:val="00B302D4"/>
    <w:rsid w:val="00B304D0"/>
    <w:rsid w:val="00B3050C"/>
    <w:rsid w:val="00B3062A"/>
    <w:rsid w:val="00B30655"/>
    <w:rsid w:val="00B30898"/>
    <w:rsid w:val="00B30AF4"/>
    <w:rsid w:val="00B30F21"/>
    <w:rsid w:val="00B30FEE"/>
    <w:rsid w:val="00B311A6"/>
    <w:rsid w:val="00B313C8"/>
    <w:rsid w:val="00B315E4"/>
    <w:rsid w:val="00B31626"/>
    <w:rsid w:val="00B31640"/>
    <w:rsid w:val="00B31650"/>
    <w:rsid w:val="00B31695"/>
    <w:rsid w:val="00B31A5E"/>
    <w:rsid w:val="00B31D09"/>
    <w:rsid w:val="00B31DB8"/>
    <w:rsid w:val="00B31F27"/>
    <w:rsid w:val="00B32062"/>
    <w:rsid w:val="00B3218F"/>
    <w:rsid w:val="00B32202"/>
    <w:rsid w:val="00B323ED"/>
    <w:rsid w:val="00B32419"/>
    <w:rsid w:val="00B32540"/>
    <w:rsid w:val="00B32543"/>
    <w:rsid w:val="00B32552"/>
    <w:rsid w:val="00B32729"/>
    <w:rsid w:val="00B327D3"/>
    <w:rsid w:val="00B3285C"/>
    <w:rsid w:val="00B32945"/>
    <w:rsid w:val="00B32C67"/>
    <w:rsid w:val="00B32CF6"/>
    <w:rsid w:val="00B32E22"/>
    <w:rsid w:val="00B32EF7"/>
    <w:rsid w:val="00B32F8F"/>
    <w:rsid w:val="00B332B6"/>
    <w:rsid w:val="00B33633"/>
    <w:rsid w:val="00B33689"/>
    <w:rsid w:val="00B337B1"/>
    <w:rsid w:val="00B3388D"/>
    <w:rsid w:val="00B33BB6"/>
    <w:rsid w:val="00B33BF9"/>
    <w:rsid w:val="00B33E25"/>
    <w:rsid w:val="00B33EF3"/>
    <w:rsid w:val="00B33F22"/>
    <w:rsid w:val="00B33F6E"/>
    <w:rsid w:val="00B340C1"/>
    <w:rsid w:val="00B34190"/>
    <w:rsid w:val="00B341DA"/>
    <w:rsid w:val="00B34622"/>
    <w:rsid w:val="00B34690"/>
    <w:rsid w:val="00B346BB"/>
    <w:rsid w:val="00B3499B"/>
    <w:rsid w:val="00B34AC8"/>
    <w:rsid w:val="00B34AEC"/>
    <w:rsid w:val="00B34B3F"/>
    <w:rsid w:val="00B34B5B"/>
    <w:rsid w:val="00B34BA5"/>
    <w:rsid w:val="00B34BE2"/>
    <w:rsid w:val="00B34DF4"/>
    <w:rsid w:val="00B34E2F"/>
    <w:rsid w:val="00B3516C"/>
    <w:rsid w:val="00B351CD"/>
    <w:rsid w:val="00B35503"/>
    <w:rsid w:val="00B3570B"/>
    <w:rsid w:val="00B35A54"/>
    <w:rsid w:val="00B35A5B"/>
    <w:rsid w:val="00B35A63"/>
    <w:rsid w:val="00B35A9E"/>
    <w:rsid w:val="00B35B53"/>
    <w:rsid w:val="00B35B55"/>
    <w:rsid w:val="00B35D2E"/>
    <w:rsid w:val="00B35E26"/>
    <w:rsid w:val="00B35E41"/>
    <w:rsid w:val="00B35ECF"/>
    <w:rsid w:val="00B35FD7"/>
    <w:rsid w:val="00B36086"/>
    <w:rsid w:val="00B36113"/>
    <w:rsid w:val="00B361ED"/>
    <w:rsid w:val="00B3624B"/>
    <w:rsid w:val="00B36561"/>
    <w:rsid w:val="00B36566"/>
    <w:rsid w:val="00B36576"/>
    <w:rsid w:val="00B366F3"/>
    <w:rsid w:val="00B36C29"/>
    <w:rsid w:val="00B36CF2"/>
    <w:rsid w:val="00B36D48"/>
    <w:rsid w:val="00B36D9B"/>
    <w:rsid w:val="00B36F41"/>
    <w:rsid w:val="00B3710D"/>
    <w:rsid w:val="00B37161"/>
    <w:rsid w:val="00B373D6"/>
    <w:rsid w:val="00B374A0"/>
    <w:rsid w:val="00B37566"/>
    <w:rsid w:val="00B37662"/>
    <w:rsid w:val="00B379D8"/>
    <w:rsid w:val="00B37ED7"/>
    <w:rsid w:val="00B4033D"/>
    <w:rsid w:val="00B4053D"/>
    <w:rsid w:val="00B40635"/>
    <w:rsid w:val="00B40931"/>
    <w:rsid w:val="00B40A96"/>
    <w:rsid w:val="00B40B1D"/>
    <w:rsid w:val="00B40BD1"/>
    <w:rsid w:val="00B40C23"/>
    <w:rsid w:val="00B40C82"/>
    <w:rsid w:val="00B40E53"/>
    <w:rsid w:val="00B40E6C"/>
    <w:rsid w:val="00B40FDD"/>
    <w:rsid w:val="00B41062"/>
    <w:rsid w:val="00B41227"/>
    <w:rsid w:val="00B412CC"/>
    <w:rsid w:val="00B413F8"/>
    <w:rsid w:val="00B415D0"/>
    <w:rsid w:val="00B41640"/>
    <w:rsid w:val="00B419AE"/>
    <w:rsid w:val="00B41CAF"/>
    <w:rsid w:val="00B41E0E"/>
    <w:rsid w:val="00B42076"/>
    <w:rsid w:val="00B42120"/>
    <w:rsid w:val="00B4229D"/>
    <w:rsid w:val="00B423AB"/>
    <w:rsid w:val="00B4246F"/>
    <w:rsid w:val="00B42BEF"/>
    <w:rsid w:val="00B42CF7"/>
    <w:rsid w:val="00B42D6D"/>
    <w:rsid w:val="00B42DCC"/>
    <w:rsid w:val="00B42F6D"/>
    <w:rsid w:val="00B43452"/>
    <w:rsid w:val="00B43766"/>
    <w:rsid w:val="00B43A47"/>
    <w:rsid w:val="00B43B55"/>
    <w:rsid w:val="00B43BB1"/>
    <w:rsid w:val="00B43C39"/>
    <w:rsid w:val="00B43E4D"/>
    <w:rsid w:val="00B44029"/>
    <w:rsid w:val="00B44070"/>
    <w:rsid w:val="00B441CB"/>
    <w:rsid w:val="00B442F3"/>
    <w:rsid w:val="00B443F5"/>
    <w:rsid w:val="00B449C4"/>
    <w:rsid w:val="00B449FA"/>
    <w:rsid w:val="00B44A4F"/>
    <w:rsid w:val="00B44C62"/>
    <w:rsid w:val="00B44C68"/>
    <w:rsid w:val="00B44CFA"/>
    <w:rsid w:val="00B44F57"/>
    <w:rsid w:val="00B45027"/>
    <w:rsid w:val="00B45144"/>
    <w:rsid w:val="00B45158"/>
    <w:rsid w:val="00B45292"/>
    <w:rsid w:val="00B453CC"/>
    <w:rsid w:val="00B453F7"/>
    <w:rsid w:val="00B455F7"/>
    <w:rsid w:val="00B45653"/>
    <w:rsid w:val="00B45768"/>
    <w:rsid w:val="00B4589B"/>
    <w:rsid w:val="00B45B88"/>
    <w:rsid w:val="00B45F23"/>
    <w:rsid w:val="00B4612F"/>
    <w:rsid w:val="00B46174"/>
    <w:rsid w:val="00B4617B"/>
    <w:rsid w:val="00B46187"/>
    <w:rsid w:val="00B46312"/>
    <w:rsid w:val="00B46390"/>
    <w:rsid w:val="00B464CF"/>
    <w:rsid w:val="00B46535"/>
    <w:rsid w:val="00B46680"/>
    <w:rsid w:val="00B467EA"/>
    <w:rsid w:val="00B467EB"/>
    <w:rsid w:val="00B468A2"/>
    <w:rsid w:val="00B46B83"/>
    <w:rsid w:val="00B47051"/>
    <w:rsid w:val="00B47308"/>
    <w:rsid w:val="00B4756B"/>
    <w:rsid w:val="00B47630"/>
    <w:rsid w:val="00B47783"/>
    <w:rsid w:val="00B47977"/>
    <w:rsid w:val="00B479B8"/>
    <w:rsid w:val="00B47E60"/>
    <w:rsid w:val="00B47F96"/>
    <w:rsid w:val="00B5014C"/>
    <w:rsid w:val="00B5019F"/>
    <w:rsid w:val="00B5021A"/>
    <w:rsid w:val="00B50249"/>
    <w:rsid w:val="00B502E8"/>
    <w:rsid w:val="00B5031C"/>
    <w:rsid w:val="00B504FD"/>
    <w:rsid w:val="00B50684"/>
    <w:rsid w:val="00B5070A"/>
    <w:rsid w:val="00B50723"/>
    <w:rsid w:val="00B5088C"/>
    <w:rsid w:val="00B50999"/>
    <w:rsid w:val="00B50E3E"/>
    <w:rsid w:val="00B50FC2"/>
    <w:rsid w:val="00B512D0"/>
    <w:rsid w:val="00B513EC"/>
    <w:rsid w:val="00B514A1"/>
    <w:rsid w:val="00B515A6"/>
    <w:rsid w:val="00B515B6"/>
    <w:rsid w:val="00B51883"/>
    <w:rsid w:val="00B51886"/>
    <w:rsid w:val="00B51921"/>
    <w:rsid w:val="00B51FEC"/>
    <w:rsid w:val="00B52039"/>
    <w:rsid w:val="00B52383"/>
    <w:rsid w:val="00B524E5"/>
    <w:rsid w:val="00B52633"/>
    <w:rsid w:val="00B5265D"/>
    <w:rsid w:val="00B52A80"/>
    <w:rsid w:val="00B5335E"/>
    <w:rsid w:val="00B539AB"/>
    <w:rsid w:val="00B53D57"/>
    <w:rsid w:val="00B53DDF"/>
    <w:rsid w:val="00B53E16"/>
    <w:rsid w:val="00B53EBD"/>
    <w:rsid w:val="00B53F55"/>
    <w:rsid w:val="00B53FB6"/>
    <w:rsid w:val="00B545D6"/>
    <w:rsid w:val="00B54984"/>
    <w:rsid w:val="00B549EB"/>
    <w:rsid w:val="00B54C98"/>
    <w:rsid w:val="00B54F88"/>
    <w:rsid w:val="00B553BD"/>
    <w:rsid w:val="00B55484"/>
    <w:rsid w:val="00B554C6"/>
    <w:rsid w:val="00B554E1"/>
    <w:rsid w:val="00B554E9"/>
    <w:rsid w:val="00B5568D"/>
    <w:rsid w:val="00B556CF"/>
    <w:rsid w:val="00B55B8F"/>
    <w:rsid w:val="00B55D40"/>
    <w:rsid w:val="00B560B1"/>
    <w:rsid w:val="00B56692"/>
    <w:rsid w:val="00B567B2"/>
    <w:rsid w:val="00B5696C"/>
    <w:rsid w:val="00B56E01"/>
    <w:rsid w:val="00B56E55"/>
    <w:rsid w:val="00B56F20"/>
    <w:rsid w:val="00B56F37"/>
    <w:rsid w:val="00B5705F"/>
    <w:rsid w:val="00B57108"/>
    <w:rsid w:val="00B571B8"/>
    <w:rsid w:val="00B5723C"/>
    <w:rsid w:val="00B575B3"/>
    <w:rsid w:val="00B5788C"/>
    <w:rsid w:val="00B57B38"/>
    <w:rsid w:val="00B60071"/>
    <w:rsid w:val="00B6013A"/>
    <w:rsid w:val="00B604B7"/>
    <w:rsid w:val="00B60527"/>
    <w:rsid w:val="00B60837"/>
    <w:rsid w:val="00B6095C"/>
    <w:rsid w:val="00B6098A"/>
    <w:rsid w:val="00B60B2A"/>
    <w:rsid w:val="00B60BF1"/>
    <w:rsid w:val="00B60C1B"/>
    <w:rsid w:val="00B60C35"/>
    <w:rsid w:val="00B60C5E"/>
    <w:rsid w:val="00B60D13"/>
    <w:rsid w:val="00B60EB6"/>
    <w:rsid w:val="00B612A7"/>
    <w:rsid w:val="00B614A4"/>
    <w:rsid w:val="00B617C5"/>
    <w:rsid w:val="00B618F2"/>
    <w:rsid w:val="00B61A38"/>
    <w:rsid w:val="00B61D33"/>
    <w:rsid w:val="00B61E1C"/>
    <w:rsid w:val="00B61E3A"/>
    <w:rsid w:val="00B61E78"/>
    <w:rsid w:val="00B61F40"/>
    <w:rsid w:val="00B620B8"/>
    <w:rsid w:val="00B623E1"/>
    <w:rsid w:val="00B6255B"/>
    <w:rsid w:val="00B6260C"/>
    <w:rsid w:val="00B62759"/>
    <w:rsid w:val="00B627DA"/>
    <w:rsid w:val="00B62ACB"/>
    <w:rsid w:val="00B62CB8"/>
    <w:rsid w:val="00B62D45"/>
    <w:rsid w:val="00B62D8D"/>
    <w:rsid w:val="00B63132"/>
    <w:rsid w:val="00B6335F"/>
    <w:rsid w:val="00B633E5"/>
    <w:rsid w:val="00B63575"/>
    <w:rsid w:val="00B637C9"/>
    <w:rsid w:val="00B638CA"/>
    <w:rsid w:val="00B6392E"/>
    <w:rsid w:val="00B63ABF"/>
    <w:rsid w:val="00B63F15"/>
    <w:rsid w:val="00B64250"/>
    <w:rsid w:val="00B64366"/>
    <w:rsid w:val="00B6438C"/>
    <w:rsid w:val="00B643B5"/>
    <w:rsid w:val="00B643F9"/>
    <w:rsid w:val="00B6476F"/>
    <w:rsid w:val="00B6479F"/>
    <w:rsid w:val="00B64856"/>
    <w:rsid w:val="00B64929"/>
    <w:rsid w:val="00B6492E"/>
    <w:rsid w:val="00B64B48"/>
    <w:rsid w:val="00B64D41"/>
    <w:rsid w:val="00B64E85"/>
    <w:rsid w:val="00B64F39"/>
    <w:rsid w:val="00B651C2"/>
    <w:rsid w:val="00B652DE"/>
    <w:rsid w:val="00B65426"/>
    <w:rsid w:val="00B65451"/>
    <w:rsid w:val="00B6552F"/>
    <w:rsid w:val="00B656D9"/>
    <w:rsid w:val="00B656DA"/>
    <w:rsid w:val="00B658B1"/>
    <w:rsid w:val="00B6592A"/>
    <w:rsid w:val="00B659BD"/>
    <w:rsid w:val="00B65C8D"/>
    <w:rsid w:val="00B65D41"/>
    <w:rsid w:val="00B65DC6"/>
    <w:rsid w:val="00B6604B"/>
    <w:rsid w:val="00B66091"/>
    <w:rsid w:val="00B663B3"/>
    <w:rsid w:val="00B664B9"/>
    <w:rsid w:val="00B66508"/>
    <w:rsid w:val="00B66773"/>
    <w:rsid w:val="00B667AD"/>
    <w:rsid w:val="00B6685F"/>
    <w:rsid w:val="00B66A52"/>
    <w:rsid w:val="00B66B4B"/>
    <w:rsid w:val="00B66C6B"/>
    <w:rsid w:val="00B66D99"/>
    <w:rsid w:val="00B66F34"/>
    <w:rsid w:val="00B66F52"/>
    <w:rsid w:val="00B67291"/>
    <w:rsid w:val="00B674AA"/>
    <w:rsid w:val="00B67732"/>
    <w:rsid w:val="00B678C6"/>
    <w:rsid w:val="00B679C3"/>
    <w:rsid w:val="00B67CDB"/>
    <w:rsid w:val="00B67D69"/>
    <w:rsid w:val="00B67EC9"/>
    <w:rsid w:val="00B7006F"/>
    <w:rsid w:val="00B70265"/>
    <w:rsid w:val="00B70433"/>
    <w:rsid w:val="00B7048E"/>
    <w:rsid w:val="00B70581"/>
    <w:rsid w:val="00B70B90"/>
    <w:rsid w:val="00B70EED"/>
    <w:rsid w:val="00B711E7"/>
    <w:rsid w:val="00B714CD"/>
    <w:rsid w:val="00B71A4C"/>
    <w:rsid w:val="00B71AF9"/>
    <w:rsid w:val="00B7278A"/>
    <w:rsid w:val="00B72AE9"/>
    <w:rsid w:val="00B72E8F"/>
    <w:rsid w:val="00B73108"/>
    <w:rsid w:val="00B731C1"/>
    <w:rsid w:val="00B73229"/>
    <w:rsid w:val="00B73433"/>
    <w:rsid w:val="00B7346C"/>
    <w:rsid w:val="00B73641"/>
    <w:rsid w:val="00B739C1"/>
    <w:rsid w:val="00B73AF0"/>
    <w:rsid w:val="00B73B03"/>
    <w:rsid w:val="00B73B29"/>
    <w:rsid w:val="00B73C78"/>
    <w:rsid w:val="00B73F4F"/>
    <w:rsid w:val="00B7411A"/>
    <w:rsid w:val="00B74137"/>
    <w:rsid w:val="00B741B5"/>
    <w:rsid w:val="00B74275"/>
    <w:rsid w:val="00B74390"/>
    <w:rsid w:val="00B74490"/>
    <w:rsid w:val="00B7456E"/>
    <w:rsid w:val="00B74650"/>
    <w:rsid w:val="00B7475E"/>
    <w:rsid w:val="00B74A18"/>
    <w:rsid w:val="00B74C21"/>
    <w:rsid w:val="00B74D6C"/>
    <w:rsid w:val="00B74E58"/>
    <w:rsid w:val="00B74F13"/>
    <w:rsid w:val="00B750F6"/>
    <w:rsid w:val="00B7512C"/>
    <w:rsid w:val="00B75541"/>
    <w:rsid w:val="00B7570D"/>
    <w:rsid w:val="00B7573C"/>
    <w:rsid w:val="00B757A5"/>
    <w:rsid w:val="00B757B9"/>
    <w:rsid w:val="00B759C9"/>
    <w:rsid w:val="00B75A2E"/>
    <w:rsid w:val="00B75AD7"/>
    <w:rsid w:val="00B75D10"/>
    <w:rsid w:val="00B75F10"/>
    <w:rsid w:val="00B76389"/>
    <w:rsid w:val="00B763A9"/>
    <w:rsid w:val="00B764D3"/>
    <w:rsid w:val="00B76584"/>
    <w:rsid w:val="00B76881"/>
    <w:rsid w:val="00B769DF"/>
    <w:rsid w:val="00B76B53"/>
    <w:rsid w:val="00B770C9"/>
    <w:rsid w:val="00B771E9"/>
    <w:rsid w:val="00B77439"/>
    <w:rsid w:val="00B776DA"/>
    <w:rsid w:val="00B7772B"/>
    <w:rsid w:val="00B77852"/>
    <w:rsid w:val="00B77A09"/>
    <w:rsid w:val="00B77BA4"/>
    <w:rsid w:val="00B77DAC"/>
    <w:rsid w:val="00B77E47"/>
    <w:rsid w:val="00B77E5F"/>
    <w:rsid w:val="00B77FEC"/>
    <w:rsid w:val="00B8028D"/>
    <w:rsid w:val="00B80313"/>
    <w:rsid w:val="00B80381"/>
    <w:rsid w:val="00B803D1"/>
    <w:rsid w:val="00B80607"/>
    <w:rsid w:val="00B80689"/>
    <w:rsid w:val="00B8071B"/>
    <w:rsid w:val="00B8072A"/>
    <w:rsid w:val="00B80989"/>
    <w:rsid w:val="00B80D62"/>
    <w:rsid w:val="00B80F36"/>
    <w:rsid w:val="00B810B2"/>
    <w:rsid w:val="00B81184"/>
    <w:rsid w:val="00B8138E"/>
    <w:rsid w:val="00B817E0"/>
    <w:rsid w:val="00B81AF7"/>
    <w:rsid w:val="00B81E2C"/>
    <w:rsid w:val="00B82312"/>
    <w:rsid w:val="00B825BC"/>
    <w:rsid w:val="00B8273B"/>
    <w:rsid w:val="00B82745"/>
    <w:rsid w:val="00B82758"/>
    <w:rsid w:val="00B8282C"/>
    <w:rsid w:val="00B828B1"/>
    <w:rsid w:val="00B8297A"/>
    <w:rsid w:val="00B82BFE"/>
    <w:rsid w:val="00B82CAC"/>
    <w:rsid w:val="00B83319"/>
    <w:rsid w:val="00B83400"/>
    <w:rsid w:val="00B835CC"/>
    <w:rsid w:val="00B836FF"/>
    <w:rsid w:val="00B83B8A"/>
    <w:rsid w:val="00B83BE9"/>
    <w:rsid w:val="00B83EA5"/>
    <w:rsid w:val="00B840A4"/>
    <w:rsid w:val="00B844B8"/>
    <w:rsid w:val="00B84602"/>
    <w:rsid w:val="00B8488E"/>
    <w:rsid w:val="00B84968"/>
    <w:rsid w:val="00B84B8D"/>
    <w:rsid w:val="00B84DBF"/>
    <w:rsid w:val="00B85064"/>
    <w:rsid w:val="00B8545C"/>
    <w:rsid w:val="00B85535"/>
    <w:rsid w:val="00B859A3"/>
    <w:rsid w:val="00B85A9D"/>
    <w:rsid w:val="00B85B1F"/>
    <w:rsid w:val="00B85CD8"/>
    <w:rsid w:val="00B860C7"/>
    <w:rsid w:val="00B860D9"/>
    <w:rsid w:val="00B86150"/>
    <w:rsid w:val="00B862FC"/>
    <w:rsid w:val="00B86313"/>
    <w:rsid w:val="00B863EA"/>
    <w:rsid w:val="00B86457"/>
    <w:rsid w:val="00B8647A"/>
    <w:rsid w:val="00B86708"/>
    <w:rsid w:val="00B86716"/>
    <w:rsid w:val="00B8671D"/>
    <w:rsid w:val="00B86996"/>
    <w:rsid w:val="00B86BA9"/>
    <w:rsid w:val="00B86C1D"/>
    <w:rsid w:val="00B86D44"/>
    <w:rsid w:val="00B86ECF"/>
    <w:rsid w:val="00B86F8C"/>
    <w:rsid w:val="00B87156"/>
    <w:rsid w:val="00B87159"/>
    <w:rsid w:val="00B87197"/>
    <w:rsid w:val="00B8743F"/>
    <w:rsid w:val="00B874D8"/>
    <w:rsid w:val="00B876E8"/>
    <w:rsid w:val="00B8774B"/>
    <w:rsid w:val="00B87933"/>
    <w:rsid w:val="00B879EC"/>
    <w:rsid w:val="00B87BA4"/>
    <w:rsid w:val="00B87BEB"/>
    <w:rsid w:val="00B87C6A"/>
    <w:rsid w:val="00B87F4D"/>
    <w:rsid w:val="00B90023"/>
    <w:rsid w:val="00B9021A"/>
    <w:rsid w:val="00B90232"/>
    <w:rsid w:val="00B902BF"/>
    <w:rsid w:val="00B90332"/>
    <w:rsid w:val="00B9055B"/>
    <w:rsid w:val="00B9056B"/>
    <w:rsid w:val="00B90760"/>
    <w:rsid w:val="00B90853"/>
    <w:rsid w:val="00B909E9"/>
    <w:rsid w:val="00B90C7A"/>
    <w:rsid w:val="00B90D5E"/>
    <w:rsid w:val="00B913FA"/>
    <w:rsid w:val="00B9146B"/>
    <w:rsid w:val="00B915E8"/>
    <w:rsid w:val="00B91997"/>
    <w:rsid w:val="00B91CCD"/>
    <w:rsid w:val="00B91E22"/>
    <w:rsid w:val="00B91ED6"/>
    <w:rsid w:val="00B91F07"/>
    <w:rsid w:val="00B9264A"/>
    <w:rsid w:val="00B928B9"/>
    <w:rsid w:val="00B92A98"/>
    <w:rsid w:val="00B92CC8"/>
    <w:rsid w:val="00B92CD6"/>
    <w:rsid w:val="00B93057"/>
    <w:rsid w:val="00B931F5"/>
    <w:rsid w:val="00B93541"/>
    <w:rsid w:val="00B93845"/>
    <w:rsid w:val="00B93989"/>
    <w:rsid w:val="00B93B38"/>
    <w:rsid w:val="00B93C26"/>
    <w:rsid w:val="00B93C5C"/>
    <w:rsid w:val="00B93CA6"/>
    <w:rsid w:val="00B93D2F"/>
    <w:rsid w:val="00B93ECC"/>
    <w:rsid w:val="00B940AF"/>
    <w:rsid w:val="00B94113"/>
    <w:rsid w:val="00B941D6"/>
    <w:rsid w:val="00B94554"/>
    <w:rsid w:val="00B945B5"/>
    <w:rsid w:val="00B946BB"/>
    <w:rsid w:val="00B947B7"/>
    <w:rsid w:val="00B949DE"/>
    <w:rsid w:val="00B94A31"/>
    <w:rsid w:val="00B94AF1"/>
    <w:rsid w:val="00B94BDB"/>
    <w:rsid w:val="00B94C59"/>
    <w:rsid w:val="00B94E0E"/>
    <w:rsid w:val="00B94E83"/>
    <w:rsid w:val="00B94F7D"/>
    <w:rsid w:val="00B95433"/>
    <w:rsid w:val="00B95446"/>
    <w:rsid w:val="00B9553C"/>
    <w:rsid w:val="00B95827"/>
    <w:rsid w:val="00B95A53"/>
    <w:rsid w:val="00B95CE1"/>
    <w:rsid w:val="00B95E92"/>
    <w:rsid w:val="00B9607B"/>
    <w:rsid w:val="00B96183"/>
    <w:rsid w:val="00B96608"/>
    <w:rsid w:val="00B9667C"/>
    <w:rsid w:val="00B96811"/>
    <w:rsid w:val="00B96D43"/>
    <w:rsid w:val="00B96F50"/>
    <w:rsid w:val="00B97096"/>
    <w:rsid w:val="00B97182"/>
    <w:rsid w:val="00B9726D"/>
    <w:rsid w:val="00B97534"/>
    <w:rsid w:val="00B97617"/>
    <w:rsid w:val="00B9765F"/>
    <w:rsid w:val="00B977D9"/>
    <w:rsid w:val="00B97AE1"/>
    <w:rsid w:val="00B97D10"/>
    <w:rsid w:val="00BA0180"/>
    <w:rsid w:val="00BA020B"/>
    <w:rsid w:val="00BA08BF"/>
    <w:rsid w:val="00BA0C89"/>
    <w:rsid w:val="00BA0D01"/>
    <w:rsid w:val="00BA0E04"/>
    <w:rsid w:val="00BA0F8A"/>
    <w:rsid w:val="00BA1185"/>
    <w:rsid w:val="00BA138F"/>
    <w:rsid w:val="00BA13E1"/>
    <w:rsid w:val="00BA140B"/>
    <w:rsid w:val="00BA157E"/>
    <w:rsid w:val="00BA1639"/>
    <w:rsid w:val="00BA17F4"/>
    <w:rsid w:val="00BA1A84"/>
    <w:rsid w:val="00BA1BE5"/>
    <w:rsid w:val="00BA1C19"/>
    <w:rsid w:val="00BA1D7E"/>
    <w:rsid w:val="00BA210C"/>
    <w:rsid w:val="00BA2394"/>
    <w:rsid w:val="00BA23EE"/>
    <w:rsid w:val="00BA2570"/>
    <w:rsid w:val="00BA2635"/>
    <w:rsid w:val="00BA2985"/>
    <w:rsid w:val="00BA2C5F"/>
    <w:rsid w:val="00BA3048"/>
    <w:rsid w:val="00BA31D0"/>
    <w:rsid w:val="00BA333C"/>
    <w:rsid w:val="00BA38A7"/>
    <w:rsid w:val="00BA3AB5"/>
    <w:rsid w:val="00BA3E80"/>
    <w:rsid w:val="00BA3E83"/>
    <w:rsid w:val="00BA3F60"/>
    <w:rsid w:val="00BA3FE3"/>
    <w:rsid w:val="00BA4002"/>
    <w:rsid w:val="00BA41D1"/>
    <w:rsid w:val="00BA452B"/>
    <w:rsid w:val="00BA47DA"/>
    <w:rsid w:val="00BA4848"/>
    <w:rsid w:val="00BA4912"/>
    <w:rsid w:val="00BA4ADA"/>
    <w:rsid w:val="00BA4C19"/>
    <w:rsid w:val="00BA4EAB"/>
    <w:rsid w:val="00BA4EFC"/>
    <w:rsid w:val="00BA50CD"/>
    <w:rsid w:val="00BA53A1"/>
    <w:rsid w:val="00BA53DD"/>
    <w:rsid w:val="00BA580A"/>
    <w:rsid w:val="00BA581C"/>
    <w:rsid w:val="00BA5A91"/>
    <w:rsid w:val="00BA5C39"/>
    <w:rsid w:val="00BA637D"/>
    <w:rsid w:val="00BA63D9"/>
    <w:rsid w:val="00BA64D4"/>
    <w:rsid w:val="00BA655F"/>
    <w:rsid w:val="00BA6607"/>
    <w:rsid w:val="00BA6852"/>
    <w:rsid w:val="00BA68BC"/>
    <w:rsid w:val="00BA6A4C"/>
    <w:rsid w:val="00BA6BC9"/>
    <w:rsid w:val="00BA6C7E"/>
    <w:rsid w:val="00BA6EE5"/>
    <w:rsid w:val="00BA6FCB"/>
    <w:rsid w:val="00BA7152"/>
    <w:rsid w:val="00BA715D"/>
    <w:rsid w:val="00BA7187"/>
    <w:rsid w:val="00BA74AF"/>
    <w:rsid w:val="00BA74BA"/>
    <w:rsid w:val="00BA74CF"/>
    <w:rsid w:val="00BA79B6"/>
    <w:rsid w:val="00BA7C9E"/>
    <w:rsid w:val="00BA7CB5"/>
    <w:rsid w:val="00BB0020"/>
    <w:rsid w:val="00BB005B"/>
    <w:rsid w:val="00BB00C2"/>
    <w:rsid w:val="00BB0293"/>
    <w:rsid w:val="00BB0518"/>
    <w:rsid w:val="00BB0582"/>
    <w:rsid w:val="00BB06EB"/>
    <w:rsid w:val="00BB0797"/>
    <w:rsid w:val="00BB0973"/>
    <w:rsid w:val="00BB0B99"/>
    <w:rsid w:val="00BB0DE4"/>
    <w:rsid w:val="00BB10DA"/>
    <w:rsid w:val="00BB1155"/>
    <w:rsid w:val="00BB11BA"/>
    <w:rsid w:val="00BB14E1"/>
    <w:rsid w:val="00BB154D"/>
    <w:rsid w:val="00BB158E"/>
    <w:rsid w:val="00BB19F2"/>
    <w:rsid w:val="00BB1A1D"/>
    <w:rsid w:val="00BB1B3D"/>
    <w:rsid w:val="00BB1CCC"/>
    <w:rsid w:val="00BB1E78"/>
    <w:rsid w:val="00BB1F81"/>
    <w:rsid w:val="00BB214C"/>
    <w:rsid w:val="00BB22C7"/>
    <w:rsid w:val="00BB2436"/>
    <w:rsid w:val="00BB2743"/>
    <w:rsid w:val="00BB2963"/>
    <w:rsid w:val="00BB299E"/>
    <w:rsid w:val="00BB29F8"/>
    <w:rsid w:val="00BB2C28"/>
    <w:rsid w:val="00BB2CCB"/>
    <w:rsid w:val="00BB2CFE"/>
    <w:rsid w:val="00BB2DB7"/>
    <w:rsid w:val="00BB2DED"/>
    <w:rsid w:val="00BB2E03"/>
    <w:rsid w:val="00BB2E62"/>
    <w:rsid w:val="00BB2E6B"/>
    <w:rsid w:val="00BB30F4"/>
    <w:rsid w:val="00BB31BF"/>
    <w:rsid w:val="00BB33B7"/>
    <w:rsid w:val="00BB37D2"/>
    <w:rsid w:val="00BB385C"/>
    <w:rsid w:val="00BB3BA2"/>
    <w:rsid w:val="00BB3E9F"/>
    <w:rsid w:val="00BB41E6"/>
    <w:rsid w:val="00BB41F1"/>
    <w:rsid w:val="00BB4286"/>
    <w:rsid w:val="00BB42AE"/>
    <w:rsid w:val="00BB4315"/>
    <w:rsid w:val="00BB4346"/>
    <w:rsid w:val="00BB44D9"/>
    <w:rsid w:val="00BB4545"/>
    <w:rsid w:val="00BB45E1"/>
    <w:rsid w:val="00BB48BD"/>
    <w:rsid w:val="00BB48DF"/>
    <w:rsid w:val="00BB4B9F"/>
    <w:rsid w:val="00BB4C82"/>
    <w:rsid w:val="00BB4C87"/>
    <w:rsid w:val="00BB4E54"/>
    <w:rsid w:val="00BB4FE7"/>
    <w:rsid w:val="00BB50A5"/>
    <w:rsid w:val="00BB5188"/>
    <w:rsid w:val="00BB518E"/>
    <w:rsid w:val="00BB5291"/>
    <w:rsid w:val="00BB534D"/>
    <w:rsid w:val="00BB535C"/>
    <w:rsid w:val="00BB55C5"/>
    <w:rsid w:val="00BB55FF"/>
    <w:rsid w:val="00BB5C5B"/>
    <w:rsid w:val="00BB5F2A"/>
    <w:rsid w:val="00BB6179"/>
    <w:rsid w:val="00BB617D"/>
    <w:rsid w:val="00BB61C5"/>
    <w:rsid w:val="00BB63DB"/>
    <w:rsid w:val="00BB649D"/>
    <w:rsid w:val="00BB679A"/>
    <w:rsid w:val="00BB68AB"/>
    <w:rsid w:val="00BB690C"/>
    <w:rsid w:val="00BB6925"/>
    <w:rsid w:val="00BB6A3F"/>
    <w:rsid w:val="00BB6C0F"/>
    <w:rsid w:val="00BB6FCC"/>
    <w:rsid w:val="00BB7150"/>
    <w:rsid w:val="00BB73AF"/>
    <w:rsid w:val="00BB7533"/>
    <w:rsid w:val="00BB75D3"/>
    <w:rsid w:val="00BB7604"/>
    <w:rsid w:val="00BB7672"/>
    <w:rsid w:val="00BB76CF"/>
    <w:rsid w:val="00BB77CB"/>
    <w:rsid w:val="00BB7832"/>
    <w:rsid w:val="00BB7836"/>
    <w:rsid w:val="00BB784D"/>
    <w:rsid w:val="00BB798D"/>
    <w:rsid w:val="00BB7A82"/>
    <w:rsid w:val="00BB7BD3"/>
    <w:rsid w:val="00BB7DF7"/>
    <w:rsid w:val="00BB7E01"/>
    <w:rsid w:val="00BB7E45"/>
    <w:rsid w:val="00BC0282"/>
    <w:rsid w:val="00BC0356"/>
    <w:rsid w:val="00BC03DF"/>
    <w:rsid w:val="00BC0683"/>
    <w:rsid w:val="00BC06AD"/>
    <w:rsid w:val="00BC06F2"/>
    <w:rsid w:val="00BC0702"/>
    <w:rsid w:val="00BC089A"/>
    <w:rsid w:val="00BC093F"/>
    <w:rsid w:val="00BC0963"/>
    <w:rsid w:val="00BC0AE4"/>
    <w:rsid w:val="00BC0C25"/>
    <w:rsid w:val="00BC0C55"/>
    <w:rsid w:val="00BC0C8F"/>
    <w:rsid w:val="00BC0D9B"/>
    <w:rsid w:val="00BC0E75"/>
    <w:rsid w:val="00BC0ED7"/>
    <w:rsid w:val="00BC0F3D"/>
    <w:rsid w:val="00BC1009"/>
    <w:rsid w:val="00BC128C"/>
    <w:rsid w:val="00BC12E5"/>
    <w:rsid w:val="00BC1969"/>
    <w:rsid w:val="00BC1A3D"/>
    <w:rsid w:val="00BC1B3C"/>
    <w:rsid w:val="00BC1D5E"/>
    <w:rsid w:val="00BC1F07"/>
    <w:rsid w:val="00BC1F56"/>
    <w:rsid w:val="00BC201F"/>
    <w:rsid w:val="00BC2370"/>
    <w:rsid w:val="00BC2BFE"/>
    <w:rsid w:val="00BC2CA0"/>
    <w:rsid w:val="00BC2E75"/>
    <w:rsid w:val="00BC2EDC"/>
    <w:rsid w:val="00BC2F81"/>
    <w:rsid w:val="00BC31D4"/>
    <w:rsid w:val="00BC32DB"/>
    <w:rsid w:val="00BC3312"/>
    <w:rsid w:val="00BC3446"/>
    <w:rsid w:val="00BC3582"/>
    <w:rsid w:val="00BC37F3"/>
    <w:rsid w:val="00BC38EA"/>
    <w:rsid w:val="00BC39D8"/>
    <w:rsid w:val="00BC3CFA"/>
    <w:rsid w:val="00BC3D4B"/>
    <w:rsid w:val="00BC3F49"/>
    <w:rsid w:val="00BC4435"/>
    <w:rsid w:val="00BC4532"/>
    <w:rsid w:val="00BC46EC"/>
    <w:rsid w:val="00BC48B8"/>
    <w:rsid w:val="00BC4EBB"/>
    <w:rsid w:val="00BC4F54"/>
    <w:rsid w:val="00BC507A"/>
    <w:rsid w:val="00BC5122"/>
    <w:rsid w:val="00BC51D9"/>
    <w:rsid w:val="00BC52B0"/>
    <w:rsid w:val="00BC5415"/>
    <w:rsid w:val="00BC54CE"/>
    <w:rsid w:val="00BC5501"/>
    <w:rsid w:val="00BC5613"/>
    <w:rsid w:val="00BC5915"/>
    <w:rsid w:val="00BC5BD3"/>
    <w:rsid w:val="00BC5C31"/>
    <w:rsid w:val="00BC5FC9"/>
    <w:rsid w:val="00BC662A"/>
    <w:rsid w:val="00BC6811"/>
    <w:rsid w:val="00BC6826"/>
    <w:rsid w:val="00BC69CC"/>
    <w:rsid w:val="00BC6B62"/>
    <w:rsid w:val="00BC6D80"/>
    <w:rsid w:val="00BC6DBE"/>
    <w:rsid w:val="00BC702B"/>
    <w:rsid w:val="00BC70B9"/>
    <w:rsid w:val="00BC70D2"/>
    <w:rsid w:val="00BC715C"/>
    <w:rsid w:val="00BC7394"/>
    <w:rsid w:val="00BC7455"/>
    <w:rsid w:val="00BC75C9"/>
    <w:rsid w:val="00BC7765"/>
    <w:rsid w:val="00BD02AE"/>
    <w:rsid w:val="00BD05A8"/>
    <w:rsid w:val="00BD0611"/>
    <w:rsid w:val="00BD092D"/>
    <w:rsid w:val="00BD0A46"/>
    <w:rsid w:val="00BD0DD4"/>
    <w:rsid w:val="00BD0FF8"/>
    <w:rsid w:val="00BD1038"/>
    <w:rsid w:val="00BD108D"/>
    <w:rsid w:val="00BD11BE"/>
    <w:rsid w:val="00BD11CD"/>
    <w:rsid w:val="00BD1224"/>
    <w:rsid w:val="00BD1230"/>
    <w:rsid w:val="00BD1517"/>
    <w:rsid w:val="00BD16D2"/>
    <w:rsid w:val="00BD16F3"/>
    <w:rsid w:val="00BD1727"/>
    <w:rsid w:val="00BD17CB"/>
    <w:rsid w:val="00BD1889"/>
    <w:rsid w:val="00BD19D8"/>
    <w:rsid w:val="00BD19F9"/>
    <w:rsid w:val="00BD19FA"/>
    <w:rsid w:val="00BD1A0C"/>
    <w:rsid w:val="00BD1D0E"/>
    <w:rsid w:val="00BD1DF2"/>
    <w:rsid w:val="00BD2082"/>
    <w:rsid w:val="00BD209F"/>
    <w:rsid w:val="00BD2145"/>
    <w:rsid w:val="00BD2190"/>
    <w:rsid w:val="00BD21A6"/>
    <w:rsid w:val="00BD22D4"/>
    <w:rsid w:val="00BD2547"/>
    <w:rsid w:val="00BD25F7"/>
    <w:rsid w:val="00BD2740"/>
    <w:rsid w:val="00BD2952"/>
    <w:rsid w:val="00BD2AE1"/>
    <w:rsid w:val="00BD2E5A"/>
    <w:rsid w:val="00BD2E74"/>
    <w:rsid w:val="00BD30B2"/>
    <w:rsid w:val="00BD328D"/>
    <w:rsid w:val="00BD34DE"/>
    <w:rsid w:val="00BD385D"/>
    <w:rsid w:val="00BD4036"/>
    <w:rsid w:val="00BD4280"/>
    <w:rsid w:val="00BD43D5"/>
    <w:rsid w:val="00BD4400"/>
    <w:rsid w:val="00BD4464"/>
    <w:rsid w:val="00BD45CF"/>
    <w:rsid w:val="00BD45DA"/>
    <w:rsid w:val="00BD45DB"/>
    <w:rsid w:val="00BD492E"/>
    <w:rsid w:val="00BD49A1"/>
    <w:rsid w:val="00BD4C57"/>
    <w:rsid w:val="00BD4CD9"/>
    <w:rsid w:val="00BD4FE6"/>
    <w:rsid w:val="00BD53F7"/>
    <w:rsid w:val="00BD5874"/>
    <w:rsid w:val="00BD58C1"/>
    <w:rsid w:val="00BD59CF"/>
    <w:rsid w:val="00BD5AA2"/>
    <w:rsid w:val="00BD5ABC"/>
    <w:rsid w:val="00BD5C85"/>
    <w:rsid w:val="00BD5CC1"/>
    <w:rsid w:val="00BD5CD5"/>
    <w:rsid w:val="00BD5CF2"/>
    <w:rsid w:val="00BD5D2A"/>
    <w:rsid w:val="00BD5DFC"/>
    <w:rsid w:val="00BD60A1"/>
    <w:rsid w:val="00BD627F"/>
    <w:rsid w:val="00BD6A0C"/>
    <w:rsid w:val="00BD6B50"/>
    <w:rsid w:val="00BD6C0C"/>
    <w:rsid w:val="00BD6DC2"/>
    <w:rsid w:val="00BD6FE0"/>
    <w:rsid w:val="00BD6FF6"/>
    <w:rsid w:val="00BD726D"/>
    <w:rsid w:val="00BD750A"/>
    <w:rsid w:val="00BD75FB"/>
    <w:rsid w:val="00BD78CC"/>
    <w:rsid w:val="00BD791D"/>
    <w:rsid w:val="00BD7C1F"/>
    <w:rsid w:val="00BD7C6D"/>
    <w:rsid w:val="00BD7E20"/>
    <w:rsid w:val="00BD7E28"/>
    <w:rsid w:val="00BD7F6C"/>
    <w:rsid w:val="00BE0038"/>
    <w:rsid w:val="00BE018E"/>
    <w:rsid w:val="00BE0437"/>
    <w:rsid w:val="00BE0621"/>
    <w:rsid w:val="00BE0718"/>
    <w:rsid w:val="00BE07E4"/>
    <w:rsid w:val="00BE0B16"/>
    <w:rsid w:val="00BE0D5A"/>
    <w:rsid w:val="00BE0E00"/>
    <w:rsid w:val="00BE0EE9"/>
    <w:rsid w:val="00BE13D0"/>
    <w:rsid w:val="00BE13F8"/>
    <w:rsid w:val="00BE1491"/>
    <w:rsid w:val="00BE163A"/>
    <w:rsid w:val="00BE174C"/>
    <w:rsid w:val="00BE1798"/>
    <w:rsid w:val="00BE1958"/>
    <w:rsid w:val="00BE1DF4"/>
    <w:rsid w:val="00BE1E6B"/>
    <w:rsid w:val="00BE1F95"/>
    <w:rsid w:val="00BE2028"/>
    <w:rsid w:val="00BE2217"/>
    <w:rsid w:val="00BE227C"/>
    <w:rsid w:val="00BE22D9"/>
    <w:rsid w:val="00BE233D"/>
    <w:rsid w:val="00BE237B"/>
    <w:rsid w:val="00BE241D"/>
    <w:rsid w:val="00BE26FA"/>
    <w:rsid w:val="00BE2986"/>
    <w:rsid w:val="00BE2AFC"/>
    <w:rsid w:val="00BE2D06"/>
    <w:rsid w:val="00BE2D09"/>
    <w:rsid w:val="00BE2DC6"/>
    <w:rsid w:val="00BE3728"/>
    <w:rsid w:val="00BE38B6"/>
    <w:rsid w:val="00BE39B3"/>
    <w:rsid w:val="00BE3AB1"/>
    <w:rsid w:val="00BE3F09"/>
    <w:rsid w:val="00BE4065"/>
    <w:rsid w:val="00BE4079"/>
    <w:rsid w:val="00BE44D2"/>
    <w:rsid w:val="00BE494A"/>
    <w:rsid w:val="00BE4B7B"/>
    <w:rsid w:val="00BE504C"/>
    <w:rsid w:val="00BE5570"/>
    <w:rsid w:val="00BE55D3"/>
    <w:rsid w:val="00BE5818"/>
    <w:rsid w:val="00BE588E"/>
    <w:rsid w:val="00BE593A"/>
    <w:rsid w:val="00BE5B26"/>
    <w:rsid w:val="00BE5C2D"/>
    <w:rsid w:val="00BE60D5"/>
    <w:rsid w:val="00BE6285"/>
    <w:rsid w:val="00BE63BF"/>
    <w:rsid w:val="00BE649C"/>
    <w:rsid w:val="00BE6532"/>
    <w:rsid w:val="00BE6547"/>
    <w:rsid w:val="00BE68EC"/>
    <w:rsid w:val="00BE6904"/>
    <w:rsid w:val="00BE69D6"/>
    <w:rsid w:val="00BE6A3E"/>
    <w:rsid w:val="00BE6E76"/>
    <w:rsid w:val="00BE6ED0"/>
    <w:rsid w:val="00BE7020"/>
    <w:rsid w:val="00BE71D3"/>
    <w:rsid w:val="00BE72DF"/>
    <w:rsid w:val="00BE7418"/>
    <w:rsid w:val="00BE7499"/>
    <w:rsid w:val="00BE74F8"/>
    <w:rsid w:val="00BE7676"/>
    <w:rsid w:val="00BE7809"/>
    <w:rsid w:val="00BE7C48"/>
    <w:rsid w:val="00BE7C6E"/>
    <w:rsid w:val="00BE7CDC"/>
    <w:rsid w:val="00BE7D37"/>
    <w:rsid w:val="00BE7DAB"/>
    <w:rsid w:val="00BE7FB7"/>
    <w:rsid w:val="00BE7FD3"/>
    <w:rsid w:val="00BF00E7"/>
    <w:rsid w:val="00BF015A"/>
    <w:rsid w:val="00BF0346"/>
    <w:rsid w:val="00BF03FC"/>
    <w:rsid w:val="00BF07A0"/>
    <w:rsid w:val="00BF08A0"/>
    <w:rsid w:val="00BF08DC"/>
    <w:rsid w:val="00BF0AA2"/>
    <w:rsid w:val="00BF0B8C"/>
    <w:rsid w:val="00BF0BD1"/>
    <w:rsid w:val="00BF0C89"/>
    <w:rsid w:val="00BF0F0B"/>
    <w:rsid w:val="00BF1138"/>
    <w:rsid w:val="00BF11EB"/>
    <w:rsid w:val="00BF12AE"/>
    <w:rsid w:val="00BF144C"/>
    <w:rsid w:val="00BF1794"/>
    <w:rsid w:val="00BF1E7B"/>
    <w:rsid w:val="00BF2095"/>
    <w:rsid w:val="00BF2270"/>
    <w:rsid w:val="00BF2288"/>
    <w:rsid w:val="00BF22D5"/>
    <w:rsid w:val="00BF23A2"/>
    <w:rsid w:val="00BF23AD"/>
    <w:rsid w:val="00BF2434"/>
    <w:rsid w:val="00BF24BE"/>
    <w:rsid w:val="00BF2653"/>
    <w:rsid w:val="00BF2741"/>
    <w:rsid w:val="00BF2790"/>
    <w:rsid w:val="00BF297A"/>
    <w:rsid w:val="00BF2B15"/>
    <w:rsid w:val="00BF2B31"/>
    <w:rsid w:val="00BF2CC8"/>
    <w:rsid w:val="00BF31B1"/>
    <w:rsid w:val="00BF3268"/>
    <w:rsid w:val="00BF3363"/>
    <w:rsid w:val="00BF33CA"/>
    <w:rsid w:val="00BF33EF"/>
    <w:rsid w:val="00BF3503"/>
    <w:rsid w:val="00BF3524"/>
    <w:rsid w:val="00BF35DC"/>
    <w:rsid w:val="00BF35F3"/>
    <w:rsid w:val="00BF36BF"/>
    <w:rsid w:val="00BF3A46"/>
    <w:rsid w:val="00BF3BB7"/>
    <w:rsid w:val="00BF3C0B"/>
    <w:rsid w:val="00BF3C66"/>
    <w:rsid w:val="00BF3CF8"/>
    <w:rsid w:val="00BF3E16"/>
    <w:rsid w:val="00BF3E66"/>
    <w:rsid w:val="00BF40A2"/>
    <w:rsid w:val="00BF412C"/>
    <w:rsid w:val="00BF42F8"/>
    <w:rsid w:val="00BF439F"/>
    <w:rsid w:val="00BF48DA"/>
    <w:rsid w:val="00BF498E"/>
    <w:rsid w:val="00BF4C46"/>
    <w:rsid w:val="00BF4E15"/>
    <w:rsid w:val="00BF4E28"/>
    <w:rsid w:val="00BF4F9C"/>
    <w:rsid w:val="00BF523C"/>
    <w:rsid w:val="00BF52F4"/>
    <w:rsid w:val="00BF5634"/>
    <w:rsid w:val="00BF57E2"/>
    <w:rsid w:val="00BF58EE"/>
    <w:rsid w:val="00BF5939"/>
    <w:rsid w:val="00BF5A57"/>
    <w:rsid w:val="00BF5A76"/>
    <w:rsid w:val="00BF5E08"/>
    <w:rsid w:val="00BF5EB1"/>
    <w:rsid w:val="00BF5EB9"/>
    <w:rsid w:val="00BF5FB8"/>
    <w:rsid w:val="00BF6231"/>
    <w:rsid w:val="00BF6241"/>
    <w:rsid w:val="00BF625C"/>
    <w:rsid w:val="00BF62FD"/>
    <w:rsid w:val="00BF6375"/>
    <w:rsid w:val="00BF63AE"/>
    <w:rsid w:val="00BF647E"/>
    <w:rsid w:val="00BF6495"/>
    <w:rsid w:val="00BF684C"/>
    <w:rsid w:val="00BF68BE"/>
    <w:rsid w:val="00BF69BB"/>
    <w:rsid w:val="00BF6AC1"/>
    <w:rsid w:val="00BF6BFD"/>
    <w:rsid w:val="00BF6C86"/>
    <w:rsid w:val="00BF6C8C"/>
    <w:rsid w:val="00BF6D07"/>
    <w:rsid w:val="00BF6D4D"/>
    <w:rsid w:val="00BF6DDD"/>
    <w:rsid w:val="00BF6FA3"/>
    <w:rsid w:val="00BF7217"/>
    <w:rsid w:val="00BF728C"/>
    <w:rsid w:val="00BF7297"/>
    <w:rsid w:val="00BF7385"/>
    <w:rsid w:val="00BF74B6"/>
    <w:rsid w:val="00BF7640"/>
    <w:rsid w:val="00BF780A"/>
    <w:rsid w:val="00BF788A"/>
    <w:rsid w:val="00BF7C8B"/>
    <w:rsid w:val="00BF7D15"/>
    <w:rsid w:val="00BF7DA2"/>
    <w:rsid w:val="00C0025A"/>
    <w:rsid w:val="00C002F2"/>
    <w:rsid w:val="00C0071E"/>
    <w:rsid w:val="00C009CA"/>
    <w:rsid w:val="00C00A6F"/>
    <w:rsid w:val="00C00C4D"/>
    <w:rsid w:val="00C00CB9"/>
    <w:rsid w:val="00C00F16"/>
    <w:rsid w:val="00C01103"/>
    <w:rsid w:val="00C0110B"/>
    <w:rsid w:val="00C0117D"/>
    <w:rsid w:val="00C01217"/>
    <w:rsid w:val="00C01393"/>
    <w:rsid w:val="00C0177F"/>
    <w:rsid w:val="00C01A76"/>
    <w:rsid w:val="00C01D25"/>
    <w:rsid w:val="00C01FBE"/>
    <w:rsid w:val="00C0204E"/>
    <w:rsid w:val="00C02162"/>
    <w:rsid w:val="00C02235"/>
    <w:rsid w:val="00C0234C"/>
    <w:rsid w:val="00C02491"/>
    <w:rsid w:val="00C0249A"/>
    <w:rsid w:val="00C02510"/>
    <w:rsid w:val="00C02591"/>
    <w:rsid w:val="00C025E9"/>
    <w:rsid w:val="00C02997"/>
    <w:rsid w:val="00C02A4B"/>
    <w:rsid w:val="00C02A5E"/>
    <w:rsid w:val="00C02AC5"/>
    <w:rsid w:val="00C02B20"/>
    <w:rsid w:val="00C02C71"/>
    <w:rsid w:val="00C02CA6"/>
    <w:rsid w:val="00C02EC6"/>
    <w:rsid w:val="00C0314C"/>
    <w:rsid w:val="00C032C8"/>
    <w:rsid w:val="00C033D3"/>
    <w:rsid w:val="00C0389D"/>
    <w:rsid w:val="00C038D7"/>
    <w:rsid w:val="00C03A4C"/>
    <w:rsid w:val="00C03EE1"/>
    <w:rsid w:val="00C03FA5"/>
    <w:rsid w:val="00C043CD"/>
    <w:rsid w:val="00C0462A"/>
    <w:rsid w:val="00C048E2"/>
    <w:rsid w:val="00C04A9B"/>
    <w:rsid w:val="00C04AA8"/>
    <w:rsid w:val="00C04AF5"/>
    <w:rsid w:val="00C04C0D"/>
    <w:rsid w:val="00C04C9B"/>
    <w:rsid w:val="00C04D8C"/>
    <w:rsid w:val="00C04EA2"/>
    <w:rsid w:val="00C04F02"/>
    <w:rsid w:val="00C05026"/>
    <w:rsid w:val="00C052B5"/>
    <w:rsid w:val="00C052C6"/>
    <w:rsid w:val="00C05408"/>
    <w:rsid w:val="00C0547C"/>
    <w:rsid w:val="00C058EC"/>
    <w:rsid w:val="00C05935"/>
    <w:rsid w:val="00C059A8"/>
    <w:rsid w:val="00C05B95"/>
    <w:rsid w:val="00C05BA2"/>
    <w:rsid w:val="00C05CAE"/>
    <w:rsid w:val="00C05D94"/>
    <w:rsid w:val="00C05DAF"/>
    <w:rsid w:val="00C05DFA"/>
    <w:rsid w:val="00C05E9F"/>
    <w:rsid w:val="00C06040"/>
    <w:rsid w:val="00C06068"/>
    <w:rsid w:val="00C060CF"/>
    <w:rsid w:val="00C061C6"/>
    <w:rsid w:val="00C061F8"/>
    <w:rsid w:val="00C0637E"/>
    <w:rsid w:val="00C06528"/>
    <w:rsid w:val="00C06929"/>
    <w:rsid w:val="00C06B5C"/>
    <w:rsid w:val="00C06BF2"/>
    <w:rsid w:val="00C06C79"/>
    <w:rsid w:val="00C06D01"/>
    <w:rsid w:val="00C072AD"/>
    <w:rsid w:val="00C072CE"/>
    <w:rsid w:val="00C07437"/>
    <w:rsid w:val="00C07592"/>
    <w:rsid w:val="00C07894"/>
    <w:rsid w:val="00C079EB"/>
    <w:rsid w:val="00C07A8A"/>
    <w:rsid w:val="00C07B95"/>
    <w:rsid w:val="00C07C73"/>
    <w:rsid w:val="00C07D31"/>
    <w:rsid w:val="00C10440"/>
    <w:rsid w:val="00C104A5"/>
    <w:rsid w:val="00C1052F"/>
    <w:rsid w:val="00C105F9"/>
    <w:rsid w:val="00C10681"/>
    <w:rsid w:val="00C1091B"/>
    <w:rsid w:val="00C10E6F"/>
    <w:rsid w:val="00C10F4D"/>
    <w:rsid w:val="00C1112C"/>
    <w:rsid w:val="00C112E2"/>
    <w:rsid w:val="00C115AF"/>
    <w:rsid w:val="00C11604"/>
    <w:rsid w:val="00C117A2"/>
    <w:rsid w:val="00C1190F"/>
    <w:rsid w:val="00C119C1"/>
    <w:rsid w:val="00C11A25"/>
    <w:rsid w:val="00C11A4D"/>
    <w:rsid w:val="00C11AE4"/>
    <w:rsid w:val="00C11BDF"/>
    <w:rsid w:val="00C11CF1"/>
    <w:rsid w:val="00C11D0D"/>
    <w:rsid w:val="00C1224A"/>
    <w:rsid w:val="00C12351"/>
    <w:rsid w:val="00C12436"/>
    <w:rsid w:val="00C12625"/>
    <w:rsid w:val="00C12729"/>
    <w:rsid w:val="00C12C04"/>
    <w:rsid w:val="00C12CDC"/>
    <w:rsid w:val="00C12D0E"/>
    <w:rsid w:val="00C13159"/>
    <w:rsid w:val="00C132DE"/>
    <w:rsid w:val="00C132E0"/>
    <w:rsid w:val="00C13758"/>
    <w:rsid w:val="00C1395A"/>
    <w:rsid w:val="00C13A31"/>
    <w:rsid w:val="00C13B03"/>
    <w:rsid w:val="00C13B2E"/>
    <w:rsid w:val="00C13C3F"/>
    <w:rsid w:val="00C13E21"/>
    <w:rsid w:val="00C13E92"/>
    <w:rsid w:val="00C13F9D"/>
    <w:rsid w:val="00C1431E"/>
    <w:rsid w:val="00C14461"/>
    <w:rsid w:val="00C1450B"/>
    <w:rsid w:val="00C1464F"/>
    <w:rsid w:val="00C14905"/>
    <w:rsid w:val="00C1495C"/>
    <w:rsid w:val="00C149F2"/>
    <w:rsid w:val="00C14BA4"/>
    <w:rsid w:val="00C14BA5"/>
    <w:rsid w:val="00C14DF6"/>
    <w:rsid w:val="00C14F6C"/>
    <w:rsid w:val="00C15074"/>
    <w:rsid w:val="00C1522C"/>
    <w:rsid w:val="00C1535B"/>
    <w:rsid w:val="00C15413"/>
    <w:rsid w:val="00C154DD"/>
    <w:rsid w:val="00C15661"/>
    <w:rsid w:val="00C156D4"/>
    <w:rsid w:val="00C156FA"/>
    <w:rsid w:val="00C15AD6"/>
    <w:rsid w:val="00C15DE9"/>
    <w:rsid w:val="00C15F4E"/>
    <w:rsid w:val="00C160C8"/>
    <w:rsid w:val="00C1622E"/>
    <w:rsid w:val="00C16496"/>
    <w:rsid w:val="00C164E4"/>
    <w:rsid w:val="00C166C6"/>
    <w:rsid w:val="00C166CF"/>
    <w:rsid w:val="00C16894"/>
    <w:rsid w:val="00C168D3"/>
    <w:rsid w:val="00C16B8B"/>
    <w:rsid w:val="00C16DD4"/>
    <w:rsid w:val="00C170A3"/>
    <w:rsid w:val="00C1717F"/>
    <w:rsid w:val="00C171D2"/>
    <w:rsid w:val="00C171E7"/>
    <w:rsid w:val="00C17263"/>
    <w:rsid w:val="00C1730A"/>
    <w:rsid w:val="00C17487"/>
    <w:rsid w:val="00C177E3"/>
    <w:rsid w:val="00C17807"/>
    <w:rsid w:val="00C17965"/>
    <w:rsid w:val="00C17B74"/>
    <w:rsid w:val="00C17CD3"/>
    <w:rsid w:val="00C17D43"/>
    <w:rsid w:val="00C17E59"/>
    <w:rsid w:val="00C17F80"/>
    <w:rsid w:val="00C2008B"/>
    <w:rsid w:val="00C20293"/>
    <w:rsid w:val="00C204A8"/>
    <w:rsid w:val="00C204EE"/>
    <w:rsid w:val="00C20565"/>
    <w:rsid w:val="00C20615"/>
    <w:rsid w:val="00C20646"/>
    <w:rsid w:val="00C20675"/>
    <w:rsid w:val="00C20733"/>
    <w:rsid w:val="00C207F8"/>
    <w:rsid w:val="00C20830"/>
    <w:rsid w:val="00C20868"/>
    <w:rsid w:val="00C2093C"/>
    <w:rsid w:val="00C20BF7"/>
    <w:rsid w:val="00C20BFE"/>
    <w:rsid w:val="00C20EA1"/>
    <w:rsid w:val="00C20EDE"/>
    <w:rsid w:val="00C20FBD"/>
    <w:rsid w:val="00C20FDA"/>
    <w:rsid w:val="00C210E7"/>
    <w:rsid w:val="00C21306"/>
    <w:rsid w:val="00C2166A"/>
    <w:rsid w:val="00C2171A"/>
    <w:rsid w:val="00C21762"/>
    <w:rsid w:val="00C21BFD"/>
    <w:rsid w:val="00C21EE7"/>
    <w:rsid w:val="00C2204A"/>
    <w:rsid w:val="00C220B2"/>
    <w:rsid w:val="00C2235B"/>
    <w:rsid w:val="00C2254E"/>
    <w:rsid w:val="00C22714"/>
    <w:rsid w:val="00C227CC"/>
    <w:rsid w:val="00C22936"/>
    <w:rsid w:val="00C2293E"/>
    <w:rsid w:val="00C22BBC"/>
    <w:rsid w:val="00C22C80"/>
    <w:rsid w:val="00C22CAD"/>
    <w:rsid w:val="00C22D47"/>
    <w:rsid w:val="00C230BC"/>
    <w:rsid w:val="00C232EF"/>
    <w:rsid w:val="00C235EC"/>
    <w:rsid w:val="00C2364F"/>
    <w:rsid w:val="00C236F0"/>
    <w:rsid w:val="00C23726"/>
    <w:rsid w:val="00C2399C"/>
    <w:rsid w:val="00C23A73"/>
    <w:rsid w:val="00C23CE5"/>
    <w:rsid w:val="00C23DCB"/>
    <w:rsid w:val="00C23E55"/>
    <w:rsid w:val="00C24406"/>
    <w:rsid w:val="00C24472"/>
    <w:rsid w:val="00C24615"/>
    <w:rsid w:val="00C2465E"/>
    <w:rsid w:val="00C248DD"/>
    <w:rsid w:val="00C24CDB"/>
    <w:rsid w:val="00C24D26"/>
    <w:rsid w:val="00C25032"/>
    <w:rsid w:val="00C250DE"/>
    <w:rsid w:val="00C2519F"/>
    <w:rsid w:val="00C25349"/>
    <w:rsid w:val="00C253BB"/>
    <w:rsid w:val="00C255E5"/>
    <w:rsid w:val="00C257B3"/>
    <w:rsid w:val="00C25A18"/>
    <w:rsid w:val="00C25B8C"/>
    <w:rsid w:val="00C25C23"/>
    <w:rsid w:val="00C25D34"/>
    <w:rsid w:val="00C25DE0"/>
    <w:rsid w:val="00C26107"/>
    <w:rsid w:val="00C26371"/>
    <w:rsid w:val="00C2648D"/>
    <w:rsid w:val="00C2655F"/>
    <w:rsid w:val="00C26B35"/>
    <w:rsid w:val="00C26C23"/>
    <w:rsid w:val="00C26C4D"/>
    <w:rsid w:val="00C26F39"/>
    <w:rsid w:val="00C27312"/>
    <w:rsid w:val="00C27330"/>
    <w:rsid w:val="00C273A3"/>
    <w:rsid w:val="00C2741E"/>
    <w:rsid w:val="00C2769F"/>
    <w:rsid w:val="00C27864"/>
    <w:rsid w:val="00C27A04"/>
    <w:rsid w:val="00C27AED"/>
    <w:rsid w:val="00C27E09"/>
    <w:rsid w:val="00C27FF9"/>
    <w:rsid w:val="00C301B7"/>
    <w:rsid w:val="00C30323"/>
    <w:rsid w:val="00C30355"/>
    <w:rsid w:val="00C303AE"/>
    <w:rsid w:val="00C3060D"/>
    <w:rsid w:val="00C3064C"/>
    <w:rsid w:val="00C306B5"/>
    <w:rsid w:val="00C30878"/>
    <w:rsid w:val="00C3092C"/>
    <w:rsid w:val="00C30CED"/>
    <w:rsid w:val="00C3116A"/>
    <w:rsid w:val="00C3118D"/>
    <w:rsid w:val="00C317DF"/>
    <w:rsid w:val="00C31A79"/>
    <w:rsid w:val="00C31FC0"/>
    <w:rsid w:val="00C321B4"/>
    <w:rsid w:val="00C321C6"/>
    <w:rsid w:val="00C322E5"/>
    <w:rsid w:val="00C32486"/>
    <w:rsid w:val="00C3248F"/>
    <w:rsid w:val="00C326DF"/>
    <w:rsid w:val="00C3285A"/>
    <w:rsid w:val="00C328D1"/>
    <w:rsid w:val="00C32F23"/>
    <w:rsid w:val="00C32F6F"/>
    <w:rsid w:val="00C331B1"/>
    <w:rsid w:val="00C33315"/>
    <w:rsid w:val="00C333BF"/>
    <w:rsid w:val="00C336A0"/>
    <w:rsid w:val="00C33866"/>
    <w:rsid w:val="00C33BD7"/>
    <w:rsid w:val="00C33C39"/>
    <w:rsid w:val="00C33DB5"/>
    <w:rsid w:val="00C33E6A"/>
    <w:rsid w:val="00C33F36"/>
    <w:rsid w:val="00C33FDB"/>
    <w:rsid w:val="00C34361"/>
    <w:rsid w:val="00C3437E"/>
    <w:rsid w:val="00C3443B"/>
    <w:rsid w:val="00C3452E"/>
    <w:rsid w:val="00C3478A"/>
    <w:rsid w:val="00C34A28"/>
    <w:rsid w:val="00C34CF5"/>
    <w:rsid w:val="00C34D9E"/>
    <w:rsid w:val="00C350F3"/>
    <w:rsid w:val="00C352C2"/>
    <w:rsid w:val="00C3536B"/>
    <w:rsid w:val="00C3556A"/>
    <w:rsid w:val="00C3559C"/>
    <w:rsid w:val="00C35654"/>
    <w:rsid w:val="00C356E4"/>
    <w:rsid w:val="00C3573B"/>
    <w:rsid w:val="00C3574A"/>
    <w:rsid w:val="00C357D7"/>
    <w:rsid w:val="00C3596B"/>
    <w:rsid w:val="00C35978"/>
    <w:rsid w:val="00C35B2E"/>
    <w:rsid w:val="00C35F3B"/>
    <w:rsid w:val="00C36468"/>
    <w:rsid w:val="00C3663D"/>
    <w:rsid w:val="00C36673"/>
    <w:rsid w:val="00C36787"/>
    <w:rsid w:val="00C367CC"/>
    <w:rsid w:val="00C36837"/>
    <w:rsid w:val="00C36AD6"/>
    <w:rsid w:val="00C36EF4"/>
    <w:rsid w:val="00C372C5"/>
    <w:rsid w:val="00C3739C"/>
    <w:rsid w:val="00C373A3"/>
    <w:rsid w:val="00C37432"/>
    <w:rsid w:val="00C374AC"/>
    <w:rsid w:val="00C375E7"/>
    <w:rsid w:val="00C37654"/>
    <w:rsid w:val="00C3767B"/>
    <w:rsid w:val="00C37790"/>
    <w:rsid w:val="00C3799D"/>
    <w:rsid w:val="00C37A3E"/>
    <w:rsid w:val="00C37B7C"/>
    <w:rsid w:val="00C37BDD"/>
    <w:rsid w:val="00C37E53"/>
    <w:rsid w:val="00C37F6C"/>
    <w:rsid w:val="00C401AC"/>
    <w:rsid w:val="00C401DB"/>
    <w:rsid w:val="00C40449"/>
    <w:rsid w:val="00C40852"/>
    <w:rsid w:val="00C40962"/>
    <w:rsid w:val="00C40A86"/>
    <w:rsid w:val="00C40BE5"/>
    <w:rsid w:val="00C40CC5"/>
    <w:rsid w:val="00C40F4F"/>
    <w:rsid w:val="00C40FC3"/>
    <w:rsid w:val="00C40FF1"/>
    <w:rsid w:val="00C41279"/>
    <w:rsid w:val="00C413C9"/>
    <w:rsid w:val="00C413CD"/>
    <w:rsid w:val="00C41410"/>
    <w:rsid w:val="00C416D8"/>
    <w:rsid w:val="00C416DE"/>
    <w:rsid w:val="00C41866"/>
    <w:rsid w:val="00C419C5"/>
    <w:rsid w:val="00C41A18"/>
    <w:rsid w:val="00C425E2"/>
    <w:rsid w:val="00C42612"/>
    <w:rsid w:val="00C42657"/>
    <w:rsid w:val="00C427A3"/>
    <w:rsid w:val="00C427B5"/>
    <w:rsid w:val="00C427EC"/>
    <w:rsid w:val="00C42860"/>
    <w:rsid w:val="00C4299A"/>
    <w:rsid w:val="00C42A85"/>
    <w:rsid w:val="00C42C9C"/>
    <w:rsid w:val="00C42CE1"/>
    <w:rsid w:val="00C42D3C"/>
    <w:rsid w:val="00C42DEC"/>
    <w:rsid w:val="00C4311A"/>
    <w:rsid w:val="00C43203"/>
    <w:rsid w:val="00C43549"/>
    <w:rsid w:val="00C4355A"/>
    <w:rsid w:val="00C4396B"/>
    <w:rsid w:val="00C439A3"/>
    <w:rsid w:val="00C439AF"/>
    <w:rsid w:val="00C43B40"/>
    <w:rsid w:val="00C441B5"/>
    <w:rsid w:val="00C44432"/>
    <w:rsid w:val="00C4466A"/>
    <w:rsid w:val="00C4468D"/>
    <w:rsid w:val="00C44741"/>
    <w:rsid w:val="00C44BA9"/>
    <w:rsid w:val="00C44E8C"/>
    <w:rsid w:val="00C44F3C"/>
    <w:rsid w:val="00C4501C"/>
    <w:rsid w:val="00C453CD"/>
    <w:rsid w:val="00C454D2"/>
    <w:rsid w:val="00C4569B"/>
    <w:rsid w:val="00C457C1"/>
    <w:rsid w:val="00C458FA"/>
    <w:rsid w:val="00C45D2B"/>
    <w:rsid w:val="00C45E15"/>
    <w:rsid w:val="00C45EA7"/>
    <w:rsid w:val="00C45F5B"/>
    <w:rsid w:val="00C46080"/>
    <w:rsid w:val="00C4608A"/>
    <w:rsid w:val="00C46117"/>
    <w:rsid w:val="00C46480"/>
    <w:rsid w:val="00C46600"/>
    <w:rsid w:val="00C46632"/>
    <w:rsid w:val="00C46863"/>
    <w:rsid w:val="00C4687A"/>
    <w:rsid w:val="00C46A88"/>
    <w:rsid w:val="00C46AE0"/>
    <w:rsid w:val="00C46B1B"/>
    <w:rsid w:val="00C46D00"/>
    <w:rsid w:val="00C46DEB"/>
    <w:rsid w:val="00C46FCB"/>
    <w:rsid w:val="00C472A5"/>
    <w:rsid w:val="00C47409"/>
    <w:rsid w:val="00C475C4"/>
    <w:rsid w:val="00C477B5"/>
    <w:rsid w:val="00C4783E"/>
    <w:rsid w:val="00C47981"/>
    <w:rsid w:val="00C47AEB"/>
    <w:rsid w:val="00C47E6D"/>
    <w:rsid w:val="00C5062B"/>
    <w:rsid w:val="00C50655"/>
    <w:rsid w:val="00C50715"/>
    <w:rsid w:val="00C5081F"/>
    <w:rsid w:val="00C50D34"/>
    <w:rsid w:val="00C50E57"/>
    <w:rsid w:val="00C5104B"/>
    <w:rsid w:val="00C51275"/>
    <w:rsid w:val="00C51326"/>
    <w:rsid w:val="00C513F1"/>
    <w:rsid w:val="00C51796"/>
    <w:rsid w:val="00C517C8"/>
    <w:rsid w:val="00C518B2"/>
    <w:rsid w:val="00C51956"/>
    <w:rsid w:val="00C51C73"/>
    <w:rsid w:val="00C51DA1"/>
    <w:rsid w:val="00C52006"/>
    <w:rsid w:val="00C52240"/>
    <w:rsid w:val="00C522EB"/>
    <w:rsid w:val="00C525FF"/>
    <w:rsid w:val="00C526AF"/>
    <w:rsid w:val="00C527D1"/>
    <w:rsid w:val="00C52836"/>
    <w:rsid w:val="00C52B0F"/>
    <w:rsid w:val="00C52C44"/>
    <w:rsid w:val="00C5301B"/>
    <w:rsid w:val="00C530B4"/>
    <w:rsid w:val="00C53195"/>
    <w:rsid w:val="00C53325"/>
    <w:rsid w:val="00C5356F"/>
    <w:rsid w:val="00C5368E"/>
    <w:rsid w:val="00C536AA"/>
    <w:rsid w:val="00C537B9"/>
    <w:rsid w:val="00C53979"/>
    <w:rsid w:val="00C53AD4"/>
    <w:rsid w:val="00C540C4"/>
    <w:rsid w:val="00C5430B"/>
    <w:rsid w:val="00C54412"/>
    <w:rsid w:val="00C5441B"/>
    <w:rsid w:val="00C544D6"/>
    <w:rsid w:val="00C545F6"/>
    <w:rsid w:val="00C54669"/>
    <w:rsid w:val="00C54F9F"/>
    <w:rsid w:val="00C54FDA"/>
    <w:rsid w:val="00C556FF"/>
    <w:rsid w:val="00C55737"/>
    <w:rsid w:val="00C557BB"/>
    <w:rsid w:val="00C55858"/>
    <w:rsid w:val="00C558FB"/>
    <w:rsid w:val="00C55C13"/>
    <w:rsid w:val="00C55ECF"/>
    <w:rsid w:val="00C561B1"/>
    <w:rsid w:val="00C56896"/>
    <w:rsid w:val="00C568B8"/>
    <w:rsid w:val="00C56B55"/>
    <w:rsid w:val="00C56FDD"/>
    <w:rsid w:val="00C57309"/>
    <w:rsid w:val="00C573D6"/>
    <w:rsid w:val="00C5760D"/>
    <w:rsid w:val="00C57670"/>
    <w:rsid w:val="00C577AC"/>
    <w:rsid w:val="00C5792B"/>
    <w:rsid w:val="00C57A36"/>
    <w:rsid w:val="00C57B02"/>
    <w:rsid w:val="00C57B97"/>
    <w:rsid w:val="00C57D8F"/>
    <w:rsid w:val="00C57E80"/>
    <w:rsid w:val="00C57EAB"/>
    <w:rsid w:val="00C60066"/>
    <w:rsid w:val="00C60287"/>
    <w:rsid w:val="00C602C0"/>
    <w:rsid w:val="00C60301"/>
    <w:rsid w:val="00C60316"/>
    <w:rsid w:val="00C6064D"/>
    <w:rsid w:val="00C606BE"/>
    <w:rsid w:val="00C60822"/>
    <w:rsid w:val="00C608ED"/>
    <w:rsid w:val="00C60964"/>
    <w:rsid w:val="00C60B15"/>
    <w:rsid w:val="00C60D62"/>
    <w:rsid w:val="00C60D72"/>
    <w:rsid w:val="00C60DAD"/>
    <w:rsid w:val="00C60EB4"/>
    <w:rsid w:val="00C61005"/>
    <w:rsid w:val="00C61196"/>
    <w:rsid w:val="00C616AD"/>
    <w:rsid w:val="00C61767"/>
    <w:rsid w:val="00C6190B"/>
    <w:rsid w:val="00C61B89"/>
    <w:rsid w:val="00C61EF1"/>
    <w:rsid w:val="00C621C1"/>
    <w:rsid w:val="00C62281"/>
    <w:rsid w:val="00C623A9"/>
    <w:rsid w:val="00C625D7"/>
    <w:rsid w:val="00C62779"/>
    <w:rsid w:val="00C62860"/>
    <w:rsid w:val="00C62AE0"/>
    <w:rsid w:val="00C62BE3"/>
    <w:rsid w:val="00C62FFE"/>
    <w:rsid w:val="00C6314B"/>
    <w:rsid w:val="00C631CC"/>
    <w:rsid w:val="00C634D9"/>
    <w:rsid w:val="00C63503"/>
    <w:rsid w:val="00C636B7"/>
    <w:rsid w:val="00C63780"/>
    <w:rsid w:val="00C63A55"/>
    <w:rsid w:val="00C63C3C"/>
    <w:rsid w:val="00C63CAF"/>
    <w:rsid w:val="00C63D84"/>
    <w:rsid w:val="00C63E61"/>
    <w:rsid w:val="00C63F96"/>
    <w:rsid w:val="00C64066"/>
    <w:rsid w:val="00C640D3"/>
    <w:rsid w:val="00C6422C"/>
    <w:rsid w:val="00C6446E"/>
    <w:rsid w:val="00C6476B"/>
    <w:rsid w:val="00C647D8"/>
    <w:rsid w:val="00C64921"/>
    <w:rsid w:val="00C649E0"/>
    <w:rsid w:val="00C64A06"/>
    <w:rsid w:val="00C64A33"/>
    <w:rsid w:val="00C64CDA"/>
    <w:rsid w:val="00C64DF4"/>
    <w:rsid w:val="00C64E8A"/>
    <w:rsid w:val="00C64F6F"/>
    <w:rsid w:val="00C64F72"/>
    <w:rsid w:val="00C65196"/>
    <w:rsid w:val="00C6551F"/>
    <w:rsid w:val="00C658E7"/>
    <w:rsid w:val="00C65B82"/>
    <w:rsid w:val="00C65D6D"/>
    <w:rsid w:val="00C65F4A"/>
    <w:rsid w:val="00C6615D"/>
    <w:rsid w:val="00C663A3"/>
    <w:rsid w:val="00C6641E"/>
    <w:rsid w:val="00C664A1"/>
    <w:rsid w:val="00C66605"/>
    <w:rsid w:val="00C66849"/>
    <w:rsid w:val="00C66865"/>
    <w:rsid w:val="00C66BB1"/>
    <w:rsid w:val="00C66CCA"/>
    <w:rsid w:val="00C66DAE"/>
    <w:rsid w:val="00C66EB1"/>
    <w:rsid w:val="00C6719B"/>
    <w:rsid w:val="00C6727A"/>
    <w:rsid w:val="00C673F2"/>
    <w:rsid w:val="00C674F5"/>
    <w:rsid w:val="00C67754"/>
    <w:rsid w:val="00C67765"/>
    <w:rsid w:val="00C6799E"/>
    <w:rsid w:val="00C67DBE"/>
    <w:rsid w:val="00C67E5E"/>
    <w:rsid w:val="00C67EA7"/>
    <w:rsid w:val="00C700FE"/>
    <w:rsid w:val="00C702B4"/>
    <w:rsid w:val="00C702CB"/>
    <w:rsid w:val="00C70426"/>
    <w:rsid w:val="00C70A49"/>
    <w:rsid w:val="00C70A8B"/>
    <w:rsid w:val="00C70B01"/>
    <w:rsid w:val="00C70C29"/>
    <w:rsid w:val="00C70CC5"/>
    <w:rsid w:val="00C70E40"/>
    <w:rsid w:val="00C70F79"/>
    <w:rsid w:val="00C710B0"/>
    <w:rsid w:val="00C7136A"/>
    <w:rsid w:val="00C7154F"/>
    <w:rsid w:val="00C719AC"/>
    <w:rsid w:val="00C719DB"/>
    <w:rsid w:val="00C71AB1"/>
    <w:rsid w:val="00C71AD8"/>
    <w:rsid w:val="00C71B21"/>
    <w:rsid w:val="00C71BF6"/>
    <w:rsid w:val="00C71D1D"/>
    <w:rsid w:val="00C71D1E"/>
    <w:rsid w:val="00C71ED8"/>
    <w:rsid w:val="00C71F73"/>
    <w:rsid w:val="00C72114"/>
    <w:rsid w:val="00C721C6"/>
    <w:rsid w:val="00C724C4"/>
    <w:rsid w:val="00C725BB"/>
    <w:rsid w:val="00C72812"/>
    <w:rsid w:val="00C7294F"/>
    <w:rsid w:val="00C7299E"/>
    <w:rsid w:val="00C72B56"/>
    <w:rsid w:val="00C72BE6"/>
    <w:rsid w:val="00C72CB0"/>
    <w:rsid w:val="00C7319D"/>
    <w:rsid w:val="00C73216"/>
    <w:rsid w:val="00C73322"/>
    <w:rsid w:val="00C735DC"/>
    <w:rsid w:val="00C7388E"/>
    <w:rsid w:val="00C739D7"/>
    <w:rsid w:val="00C73A31"/>
    <w:rsid w:val="00C73B25"/>
    <w:rsid w:val="00C73DCE"/>
    <w:rsid w:val="00C74117"/>
    <w:rsid w:val="00C7414B"/>
    <w:rsid w:val="00C74372"/>
    <w:rsid w:val="00C74406"/>
    <w:rsid w:val="00C74533"/>
    <w:rsid w:val="00C745D0"/>
    <w:rsid w:val="00C749FE"/>
    <w:rsid w:val="00C74B6B"/>
    <w:rsid w:val="00C74BB3"/>
    <w:rsid w:val="00C74C25"/>
    <w:rsid w:val="00C74DA8"/>
    <w:rsid w:val="00C74FB3"/>
    <w:rsid w:val="00C7509F"/>
    <w:rsid w:val="00C75154"/>
    <w:rsid w:val="00C75197"/>
    <w:rsid w:val="00C751D5"/>
    <w:rsid w:val="00C75252"/>
    <w:rsid w:val="00C752A6"/>
    <w:rsid w:val="00C752CB"/>
    <w:rsid w:val="00C75338"/>
    <w:rsid w:val="00C754DC"/>
    <w:rsid w:val="00C754E3"/>
    <w:rsid w:val="00C7561B"/>
    <w:rsid w:val="00C75657"/>
    <w:rsid w:val="00C75790"/>
    <w:rsid w:val="00C75ABE"/>
    <w:rsid w:val="00C75AD4"/>
    <w:rsid w:val="00C75B20"/>
    <w:rsid w:val="00C75C64"/>
    <w:rsid w:val="00C75CCC"/>
    <w:rsid w:val="00C75D8F"/>
    <w:rsid w:val="00C75EB8"/>
    <w:rsid w:val="00C75EEE"/>
    <w:rsid w:val="00C76002"/>
    <w:rsid w:val="00C7601F"/>
    <w:rsid w:val="00C76121"/>
    <w:rsid w:val="00C7613B"/>
    <w:rsid w:val="00C7623E"/>
    <w:rsid w:val="00C762C4"/>
    <w:rsid w:val="00C76528"/>
    <w:rsid w:val="00C76A29"/>
    <w:rsid w:val="00C76AAA"/>
    <w:rsid w:val="00C76AFD"/>
    <w:rsid w:val="00C76B93"/>
    <w:rsid w:val="00C76C73"/>
    <w:rsid w:val="00C76ED5"/>
    <w:rsid w:val="00C770BA"/>
    <w:rsid w:val="00C770D5"/>
    <w:rsid w:val="00C772FE"/>
    <w:rsid w:val="00C774AD"/>
    <w:rsid w:val="00C77638"/>
    <w:rsid w:val="00C77661"/>
    <w:rsid w:val="00C777E9"/>
    <w:rsid w:val="00C778B2"/>
    <w:rsid w:val="00C77ABC"/>
    <w:rsid w:val="00C77D23"/>
    <w:rsid w:val="00C77DBA"/>
    <w:rsid w:val="00C77F5E"/>
    <w:rsid w:val="00C80266"/>
    <w:rsid w:val="00C80549"/>
    <w:rsid w:val="00C806D7"/>
    <w:rsid w:val="00C80A6B"/>
    <w:rsid w:val="00C80BB1"/>
    <w:rsid w:val="00C80CA4"/>
    <w:rsid w:val="00C80D1C"/>
    <w:rsid w:val="00C80E9D"/>
    <w:rsid w:val="00C80F36"/>
    <w:rsid w:val="00C81011"/>
    <w:rsid w:val="00C8115E"/>
    <w:rsid w:val="00C811E7"/>
    <w:rsid w:val="00C81289"/>
    <w:rsid w:val="00C813C2"/>
    <w:rsid w:val="00C814DC"/>
    <w:rsid w:val="00C81562"/>
    <w:rsid w:val="00C8190C"/>
    <w:rsid w:val="00C81A51"/>
    <w:rsid w:val="00C81C81"/>
    <w:rsid w:val="00C81ECD"/>
    <w:rsid w:val="00C820C0"/>
    <w:rsid w:val="00C823BB"/>
    <w:rsid w:val="00C82513"/>
    <w:rsid w:val="00C82539"/>
    <w:rsid w:val="00C82785"/>
    <w:rsid w:val="00C8282F"/>
    <w:rsid w:val="00C828C1"/>
    <w:rsid w:val="00C82D89"/>
    <w:rsid w:val="00C82DA6"/>
    <w:rsid w:val="00C83186"/>
    <w:rsid w:val="00C832D7"/>
    <w:rsid w:val="00C83411"/>
    <w:rsid w:val="00C8366F"/>
    <w:rsid w:val="00C83846"/>
    <w:rsid w:val="00C83D1D"/>
    <w:rsid w:val="00C840D9"/>
    <w:rsid w:val="00C84294"/>
    <w:rsid w:val="00C8433E"/>
    <w:rsid w:val="00C8453F"/>
    <w:rsid w:val="00C84549"/>
    <w:rsid w:val="00C84552"/>
    <w:rsid w:val="00C84BE4"/>
    <w:rsid w:val="00C84E79"/>
    <w:rsid w:val="00C85019"/>
    <w:rsid w:val="00C85065"/>
    <w:rsid w:val="00C853A9"/>
    <w:rsid w:val="00C855A9"/>
    <w:rsid w:val="00C857B0"/>
    <w:rsid w:val="00C85D5A"/>
    <w:rsid w:val="00C85FFF"/>
    <w:rsid w:val="00C8622F"/>
    <w:rsid w:val="00C8669A"/>
    <w:rsid w:val="00C86912"/>
    <w:rsid w:val="00C86927"/>
    <w:rsid w:val="00C86A69"/>
    <w:rsid w:val="00C86B66"/>
    <w:rsid w:val="00C86D07"/>
    <w:rsid w:val="00C8702E"/>
    <w:rsid w:val="00C87375"/>
    <w:rsid w:val="00C8739B"/>
    <w:rsid w:val="00C876BD"/>
    <w:rsid w:val="00C8796F"/>
    <w:rsid w:val="00C87A26"/>
    <w:rsid w:val="00C87D05"/>
    <w:rsid w:val="00C87D0A"/>
    <w:rsid w:val="00C900AA"/>
    <w:rsid w:val="00C9010D"/>
    <w:rsid w:val="00C9047B"/>
    <w:rsid w:val="00C90682"/>
    <w:rsid w:val="00C906EE"/>
    <w:rsid w:val="00C907B2"/>
    <w:rsid w:val="00C9080C"/>
    <w:rsid w:val="00C90B5D"/>
    <w:rsid w:val="00C90B87"/>
    <w:rsid w:val="00C90C44"/>
    <w:rsid w:val="00C90CE2"/>
    <w:rsid w:val="00C90E1E"/>
    <w:rsid w:val="00C90EFE"/>
    <w:rsid w:val="00C90F5B"/>
    <w:rsid w:val="00C90F68"/>
    <w:rsid w:val="00C90F8A"/>
    <w:rsid w:val="00C91040"/>
    <w:rsid w:val="00C91340"/>
    <w:rsid w:val="00C91350"/>
    <w:rsid w:val="00C91509"/>
    <w:rsid w:val="00C9162E"/>
    <w:rsid w:val="00C9170B"/>
    <w:rsid w:val="00C91751"/>
    <w:rsid w:val="00C91766"/>
    <w:rsid w:val="00C91A53"/>
    <w:rsid w:val="00C91A54"/>
    <w:rsid w:val="00C91ACC"/>
    <w:rsid w:val="00C91B49"/>
    <w:rsid w:val="00C91BDF"/>
    <w:rsid w:val="00C91CA0"/>
    <w:rsid w:val="00C91E55"/>
    <w:rsid w:val="00C91F1C"/>
    <w:rsid w:val="00C9252D"/>
    <w:rsid w:val="00C926DB"/>
    <w:rsid w:val="00C9275D"/>
    <w:rsid w:val="00C92818"/>
    <w:rsid w:val="00C92823"/>
    <w:rsid w:val="00C928F1"/>
    <w:rsid w:val="00C929BF"/>
    <w:rsid w:val="00C92B63"/>
    <w:rsid w:val="00C92B84"/>
    <w:rsid w:val="00C92C31"/>
    <w:rsid w:val="00C92C54"/>
    <w:rsid w:val="00C92FFA"/>
    <w:rsid w:val="00C930A2"/>
    <w:rsid w:val="00C93325"/>
    <w:rsid w:val="00C9345B"/>
    <w:rsid w:val="00C93542"/>
    <w:rsid w:val="00C93A17"/>
    <w:rsid w:val="00C93AC6"/>
    <w:rsid w:val="00C93CDD"/>
    <w:rsid w:val="00C93D63"/>
    <w:rsid w:val="00C93E63"/>
    <w:rsid w:val="00C93F5F"/>
    <w:rsid w:val="00C94315"/>
    <w:rsid w:val="00C94376"/>
    <w:rsid w:val="00C9449C"/>
    <w:rsid w:val="00C94A6B"/>
    <w:rsid w:val="00C94AB7"/>
    <w:rsid w:val="00C94B4B"/>
    <w:rsid w:val="00C94B8D"/>
    <w:rsid w:val="00C94C58"/>
    <w:rsid w:val="00C94E0D"/>
    <w:rsid w:val="00C94E15"/>
    <w:rsid w:val="00C94EA1"/>
    <w:rsid w:val="00C956B2"/>
    <w:rsid w:val="00C95B4E"/>
    <w:rsid w:val="00C95C52"/>
    <w:rsid w:val="00C95DB2"/>
    <w:rsid w:val="00C965CB"/>
    <w:rsid w:val="00C967CE"/>
    <w:rsid w:val="00C96854"/>
    <w:rsid w:val="00C968BC"/>
    <w:rsid w:val="00C969EB"/>
    <w:rsid w:val="00C96B73"/>
    <w:rsid w:val="00C96C9F"/>
    <w:rsid w:val="00C96DE6"/>
    <w:rsid w:val="00C9733B"/>
    <w:rsid w:val="00C97373"/>
    <w:rsid w:val="00C97518"/>
    <w:rsid w:val="00C9773C"/>
    <w:rsid w:val="00C9783B"/>
    <w:rsid w:val="00C978B8"/>
    <w:rsid w:val="00C979BD"/>
    <w:rsid w:val="00C979C2"/>
    <w:rsid w:val="00C97C6A"/>
    <w:rsid w:val="00C97CE7"/>
    <w:rsid w:val="00C97EE0"/>
    <w:rsid w:val="00C97EF0"/>
    <w:rsid w:val="00CA0302"/>
    <w:rsid w:val="00CA0327"/>
    <w:rsid w:val="00CA0417"/>
    <w:rsid w:val="00CA0508"/>
    <w:rsid w:val="00CA0580"/>
    <w:rsid w:val="00CA07E0"/>
    <w:rsid w:val="00CA08C0"/>
    <w:rsid w:val="00CA098E"/>
    <w:rsid w:val="00CA09CA"/>
    <w:rsid w:val="00CA0A72"/>
    <w:rsid w:val="00CA0BED"/>
    <w:rsid w:val="00CA1362"/>
    <w:rsid w:val="00CA144B"/>
    <w:rsid w:val="00CA1548"/>
    <w:rsid w:val="00CA1958"/>
    <w:rsid w:val="00CA1B82"/>
    <w:rsid w:val="00CA1EE3"/>
    <w:rsid w:val="00CA2175"/>
    <w:rsid w:val="00CA2257"/>
    <w:rsid w:val="00CA22B5"/>
    <w:rsid w:val="00CA2377"/>
    <w:rsid w:val="00CA23DC"/>
    <w:rsid w:val="00CA2439"/>
    <w:rsid w:val="00CA256E"/>
    <w:rsid w:val="00CA25C8"/>
    <w:rsid w:val="00CA298B"/>
    <w:rsid w:val="00CA2AE8"/>
    <w:rsid w:val="00CA2E13"/>
    <w:rsid w:val="00CA2F31"/>
    <w:rsid w:val="00CA2FCF"/>
    <w:rsid w:val="00CA30E8"/>
    <w:rsid w:val="00CA3135"/>
    <w:rsid w:val="00CA3258"/>
    <w:rsid w:val="00CA3776"/>
    <w:rsid w:val="00CA3AB3"/>
    <w:rsid w:val="00CA3B93"/>
    <w:rsid w:val="00CA3DBC"/>
    <w:rsid w:val="00CA3E2E"/>
    <w:rsid w:val="00CA3EBD"/>
    <w:rsid w:val="00CA3F44"/>
    <w:rsid w:val="00CA3FE4"/>
    <w:rsid w:val="00CA4046"/>
    <w:rsid w:val="00CA4165"/>
    <w:rsid w:val="00CA41A2"/>
    <w:rsid w:val="00CA421A"/>
    <w:rsid w:val="00CA439B"/>
    <w:rsid w:val="00CA45BA"/>
    <w:rsid w:val="00CA45EE"/>
    <w:rsid w:val="00CA46FB"/>
    <w:rsid w:val="00CA4736"/>
    <w:rsid w:val="00CA48C0"/>
    <w:rsid w:val="00CA49AF"/>
    <w:rsid w:val="00CA49DD"/>
    <w:rsid w:val="00CA4A43"/>
    <w:rsid w:val="00CA4BEB"/>
    <w:rsid w:val="00CA4C55"/>
    <w:rsid w:val="00CA4C8A"/>
    <w:rsid w:val="00CA4D15"/>
    <w:rsid w:val="00CA5018"/>
    <w:rsid w:val="00CA50E6"/>
    <w:rsid w:val="00CA51AD"/>
    <w:rsid w:val="00CA5306"/>
    <w:rsid w:val="00CA563E"/>
    <w:rsid w:val="00CA56A4"/>
    <w:rsid w:val="00CA570E"/>
    <w:rsid w:val="00CA58A9"/>
    <w:rsid w:val="00CA5BE4"/>
    <w:rsid w:val="00CA5E94"/>
    <w:rsid w:val="00CA60F9"/>
    <w:rsid w:val="00CA6273"/>
    <w:rsid w:val="00CA67CF"/>
    <w:rsid w:val="00CA6D3A"/>
    <w:rsid w:val="00CA6EF0"/>
    <w:rsid w:val="00CA6F13"/>
    <w:rsid w:val="00CA6FBA"/>
    <w:rsid w:val="00CA7062"/>
    <w:rsid w:val="00CA7646"/>
    <w:rsid w:val="00CA77EF"/>
    <w:rsid w:val="00CA78DC"/>
    <w:rsid w:val="00CA791B"/>
    <w:rsid w:val="00CA7A13"/>
    <w:rsid w:val="00CA7ABF"/>
    <w:rsid w:val="00CA7B36"/>
    <w:rsid w:val="00CB015D"/>
    <w:rsid w:val="00CB0455"/>
    <w:rsid w:val="00CB04E8"/>
    <w:rsid w:val="00CB0A3F"/>
    <w:rsid w:val="00CB0B50"/>
    <w:rsid w:val="00CB0BDF"/>
    <w:rsid w:val="00CB0E19"/>
    <w:rsid w:val="00CB0ED5"/>
    <w:rsid w:val="00CB14E1"/>
    <w:rsid w:val="00CB161E"/>
    <w:rsid w:val="00CB162D"/>
    <w:rsid w:val="00CB16AC"/>
    <w:rsid w:val="00CB1799"/>
    <w:rsid w:val="00CB1874"/>
    <w:rsid w:val="00CB1AAA"/>
    <w:rsid w:val="00CB1CC4"/>
    <w:rsid w:val="00CB1DFF"/>
    <w:rsid w:val="00CB1FE3"/>
    <w:rsid w:val="00CB20BF"/>
    <w:rsid w:val="00CB2104"/>
    <w:rsid w:val="00CB2200"/>
    <w:rsid w:val="00CB23C4"/>
    <w:rsid w:val="00CB2550"/>
    <w:rsid w:val="00CB2665"/>
    <w:rsid w:val="00CB29F6"/>
    <w:rsid w:val="00CB2CC1"/>
    <w:rsid w:val="00CB2EFB"/>
    <w:rsid w:val="00CB30E5"/>
    <w:rsid w:val="00CB3222"/>
    <w:rsid w:val="00CB3270"/>
    <w:rsid w:val="00CB32AD"/>
    <w:rsid w:val="00CB363A"/>
    <w:rsid w:val="00CB3677"/>
    <w:rsid w:val="00CB38F8"/>
    <w:rsid w:val="00CB3988"/>
    <w:rsid w:val="00CB3A54"/>
    <w:rsid w:val="00CB3FE3"/>
    <w:rsid w:val="00CB402E"/>
    <w:rsid w:val="00CB4113"/>
    <w:rsid w:val="00CB4128"/>
    <w:rsid w:val="00CB4189"/>
    <w:rsid w:val="00CB4378"/>
    <w:rsid w:val="00CB43D8"/>
    <w:rsid w:val="00CB4463"/>
    <w:rsid w:val="00CB4682"/>
    <w:rsid w:val="00CB48C5"/>
    <w:rsid w:val="00CB48C9"/>
    <w:rsid w:val="00CB4908"/>
    <w:rsid w:val="00CB4AB5"/>
    <w:rsid w:val="00CB4B9C"/>
    <w:rsid w:val="00CB4BBE"/>
    <w:rsid w:val="00CB4C43"/>
    <w:rsid w:val="00CB4D6D"/>
    <w:rsid w:val="00CB4E3E"/>
    <w:rsid w:val="00CB4E87"/>
    <w:rsid w:val="00CB4F30"/>
    <w:rsid w:val="00CB511B"/>
    <w:rsid w:val="00CB514B"/>
    <w:rsid w:val="00CB5236"/>
    <w:rsid w:val="00CB52FB"/>
    <w:rsid w:val="00CB5604"/>
    <w:rsid w:val="00CB5696"/>
    <w:rsid w:val="00CB5887"/>
    <w:rsid w:val="00CB598D"/>
    <w:rsid w:val="00CB5AC4"/>
    <w:rsid w:val="00CB5ACA"/>
    <w:rsid w:val="00CB5ACF"/>
    <w:rsid w:val="00CB5CAE"/>
    <w:rsid w:val="00CB5CE7"/>
    <w:rsid w:val="00CB5D0B"/>
    <w:rsid w:val="00CB5DF2"/>
    <w:rsid w:val="00CB5FC7"/>
    <w:rsid w:val="00CB5FF5"/>
    <w:rsid w:val="00CB6431"/>
    <w:rsid w:val="00CB65A5"/>
    <w:rsid w:val="00CB691E"/>
    <w:rsid w:val="00CB69AD"/>
    <w:rsid w:val="00CB6AEF"/>
    <w:rsid w:val="00CB6B58"/>
    <w:rsid w:val="00CB6C11"/>
    <w:rsid w:val="00CB6CAE"/>
    <w:rsid w:val="00CB6CFC"/>
    <w:rsid w:val="00CB6E8D"/>
    <w:rsid w:val="00CB6F83"/>
    <w:rsid w:val="00CB7389"/>
    <w:rsid w:val="00CB73C9"/>
    <w:rsid w:val="00CB759C"/>
    <w:rsid w:val="00CB7696"/>
    <w:rsid w:val="00CB76B7"/>
    <w:rsid w:val="00CB7797"/>
    <w:rsid w:val="00CB78EF"/>
    <w:rsid w:val="00CB7B46"/>
    <w:rsid w:val="00CB7C27"/>
    <w:rsid w:val="00CB7E00"/>
    <w:rsid w:val="00CB7E4C"/>
    <w:rsid w:val="00CB7EB1"/>
    <w:rsid w:val="00CB7F3C"/>
    <w:rsid w:val="00CB7F67"/>
    <w:rsid w:val="00CC0263"/>
    <w:rsid w:val="00CC0406"/>
    <w:rsid w:val="00CC0618"/>
    <w:rsid w:val="00CC07A2"/>
    <w:rsid w:val="00CC0838"/>
    <w:rsid w:val="00CC095A"/>
    <w:rsid w:val="00CC09CC"/>
    <w:rsid w:val="00CC0AE0"/>
    <w:rsid w:val="00CC0B5A"/>
    <w:rsid w:val="00CC0CC9"/>
    <w:rsid w:val="00CC0D1A"/>
    <w:rsid w:val="00CC0E17"/>
    <w:rsid w:val="00CC0E1D"/>
    <w:rsid w:val="00CC14B8"/>
    <w:rsid w:val="00CC15C5"/>
    <w:rsid w:val="00CC16DF"/>
    <w:rsid w:val="00CC1766"/>
    <w:rsid w:val="00CC18A9"/>
    <w:rsid w:val="00CC18EF"/>
    <w:rsid w:val="00CC19E9"/>
    <w:rsid w:val="00CC1D3F"/>
    <w:rsid w:val="00CC1E4E"/>
    <w:rsid w:val="00CC214B"/>
    <w:rsid w:val="00CC2302"/>
    <w:rsid w:val="00CC233E"/>
    <w:rsid w:val="00CC239A"/>
    <w:rsid w:val="00CC23EB"/>
    <w:rsid w:val="00CC23F1"/>
    <w:rsid w:val="00CC240F"/>
    <w:rsid w:val="00CC2675"/>
    <w:rsid w:val="00CC2768"/>
    <w:rsid w:val="00CC27B5"/>
    <w:rsid w:val="00CC28D0"/>
    <w:rsid w:val="00CC2AB8"/>
    <w:rsid w:val="00CC2C59"/>
    <w:rsid w:val="00CC2D3B"/>
    <w:rsid w:val="00CC2DFE"/>
    <w:rsid w:val="00CC2E24"/>
    <w:rsid w:val="00CC2E9D"/>
    <w:rsid w:val="00CC3468"/>
    <w:rsid w:val="00CC35AE"/>
    <w:rsid w:val="00CC368F"/>
    <w:rsid w:val="00CC383F"/>
    <w:rsid w:val="00CC3D0B"/>
    <w:rsid w:val="00CC4046"/>
    <w:rsid w:val="00CC40C4"/>
    <w:rsid w:val="00CC4121"/>
    <w:rsid w:val="00CC421C"/>
    <w:rsid w:val="00CC45D0"/>
    <w:rsid w:val="00CC4670"/>
    <w:rsid w:val="00CC4691"/>
    <w:rsid w:val="00CC46B1"/>
    <w:rsid w:val="00CC497D"/>
    <w:rsid w:val="00CC4A51"/>
    <w:rsid w:val="00CC4B7B"/>
    <w:rsid w:val="00CC4BA4"/>
    <w:rsid w:val="00CC4C80"/>
    <w:rsid w:val="00CC4D80"/>
    <w:rsid w:val="00CC4DC1"/>
    <w:rsid w:val="00CC4E90"/>
    <w:rsid w:val="00CC4F0F"/>
    <w:rsid w:val="00CC512E"/>
    <w:rsid w:val="00CC51D9"/>
    <w:rsid w:val="00CC5356"/>
    <w:rsid w:val="00CC53EC"/>
    <w:rsid w:val="00CC5489"/>
    <w:rsid w:val="00CC5911"/>
    <w:rsid w:val="00CC5AD7"/>
    <w:rsid w:val="00CC5CD6"/>
    <w:rsid w:val="00CC5D42"/>
    <w:rsid w:val="00CC5D5A"/>
    <w:rsid w:val="00CC5D62"/>
    <w:rsid w:val="00CC5D6B"/>
    <w:rsid w:val="00CC5E64"/>
    <w:rsid w:val="00CC6121"/>
    <w:rsid w:val="00CC66D5"/>
    <w:rsid w:val="00CC6787"/>
    <w:rsid w:val="00CC69DD"/>
    <w:rsid w:val="00CC6CA6"/>
    <w:rsid w:val="00CC6CB8"/>
    <w:rsid w:val="00CC6ED7"/>
    <w:rsid w:val="00CC7031"/>
    <w:rsid w:val="00CC7041"/>
    <w:rsid w:val="00CC72B7"/>
    <w:rsid w:val="00CC732E"/>
    <w:rsid w:val="00CC75DA"/>
    <w:rsid w:val="00CC7614"/>
    <w:rsid w:val="00CC7AEB"/>
    <w:rsid w:val="00CC7B72"/>
    <w:rsid w:val="00CC7BA6"/>
    <w:rsid w:val="00CC7C63"/>
    <w:rsid w:val="00CC7D7A"/>
    <w:rsid w:val="00CC7F7D"/>
    <w:rsid w:val="00CC7FBD"/>
    <w:rsid w:val="00CD04DF"/>
    <w:rsid w:val="00CD0519"/>
    <w:rsid w:val="00CD056B"/>
    <w:rsid w:val="00CD0CA7"/>
    <w:rsid w:val="00CD0EC6"/>
    <w:rsid w:val="00CD0F83"/>
    <w:rsid w:val="00CD1028"/>
    <w:rsid w:val="00CD10A7"/>
    <w:rsid w:val="00CD1118"/>
    <w:rsid w:val="00CD13E4"/>
    <w:rsid w:val="00CD1484"/>
    <w:rsid w:val="00CD1557"/>
    <w:rsid w:val="00CD1600"/>
    <w:rsid w:val="00CD1657"/>
    <w:rsid w:val="00CD1672"/>
    <w:rsid w:val="00CD167B"/>
    <w:rsid w:val="00CD1734"/>
    <w:rsid w:val="00CD1AE1"/>
    <w:rsid w:val="00CD1DF9"/>
    <w:rsid w:val="00CD1FD2"/>
    <w:rsid w:val="00CD2153"/>
    <w:rsid w:val="00CD227B"/>
    <w:rsid w:val="00CD2695"/>
    <w:rsid w:val="00CD26E2"/>
    <w:rsid w:val="00CD2A15"/>
    <w:rsid w:val="00CD2B86"/>
    <w:rsid w:val="00CD2BE2"/>
    <w:rsid w:val="00CD2C83"/>
    <w:rsid w:val="00CD2DDA"/>
    <w:rsid w:val="00CD2FBE"/>
    <w:rsid w:val="00CD304D"/>
    <w:rsid w:val="00CD3121"/>
    <w:rsid w:val="00CD313E"/>
    <w:rsid w:val="00CD316E"/>
    <w:rsid w:val="00CD31F0"/>
    <w:rsid w:val="00CD3214"/>
    <w:rsid w:val="00CD3526"/>
    <w:rsid w:val="00CD3774"/>
    <w:rsid w:val="00CD3C19"/>
    <w:rsid w:val="00CD3CAF"/>
    <w:rsid w:val="00CD3CD8"/>
    <w:rsid w:val="00CD3D40"/>
    <w:rsid w:val="00CD3E3B"/>
    <w:rsid w:val="00CD3EEF"/>
    <w:rsid w:val="00CD41DB"/>
    <w:rsid w:val="00CD44B9"/>
    <w:rsid w:val="00CD462E"/>
    <w:rsid w:val="00CD4631"/>
    <w:rsid w:val="00CD4735"/>
    <w:rsid w:val="00CD4941"/>
    <w:rsid w:val="00CD49F9"/>
    <w:rsid w:val="00CD49FC"/>
    <w:rsid w:val="00CD4BE9"/>
    <w:rsid w:val="00CD4C5F"/>
    <w:rsid w:val="00CD4CDF"/>
    <w:rsid w:val="00CD4D54"/>
    <w:rsid w:val="00CD4EA3"/>
    <w:rsid w:val="00CD4F49"/>
    <w:rsid w:val="00CD4FB2"/>
    <w:rsid w:val="00CD5043"/>
    <w:rsid w:val="00CD558D"/>
    <w:rsid w:val="00CD57E3"/>
    <w:rsid w:val="00CD5ACC"/>
    <w:rsid w:val="00CD5DFE"/>
    <w:rsid w:val="00CD6064"/>
    <w:rsid w:val="00CD60D3"/>
    <w:rsid w:val="00CD60EC"/>
    <w:rsid w:val="00CD6133"/>
    <w:rsid w:val="00CD616D"/>
    <w:rsid w:val="00CD6262"/>
    <w:rsid w:val="00CD660E"/>
    <w:rsid w:val="00CD6787"/>
    <w:rsid w:val="00CD6830"/>
    <w:rsid w:val="00CD6B8D"/>
    <w:rsid w:val="00CD6F08"/>
    <w:rsid w:val="00CD6F0D"/>
    <w:rsid w:val="00CD7035"/>
    <w:rsid w:val="00CD7336"/>
    <w:rsid w:val="00CD7625"/>
    <w:rsid w:val="00CD79F9"/>
    <w:rsid w:val="00CD7A2D"/>
    <w:rsid w:val="00CD7C0C"/>
    <w:rsid w:val="00CD7D27"/>
    <w:rsid w:val="00CE002F"/>
    <w:rsid w:val="00CE00C7"/>
    <w:rsid w:val="00CE044D"/>
    <w:rsid w:val="00CE059B"/>
    <w:rsid w:val="00CE05AC"/>
    <w:rsid w:val="00CE0666"/>
    <w:rsid w:val="00CE06B9"/>
    <w:rsid w:val="00CE0C85"/>
    <w:rsid w:val="00CE0DF3"/>
    <w:rsid w:val="00CE0E34"/>
    <w:rsid w:val="00CE0ED0"/>
    <w:rsid w:val="00CE0F35"/>
    <w:rsid w:val="00CE0F58"/>
    <w:rsid w:val="00CE14BE"/>
    <w:rsid w:val="00CE1579"/>
    <w:rsid w:val="00CE1625"/>
    <w:rsid w:val="00CE1735"/>
    <w:rsid w:val="00CE1764"/>
    <w:rsid w:val="00CE18BA"/>
    <w:rsid w:val="00CE1DAD"/>
    <w:rsid w:val="00CE1E3F"/>
    <w:rsid w:val="00CE1E99"/>
    <w:rsid w:val="00CE2128"/>
    <w:rsid w:val="00CE2596"/>
    <w:rsid w:val="00CE28F5"/>
    <w:rsid w:val="00CE2C63"/>
    <w:rsid w:val="00CE2E8C"/>
    <w:rsid w:val="00CE2FE0"/>
    <w:rsid w:val="00CE3022"/>
    <w:rsid w:val="00CE3098"/>
    <w:rsid w:val="00CE3220"/>
    <w:rsid w:val="00CE3493"/>
    <w:rsid w:val="00CE35A0"/>
    <w:rsid w:val="00CE3653"/>
    <w:rsid w:val="00CE3725"/>
    <w:rsid w:val="00CE37AC"/>
    <w:rsid w:val="00CE3832"/>
    <w:rsid w:val="00CE3915"/>
    <w:rsid w:val="00CE3EAE"/>
    <w:rsid w:val="00CE429A"/>
    <w:rsid w:val="00CE4370"/>
    <w:rsid w:val="00CE4375"/>
    <w:rsid w:val="00CE4547"/>
    <w:rsid w:val="00CE45A2"/>
    <w:rsid w:val="00CE48AD"/>
    <w:rsid w:val="00CE48B5"/>
    <w:rsid w:val="00CE4C3E"/>
    <w:rsid w:val="00CE4CC2"/>
    <w:rsid w:val="00CE4D08"/>
    <w:rsid w:val="00CE52E1"/>
    <w:rsid w:val="00CE54CF"/>
    <w:rsid w:val="00CE5982"/>
    <w:rsid w:val="00CE5B7F"/>
    <w:rsid w:val="00CE5CD3"/>
    <w:rsid w:val="00CE5CE5"/>
    <w:rsid w:val="00CE5D2E"/>
    <w:rsid w:val="00CE605D"/>
    <w:rsid w:val="00CE6385"/>
    <w:rsid w:val="00CE6445"/>
    <w:rsid w:val="00CE6609"/>
    <w:rsid w:val="00CE6861"/>
    <w:rsid w:val="00CE6A76"/>
    <w:rsid w:val="00CE6B2A"/>
    <w:rsid w:val="00CE6C03"/>
    <w:rsid w:val="00CE6D75"/>
    <w:rsid w:val="00CE70D1"/>
    <w:rsid w:val="00CE7315"/>
    <w:rsid w:val="00CE7320"/>
    <w:rsid w:val="00CE73AA"/>
    <w:rsid w:val="00CE76F2"/>
    <w:rsid w:val="00CE777E"/>
    <w:rsid w:val="00CE79D6"/>
    <w:rsid w:val="00CE7AA8"/>
    <w:rsid w:val="00CE7B57"/>
    <w:rsid w:val="00CE7B86"/>
    <w:rsid w:val="00CE7DAD"/>
    <w:rsid w:val="00CE7DFD"/>
    <w:rsid w:val="00CE7FE0"/>
    <w:rsid w:val="00CF005A"/>
    <w:rsid w:val="00CF013B"/>
    <w:rsid w:val="00CF0170"/>
    <w:rsid w:val="00CF0501"/>
    <w:rsid w:val="00CF052C"/>
    <w:rsid w:val="00CF05E5"/>
    <w:rsid w:val="00CF075D"/>
    <w:rsid w:val="00CF078E"/>
    <w:rsid w:val="00CF07B7"/>
    <w:rsid w:val="00CF07D6"/>
    <w:rsid w:val="00CF0BBC"/>
    <w:rsid w:val="00CF0D66"/>
    <w:rsid w:val="00CF0EAA"/>
    <w:rsid w:val="00CF0EEA"/>
    <w:rsid w:val="00CF1207"/>
    <w:rsid w:val="00CF1372"/>
    <w:rsid w:val="00CF13F2"/>
    <w:rsid w:val="00CF17CF"/>
    <w:rsid w:val="00CF17DD"/>
    <w:rsid w:val="00CF196F"/>
    <w:rsid w:val="00CF1C28"/>
    <w:rsid w:val="00CF1C5A"/>
    <w:rsid w:val="00CF1DB7"/>
    <w:rsid w:val="00CF1F0E"/>
    <w:rsid w:val="00CF1F4E"/>
    <w:rsid w:val="00CF208C"/>
    <w:rsid w:val="00CF20D3"/>
    <w:rsid w:val="00CF22E1"/>
    <w:rsid w:val="00CF2388"/>
    <w:rsid w:val="00CF29E3"/>
    <w:rsid w:val="00CF2A50"/>
    <w:rsid w:val="00CF2B18"/>
    <w:rsid w:val="00CF2CB5"/>
    <w:rsid w:val="00CF2E55"/>
    <w:rsid w:val="00CF2E6E"/>
    <w:rsid w:val="00CF2E8A"/>
    <w:rsid w:val="00CF2F5F"/>
    <w:rsid w:val="00CF2F71"/>
    <w:rsid w:val="00CF344C"/>
    <w:rsid w:val="00CF3499"/>
    <w:rsid w:val="00CF3547"/>
    <w:rsid w:val="00CF3671"/>
    <w:rsid w:val="00CF36E1"/>
    <w:rsid w:val="00CF38BF"/>
    <w:rsid w:val="00CF39FA"/>
    <w:rsid w:val="00CF3AF8"/>
    <w:rsid w:val="00CF3B76"/>
    <w:rsid w:val="00CF3CD3"/>
    <w:rsid w:val="00CF3FD9"/>
    <w:rsid w:val="00CF431D"/>
    <w:rsid w:val="00CF45BF"/>
    <w:rsid w:val="00CF45CF"/>
    <w:rsid w:val="00CF45DC"/>
    <w:rsid w:val="00CF46E2"/>
    <w:rsid w:val="00CF49F1"/>
    <w:rsid w:val="00CF4A0D"/>
    <w:rsid w:val="00CF4B86"/>
    <w:rsid w:val="00CF4F97"/>
    <w:rsid w:val="00CF526D"/>
    <w:rsid w:val="00CF52B8"/>
    <w:rsid w:val="00CF56AC"/>
    <w:rsid w:val="00CF5740"/>
    <w:rsid w:val="00CF586A"/>
    <w:rsid w:val="00CF58CF"/>
    <w:rsid w:val="00CF59EF"/>
    <w:rsid w:val="00CF5A1C"/>
    <w:rsid w:val="00CF5AC2"/>
    <w:rsid w:val="00CF5C13"/>
    <w:rsid w:val="00CF5C1C"/>
    <w:rsid w:val="00CF5FA4"/>
    <w:rsid w:val="00CF602B"/>
    <w:rsid w:val="00CF603F"/>
    <w:rsid w:val="00CF6041"/>
    <w:rsid w:val="00CF608C"/>
    <w:rsid w:val="00CF6287"/>
    <w:rsid w:val="00CF66C6"/>
    <w:rsid w:val="00CF6792"/>
    <w:rsid w:val="00CF67B0"/>
    <w:rsid w:val="00CF6B1C"/>
    <w:rsid w:val="00CF6FB5"/>
    <w:rsid w:val="00CF7021"/>
    <w:rsid w:val="00CF70FA"/>
    <w:rsid w:val="00CF7554"/>
    <w:rsid w:val="00CF75F4"/>
    <w:rsid w:val="00CF7624"/>
    <w:rsid w:val="00CF773A"/>
    <w:rsid w:val="00CF778F"/>
    <w:rsid w:val="00CF7799"/>
    <w:rsid w:val="00CF7A5B"/>
    <w:rsid w:val="00CF7AB2"/>
    <w:rsid w:val="00CF7ACC"/>
    <w:rsid w:val="00CF7C7A"/>
    <w:rsid w:val="00CF7CC6"/>
    <w:rsid w:val="00CF7D5C"/>
    <w:rsid w:val="00CF7F35"/>
    <w:rsid w:val="00D0015F"/>
    <w:rsid w:val="00D002F1"/>
    <w:rsid w:val="00D005C9"/>
    <w:rsid w:val="00D00A31"/>
    <w:rsid w:val="00D00D3E"/>
    <w:rsid w:val="00D00D73"/>
    <w:rsid w:val="00D00EAA"/>
    <w:rsid w:val="00D00FC5"/>
    <w:rsid w:val="00D01287"/>
    <w:rsid w:val="00D012F8"/>
    <w:rsid w:val="00D0158E"/>
    <w:rsid w:val="00D018F3"/>
    <w:rsid w:val="00D01BE9"/>
    <w:rsid w:val="00D01E4D"/>
    <w:rsid w:val="00D01F15"/>
    <w:rsid w:val="00D0210B"/>
    <w:rsid w:val="00D02166"/>
    <w:rsid w:val="00D0228E"/>
    <w:rsid w:val="00D024AC"/>
    <w:rsid w:val="00D02656"/>
    <w:rsid w:val="00D026A0"/>
    <w:rsid w:val="00D028A8"/>
    <w:rsid w:val="00D02EDD"/>
    <w:rsid w:val="00D02EFC"/>
    <w:rsid w:val="00D03046"/>
    <w:rsid w:val="00D03063"/>
    <w:rsid w:val="00D030AD"/>
    <w:rsid w:val="00D034E6"/>
    <w:rsid w:val="00D0359F"/>
    <w:rsid w:val="00D037DD"/>
    <w:rsid w:val="00D03914"/>
    <w:rsid w:val="00D03A24"/>
    <w:rsid w:val="00D03C02"/>
    <w:rsid w:val="00D03D38"/>
    <w:rsid w:val="00D04201"/>
    <w:rsid w:val="00D042C6"/>
    <w:rsid w:val="00D04587"/>
    <w:rsid w:val="00D0486F"/>
    <w:rsid w:val="00D04F70"/>
    <w:rsid w:val="00D051F1"/>
    <w:rsid w:val="00D052F7"/>
    <w:rsid w:val="00D05415"/>
    <w:rsid w:val="00D0541A"/>
    <w:rsid w:val="00D0547D"/>
    <w:rsid w:val="00D05591"/>
    <w:rsid w:val="00D05843"/>
    <w:rsid w:val="00D0588D"/>
    <w:rsid w:val="00D058F8"/>
    <w:rsid w:val="00D059B6"/>
    <w:rsid w:val="00D059D4"/>
    <w:rsid w:val="00D059FF"/>
    <w:rsid w:val="00D05BC3"/>
    <w:rsid w:val="00D05C66"/>
    <w:rsid w:val="00D05C72"/>
    <w:rsid w:val="00D05D9C"/>
    <w:rsid w:val="00D06010"/>
    <w:rsid w:val="00D06067"/>
    <w:rsid w:val="00D062D5"/>
    <w:rsid w:val="00D06427"/>
    <w:rsid w:val="00D0661F"/>
    <w:rsid w:val="00D0662F"/>
    <w:rsid w:val="00D06766"/>
    <w:rsid w:val="00D067A0"/>
    <w:rsid w:val="00D06855"/>
    <w:rsid w:val="00D06DB9"/>
    <w:rsid w:val="00D06E81"/>
    <w:rsid w:val="00D07115"/>
    <w:rsid w:val="00D078D9"/>
    <w:rsid w:val="00D07A25"/>
    <w:rsid w:val="00D07CD2"/>
    <w:rsid w:val="00D07D6E"/>
    <w:rsid w:val="00D07F73"/>
    <w:rsid w:val="00D101F6"/>
    <w:rsid w:val="00D104C6"/>
    <w:rsid w:val="00D105A5"/>
    <w:rsid w:val="00D105BD"/>
    <w:rsid w:val="00D1095F"/>
    <w:rsid w:val="00D10A43"/>
    <w:rsid w:val="00D10A74"/>
    <w:rsid w:val="00D10E61"/>
    <w:rsid w:val="00D11029"/>
    <w:rsid w:val="00D11261"/>
    <w:rsid w:val="00D11354"/>
    <w:rsid w:val="00D113E3"/>
    <w:rsid w:val="00D114C0"/>
    <w:rsid w:val="00D11562"/>
    <w:rsid w:val="00D116AF"/>
    <w:rsid w:val="00D11962"/>
    <w:rsid w:val="00D11BE0"/>
    <w:rsid w:val="00D11D36"/>
    <w:rsid w:val="00D1200C"/>
    <w:rsid w:val="00D1216D"/>
    <w:rsid w:val="00D121DF"/>
    <w:rsid w:val="00D1225B"/>
    <w:rsid w:val="00D122E7"/>
    <w:rsid w:val="00D12444"/>
    <w:rsid w:val="00D12777"/>
    <w:rsid w:val="00D12B42"/>
    <w:rsid w:val="00D12B7B"/>
    <w:rsid w:val="00D12F58"/>
    <w:rsid w:val="00D1319F"/>
    <w:rsid w:val="00D131C7"/>
    <w:rsid w:val="00D133BF"/>
    <w:rsid w:val="00D1365E"/>
    <w:rsid w:val="00D13828"/>
    <w:rsid w:val="00D139EC"/>
    <w:rsid w:val="00D13ADB"/>
    <w:rsid w:val="00D13B1E"/>
    <w:rsid w:val="00D13DD9"/>
    <w:rsid w:val="00D14151"/>
    <w:rsid w:val="00D141AF"/>
    <w:rsid w:val="00D144A4"/>
    <w:rsid w:val="00D144AD"/>
    <w:rsid w:val="00D14996"/>
    <w:rsid w:val="00D14BC2"/>
    <w:rsid w:val="00D14C1A"/>
    <w:rsid w:val="00D14C2C"/>
    <w:rsid w:val="00D14D1E"/>
    <w:rsid w:val="00D1506D"/>
    <w:rsid w:val="00D151F0"/>
    <w:rsid w:val="00D153F5"/>
    <w:rsid w:val="00D1558C"/>
    <w:rsid w:val="00D155E6"/>
    <w:rsid w:val="00D1563A"/>
    <w:rsid w:val="00D16712"/>
    <w:rsid w:val="00D16732"/>
    <w:rsid w:val="00D16861"/>
    <w:rsid w:val="00D16AE4"/>
    <w:rsid w:val="00D16EC2"/>
    <w:rsid w:val="00D16EFE"/>
    <w:rsid w:val="00D1701B"/>
    <w:rsid w:val="00D1707E"/>
    <w:rsid w:val="00D1732C"/>
    <w:rsid w:val="00D17381"/>
    <w:rsid w:val="00D1741D"/>
    <w:rsid w:val="00D176FA"/>
    <w:rsid w:val="00D177D9"/>
    <w:rsid w:val="00D177DC"/>
    <w:rsid w:val="00D17923"/>
    <w:rsid w:val="00D17A82"/>
    <w:rsid w:val="00D17B99"/>
    <w:rsid w:val="00D17D16"/>
    <w:rsid w:val="00D17F1D"/>
    <w:rsid w:val="00D17FF9"/>
    <w:rsid w:val="00D200E3"/>
    <w:rsid w:val="00D20147"/>
    <w:rsid w:val="00D201AE"/>
    <w:rsid w:val="00D203A9"/>
    <w:rsid w:val="00D20429"/>
    <w:rsid w:val="00D204BC"/>
    <w:rsid w:val="00D205D8"/>
    <w:rsid w:val="00D2067C"/>
    <w:rsid w:val="00D206B4"/>
    <w:rsid w:val="00D206CB"/>
    <w:rsid w:val="00D206D3"/>
    <w:rsid w:val="00D2079C"/>
    <w:rsid w:val="00D20C5D"/>
    <w:rsid w:val="00D20DAC"/>
    <w:rsid w:val="00D20E16"/>
    <w:rsid w:val="00D20F04"/>
    <w:rsid w:val="00D20F1F"/>
    <w:rsid w:val="00D20FF0"/>
    <w:rsid w:val="00D213EE"/>
    <w:rsid w:val="00D21429"/>
    <w:rsid w:val="00D21924"/>
    <w:rsid w:val="00D21A55"/>
    <w:rsid w:val="00D21A62"/>
    <w:rsid w:val="00D21B33"/>
    <w:rsid w:val="00D21C90"/>
    <w:rsid w:val="00D21E55"/>
    <w:rsid w:val="00D220AA"/>
    <w:rsid w:val="00D22194"/>
    <w:rsid w:val="00D221F7"/>
    <w:rsid w:val="00D2226D"/>
    <w:rsid w:val="00D22305"/>
    <w:rsid w:val="00D22422"/>
    <w:rsid w:val="00D22446"/>
    <w:rsid w:val="00D22581"/>
    <w:rsid w:val="00D225FE"/>
    <w:rsid w:val="00D229CC"/>
    <w:rsid w:val="00D22ACB"/>
    <w:rsid w:val="00D22B61"/>
    <w:rsid w:val="00D22B7B"/>
    <w:rsid w:val="00D22C91"/>
    <w:rsid w:val="00D231CB"/>
    <w:rsid w:val="00D235AB"/>
    <w:rsid w:val="00D23838"/>
    <w:rsid w:val="00D2388B"/>
    <w:rsid w:val="00D23F85"/>
    <w:rsid w:val="00D23FD5"/>
    <w:rsid w:val="00D2400F"/>
    <w:rsid w:val="00D24188"/>
    <w:rsid w:val="00D241AD"/>
    <w:rsid w:val="00D24712"/>
    <w:rsid w:val="00D2480D"/>
    <w:rsid w:val="00D24A83"/>
    <w:rsid w:val="00D24F2C"/>
    <w:rsid w:val="00D250B4"/>
    <w:rsid w:val="00D251B3"/>
    <w:rsid w:val="00D25265"/>
    <w:rsid w:val="00D2540F"/>
    <w:rsid w:val="00D25452"/>
    <w:rsid w:val="00D25691"/>
    <w:rsid w:val="00D2576C"/>
    <w:rsid w:val="00D25A2F"/>
    <w:rsid w:val="00D25D09"/>
    <w:rsid w:val="00D26085"/>
    <w:rsid w:val="00D2657A"/>
    <w:rsid w:val="00D266A6"/>
    <w:rsid w:val="00D26752"/>
    <w:rsid w:val="00D26A17"/>
    <w:rsid w:val="00D26BB1"/>
    <w:rsid w:val="00D26BE4"/>
    <w:rsid w:val="00D26CC2"/>
    <w:rsid w:val="00D26CE8"/>
    <w:rsid w:val="00D26E3A"/>
    <w:rsid w:val="00D271D6"/>
    <w:rsid w:val="00D27253"/>
    <w:rsid w:val="00D2725A"/>
    <w:rsid w:val="00D27301"/>
    <w:rsid w:val="00D27542"/>
    <w:rsid w:val="00D27650"/>
    <w:rsid w:val="00D27983"/>
    <w:rsid w:val="00D27D7F"/>
    <w:rsid w:val="00D27EF2"/>
    <w:rsid w:val="00D3006F"/>
    <w:rsid w:val="00D30288"/>
    <w:rsid w:val="00D302C8"/>
    <w:rsid w:val="00D30422"/>
    <w:rsid w:val="00D3047D"/>
    <w:rsid w:val="00D304F3"/>
    <w:rsid w:val="00D3056E"/>
    <w:rsid w:val="00D30758"/>
    <w:rsid w:val="00D30849"/>
    <w:rsid w:val="00D30983"/>
    <w:rsid w:val="00D30AB5"/>
    <w:rsid w:val="00D30B33"/>
    <w:rsid w:val="00D310C8"/>
    <w:rsid w:val="00D311A0"/>
    <w:rsid w:val="00D318CA"/>
    <w:rsid w:val="00D318FD"/>
    <w:rsid w:val="00D31A5E"/>
    <w:rsid w:val="00D31ACE"/>
    <w:rsid w:val="00D31B49"/>
    <w:rsid w:val="00D31B5E"/>
    <w:rsid w:val="00D31C15"/>
    <w:rsid w:val="00D31F33"/>
    <w:rsid w:val="00D32290"/>
    <w:rsid w:val="00D324F6"/>
    <w:rsid w:val="00D327E2"/>
    <w:rsid w:val="00D32819"/>
    <w:rsid w:val="00D3294E"/>
    <w:rsid w:val="00D329F3"/>
    <w:rsid w:val="00D32C8B"/>
    <w:rsid w:val="00D33032"/>
    <w:rsid w:val="00D3336D"/>
    <w:rsid w:val="00D333D7"/>
    <w:rsid w:val="00D3349C"/>
    <w:rsid w:val="00D3351C"/>
    <w:rsid w:val="00D339D4"/>
    <w:rsid w:val="00D33A38"/>
    <w:rsid w:val="00D33A3A"/>
    <w:rsid w:val="00D33A89"/>
    <w:rsid w:val="00D33B57"/>
    <w:rsid w:val="00D33CA1"/>
    <w:rsid w:val="00D33E16"/>
    <w:rsid w:val="00D34017"/>
    <w:rsid w:val="00D341C1"/>
    <w:rsid w:val="00D34249"/>
    <w:rsid w:val="00D342D7"/>
    <w:rsid w:val="00D345B6"/>
    <w:rsid w:val="00D345D5"/>
    <w:rsid w:val="00D349A9"/>
    <w:rsid w:val="00D349AC"/>
    <w:rsid w:val="00D34D01"/>
    <w:rsid w:val="00D34E2A"/>
    <w:rsid w:val="00D34F8D"/>
    <w:rsid w:val="00D351DB"/>
    <w:rsid w:val="00D35229"/>
    <w:rsid w:val="00D353F1"/>
    <w:rsid w:val="00D357CB"/>
    <w:rsid w:val="00D359C9"/>
    <w:rsid w:val="00D35B1E"/>
    <w:rsid w:val="00D35B4C"/>
    <w:rsid w:val="00D35F5D"/>
    <w:rsid w:val="00D36037"/>
    <w:rsid w:val="00D3605E"/>
    <w:rsid w:val="00D36459"/>
    <w:rsid w:val="00D36519"/>
    <w:rsid w:val="00D365A2"/>
    <w:rsid w:val="00D366B9"/>
    <w:rsid w:val="00D36922"/>
    <w:rsid w:val="00D36A1B"/>
    <w:rsid w:val="00D36A2C"/>
    <w:rsid w:val="00D36CAD"/>
    <w:rsid w:val="00D36E2C"/>
    <w:rsid w:val="00D36EE6"/>
    <w:rsid w:val="00D3736C"/>
    <w:rsid w:val="00D37656"/>
    <w:rsid w:val="00D3767A"/>
    <w:rsid w:val="00D376E3"/>
    <w:rsid w:val="00D37904"/>
    <w:rsid w:val="00D37922"/>
    <w:rsid w:val="00D37E65"/>
    <w:rsid w:val="00D37FBE"/>
    <w:rsid w:val="00D400A0"/>
    <w:rsid w:val="00D40153"/>
    <w:rsid w:val="00D4035B"/>
    <w:rsid w:val="00D40386"/>
    <w:rsid w:val="00D406CE"/>
    <w:rsid w:val="00D406D6"/>
    <w:rsid w:val="00D40789"/>
    <w:rsid w:val="00D408AD"/>
    <w:rsid w:val="00D40A36"/>
    <w:rsid w:val="00D40A66"/>
    <w:rsid w:val="00D40C4F"/>
    <w:rsid w:val="00D40D10"/>
    <w:rsid w:val="00D41047"/>
    <w:rsid w:val="00D410CC"/>
    <w:rsid w:val="00D411A3"/>
    <w:rsid w:val="00D41263"/>
    <w:rsid w:val="00D4128D"/>
    <w:rsid w:val="00D41305"/>
    <w:rsid w:val="00D41474"/>
    <w:rsid w:val="00D41492"/>
    <w:rsid w:val="00D416A3"/>
    <w:rsid w:val="00D4172B"/>
    <w:rsid w:val="00D4193B"/>
    <w:rsid w:val="00D422A0"/>
    <w:rsid w:val="00D42E03"/>
    <w:rsid w:val="00D43052"/>
    <w:rsid w:val="00D43195"/>
    <w:rsid w:val="00D4321A"/>
    <w:rsid w:val="00D43285"/>
    <w:rsid w:val="00D43726"/>
    <w:rsid w:val="00D438D9"/>
    <w:rsid w:val="00D43B07"/>
    <w:rsid w:val="00D43D3D"/>
    <w:rsid w:val="00D43E3C"/>
    <w:rsid w:val="00D43EE3"/>
    <w:rsid w:val="00D43F12"/>
    <w:rsid w:val="00D44487"/>
    <w:rsid w:val="00D448A7"/>
    <w:rsid w:val="00D44C3D"/>
    <w:rsid w:val="00D44D24"/>
    <w:rsid w:val="00D44E3C"/>
    <w:rsid w:val="00D44F04"/>
    <w:rsid w:val="00D44F66"/>
    <w:rsid w:val="00D44FF2"/>
    <w:rsid w:val="00D4501E"/>
    <w:rsid w:val="00D45260"/>
    <w:rsid w:val="00D4538D"/>
    <w:rsid w:val="00D453CB"/>
    <w:rsid w:val="00D453FE"/>
    <w:rsid w:val="00D4552A"/>
    <w:rsid w:val="00D45AD9"/>
    <w:rsid w:val="00D45D74"/>
    <w:rsid w:val="00D45E0B"/>
    <w:rsid w:val="00D45F00"/>
    <w:rsid w:val="00D45F2E"/>
    <w:rsid w:val="00D45FFD"/>
    <w:rsid w:val="00D4604A"/>
    <w:rsid w:val="00D4615F"/>
    <w:rsid w:val="00D4617C"/>
    <w:rsid w:val="00D4629D"/>
    <w:rsid w:val="00D46319"/>
    <w:rsid w:val="00D46526"/>
    <w:rsid w:val="00D466C5"/>
    <w:rsid w:val="00D46707"/>
    <w:rsid w:val="00D467FD"/>
    <w:rsid w:val="00D46B3F"/>
    <w:rsid w:val="00D46D37"/>
    <w:rsid w:val="00D47070"/>
    <w:rsid w:val="00D472DE"/>
    <w:rsid w:val="00D4771F"/>
    <w:rsid w:val="00D47762"/>
    <w:rsid w:val="00D47966"/>
    <w:rsid w:val="00D47A96"/>
    <w:rsid w:val="00D47B04"/>
    <w:rsid w:val="00D47B19"/>
    <w:rsid w:val="00D47DA2"/>
    <w:rsid w:val="00D47E64"/>
    <w:rsid w:val="00D47F0A"/>
    <w:rsid w:val="00D5001D"/>
    <w:rsid w:val="00D500CC"/>
    <w:rsid w:val="00D50115"/>
    <w:rsid w:val="00D50394"/>
    <w:rsid w:val="00D503F1"/>
    <w:rsid w:val="00D506FC"/>
    <w:rsid w:val="00D509D4"/>
    <w:rsid w:val="00D512C6"/>
    <w:rsid w:val="00D5141C"/>
    <w:rsid w:val="00D51444"/>
    <w:rsid w:val="00D514B4"/>
    <w:rsid w:val="00D51612"/>
    <w:rsid w:val="00D516A3"/>
    <w:rsid w:val="00D51AC3"/>
    <w:rsid w:val="00D51CE7"/>
    <w:rsid w:val="00D51DDB"/>
    <w:rsid w:val="00D51EEC"/>
    <w:rsid w:val="00D51EFF"/>
    <w:rsid w:val="00D51F81"/>
    <w:rsid w:val="00D51FAA"/>
    <w:rsid w:val="00D5225F"/>
    <w:rsid w:val="00D522AD"/>
    <w:rsid w:val="00D525C8"/>
    <w:rsid w:val="00D52851"/>
    <w:rsid w:val="00D52AF7"/>
    <w:rsid w:val="00D52B9D"/>
    <w:rsid w:val="00D52E1E"/>
    <w:rsid w:val="00D53230"/>
    <w:rsid w:val="00D53334"/>
    <w:rsid w:val="00D53469"/>
    <w:rsid w:val="00D53A0D"/>
    <w:rsid w:val="00D53A87"/>
    <w:rsid w:val="00D53A9A"/>
    <w:rsid w:val="00D53BD9"/>
    <w:rsid w:val="00D53D45"/>
    <w:rsid w:val="00D53DF9"/>
    <w:rsid w:val="00D54055"/>
    <w:rsid w:val="00D54172"/>
    <w:rsid w:val="00D54173"/>
    <w:rsid w:val="00D54232"/>
    <w:rsid w:val="00D545BB"/>
    <w:rsid w:val="00D54638"/>
    <w:rsid w:val="00D548B2"/>
    <w:rsid w:val="00D54A2D"/>
    <w:rsid w:val="00D54A5F"/>
    <w:rsid w:val="00D54A86"/>
    <w:rsid w:val="00D54C30"/>
    <w:rsid w:val="00D54D37"/>
    <w:rsid w:val="00D54E99"/>
    <w:rsid w:val="00D55300"/>
    <w:rsid w:val="00D55419"/>
    <w:rsid w:val="00D555AF"/>
    <w:rsid w:val="00D55866"/>
    <w:rsid w:val="00D5594F"/>
    <w:rsid w:val="00D5598C"/>
    <w:rsid w:val="00D55A96"/>
    <w:rsid w:val="00D55BA5"/>
    <w:rsid w:val="00D55BB3"/>
    <w:rsid w:val="00D55DC5"/>
    <w:rsid w:val="00D55E14"/>
    <w:rsid w:val="00D55FF8"/>
    <w:rsid w:val="00D56100"/>
    <w:rsid w:val="00D56244"/>
    <w:rsid w:val="00D56374"/>
    <w:rsid w:val="00D56498"/>
    <w:rsid w:val="00D564DE"/>
    <w:rsid w:val="00D56575"/>
    <w:rsid w:val="00D5665E"/>
    <w:rsid w:val="00D5680A"/>
    <w:rsid w:val="00D56B08"/>
    <w:rsid w:val="00D56B97"/>
    <w:rsid w:val="00D57007"/>
    <w:rsid w:val="00D5705C"/>
    <w:rsid w:val="00D570FA"/>
    <w:rsid w:val="00D5715B"/>
    <w:rsid w:val="00D57399"/>
    <w:rsid w:val="00D576AC"/>
    <w:rsid w:val="00D57820"/>
    <w:rsid w:val="00D57F84"/>
    <w:rsid w:val="00D60236"/>
    <w:rsid w:val="00D60298"/>
    <w:rsid w:val="00D602A2"/>
    <w:rsid w:val="00D6041A"/>
    <w:rsid w:val="00D605FF"/>
    <w:rsid w:val="00D609D6"/>
    <w:rsid w:val="00D60C1D"/>
    <w:rsid w:val="00D60DC1"/>
    <w:rsid w:val="00D6156C"/>
    <w:rsid w:val="00D61585"/>
    <w:rsid w:val="00D61746"/>
    <w:rsid w:val="00D61B37"/>
    <w:rsid w:val="00D61DBE"/>
    <w:rsid w:val="00D61E33"/>
    <w:rsid w:val="00D61E3A"/>
    <w:rsid w:val="00D61EF5"/>
    <w:rsid w:val="00D61FE5"/>
    <w:rsid w:val="00D620C4"/>
    <w:rsid w:val="00D622D7"/>
    <w:rsid w:val="00D622EB"/>
    <w:rsid w:val="00D623B2"/>
    <w:rsid w:val="00D624D3"/>
    <w:rsid w:val="00D6264A"/>
    <w:rsid w:val="00D6296C"/>
    <w:rsid w:val="00D62A16"/>
    <w:rsid w:val="00D62B71"/>
    <w:rsid w:val="00D62D50"/>
    <w:rsid w:val="00D62F18"/>
    <w:rsid w:val="00D631F1"/>
    <w:rsid w:val="00D63398"/>
    <w:rsid w:val="00D63408"/>
    <w:rsid w:val="00D634F5"/>
    <w:rsid w:val="00D63529"/>
    <w:rsid w:val="00D6369C"/>
    <w:rsid w:val="00D63821"/>
    <w:rsid w:val="00D63AE9"/>
    <w:rsid w:val="00D63B20"/>
    <w:rsid w:val="00D63C64"/>
    <w:rsid w:val="00D6409B"/>
    <w:rsid w:val="00D64184"/>
    <w:rsid w:val="00D641EA"/>
    <w:rsid w:val="00D642D5"/>
    <w:rsid w:val="00D6439C"/>
    <w:rsid w:val="00D6455B"/>
    <w:rsid w:val="00D645AD"/>
    <w:rsid w:val="00D6464D"/>
    <w:rsid w:val="00D64763"/>
    <w:rsid w:val="00D64A07"/>
    <w:rsid w:val="00D64AAD"/>
    <w:rsid w:val="00D64E20"/>
    <w:rsid w:val="00D64F85"/>
    <w:rsid w:val="00D65142"/>
    <w:rsid w:val="00D65524"/>
    <w:rsid w:val="00D6560D"/>
    <w:rsid w:val="00D65757"/>
    <w:rsid w:val="00D6577D"/>
    <w:rsid w:val="00D65793"/>
    <w:rsid w:val="00D658EB"/>
    <w:rsid w:val="00D65986"/>
    <w:rsid w:val="00D65AE5"/>
    <w:rsid w:val="00D66038"/>
    <w:rsid w:val="00D6639F"/>
    <w:rsid w:val="00D6657E"/>
    <w:rsid w:val="00D6661E"/>
    <w:rsid w:val="00D667B7"/>
    <w:rsid w:val="00D66ABD"/>
    <w:rsid w:val="00D66D2C"/>
    <w:rsid w:val="00D66F6C"/>
    <w:rsid w:val="00D67164"/>
    <w:rsid w:val="00D672B2"/>
    <w:rsid w:val="00D6730C"/>
    <w:rsid w:val="00D67352"/>
    <w:rsid w:val="00D67354"/>
    <w:rsid w:val="00D6740E"/>
    <w:rsid w:val="00D67445"/>
    <w:rsid w:val="00D674D7"/>
    <w:rsid w:val="00D674F4"/>
    <w:rsid w:val="00D676ED"/>
    <w:rsid w:val="00D67753"/>
    <w:rsid w:val="00D67758"/>
    <w:rsid w:val="00D6780E"/>
    <w:rsid w:val="00D67885"/>
    <w:rsid w:val="00D67909"/>
    <w:rsid w:val="00D67997"/>
    <w:rsid w:val="00D67B43"/>
    <w:rsid w:val="00D67D03"/>
    <w:rsid w:val="00D67DD8"/>
    <w:rsid w:val="00D67EE0"/>
    <w:rsid w:val="00D67FEC"/>
    <w:rsid w:val="00D704D7"/>
    <w:rsid w:val="00D7055D"/>
    <w:rsid w:val="00D70570"/>
    <w:rsid w:val="00D706F7"/>
    <w:rsid w:val="00D7088A"/>
    <w:rsid w:val="00D70E73"/>
    <w:rsid w:val="00D710EA"/>
    <w:rsid w:val="00D71117"/>
    <w:rsid w:val="00D7114A"/>
    <w:rsid w:val="00D712E2"/>
    <w:rsid w:val="00D714ED"/>
    <w:rsid w:val="00D71758"/>
    <w:rsid w:val="00D7175F"/>
    <w:rsid w:val="00D7180E"/>
    <w:rsid w:val="00D71F49"/>
    <w:rsid w:val="00D7203A"/>
    <w:rsid w:val="00D721B1"/>
    <w:rsid w:val="00D726D3"/>
    <w:rsid w:val="00D7284F"/>
    <w:rsid w:val="00D72ACD"/>
    <w:rsid w:val="00D72C33"/>
    <w:rsid w:val="00D72C79"/>
    <w:rsid w:val="00D72D4B"/>
    <w:rsid w:val="00D72D4D"/>
    <w:rsid w:val="00D72E01"/>
    <w:rsid w:val="00D73546"/>
    <w:rsid w:val="00D73974"/>
    <w:rsid w:val="00D73A3C"/>
    <w:rsid w:val="00D73A7A"/>
    <w:rsid w:val="00D73AD9"/>
    <w:rsid w:val="00D73C1A"/>
    <w:rsid w:val="00D73E4E"/>
    <w:rsid w:val="00D73F88"/>
    <w:rsid w:val="00D74262"/>
    <w:rsid w:val="00D744B7"/>
    <w:rsid w:val="00D74648"/>
    <w:rsid w:val="00D74798"/>
    <w:rsid w:val="00D747EA"/>
    <w:rsid w:val="00D74BE7"/>
    <w:rsid w:val="00D74BF7"/>
    <w:rsid w:val="00D74D2A"/>
    <w:rsid w:val="00D74FCF"/>
    <w:rsid w:val="00D7500D"/>
    <w:rsid w:val="00D7504E"/>
    <w:rsid w:val="00D752A1"/>
    <w:rsid w:val="00D75331"/>
    <w:rsid w:val="00D753C4"/>
    <w:rsid w:val="00D753E7"/>
    <w:rsid w:val="00D7543E"/>
    <w:rsid w:val="00D75454"/>
    <w:rsid w:val="00D756DD"/>
    <w:rsid w:val="00D75A45"/>
    <w:rsid w:val="00D75B71"/>
    <w:rsid w:val="00D75C4A"/>
    <w:rsid w:val="00D75CF1"/>
    <w:rsid w:val="00D75D21"/>
    <w:rsid w:val="00D76101"/>
    <w:rsid w:val="00D76312"/>
    <w:rsid w:val="00D76391"/>
    <w:rsid w:val="00D76547"/>
    <w:rsid w:val="00D7660B"/>
    <w:rsid w:val="00D76842"/>
    <w:rsid w:val="00D7699A"/>
    <w:rsid w:val="00D76B0B"/>
    <w:rsid w:val="00D76F8D"/>
    <w:rsid w:val="00D772C5"/>
    <w:rsid w:val="00D77326"/>
    <w:rsid w:val="00D774B9"/>
    <w:rsid w:val="00D7756F"/>
    <w:rsid w:val="00D77706"/>
    <w:rsid w:val="00D77A34"/>
    <w:rsid w:val="00D77B2A"/>
    <w:rsid w:val="00D77CEE"/>
    <w:rsid w:val="00D77D78"/>
    <w:rsid w:val="00D77F94"/>
    <w:rsid w:val="00D800DF"/>
    <w:rsid w:val="00D800FF"/>
    <w:rsid w:val="00D80480"/>
    <w:rsid w:val="00D804D0"/>
    <w:rsid w:val="00D805C6"/>
    <w:rsid w:val="00D806EE"/>
    <w:rsid w:val="00D80764"/>
    <w:rsid w:val="00D80A66"/>
    <w:rsid w:val="00D80C12"/>
    <w:rsid w:val="00D80CE9"/>
    <w:rsid w:val="00D80D16"/>
    <w:rsid w:val="00D80E23"/>
    <w:rsid w:val="00D80F26"/>
    <w:rsid w:val="00D81004"/>
    <w:rsid w:val="00D8138D"/>
    <w:rsid w:val="00D81542"/>
    <w:rsid w:val="00D81632"/>
    <w:rsid w:val="00D8167B"/>
    <w:rsid w:val="00D81948"/>
    <w:rsid w:val="00D81A70"/>
    <w:rsid w:val="00D81B98"/>
    <w:rsid w:val="00D81C5F"/>
    <w:rsid w:val="00D81D24"/>
    <w:rsid w:val="00D81E17"/>
    <w:rsid w:val="00D81F57"/>
    <w:rsid w:val="00D82208"/>
    <w:rsid w:val="00D82223"/>
    <w:rsid w:val="00D822B1"/>
    <w:rsid w:val="00D823D4"/>
    <w:rsid w:val="00D8263A"/>
    <w:rsid w:val="00D82AC3"/>
    <w:rsid w:val="00D82ACF"/>
    <w:rsid w:val="00D82C3A"/>
    <w:rsid w:val="00D82E34"/>
    <w:rsid w:val="00D8357A"/>
    <w:rsid w:val="00D83596"/>
    <w:rsid w:val="00D835A8"/>
    <w:rsid w:val="00D836CE"/>
    <w:rsid w:val="00D8373D"/>
    <w:rsid w:val="00D83850"/>
    <w:rsid w:val="00D83853"/>
    <w:rsid w:val="00D83A97"/>
    <w:rsid w:val="00D83ACC"/>
    <w:rsid w:val="00D83BFE"/>
    <w:rsid w:val="00D83CAB"/>
    <w:rsid w:val="00D8407B"/>
    <w:rsid w:val="00D84152"/>
    <w:rsid w:val="00D843C3"/>
    <w:rsid w:val="00D84BCF"/>
    <w:rsid w:val="00D84BD7"/>
    <w:rsid w:val="00D84CB6"/>
    <w:rsid w:val="00D84CF6"/>
    <w:rsid w:val="00D84DF9"/>
    <w:rsid w:val="00D84ED6"/>
    <w:rsid w:val="00D84FFC"/>
    <w:rsid w:val="00D85034"/>
    <w:rsid w:val="00D851B7"/>
    <w:rsid w:val="00D8526A"/>
    <w:rsid w:val="00D853AC"/>
    <w:rsid w:val="00D85468"/>
    <w:rsid w:val="00D854F7"/>
    <w:rsid w:val="00D855E8"/>
    <w:rsid w:val="00D858D7"/>
    <w:rsid w:val="00D8594D"/>
    <w:rsid w:val="00D859CD"/>
    <w:rsid w:val="00D85BC7"/>
    <w:rsid w:val="00D85C76"/>
    <w:rsid w:val="00D85FCC"/>
    <w:rsid w:val="00D860F1"/>
    <w:rsid w:val="00D86101"/>
    <w:rsid w:val="00D8624B"/>
    <w:rsid w:val="00D863BC"/>
    <w:rsid w:val="00D86663"/>
    <w:rsid w:val="00D8676F"/>
    <w:rsid w:val="00D8688C"/>
    <w:rsid w:val="00D86CF0"/>
    <w:rsid w:val="00D86EE2"/>
    <w:rsid w:val="00D86EF7"/>
    <w:rsid w:val="00D870AA"/>
    <w:rsid w:val="00D870B7"/>
    <w:rsid w:val="00D87181"/>
    <w:rsid w:val="00D871DA"/>
    <w:rsid w:val="00D8726B"/>
    <w:rsid w:val="00D873BE"/>
    <w:rsid w:val="00D874C7"/>
    <w:rsid w:val="00D8752C"/>
    <w:rsid w:val="00D875BE"/>
    <w:rsid w:val="00D87614"/>
    <w:rsid w:val="00D876B0"/>
    <w:rsid w:val="00D87838"/>
    <w:rsid w:val="00D878FB"/>
    <w:rsid w:val="00D87AD1"/>
    <w:rsid w:val="00D87AFC"/>
    <w:rsid w:val="00D87C98"/>
    <w:rsid w:val="00D87F78"/>
    <w:rsid w:val="00D905BE"/>
    <w:rsid w:val="00D906B2"/>
    <w:rsid w:val="00D9083B"/>
    <w:rsid w:val="00D90976"/>
    <w:rsid w:val="00D90A8D"/>
    <w:rsid w:val="00D90B5D"/>
    <w:rsid w:val="00D90CCF"/>
    <w:rsid w:val="00D90CDE"/>
    <w:rsid w:val="00D90D0D"/>
    <w:rsid w:val="00D90D78"/>
    <w:rsid w:val="00D90F48"/>
    <w:rsid w:val="00D91094"/>
    <w:rsid w:val="00D913BE"/>
    <w:rsid w:val="00D917A0"/>
    <w:rsid w:val="00D91A8C"/>
    <w:rsid w:val="00D91B21"/>
    <w:rsid w:val="00D91BA3"/>
    <w:rsid w:val="00D91BC3"/>
    <w:rsid w:val="00D91D94"/>
    <w:rsid w:val="00D91E0F"/>
    <w:rsid w:val="00D91EB0"/>
    <w:rsid w:val="00D91F27"/>
    <w:rsid w:val="00D91F2E"/>
    <w:rsid w:val="00D92030"/>
    <w:rsid w:val="00D922A6"/>
    <w:rsid w:val="00D92563"/>
    <w:rsid w:val="00D92B99"/>
    <w:rsid w:val="00D92BA2"/>
    <w:rsid w:val="00D92CD1"/>
    <w:rsid w:val="00D933EB"/>
    <w:rsid w:val="00D93427"/>
    <w:rsid w:val="00D93464"/>
    <w:rsid w:val="00D935C6"/>
    <w:rsid w:val="00D93768"/>
    <w:rsid w:val="00D937DB"/>
    <w:rsid w:val="00D938F4"/>
    <w:rsid w:val="00D93A5F"/>
    <w:rsid w:val="00D93D18"/>
    <w:rsid w:val="00D93DAE"/>
    <w:rsid w:val="00D93DCA"/>
    <w:rsid w:val="00D93EBC"/>
    <w:rsid w:val="00D940BD"/>
    <w:rsid w:val="00D94362"/>
    <w:rsid w:val="00D946CF"/>
    <w:rsid w:val="00D9487D"/>
    <w:rsid w:val="00D949FF"/>
    <w:rsid w:val="00D94A7C"/>
    <w:rsid w:val="00D94B49"/>
    <w:rsid w:val="00D94CA5"/>
    <w:rsid w:val="00D94DFE"/>
    <w:rsid w:val="00D94E30"/>
    <w:rsid w:val="00D9505D"/>
    <w:rsid w:val="00D95356"/>
    <w:rsid w:val="00D9567F"/>
    <w:rsid w:val="00D957DA"/>
    <w:rsid w:val="00D95A96"/>
    <w:rsid w:val="00D95B08"/>
    <w:rsid w:val="00D95C3D"/>
    <w:rsid w:val="00D95E05"/>
    <w:rsid w:val="00D95E6D"/>
    <w:rsid w:val="00D96047"/>
    <w:rsid w:val="00D96169"/>
    <w:rsid w:val="00D96655"/>
    <w:rsid w:val="00D9673E"/>
    <w:rsid w:val="00D967C7"/>
    <w:rsid w:val="00D96988"/>
    <w:rsid w:val="00D974C3"/>
    <w:rsid w:val="00D974CE"/>
    <w:rsid w:val="00D974FE"/>
    <w:rsid w:val="00D97651"/>
    <w:rsid w:val="00D979DF"/>
    <w:rsid w:val="00D97DA7"/>
    <w:rsid w:val="00D97E95"/>
    <w:rsid w:val="00D97EC3"/>
    <w:rsid w:val="00D97ED4"/>
    <w:rsid w:val="00DA023F"/>
    <w:rsid w:val="00DA038C"/>
    <w:rsid w:val="00DA0947"/>
    <w:rsid w:val="00DA096F"/>
    <w:rsid w:val="00DA0BCC"/>
    <w:rsid w:val="00DA0CB0"/>
    <w:rsid w:val="00DA0D8C"/>
    <w:rsid w:val="00DA0FC3"/>
    <w:rsid w:val="00DA1041"/>
    <w:rsid w:val="00DA10EC"/>
    <w:rsid w:val="00DA133F"/>
    <w:rsid w:val="00DA155D"/>
    <w:rsid w:val="00DA17F9"/>
    <w:rsid w:val="00DA1833"/>
    <w:rsid w:val="00DA19A8"/>
    <w:rsid w:val="00DA1C5D"/>
    <w:rsid w:val="00DA1C6F"/>
    <w:rsid w:val="00DA1CC9"/>
    <w:rsid w:val="00DA1E00"/>
    <w:rsid w:val="00DA2117"/>
    <w:rsid w:val="00DA217A"/>
    <w:rsid w:val="00DA239F"/>
    <w:rsid w:val="00DA24DC"/>
    <w:rsid w:val="00DA24E3"/>
    <w:rsid w:val="00DA2508"/>
    <w:rsid w:val="00DA2585"/>
    <w:rsid w:val="00DA262C"/>
    <w:rsid w:val="00DA26A3"/>
    <w:rsid w:val="00DA28A6"/>
    <w:rsid w:val="00DA2968"/>
    <w:rsid w:val="00DA29E7"/>
    <w:rsid w:val="00DA2C91"/>
    <w:rsid w:val="00DA2DE2"/>
    <w:rsid w:val="00DA2DEE"/>
    <w:rsid w:val="00DA2E72"/>
    <w:rsid w:val="00DA3229"/>
    <w:rsid w:val="00DA33AA"/>
    <w:rsid w:val="00DA3413"/>
    <w:rsid w:val="00DA353E"/>
    <w:rsid w:val="00DA35D1"/>
    <w:rsid w:val="00DA361B"/>
    <w:rsid w:val="00DA36A3"/>
    <w:rsid w:val="00DA36B6"/>
    <w:rsid w:val="00DA3AED"/>
    <w:rsid w:val="00DA3AF9"/>
    <w:rsid w:val="00DA3C5C"/>
    <w:rsid w:val="00DA3C8A"/>
    <w:rsid w:val="00DA3E3E"/>
    <w:rsid w:val="00DA3FD9"/>
    <w:rsid w:val="00DA424A"/>
    <w:rsid w:val="00DA43E5"/>
    <w:rsid w:val="00DA45B6"/>
    <w:rsid w:val="00DA4746"/>
    <w:rsid w:val="00DA495D"/>
    <w:rsid w:val="00DA496F"/>
    <w:rsid w:val="00DA4B44"/>
    <w:rsid w:val="00DA4F03"/>
    <w:rsid w:val="00DA4F90"/>
    <w:rsid w:val="00DA513B"/>
    <w:rsid w:val="00DA522E"/>
    <w:rsid w:val="00DA563D"/>
    <w:rsid w:val="00DA5642"/>
    <w:rsid w:val="00DA57C0"/>
    <w:rsid w:val="00DA5916"/>
    <w:rsid w:val="00DA591E"/>
    <w:rsid w:val="00DA5D6F"/>
    <w:rsid w:val="00DA5D8B"/>
    <w:rsid w:val="00DA5E8D"/>
    <w:rsid w:val="00DA5ECD"/>
    <w:rsid w:val="00DA607E"/>
    <w:rsid w:val="00DA613E"/>
    <w:rsid w:val="00DA626C"/>
    <w:rsid w:val="00DA656E"/>
    <w:rsid w:val="00DA65C0"/>
    <w:rsid w:val="00DA6606"/>
    <w:rsid w:val="00DA66B9"/>
    <w:rsid w:val="00DA67FB"/>
    <w:rsid w:val="00DA6811"/>
    <w:rsid w:val="00DA6837"/>
    <w:rsid w:val="00DA683D"/>
    <w:rsid w:val="00DA68C1"/>
    <w:rsid w:val="00DA6AA8"/>
    <w:rsid w:val="00DA6F3B"/>
    <w:rsid w:val="00DA6F43"/>
    <w:rsid w:val="00DA70B1"/>
    <w:rsid w:val="00DA73E4"/>
    <w:rsid w:val="00DA74EB"/>
    <w:rsid w:val="00DA7527"/>
    <w:rsid w:val="00DA7573"/>
    <w:rsid w:val="00DA7720"/>
    <w:rsid w:val="00DA793D"/>
    <w:rsid w:val="00DA7BC8"/>
    <w:rsid w:val="00DA7D22"/>
    <w:rsid w:val="00DA7D40"/>
    <w:rsid w:val="00DA7E7F"/>
    <w:rsid w:val="00DB02FF"/>
    <w:rsid w:val="00DB04FA"/>
    <w:rsid w:val="00DB0531"/>
    <w:rsid w:val="00DB0534"/>
    <w:rsid w:val="00DB0B36"/>
    <w:rsid w:val="00DB0F7D"/>
    <w:rsid w:val="00DB1581"/>
    <w:rsid w:val="00DB170C"/>
    <w:rsid w:val="00DB178D"/>
    <w:rsid w:val="00DB180D"/>
    <w:rsid w:val="00DB1B6B"/>
    <w:rsid w:val="00DB1E0F"/>
    <w:rsid w:val="00DB1E57"/>
    <w:rsid w:val="00DB2065"/>
    <w:rsid w:val="00DB22D6"/>
    <w:rsid w:val="00DB2359"/>
    <w:rsid w:val="00DB24C7"/>
    <w:rsid w:val="00DB2501"/>
    <w:rsid w:val="00DB266B"/>
    <w:rsid w:val="00DB285E"/>
    <w:rsid w:val="00DB2A4A"/>
    <w:rsid w:val="00DB2BC8"/>
    <w:rsid w:val="00DB2C19"/>
    <w:rsid w:val="00DB2D1A"/>
    <w:rsid w:val="00DB2D5C"/>
    <w:rsid w:val="00DB2DB5"/>
    <w:rsid w:val="00DB2F2B"/>
    <w:rsid w:val="00DB33F4"/>
    <w:rsid w:val="00DB36D1"/>
    <w:rsid w:val="00DB371B"/>
    <w:rsid w:val="00DB39C3"/>
    <w:rsid w:val="00DB3B87"/>
    <w:rsid w:val="00DB3E78"/>
    <w:rsid w:val="00DB41EA"/>
    <w:rsid w:val="00DB4244"/>
    <w:rsid w:val="00DB4287"/>
    <w:rsid w:val="00DB45F1"/>
    <w:rsid w:val="00DB46AC"/>
    <w:rsid w:val="00DB4E01"/>
    <w:rsid w:val="00DB4E40"/>
    <w:rsid w:val="00DB505F"/>
    <w:rsid w:val="00DB5065"/>
    <w:rsid w:val="00DB5361"/>
    <w:rsid w:val="00DB5513"/>
    <w:rsid w:val="00DB555B"/>
    <w:rsid w:val="00DB563C"/>
    <w:rsid w:val="00DB5694"/>
    <w:rsid w:val="00DB5713"/>
    <w:rsid w:val="00DB58AE"/>
    <w:rsid w:val="00DB58ED"/>
    <w:rsid w:val="00DB5A3F"/>
    <w:rsid w:val="00DB5D18"/>
    <w:rsid w:val="00DB5E75"/>
    <w:rsid w:val="00DB5EFB"/>
    <w:rsid w:val="00DB5F55"/>
    <w:rsid w:val="00DB6235"/>
    <w:rsid w:val="00DB64E4"/>
    <w:rsid w:val="00DB6565"/>
    <w:rsid w:val="00DB6789"/>
    <w:rsid w:val="00DB6849"/>
    <w:rsid w:val="00DB68AA"/>
    <w:rsid w:val="00DB6A35"/>
    <w:rsid w:val="00DB6AA3"/>
    <w:rsid w:val="00DB6DBB"/>
    <w:rsid w:val="00DB6DF7"/>
    <w:rsid w:val="00DB6F94"/>
    <w:rsid w:val="00DB702F"/>
    <w:rsid w:val="00DB71B2"/>
    <w:rsid w:val="00DB72A3"/>
    <w:rsid w:val="00DB762F"/>
    <w:rsid w:val="00DB768E"/>
    <w:rsid w:val="00DB7872"/>
    <w:rsid w:val="00DB792E"/>
    <w:rsid w:val="00DB7AA2"/>
    <w:rsid w:val="00DB7C02"/>
    <w:rsid w:val="00DB7C87"/>
    <w:rsid w:val="00DB7C8C"/>
    <w:rsid w:val="00DB7D43"/>
    <w:rsid w:val="00DB7E7D"/>
    <w:rsid w:val="00DB7F38"/>
    <w:rsid w:val="00DC00DD"/>
    <w:rsid w:val="00DC02F8"/>
    <w:rsid w:val="00DC05A8"/>
    <w:rsid w:val="00DC0608"/>
    <w:rsid w:val="00DC080E"/>
    <w:rsid w:val="00DC0A7D"/>
    <w:rsid w:val="00DC0AAB"/>
    <w:rsid w:val="00DC0BDB"/>
    <w:rsid w:val="00DC0C0A"/>
    <w:rsid w:val="00DC0D08"/>
    <w:rsid w:val="00DC0E79"/>
    <w:rsid w:val="00DC0E86"/>
    <w:rsid w:val="00DC1029"/>
    <w:rsid w:val="00DC10AC"/>
    <w:rsid w:val="00DC1185"/>
    <w:rsid w:val="00DC1203"/>
    <w:rsid w:val="00DC122D"/>
    <w:rsid w:val="00DC1248"/>
    <w:rsid w:val="00DC12F6"/>
    <w:rsid w:val="00DC17AF"/>
    <w:rsid w:val="00DC17E5"/>
    <w:rsid w:val="00DC18D6"/>
    <w:rsid w:val="00DC1938"/>
    <w:rsid w:val="00DC1A24"/>
    <w:rsid w:val="00DC1D7D"/>
    <w:rsid w:val="00DC1E32"/>
    <w:rsid w:val="00DC1EA8"/>
    <w:rsid w:val="00DC1F7A"/>
    <w:rsid w:val="00DC2332"/>
    <w:rsid w:val="00DC23C2"/>
    <w:rsid w:val="00DC2507"/>
    <w:rsid w:val="00DC250A"/>
    <w:rsid w:val="00DC256C"/>
    <w:rsid w:val="00DC2A95"/>
    <w:rsid w:val="00DC2AD3"/>
    <w:rsid w:val="00DC2BA9"/>
    <w:rsid w:val="00DC2D2B"/>
    <w:rsid w:val="00DC2EB3"/>
    <w:rsid w:val="00DC2F1B"/>
    <w:rsid w:val="00DC3361"/>
    <w:rsid w:val="00DC34EC"/>
    <w:rsid w:val="00DC3780"/>
    <w:rsid w:val="00DC37C4"/>
    <w:rsid w:val="00DC391B"/>
    <w:rsid w:val="00DC394D"/>
    <w:rsid w:val="00DC3A18"/>
    <w:rsid w:val="00DC3BA3"/>
    <w:rsid w:val="00DC4074"/>
    <w:rsid w:val="00DC414D"/>
    <w:rsid w:val="00DC4186"/>
    <w:rsid w:val="00DC41CB"/>
    <w:rsid w:val="00DC4424"/>
    <w:rsid w:val="00DC45A7"/>
    <w:rsid w:val="00DC47A7"/>
    <w:rsid w:val="00DC48A6"/>
    <w:rsid w:val="00DC48C6"/>
    <w:rsid w:val="00DC4B58"/>
    <w:rsid w:val="00DC4B7E"/>
    <w:rsid w:val="00DC4D32"/>
    <w:rsid w:val="00DC4EF3"/>
    <w:rsid w:val="00DC50E7"/>
    <w:rsid w:val="00DC5110"/>
    <w:rsid w:val="00DC5395"/>
    <w:rsid w:val="00DC5B1E"/>
    <w:rsid w:val="00DC5C9F"/>
    <w:rsid w:val="00DC5D9B"/>
    <w:rsid w:val="00DC5E90"/>
    <w:rsid w:val="00DC5F52"/>
    <w:rsid w:val="00DC6147"/>
    <w:rsid w:val="00DC62EC"/>
    <w:rsid w:val="00DC6456"/>
    <w:rsid w:val="00DC64B5"/>
    <w:rsid w:val="00DC64CD"/>
    <w:rsid w:val="00DC65EF"/>
    <w:rsid w:val="00DC689E"/>
    <w:rsid w:val="00DC69C4"/>
    <w:rsid w:val="00DC6B35"/>
    <w:rsid w:val="00DC6B71"/>
    <w:rsid w:val="00DC6BB5"/>
    <w:rsid w:val="00DC6DE2"/>
    <w:rsid w:val="00DC717B"/>
    <w:rsid w:val="00DC7373"/>
    <w:rsid w:val="00DC7420"/>
    <w:rsid w:val="00DC769B"/>
    <w:rsid w:val="00DC76EF"/>
    <w:rsid w:val="00DC7863"/>
    <w:rsid w:val="00DC7EA3"/>
    <w:rsid w:val="00DD0157"/>
    <w:rsid w:val="00DD025E"/>
    <w:rsid w:val="00DD028F"/>
    <w:rsid w:val="00DD0357"/>
    <w:rsid w:val="00DD0549"/>
    <w:rsid w:val="00DD05F5"/>
    <w:rsid w:val="00DD0760"/>
    <w:rsid w:val="00DD0A7F"/>
    <w:rsid w:val="00DD0C46"/>
    <w:rsid w:val="00DD0C93"/>
    <w:rsid w:val="00DD0EB9"/>
    <w:rsid w:val="00DD0F2D"/>
    <w:rsid w:val="00DD100F"/>
    <w:rsid w:val="00DD1370"/>
    <w:rsid w:val="00DD13D9"/>
    <w:rsid w:val="00DD15A2"/>
    <w:rsid w:val="00DD1662"/>
    <w:rsid w:val="00DD169C"/>
    <w:rsid w:val="00DD18B5"/>
    <w:rsid w:val="00DD18EB"/>
    <w:rsid w:val="00DD1A60"/>
    <w:rsid w:val="00DD1B14"/>
    <w:rsid w:val="00DD1B3B"/>
    <w:rsid w:val="00DD1C21"/>
    <w:rsid w:val="00DD1C73"/>
    <w:rsid w:val="00DD1DCB"/>
    <w:rsid w:val="00DD2053"/>
    <w:rsid w:val="00DD20AC"/>
    <w:rsid w:val="00DD2402"/>
    <w:rsid w:val="00DD25DD"/>
    <w:rsid w:val="00DD275B"/>
    <w:rsid w:val="00DD2B67"/>
    <w:rsid w:val="00DD2BDE"/>
    <w:rsid w:val="00DD2C58"/>
    <w:rsid w:val="00DD2F81"/>
    <w:rsid w:val="00DD3429"/>
    <w:rsid w:val="00DD3598"/>
    <w:rsid w:val="00DD3627"/>
    <w:rsid w:val="00DD3650"/>
    <w:rsid w:val="00DD36DC"/>
    <w:rsid w:val="00DD37D0"/>
    <w:rsid w:val="00DD38F3"/>
    <w:rsid w:val="00DD3B26"/>
    <w:rsid w:val="00DD3BC1"/>
    <w:rsid w:val="00DD3D41"/>
    <w:rsid w:val="00DD3DAA"/>
    <w:rsid w:val="00DD3DC6"/>
    <w:rsid w:val="00DD3EE5"/>
    <w:rsid w:val="00DD3FD4"/>
    <w:rsid w:val="00DD42F0"/>
    <w:rsid w:val="00DD42F7"/>
    <w:rsid w:val="00DD4322"/>
    <w:rsid w:val="00DD43C2"/>
    <w:rsid w:val="00DD45BA"/>
    <w:rsid w:val="00DD47B2"/>
    <w:rsid w:val="00DD47E5"/>
    <w:rsid w:val="00DD497D"/>
    <w:rsid w:val="00DD4B23"/>
    <w:rsid w:val="00DD4C67"/>
    <w:rsid w:val="00DD4CF2"/>
    <w:rsid w:val="00DD520B"/>
    <w:rsid w:val="00DD52BF"/>
    <w:rsid w:val="00DD5553"/>
    <w:rsid w:val="00DD558B"/>
    <w:rsid w:val="00DD5A54"/>
    <w:rsid w:val="00DD5B23"/>
    <w:rsid w:val="00DD5DA9"/>
    <w:rsid w:val="00DD5E03"/>
    <w:rsid w:val="00DD6075"/>
    <w:rsid w:val="00DD618F"/>
    <w:rsid w:val="00DD6991"/>
    <w:rsid w:val="00DD6FB2"/>
    <w:rsid w:val="00DD70B6"/>
    <w:rsid w:val="00DD70C8"/>
    <w:rsid w:val="00DD743F"/>
    <w:rsid w:val="00DD751D"/>
    <w:rsid w:val="00DD75FC"/>
    <w:rsid w:val="00DD7622"/>
    <w:rsid w:val="00DD7806"/>
    <w:rsid w:val="00DD79C6"/>
    <w:rsid w:val="00DD7A20"/>
    <w:rsid w:val="00DD7A42"/>
    <w:rsid w:val="00DD7C21"/>
    <w:rsid w:val="00DD7C57"/>
    <w:rsid w:val="00DD7DCB"/>
    <w:rsid w:val="00DD7F6D"/>
    <w:rsid w:val="00DE07BF"/>
    <w:rsid w:val="00DE091B"/>
    <w:rsid w:val="00DE0AAB"/>
    <w:rsid w:val="00DE0AFA"/>
    <w:rsid w:val="00DE0CF1"/>
    <w:rsid w:val="00DE0D14"/>
    <w:rsid w:val="00DE0D26"/>
    <w:rsid w:val="00DE0DEE"/>
    <w:rsid w:val="00DE0EBC"/>
    <w:rsid w:val="00DE0F30"/>
    <w:rsid w:val="00DE0F4D"/>
    <w:rsid w:val="00DE13AA"/>
    <w:rsid w:val="00DE13EB"/>
    <w:rsid w:val="00DE1486"/>
    <w:rsid w:val="00DE14D5"/>
    <w:rsid w:val="00DE151C"/>
    <w:rsid w:val="00DE1629"/>
    <w:rsid w:val="00DE16DE"/>
    <w:rsid w:val="00DE1798"/>
    <w:rsid w:val="00DE1942"/>
    <w:rsid w:val="00DE19DB"/>
    <w:rsid w:val="00DE1B1F"/>
    <w:rsid w:val="00DE1E1D"/>
    <w:rsid w:val="00DE2331"/>
    <w:rsid w:val="00DE2729"/>
    <w:rsid w:val="00DE27BC"/>
    <w:rsid w:val="00DE286E"/>
    <w:rsid w:val="00DE2C6C"/>
    <w:rsid w:val="00DE2DD1"/>
    <w:rsid w:val="00DE2EC1"/>
    <w:rsid w:val="00DE3089"/>
    <w:rsid w:val="00DE336C"/>
    <w:rsid w:val="00DE3425"/>
    <w:rsid w:val="00DE3450"/>
    <w:rsid w:val="00DE363A"/>
    <w:rsid w:val="00DE36D1"/>
    <w:rsid w:val="00DE37EC"/>
    <w:rsid w:val="00DE3B9B"/>
    <w:rsid w:val="00DE3C17"/>
    <w:rsid w:val="00DE3DC6"/>
    <w:rsid w:val="00DE3F8C"/>
    <w:rsid w:val="00DE4028"/>
    <w:rsid w:val="00DE42B1"/>
    <w:rsid w:val="00DE437E"/>
    <w:rsid w:val="00DE43B4"/>
    <w:rsid w:val="00DE43CE"/>
    <w:rsid w:val="00DE4444"/>
    <w:rsid w:val="00DE465C"/>
    <w:rsid w:val="00DE48E4"/>
    <w:rsid w:val="00DE5155"/>
    <w:rsid w:val="00DE526B"/>
    <w:rsid w:val="00DE5731"/>
    <w:rsid w:val="00DE597B"/>
    <w:rsid w:val="00DE5A71"/>
    <w:rsid w:val="00DE5B56"/>
    <w:rsid w:val="00DE5E27"/>
    <w:rsid w:val="00DE601E"/>
    <w:rsid w:val="00DE6047"/>
    <w:rsid w:val="00DE6205"/>
    <w:rsid w:val="00DE648A"/>
    <w:rsid w:val="00DE6606"/>
    <w:rsid w:val="00DE690D"/>
    <w:rsid w:val="00DE6CE3"/>
    <w:rsid w:val="00DE6D12"/>
    <w:rsid w:val="00DE6E50"/>
    <w:rsid w:val="00DE7039"/>
    <w:rsid w:val="00DE7054"/>
    <w:rsid w:val="00DE7273"/>
    <w:rsid w:val="00DE7449"/>
    <w:rsid w:val="00DE7475"/>
    <w:rsid w:val="00DE75CB"/>
    <w:rsid w:val="00DE763E"/>
    <w:rsid w:val="00DE773A"/>
    <w:rsid w:val="00DE7972"/>
    <w:rsid w:val="00DE79DA"/>
    <w:rsid w:val="00DE7A52"/>
    <w:rsid w:val="00DE7B68"/>
    <w:rsid w:val="00DE7CB3"/>
    <w:rsid w:val="00DE7D61"/>
    <w:rsid w:val="00DE7E0F"/>
    <w:rsid w:val="00DE7E7D"/>
    <w:rsid w:val="00DE7EF6"/>
    <w:rsid w:val="00DE7F9D"/>
    <w:rsid w:val="00DE7FB7"/>
    <w:rsid w:val="00DF005A"/>
    <w:rsid w:val="00DF0107"/>
    <w:rsid w:val="00DF024D"/>
    <w:rsid w:val="00DF0267"/>
    <w:rsid w:val="00DF03B2"/>
    <w:rsid w:val="00DF0620"/>
    <w:rsid w:val="00DF0920"/>
    <w:rsid w:val="00DF09ED"/>
    <w:rsid w:val="00DF0A14"/>
    <w:rsid w:val="00DF0A7A"/>
    <w:rsid w:val="00DF0EDB"/>
    <w:rsid w:val="00DF0F0C"/>
    <w:rsid w:val="00DF0F2B"/>
    <w:rsid w:val="00DF0F8C"/>
    <w:rsid w:val="00DF0FE3"/>
    <w:rsid w:val="00DF1431"/>
    <w:rsid w:val="00DF17EE"/>
    <w:rsid w:val="00DF1907"/>
    <w:rsid w:val="00DF19EA"/>
    <w:rsid w:val="00DF1B55"/>
    <w:rsid w:val="00DF1B7E"/>
    <w:rsid w:val="00DF1B87"/>
    <w:rsid w:val="00DF1BDF"/>
    <w:rsid w:val="00DF1C78"/>
    <w:rsid w:val="00DF1D8A"/>
    <w:rsid w:val="00DF1D95"/>
    <w:rsid w:val="00DF1ED9"/>
    <w:rsid w:val="00DF1F5B"/>
    <w:rsid w:val="00DF1F65"/>
    <w:rsid w:val="00DF20DC"/>
    <w:rsid w:val="00DF213A"/>
    <w:rsid w:val="00DF223B"/>
    <w:rsid w:val="00DF240B"/>
    <w:rsid w:val="00DF242D"/>
    <w:rsid w:val="00DF2463"/>
    <w:rsid w:val="00DF2899"/>
    <w:rsid w:val="00DF299C"/>
    <w:rsid w:val="00DF2AF6"/>
    <w:rsid w:val="00DF2B01"/>
    <w:rsid w:val="00DF2B3E"/>
    <w:rsid w:val="00DF2B97"/>
    <w:rsid w:val="00DF2BF8"/>
    <w:rsid w:val="00DF2DE6"/>
    <w:rsid w:val="00DF2ED2"/>
    <w:rsid w:val="00DF30CB"/>
    <w:rsid w:val="00DF3ABA"/>
    <w:rsid w:val="00DF3AEF"/>
    <w:rsid w:val="00DF3B90"/>
    <w:rsid w:val="00DF3E92"/>
    <w:rsid w:val="00DF3F8B"/>
    <w:rsid w:val="00DF40E4"/>
    <w:rsid w:val="00DF415B"/>
    <w:rsid w:val="00DF4525"/>
    <w:rsid w:val="00DF4673"/>
    <w:rsid w:val="00DF46E6"/>
    <w:rsid w:val="00DF47E4"/>
    <w:rsid w:val="00DF4863"/>
    <w:rsid w:val="00DF4FD8"/>
    <w:rsid w:val="00DF50DA"/>
    <w:rsid w:val="00DF5136"/>
    <w:rsid w:val="00DF51D7"/>
    <w:rsid w:val="00DF51F0"/>
    <w:rsid w:val="00DF5329"/>
    <w:rsid w:val="00DF535F"/>
    <w:rsid w:val="00DF5370"/>
    <w:rsid w:val="00DF544A"/>
    <w:rsid w:val="00DF5663"/>
    <w:rsid w:val="00DF5961"/>
    <w:rsid w:val="00DF5B42"/>
    <w:rsid w:val="00DF5C24"/>
    <w:rsid w:val="00DF5C67"/>
    <w:rsid w:val="00DF5F85"/>
    <w:rsid w:val="00DF60D0"/>
    <w:rsid w:val="00DF612C"/>
    <w:rsid w:val="00DF62CA"/>
    <w:rsid w:val="00DF636F"/>
    <w:rsid w:val="00DF63AF"/>
    <w:rsid w:val="00DF6954"/>
    <w:rsid w:val="00DF695B"/>
    <w:rsid w:val="00DF6A9F"/>
    <w:rsid w:val="00DF6F5F"/>
    <w:rsid w:val="00DF7027"/>
    <w:rsid w:val="00DF71F0"/>
    <w:rsid w:val="00DF7234"/>
    <w:rsid w:val="00DF74C7"/>
    <w:rsid w:val="00DF7612"/>
    <w:rsid w:val="00DF774A"/>
    <w:rsid w:val="00DF788C"/>
    <w:rsid w:val="00DF7A3D"/>
    <w:rsid w:val="00DF7D23"/>
    <w:rsid w:val="00DF7D26"/>
    <w:rsid w:val="00DF7D9D"/>
    <w:rsid w:val="00DF7E54"/>
    <w:rsid w:val="00DF7FAC"/>
    <w:rsid w:val="00E0023F"/>
    <w:rsid w:val="00E00255"/>
    <w:rsid w:val="00E00297"/>
    <w:rsid w:val="00E002E9"/>
    <w:rsid w:val="00E00338"/>
    <w:rsid w:val="00E00390"/>
    <w:rsid w:val="00E004A5"/>
    <w:rsid w:val="00E00B6D"/>
    <w:rsid w:val="00E00C99"/>
    <w:rsid w:val="00E00F25"/>
    <w:rsid w:val="00E00F8F"/>
    <w:rsid w:val="00E011E0"/>
    <w:rsid w:val="00E01301"/>
    <w:rsid w:val="00E0139C"/>
    <w:rsid w:val="00E016B0"/>
    <w:rsid w:val="00E017A2"/>
    <w:rsid w:val="00E01854"/>
    <w:rsid w:val="00E0192E"/>
    <w:rsid w:val="00E01A50"/>
    <w:rsid w:val="00E01A92"/>
    <w:rsid w:val="00E01B93"/>
    <w:rsid w:val="00E01B9C"/>
    <w:rsid w:val="00E01BA5"/>
    <w:rsid w:val="00E01CF3"/>
    <w:rsid w:val="00E02155"/>
    <w:rsid w:val="00E023C0"/>
    <w:rsid w:val="00E025F2"/>
    <w:rsid w:val="00E02BC9"/>
    <w:rsid w:val="00E02BCC"/>
    <w:rsid w:val="00E02BD4"/>
    <w:rsid w:val="00E02BE8"/>
    <w:rsid w:val="00E02F12"/>
    <w:rsid w:val="00E02F3E"/>
    <w:rsid w:val="00E031C1"/>
    <w:rsid w:val="00E03262"/>
    <w:rsid w:val="00E03378"/>
    <w:rsid w:val="00E034AD"/>
    <w:rsid w:val="00E034F8"/>
    <w:rsid w:val="00E0352E"/>
    <w:rsid w:val="00E03559"/>
    <w:rsid w:val="00E03682"/>
    <w:rsid w:val="00E03737"/>
    <w:rsid w:val="00E0376A"/>
    <w:rsid w:val="00E03890"/>
    <w:rsid w:val="00E0389A"/>
    <w:rsid w:val="00E03902"/>
    <w:rsid w:val="00E03D83"/>
    <w:rsid w:val="00E03D90"/>
    <w:rsid w:val="00E03EE1"/>
    <w:rsid w:val="00E0424E"/>
    <w:rsid w:val="00E042A1"/>
    <w:rsid w:val="00E04338"/>
    <w:rsid w:val="00E04508"/>
    <w:rsid w:val="00E0459C"/>
    <w:rsid w:val="00E0464E"/>
    <w:rsid w:val="00E0479C"/>
    <w:rsid w:val="00E049F1"/>
    <w:rsid w:val="00E04AA0"/>
    <w:rsid w:val="00E04D5A"/>
    <w:rsid w:val="00E04E19"/>
    <w:rsid w:val="00E04F08"/>
    <w:rsid w:val="00E05143"/>
    <w:rsid w:val="00E0517C"/>
    <w:rsid w:val="00E054FA"/>
    <w:rsid w:val="00E0551F"/>
    <w:rsid w:val="00E0553A"/>
    <w:rsid w:val="00E0560F"/>
    <w:rsid w:val="00E05931"/>
    <w:rsid w:val="00E05CE4"/>
    <w:rsid w:val="00E06067"/>
    <w:rsid w:val="00E0609A"/>
    <w:rsid w:val="00E060A4"/>
    <w:rsid w:val="00E062E1"/>
    <w:rsid w:val="00E06366"/>
    <w:rsid w:val="00E063E5"/>
    <w:rsid w:val="00E064C1"/>
    <w:rsid w:val="00E06576"/>
    <w:rsid w:val="00E065A3"/>
    <w:rsid w:val="00E0673F"/>
    <w:rsid w:val="00E067F9"/>
    <w:rsid w:val="00E06809"/>
    <w:rsid w:val="00E0695B"/>
    <w:rsid w:val="00E06A28"/>
    <w:rsid w:val="00E06C86"/>
    <w:rsid w:val="00E06CBD"/>
    <w:rsid w:val="00E06D05"/>
    <w:rsid w:val="00E0715E"/>
    <w:rsid w:val="00E071DB"/>
    <w:rsid w:val="00E074E8"/>
    <w:rsid w:val="00E074FB"/>
    <w:rsid w:val="00E07807"/>
    <w:rsid w:val="00E07945"/>
    <w:rsid w:val="00E07ACB"/>
    <w:rsid w:val="00E07B6F"/>
    <w:rsid w:val="00E07B85"/>
    <w:rsid w:val="00E07C70"/>
    <w:rsid w:val="00E07F3D"/>
    <w:rsid w:val="00E1013E"/>
    <w:rsid w:val="00E10189"/>
    <w:rsid w:val="00E1048A"/>
    <w:rsid w:val="00E1079B"/>
    <w:rsid w:val="00E108C1"/>
    <w:rsid w:val="00E10937"/>
    <w:rsid w:val="00E10948"/>
    <w:rsid w:val="00E10A4B"/>
    <w:rsid w:val="00E10E8B"/>
    <w:rsid w:val="00E1133B"/>
    <w:rsid w:val="00E11428"/>
    <w:rsid w:val="00E11603"/>
    <w:rsid w:val="00E11A0D"/>
    <w:rsid w:val="00E11A11"/>
    <w:rsid w:val="00E11B56"/>
    <w:rsid w:val="00E11C68"/>
    <w:rsid w:val="00E11E88"/>
    <w:rsid w:val="00E11F4D"/>
    <w:rsid w:val="00E1234D"/>
    <w:rsid w:val="00E123BF"/>
    <w:rsid w:val="00E125F4"/>
    <w:rsid w:val="00E126D1"/>
    <w:rsid w:val="00E1279A"/>
    <w:rsid w:val="00E1292A"/>
    <w:rsid w:val="00E1294B"/>
    <w:rsid w:val="00E12B33"/>
    <w:rsid w:val="00E12B47"/>
    <w:rsid w:val="00E12DA2"/>
    <w:rsid w:val="00E12DD5"/>
    <w:rsid w:val="00E131C1"/>
    <w:rsid w:val="00E133A3"/>
    <w:rsid w:val="00E134EA"/>
    <w:rsid w:val="00E1363A"/>
    <w:rsid w:val="00E1368C"/>
    <w:rsid w:val="00E13782"/>
    <w:rsid w:val="00E13A7B"/>
    <w:rsid w:val="00E13A95"/>
    <w:rsid w:val="00E13CBB"/>
    <w:rsid w:val="00E13CC9"/>
    <w:rsid w:val="00E13F5A"/>
    <w:rsid w:val="00E140E1"/>
    <w:rsid w:val="00E142E5"/>
    <w:rsid w:val="00E14388"/>
    <w:rsid w:val="00E144A8"/>
    <w:rsid w:val="00E1460E"/>
    <w:rsid w:val="00E14840"/>
    <w:rsid w:val="00E1499B"/>
    <w:rsid w:val="00E149DD"/>
    <w:rsid w:val="00E14B3E"/>
    <w:rsid w:val="00E14D4B"/>
    <w:rsid w:val="00E14D95"/>
    <w:rsid w:val="00E14FED"/>
    <w:rsid w:val="00E15118"/>
    <w:rsid w:val="00E15128"/>
    <w:rsid w:val="00E1515C"/>
    <w:rsid w:val="00E155B8"/>
    <w:rsid w:val="00E157B3"/>
    <w:rsid w:val="00E15871"/>
    <w:rsid w:val="00E158C3"/>
    <w:rsid w:val="00E15C39"/>
    <w:rsid w:val="00E15D36"/>
    <w:rsid w:val="00E15EAA"/>
    <w:rsid w:val="00E1618B"/>
    <w:rsid w:val="00E16222"/>
    <w:rsid w:val="00E1628D"/>
    <w:rsid w:val="00E1639F"/>
    <w:rsid w:val="00E163C0"/>
    <w:rsid w:val="00E164FE"/>
    <w:rsid w:val="00E168D2"/>
    <w:rsid w:val="00E16C37"/>
    <w:rsid w:val="00E16CDC"/>
    <w:rsid w:val="00E16D98"/>
    <w:rsid w:val="00E16FCE"/>
    <w:rsid w:val="00E17124"/>
    <w:rsid w:val="00E174C9"/>
    <w:rsid w:val="00E1758D"/>
    <w:rsid w:val="00E17808"/>
    <w:rsid w:val="00E17847"/>
    <w:rsid w:val="00E178B1"/>
    <w:rsid w:val="00E178B2"/>
    <w:rsid w:val="00E178FA"/>
    <w:rsid w:val="00E17FC0"/>
    <w:rsid w:val="00E17FE1"/>
    <w:rsid w:val="00E20178"/>
    <w:rsid w:val="00E20490"/>
    <w:rsid w:val="00E204E4"/>
    <w:rsid w:val="00E204EA"/>
    <w:rsid w:val="00E206C0"/>
    <w:rsid w:val="00E20853"/>
    <w:rsid w:val="00E20AEA"/>
    <w:rsid w:val="00E20BF1"/>
    <w:rsid w:val="00E20CDB"/>
    <w:rsid w:val="00E20DD8"/>
    <w:rsid w:val="00E210E3"/>
    <w:rsid w:val="00E212D4"/>
    <w:rsid w:val="00E21334"/>
    <w:rsid w:val="00E2159D"/>
    <w:rsid w:val="00E2174B"/>
    <w:rsid w:val="00E218A3"/>
    <w:rsid w:val="00E21979"/>
    <w:rsid w:val="00E21A60"/>
    <w:rsid w:val="00E21AA4"/>
    <w:rsid w:val="00E21BD4"/>
    <w:rsid w:val="00E21BF2"/>
    <w:rsid w:val="00E21CF4"/>
    <w:rsid w:val="00E21D4A"/>
    <w:rsid w:val="00E21E75"/>
    <w:rsid w:val="00E21F06"/>
    <w:rsid w:val="00E21FA9"/>
    <w:rsid w:val="00E222D4"/>
    <w:rsid w:val="00E222F4"/>
    <w:rsid w:val="00E2231C"/>
    <w:rsid w:val="00E22463"/>
    <w:rsid w:val="00E2263E"/>
    <w:rsid w:val="00E22772"/>
    <w:rsid w:val="00E22AC0"/>
    <w:rsid w:val="00E22C52"/>
    <w:rsid w:val="00E233BD"/>
    <w:rsid w:val="00E23426"/>
    <w:rsid w:val="00E234A3"/>
    <w:rsid w:val="00E235B7"/>
    <w:rsid w:val="00E236D5"/>
    <w:rsid w:val="00E23AF0"/>
    <w:rsid w:val="00E23B03"/>
    <w:rsid w:val="00E23B51"/>
    <w:rsid w:val="00E24096"/>
    <w:rsid w:val="00E24512"/>
    <w:rsid w:val="00E248A1"/>
    <w:rsid w:val="00E249EE"/>
    <w:rsid w:val="00E24A53"/>
    <w:rsid w:val="00E24B0E"/>
    <w:rsid w:val="00E24B56"/>
    <w:rsid w:val="00E24DDB"/>
    <w:rsid w:val="00E24EBC"/>
    <w:rsid w:val="00E24F45"/>
    <w:rsid w:val="00E24F6B"/>
    <w:rsid w:val="00E251D6"/>
    <w:rsid w:val="00E2523E"/>
    <w:rsid w:val="00E253EC"/>
    <w:rsid w:val="00E2545A"/>
    <w:rsid w:val="00E25474"/>
    <w:rsid w:val="00E2571A"/>
    <w:rsid w:val="00E25B45"/>
    <w:rsid w:val="00E25B75"/>
    <w:rsid w:val="00E25C52"/>
    <w:rsid w:val="00E25CFB"/>
    <w:rsid w:val="00E25D51"/>
    <w:rsid w:val="00E25DA0"/>
    <w:rsid w:val="00E25E5B"/>
    <w:rsid w:val="00E25F61"/>
    <w:rsid w:val="00E25FBE"/>
    <w:rsid w:val="00E2603F"/>
    <w:rsid w:val="00E26487"/>
    <w:rsid w:val="00E264A4"/>
    <w:rsid w:val="00E26631"/>
    <w:rsid w:val="00E2674E"/>
    <w:rsid w:val="00E26793"/>
    <w:rsid w:val="00E268FF"/>
    <w:rsid w:val="00E26998"/>
    <w:rsid w:val="00E26A36"/>
    <w:rsid w:val="00E26B43"/>
    <w:rsid w:val="00E26C11"/>
    <w:rsid w:val="00E26CAB"/>
    <w:rsid w:val="00E271A6"/>
    <w:rsid w:val="00E27554"/>
    <w:rsid w:val="00E2774D"/>
    <w:rsid w:val="00E27805"/>
    <w:rsid w:val="00E2783D"/>
    <w:rsid w:val="00E27973"/>
    <w:rsid w:val="00E27A4B"/>
    <w:rsid w:val="00E27D27"/>
    <w:rsid w:val="00E30069"/>
    <w:rsid w:val="00E303F9"/>
    <w:rsid w:val="00E30492"/>
    <w:rsid w:val="00E30536"/>
    <w:rsid w:val="00E30708"/>
    <w:rsid w:val="00E307AA"/>
    <w:rsid w:val="00E30C64"/>
    <w:rsid w:val="00E30CC7"/>
    <w:rsid w:val="00E30CDC"/>
    <w:rsid w:val="00E30F1C"/>
    <w:rsid w:val="00E3107B"/>
    <w:rsid w:val="00E31174"/>
    <w:rsid w:val="00E3129C"/>
    <w:rsid w:val="00E3138C"/>
    <w:rsid w:val="00E31650"/>
    <w:rsid w:val="00E3198F"/>
    <w:rsid w:val="00E31B2F"/>
    <w:rsid w:val="00E31B6B"/>
    <w:rsid w:val="00E31BF6"/>
    <w:rsid w:val="00E31C01"/>
    <w:rsid w:val="00E320B1"/>
    <w:rsid w:val="00E322BE"/>
    <w:rsid w:val="00E32334"/>
    <w:rsid w:val="00E3277B"/>
    <w:rsid w:val="00E32936"/>
    <w:rsid w:val="00E32A10"/>
    <w:rsid w:val="00E32B2F"/>
    <w:rsid w:val="00E32DF4"/>
    <w:rsid w:val="00E32FC8"/>
    <w:rsid w:val="00E33040"/>
    <w:rsid w:val="00E33065"/>
    <w:rsid w:val="00E33239"/>
    <w:rsid w:val="00E3327F"/>
    <w:rsid w:val="00E332A4"/>
    <w:rsid w:val="00E3335F"/>
    <w:rsid w:val="00E334D5"/>
    <w:rsid w:val="00E33539"/>
    <w:rsid w:val="00E335E1"/>
    <w:rsid w:val="00E336C1"/>
    <w:rsid w:val="00E33AD1"/>
    <w:rsid w:val="00E33CB3"/>
    <w:rsid w:val="00E33D88"/>
    <w:rsid w:val="00E33EC4"/>
    <w:rsid w:val="00E34430"/>
    <w:rsid w:val="00E34820"/>
    <w:rsid w:val="00E34867"/>
    <w:rsid w:val="00E3486E"/>
    <w:rsid w:val="00E34FF4"/>
    <w:rsid w:val="00E352D6"/>
    <w:rsid w:val="00E35639"/>
    <w:rsid w:val="00E35729"/>
    <w:rsid w:val="00E3575D"/>
    <w:rsid w:val="00E358BE"/>
    <w:rsid w:val="00E358F8"/>
    <w:rsid w:val="00E35D5D"/>
    <w:rsid w:val="00E35DDB"/>
    <w:rsid w:val="00E361FD"/>
    <w:rsid w:val="00E36202"/>
    <w:rsid w:val="00E364DF"/>
    <w:rsid w:val="00E365BC"/>
    <w:rsid w:val="00E3666C"/>
    <w:rsid w:val="00E3671E"/>
    <w:rsid w:val="00E36A84"/>
    <w:rsid w:val="00E36BF6"/>
    <w:rsid w:val="00E36CC7"/>
    <w:rsid w:val="00E37016"/>
    <w:rsid w:val="00E375F6"/>
    <w:rsid w:val="00E37D14"/>
    <w:rsid w:val="00E37ED2"/>
    <w:rsid w:val="00E37F85"/>
    <w:rsid w:val="00E401C3"/>
    <w:rsid w:val="00E402A1"/>
    <w:rsid w:val="00E40439"/>
    <w:rsid w:val="00E4079D"/>
    <w:rsid w:val="00E40862"/>
    <w:rsid w:val="00E40B5D"/>
    <w:rsid w:val="00E40DA0"/>
    <w:rsid w:val="00E40DC9"/>
    <w:rsid w:val="00E40E79"/>
    <w:rsid w:val="00E410C0"/>
    <w:rsid w:val="00E4157D"/>
    <w:rsid w:val="00E4197C"/>
    <w:rsid w:val="00E419AD"/>
    <w:rsid w:val="00E41A36"/>
    <w:rsid w:val="00E41C30"/>
    <w:rsid w:val="00E41DCD"/>
    <w:rsid w:val="00E41F4F"/>
    <w:rsid w:val="00E42055"/>
    <w:rsid w:val="00E425DB"/>
    <w:rsid w:val="00E426DD"/>
    <w:rsid w:val="00E428D2"/>
    <w:rsid w:val="00E42932"/>
    <w:rsid w:val="00E42B35"/>
    <w:rsid w:val="00E42E47"/>
    <w:rsid w:val="00E43145"/>
    <w:rsid w:val="00E436C0"/>
    <w:rsid w:val="00E437C9"/>
    <w:rsid w:val="00E43934"/>
    <w:rsid w:val="00E43A03"/>
    <w:rsid w:val="00E43B98"/>
    <w:rsid w:val="00E43C25"/>
    <w:rsid w:val="00E43D5C"/>
    <w:rsid w:val="00E43DDE"/>
    <w:rsid w:val="00E43E03"/>
    <w:rsid w:val="00E4429F"/>
    <w:rsid w:val="00E44346"/>
    <w:rsid w:val="00E44579"/>
    <w:rsid w:val="00E44588"/>
    <w:rsid w:val="00E44939"/>
    <w:rsid w:val="00E44A3F"/>
    <w:rsid w:val="00E44DD1"/>
    <w:rsid w:val="00E44EC1"/>
    <w:rsid w:val="00E450F9"/>
    <w:rsid w:val="00E451FA"/>
    <w:rsid w:val="00E45229"/>
    <w:rsid w:val="00E458B4"/>
    <w:rsid w:val="00E45C10"/>
    <w:rsid w:val="00E45ECE"/>
    <w:rsid w:val="00E45EF3"/>
    <w:rsid w:val="00E45F26"/>
    <w:rsid w:val="00E46001"/>
    <w:rsid w:val="00E46009"/>
    <w:rsid w:val="00E460A5"/>
    <w:rsid w:val="00E46298"/>
    <w:rsid w:val="00E464CB"/>
    <w:rsid w:val="00E465E4"/>
    <w:rsid w:val="00E4662E"/>
    <w:rsid w:val="00E46663"/>
    <w:rsid w:val="00E4679D"/>
    <w:rsid w:val="00E467AD"/>
    <w:rsid w:val="00E4686D"/>
    <w:rsid w:val="00E46919"/>
    <w:rsid w:val="00E46BAC"/>
    <w:rsid w:val="00E46BF9"/>
    <w:rsid w:val="00E46C59"/>
    <w:rsid w:val="00E46C72"/>
    <w:rsid w:val="00E46D0C"/>
    <w:rsid w:val="00E46D58"/>
    <w:rsid w:val="00E46FC6"/>
    <w:rsid w:val="00E46FD3"/>
    <w:rsid w:val="00E47037"/>
    <w:rsid w:val="00E47143"/>
    <w:rsid w:val="00E471C4"/>
    <w:rsid w:val="00E471DF"/>
    <w:rsid w:val="00E47361"/>
    <w:rsid w:val="00E47458"/>
    <w:rsid w:val="00E47470"/>
    <w:rsid w:val="00E474FD"/>
    <w:rsid w:val="00E4766F"/>
    <w:rsid w:val="00E47825"/>
    <w:rsid w:val="00E4783A"/>
    <w:rsid w:val="00E47934"/>
    <w:rsid w:val="00E47BF9"/>
    <w:rsid w:val="00E47D56"/>
    <w:rsid w:val="00E47E56"/>
    <w:rsid w:val="00E50029"/>
    <w:rsid w:val="00E50289"/>
    <w:rsid w:val="00E505A2"/>
    <w:rsid w:val="00E505B2"/>
    <w:rsid w:val="00E508B3"/>
    <w:rsid w:val="00E508DA"/>
    <w:rsid w:val="00E509D5"/>
    <w:rsid w:val="00E50AAE"/>
    <w:rsid w:val="00E50B18"/>
    <w:rsid w:val="00E50C0C"/>
    <w:rsid w:val="00E50E5B"/>
    <w:rsid w:val="00E50E74"/>
    <w:rsid w:val="00E513BD"/>
    <w:rsid w:val="00E51598"/>
    <w:rsid w:val="00E51780"/>
    <w:rsid w:val="00E517DD"/>
    <w:rsid w:val="00E51B06"/>
    <w:rsid w:val="00E51BBE"/>
    <w:rsid w:val="00E5226B"/>
    <w:rsid w:val="00E52295"/>
    <w:rsid w:val="00E5232A"/>
    <w:rsid w:val="00E524F4"/>
    <w:rsid w:val="00E5258E"/>
    <w:rsid w:val="00E526E1"/>
    <w:rsid w:val="00E52959"/>
    <w:rsid w:val="00E52A40"/>
    <w:rsid w:val="00E52C77"/>
    <w:rsid w:val="00E52D61"/>
    <w:rsid w:val="00E530CE"/>
    <w:rsid w:val="00E53221"/>
    <w:rsid w:val="00E53291"/>
    <w:rsid w:val="00E5329C"/>
    <w:rsid w:val="00E53300"/>
    <w:rsid w:val="00E533E3"/>
    <w:rsid w:val="00E53B20"/>
    <w:rsid w:val="00E53B7E"/>
    <w:rsid w:val="00E53C3B"/>
    <w:rsid w:val="00E53C6F"/>
    <w:rsid w:val="00E53E40"/>
    <w:rsid w:val="00E53F08"/>
    <w:rsid w:val="00E53F0C"/>
    <w:rsid w:val="00E53F1F"/>
    <w:rsid w:val="00E541A1"/>
    <w:rsid w:val="00E54750"/>
    <w:rsid w:val="00E54761"/>
    <w:rsid w:val="00E547DC"/>
    <w:rsid w:val="00E54D09"/>
    <w:rsid w:val="00E54D69"/>
    <w:rsid w:val="00E54EA8"/>
    <w:rsid w:val="00E55689"/>
    <w:rsid w:val="00E556B1"/>
    <w:rsid w:val="00E55933"/>
    <w:rsid w:val="00E55DA5"/>
    <w:rsid w:val="00E55E13"/>
    <w:rsid w:val="00E55F48"/>
    <w:rsid w:val="00E55F77"/>
    <w:rsid w:val="00E56190"/>
    <w:rsid w:val="00E56717"/>
    <w:rsid w:val="00E567AF"/>
    <w:rsid w:val="00E56818"/>
    <w:rsid w:val="00E568E0"/>
    <w:rsid w:val="00E56BB2"/>
    <w:rsid w:val="00E56BFD"/>
    <w:rsid w:val="00E56C59"/>
    <w:rsid w:val="00E56EB2"/>
    <w:rsid w:val="00E57045"/>
    <w:rsid w:val="00E574D6"/>
    <w:rsid w:val="00E57742"/>
    <w:rsid w:val="00E5781A"/>
    <w:rsid w:val="00E578EC"/>
    <w:rsid w:val="00E579B5"/>
    <w:rsid w:val="00E57C6A"/>
    <w:rsid w:val="00E57C86"/>
    <w:rsid w:val="00E57F10"/>
    <w:rsid w:val="00E60008"/>
    <w:rsid w:val="00E6011A"/>
    <w:rsid w:val="00E601A4"/>
    <w:rsid w:val="00E601C6"/>
    <w:rsid w:val="00E6038D"/>
    <w:rsid w:val="00E6066B"/>
    <w:rsid w:val="00E606D3"/>
    <w:rsid w:val="00E607BA"/>
    <w:rsid w:val="00E60A31"/>
    <w:rsid w:val="00E60A3B"/>
    <w:rsid w:val="00E60B0E"/>
    <w:rsid w:val="00E60DCF"/>
    <w:rsid w:val="00E60EE3"/>
    <w:rsid w:val="00E61244"/>
    <w:rsid w:val="00E613EC"/>
    <w:rsid w:val="00E6169E"/>
    <w:rsid w:val="00E617A9"/>
    <w:rsid w:val="00E61B7F"/>
    <w:rsid w:val="00E621C9"/>
    <w:rsid w:val="00E62359"/>
    <w:rsid w:val="00E623B7"/>
    <w:rsid w:val="00E62435"/>
    <w:rsid w:val="00E62585"/>
    <w:rsid w:val="00E628A7"/>
    <w:rsid w:val="00E62931"/>
    <w:rsid w:val="00E62946"/>
    <w:rsid w:val="00E6297B"/>
    <w:rsid w:val="00E62C81"/>
    <w:rsid w:val="00E62D60"/>
    <w:rsid w:val="00E62D6C"/>
    <w:rsid w:val="00E62EDD"/>
    <w:rsid w:val="00E63113"/>
    <w:rsid w:val="00E6318C"/>
    <w:rsid w:val="00E63207"/>
    <w:rsid w:val="00E632B1"/>
    <w:rsid w:val="00E6362C"/>
    <w:rsid w:val="00E63704"/>
    <w:rsid w:val="00E63BDC"/>
    <w:rsid w:val="00E6417A"/>
    <w:rsid w:val="00E641BB"/>
    <w:rsid w:val="00E64257"/>
    <w:rsid w:val="00E64AD0"/>
    <w:rsid w:val="00E64BBB"/>
    <w:rsid w:val="00E64DCB"/>
    <w:rsid w:val="00E655D7"/>
    <w:rsid w:val="00E6565B"/>
    <w:rsid w:val="00E65834"/>
    <w:rsid w:val="00E65888"/>
    <w:rsid w:val="00E65A5D"/>
    <w:rsid w:val="00E65E23"/>
    <w:rsid w:val="00E65F97"/>
    <w:rsid w:val="00E65FB8"/>
    <w:rsid w:val="00E660E3"/>
    <w:rsid w:val="00E663F6"/>
    <w:rsid w:val="00E66445"/>
    <w:rsid w:val="00E66862"/>
    <w:rsid w:val="00E669FA"/>
    <w:rsid w:val="00E66A9B"/>
    <w:rsid w:val="00E66CB9"/>
    <w:rsid w:val="00E66D43"/>
    <w:rsid w:val="00E66DD7"/>
    <w:rsid w:val="00E67295"/>
    <w:rsid w:val="00E672FB"/>
    <w:rsid w:val="00E67410"/>
    <w:rsid w:val="00E6758E"/>
    <w:rsid w:val="00E677D0"/>
    <w:rsid w:val="00E67A26"/>
    <w:rsid w:val="00E67A9D"/>
    <w:rsid w:val="00E67AC7"/>
    <w:rsid w:val="00E67B36"/>
    <w:rsid w:val="00E67D91"/>
    <w:rsid w:val="00E67E27"/>
    <w:rsid w:val="00E67EB4"/>
    <w:rsid w:val="00E67F4D"/>
    <w:rsid w:val="00E67F85"/>
    <w:rsid w:val="00E70112"/>
    <w:rsid w:val="00E703AB"/>
    <w:rsid w:val="00E70474"/>
    <w:rsid w:val="00E70535"/>
    <w:rsid w:val="00E705E9"/>
    <w:rsid w:val="00E70600"/>
    <w:rsid w:val="00E706DC"/>
    <w:rsid w:val="00E708B2"/>
    <w:rsid w:val="00E709AD"/>
    <w:rsid w:val="00E70C11"/>
    <w:rsid w:val="00E70D54"/>
    <w:rsid w:val="00E70DF0"/>
    <w:rsid w:val="00E70E04"/>
    <w:rsid w:val="00E70EE1"/>
    <w:rsid w:val="00E70FA1"/>
    <w:rsid w:val="00E7108E"/>
    <w:rsid w:val="00E7113C"/>
    <w:rsid w:val="00E711D6"/>
    <w:rsid w:val="00E71236"/>
    <w:rsid w:val="00E7147E"/>
    <w:rsid w:val="00E715C7"/>
    <w:rsid w:val="00E715D1"/>
    <w:rsid w:val="00E715D4"/>
    <w:rsid w:val="00E7170C"/>
    <w:rsid w:val="00E71721"/>
    <w:rsid w:val="00E71904"/>
    <w:rsid w:val="00E7193E"/>
    <w:rsid w:val="00E71963"/>
    <w:rsid w:val="00E71B75"/>
    <w:rsid w:val="00E7221D"/>
    <w:rsid w:val="00E72246"/>
    <w:rsid w:val="00E7228E"/>
    <w:rsid w:val="00E722DF"/>
    <w:rsid w:val="00E723E8"/>
    <w:rsid w:val="00E72603"/>
    <w:rsid w:val="00E7261E"/>
    <w:rsid w:val="00E72716"/>
    <w:rsid w:val="00E7286A"/>
    <w:rsid w:val="00E728BB"/>
    <w:rsid w:val="00E72D38"/>
    <w:rsid w:val="00E72DF0"/>
    <w:rsid w:val="00E72EC2"/>
    <w:rsid w:val="00E72F3F"/>
    <w:rsid w:val="00E73009"/>
    <w:rsid w:val="00E73023"/>
    <w:rsid w:val="00E7302F"/>
    <w:rsid w:val="00E73098"/>
    <w:rsid w:val="00E7345D"/>
    <w:rsid w:val="00E73E66"/>
    <w:rsid w:val="00E74286"/>
    <w:rsid w:val="00E74440"/>
    <w:rsid w:val="00E74462"/>
    <w:rsid w:val="00E744E2"/>
    <w:rsid w:val="00E74632"/>
    <w:rsid w:val="00E74728"/>
    <w:rsid w:val="00E7496A"/>
    <w:rsid w:val="00E749B4"/>
    <w:rsid w:val="00E74A21"/>
    <w:rsid w:val="00E74BC9"/>
    <w:rsid w:val="00E74BEB"/>
    <w:rsid w:val="00E74C78"/>
    <w:rsid w:val="00E74EF8"/>
    <w:rsid w:val="00E74F4C"/>
    <w:rsid w:val="00E75120"/>
    <w:rsid w:val="00E75990"/>
    <w:rsid w:val="00E759C3"/>
    <w:rsid w:val="00E759DB"/>
    <w:rsid w:val="00E75C9D"/>
    <w:rsid w:val="00E75E16"/>
    <w:rsid w:val="00E75ED5"/>
    <w:rsid w:val="00E75F28"/>
    <w:rsid w:val="00E765AB"/>
    <w:rsid w:val="00E76640"/>
    <w:rsid w:val="00E76AD1"/>
    <w:rsid w:val="00E76B83"/>
    <w:rsid w:val="00E76F0B"/>
    <w:rsid w:val="00E76F22"/>
    <w:rsid w:val="00E771EC"/>
    <w:rsid w:val="00E7724A"/>
    <w:rsid w:val="00E77579"/>
    <w:rsid w:val="00E776D4"/>
    <w:rsid w:val="00E7772A"/>
    <w:rsid w:val="00E77783"/>
    <w:rsid w:val="00E77954"/>
    <w:rsid w:val="00E779D1"/>
    <w:rsid w:val="00E77A27"/>
    <w:rsid w:val="00E77A7C"/>
    <w:rsid w:val="00E77F78"/>
    <w:rsid w:val="00E77F8A"/>
    <w:rsid w:val="00E77FB3"/>
    <w:rsid w:val="00E800A4"/>
    <w:rsid w:val="00E801A3"/>
    <w:rsid w:val="00E8031E"/>
    <w:rsid w:val="00E8046B"/>
    <w:rsid w:val="00E804D7"/>
    <w:rsid w:val="00E80515"/>
    <w:rsid w:val="00E805DA"/>
    <w:rsid w:val="00E80728"/>
    <w:rsid w:val="00E807FF"/>
    <w:rsid w:val="00E8083E"/>
    <w:rsid w:val="00E808A7"/>
    <w:rsid w:val="00E808BD"/>
    <w:rsid w:val="00E80ADF"/>
    <w:rsid w:val="00E80E53"/>
    <w:rsid w:val="00E80EC9"/>
    <w:rsid w:val="00E81161"/>
    <w:rsid w:val="00E8122E"/>
    <w:rsid w:val="00E8137A"/>
    <w:rsid w:val="00E813B1"/>
    <w:rsid w:val="00E813D2"/>
    <w:rsid w:val="00E81412"/>
    <w:rsid w:val="00E814C5"/>
    <w:rsid w:val="00E816F7"/>
    <w:rsid w:val="00E81B41"/>
    <w:rsid w:val="00E81B5D"/>
    <w:rsid w:val="00E81D36"/>
    <w:rsid w:val="00E81D83"/>
    <w:rsid w:val="00E81DC4"/>
    <w:rsid w:val="00E81E57"/>
    <w:rsid w:val="00E81FB7"/>
    <w:rsid w:val="00E82108"/>
    <w:rsid w:val="00E82540"/>
    <w:rsid w:val="00E825E5"/>
    <w:rsid w:val="00E8277E"/>
    <w:rsid w:val="00E82822"/>
    <w:rsid w:val="00E82857"/>
    <w:rsid w:val="00E82B28"/>
    <w:rsid w:val="00E82DC3"/>
    <w:rsid w:val="00E8312F"/>
    <w:rsid w:val="00E831A2"/>
    <w:rsid w:val="00E8354B"/>
    <w:rsid w:val="00E8366A"/>
    <w:rsid w:val="00E83719"/>
    <w:rsid w:val="00E83A3F"/>
    <w:rsid w:val="00E83B74"/>
    <w:rsid w:val="00E83DF4"/>
    <w:rsid w:val="00E84008"/>
    <w:rsid w:val="00E843D7"/>
    <w:rsid w:val="00E84618"/>
    <w:rsid w:val="00E84812"/>
    <w:rsid w:val="00E84961"/>
    <w:rsid w:val="00E84A2A"/>
    <w:rsid w:val="00E84DCD"/>
    <w:rsid w:val="00E850A3"/>
    <w:rsid w:val="00E8510B"/>
    <w:rsid w:val="00E851E0"/>
    <w:rsid w:val="00E853E9"/>
    <w:rsid w:val="00E8549F"/>
    <w:rsid w:val="00E856D5"/>
    <w:rsid w:val="00E85AAD"/>
    <w:rsid w:val="00E85B5B"/>
    <w:rsid w:val="00E85FB2"/>
    <w:rsid w:val="00E86508"/>
    <w:rsid w:val="00E865A6"/>
    <w:rsid w:val="00E866B1"/>
    <w:rsid w:val="00E86871"/>
    <w:rsid w:val="00E8698F"/>
    <w:rsid w:val="00E86AFE"/>
    <w:rsid w:val="00E86D78"/>
    <w:rsid w:val="00E87151"/>
    <w:rsid w:val="00E8749D"/>
    <w:rsid w:val="00E8764A"/>
    <w:rsid w:val="00E87812"/>
    <w:rsid w:val="00E8788C"/>
    <w:rsid w:val="00E8795D"/>
    <w:rsid w:val="00E87D18"/>
    <w:rsid w:val="00E87D3A"/>
    <w:rsid w:val="00E90087"/>
    <w:rsid w:val="00E90111"/>
    <w:rsid w:val="00E9016A"/>
    <w:rsid w:val="00E901EA"/>
    <w:rsid w:val="00E90598"/>
    <w:rsid w:val="00E908B6"/>
    <w:rsid w:val="00E90AEF"/>
    <w:rsid w:val="00E90DC3"/>
    <w:rsid w:val="00E9101A"/>
    <w:rsid w:val="00E9104E"/>
    <w:rsid w:val="00E91719"/>
    <w:rsid w:val="00E91B09"/>
    <w:rsid w:val="00E91B88"/>
    <w:rsid w:val="00E91DDE"/>
    <w:rsid w:val="00E91E1B"/>
    <w:rsid w:val="00E91EAD"/>
    <w:rsid w:val="00E91FE9"/>
    <w:rsid w:val="00E92014"/>
    <w:rsid w:val="00E92068"/>
    <w:rsid w:val="00E92327"/>
    <w:rsid w:val="00E92361"/>
    <w:rsid w:val="00E9238B"/>
    <w:rsid w:val="00E9296B"/>
    <w:rsid w:val="00E92DDE"/>
    <w:rsid w:val="00E92DEB"/>
    <w:rsid w:val="00E92E5C"/>
    <w:rsid w:val="00E92F60"/>
    <w:rsid w:val="00E92F95"/>
    <w:rsid w:val="00E92FC3"/>
    <w:rsid w:val="00E92FCD"/>
    <w:rsid w:val="00E930D0"/>
    <w:rsid w:val="00E93162"/>
    <w:rsid w:val="00E933B7"/>
    <w:rsid w:val="00E93450"/>
    <w:rsid w:val="00E9379A"/>
    <w:rsid w:val="00E937D6"/>
    <w:rsid w:val="00E938DA"/>
    <w:rsid w:val="00E93923"/>
    <w:rsid w:val="00E9398F"/>
    <w:rsid w:val="00E93BFD"/>
    <w:rsid w:val="00E93CC5"/>
    <w:rsid w:val="00E93CFA"/>
    <w:rsid w:val="00E93EA6"/>
    <w:rsid w:val="00E941C5"/>
    <w:rsid w:val="00E941FE"/>
    <w:rsid w:val="00E943C7"/>
    <w:rsid w:val="00E944F8"/>
    <w:rsid w:val="00E9467F"/>
    <w:rsid w:val="00E946D9"/>
    <w:rsid w:val="00E948F3"/>
    <w:rsid w:val="00E94A34"/>
    <w:rsid w:val="00E94D7B"/>
    <w:rsid w:val="00E94D93"/>
    <w:rsid w:val="00E950B5"/>
    <w:rsid w:val="00E951F4"/>
    <w:rsid w:val="00E9521E"/>
    <w:rsid w:val="00E9545D"/>
    <w:rsid w:val="00E95556"/>
    <w:rsid w:val="00E95595"/>
    <w:rsid w:val="00E956A3"/>
    <w:rsid w:val="00E956EE"/>
    <w:rsid w:val="00E95894"/>
    <w:rsid w:val="00E95934"/>
    <w:rsid w:val="00E95966"/>
    <w:rsid w:val="00E95A15"/>
    <w:rsid w:val="00E95A98"/>
    <w:rsid w:val="00E95B99"/>
    <w:rsid w:val="00E95C4A"/>
    <w:rsid w:val="00E95D06"/>
    <w:rsid w:val="00E95E2F"/>
    <w:rsid w:val="00E95E33"/>
    <w:rsid w:val="00E96014"/>
    <w:rsid w:val="00E960C5"/>
    <w:rsid w:val="00E961FF"/>
    <w:rsid w:val="00E9627E"/>
    <w:rsid w:val="00E96448"/>
    <w:rsid w:val="00E9666C"/>
    <w:rsid w:val="00E966F6"/>
    <w:rsid w:val="00E96802"/>
    <w:rsid w:val="00E968B7"/>
    <w:rsid w:val="00E96972"/>
    <w:rsid w:val="00E96B9B"/>
    <w:rsid w:val="00E96BD0"/>
    <w:rsid w:val="00E96C4A"/>
    <w:rsid w:val="00E96D3E"/>
    <w:rsid w:val="00E970B9"/>
    <w:rsid w:val="00E97119"/>
    <w:rsid w:val="00E9720A"/>
    <w:rsid w:val="00E97424"/>
    <w:rsid w:val="00E97560"/>
    <w:rsid w:val="00E97806"/>
    <w:rsid w:val="00E97C58"/>
    <w:rsid w:val="00E97CE4"/>
    <w:rsid w:val="00E97D40"/>
    <w:rsid w:val="00EA021F"/>
    <w:rsid w:val="00EA041D"/>
    <w:rsid w:val="00EA05DF"/>
    <w:rsid w:val="00EA06FF"/>
    <w:rsid w:val="00EA0793"/>
    <w:rsid w:val="00EA093D"/>
    <w:rsid w:val="00EA0AA2"/>
    <w:rsid w:val="00EA0B7E"/>
    <w:rsid w:val="00EA0BED"/>
    <w:rsid w:val="00EA0CC4"/>
    <w:rsid w:val="00EA0E72"/>
    <w:rsid w:val="00EA0EF9"/>
    <w:rsid w:val="00EA0F4B"/>
    <w:rsid w:val="00EA1066"/>
    <w:rsid w:val="00EA1161"/>
    <w:rsid w:val="00EA1164"/>
    <w:rsid w:val="00EA1301"/>
    <w:rsid w:val="00EA15DE"/>
    <w:rsid w:val="00EA1690"/>
    <w:rsid w:val="00EA16A4"/>
    <w:rsid w:val="00EA1A48"/>
    <w:rsid w:val="00EA1E78"/>
    <w:rsid w:val="00EA1F40"/>
    <w:rsid w:val="00EA2056"/>
    <w:rsid w:val="00EA227A"/>
    <w:rsid w:val="00EA25AB"/>
    <w:rsid w:val="00EA25CD"/>
    <w:rsid w:val="00EA29AB"/>
    <w:rsid w:val="00EA29CC"/>
    <w:rsid w:val="00EA2CF3"/>
    <w:rsid w:val="00EA3090"/>
    <w:rsid w:val="00EA30AC"/>
    <w:rsid w:val="00EA323B"/>
    <w:rsid w:val="00EA358C"/>
    <w:rsid w:val="00EA35F1"/>
    <w:rsid w:val="00EA3AA0"/>
    <w:rsid w:val="00EA3BC7"/>
    <w:rsid w:val="00EA3D23"/>
    <w:rsid w:val="00EA3EA9"/>
    <w:rsid w:val="00EA3F0C"/>
    <w:rsid w:val="00EA3F65"/>
    <w:rsid w:val="00EA4124"/>
    <w:rsid w:val="00EA4302"/>
    <w:rsid w:val="00EA466A"/>
    <w:rsid w:val="00EA48E6"/>
    <w:rsid w:val="00EA4BEA"/>
    <w:rsid w:val="00EA4D46"/>
    <w:rsid w:val="00EA4D8E"/>
    <w:rsid w:val="00EA505B"/>
    <w:rsid w:val="00EA5856"/>
    <w:rsid w:val="00EA5AF6"/>
    <w:rsid w:val="00EA5AF8"/>
    <w:rsid w:val="00EA5CC8"/>
    <w:rsid w:val="00EA5D08"/>
    <w:rsid w:val="00EA5D6C"/>
    <w:rsid w:val="00EA5D7D"/>
    <w:rsid w:val="00EA5DD5"/>
    <w:rsid w:val="00EA5E8F"/>
    <w:rsid w:val="00EA6142"/>
    <w:rsid w:val="00EA6150"/>
    <w:rsid w:val="00EA622B"/>
    <w:rsid w:val="00EA62A3"/>
    <w:rsid w:val="00EA65D2"/>
    <w:rsid w:val="00EA6651"/>
    <w:rsid w:val="00EA6966"/>
    <w:rsid w:val="00EA6990"/>
    <w:rsid w:val="00EA6C19"/>
    <w:rsid w:val="00EA728A"/>
    <w:rsid w:val="00EA72C7"/>
    <w:rsid w:val="00EA7719"/>
    <w:rsid w:val="00EA7A07"/>
    <w:rsid w:val="00EA7B76"/>
    <w:rsid w:val="00EA7ED0"/>
    <w:rsid w:val="00EB0229"/>
    <w:rsid w:val="00EB03CC"/>
    <w:rsid w:val="00EB0685"/>
    <w:rsid w:val="00EB06CE"/>
    <w:rsid w:val="00EB078F"/>
    <w:rsid w:val="00EB08D0"/>
    <w:rsid w:val="00EB0B21"/>
    <w:rsid w:val="00EB0B23"/>
    <w:rsid w:val="00EB0BDE"/>
    <w:rsid w:val="00EB0C05"/>
    <w:rsid w:val="00EB0DA1"/>
    <w:rsid w:val="00EB0DCD"/>
    <w:rsid w:val="00EB0FEE"/>
    <w:rsid w:val="00EB1160"/>
    <w:rsid w:val="00EB1294"/>
    <w:rsid w:val="00EB1331"/>
    <w:rsid w:val="00EB146B"/>
    <w:rsid w:val="00EB1675"/>
    <w:rsid w:val="00EB19BD"/>
    <w:rsid w:val="00EB1E40"/>
    <w:rsid w:val="00EB1EC2"/>
    <w:rsid w:val="00EB1EC6"/>
    <w:rsid w:val="00EB1ED0"/>
    <w:rsid w:val="00EB1F92"/>
    <w:rsid w:val="00EB209C"/>
    <w:rsid w:val="00EB222B"/>
    <w:rsid w:val="00EB2246"/>
    <w:rsid w:val="00EB2290"/>
    <w:rsid w:val="00EB22FF"/>
    <w:rsid w:val="00EB2398"/>
    <w:rsid w:val="00EB24B5"/>
    <w:rsid w:val="00EB25A1"/>
    <w:rsid w:val="00EB28AC"/>
    <w:rsid w:val="00EB295F"/>
    <w:rsid w:val="00EB2C40"/>
    <w:rsid w:val="00EB2EDB"/>
    <w:rsid w:val="00EB3058"/>
    <w:rsid w:val="00EB30BD"/>
    <w:rsid w:val="00EB31A4"/>
    <w:rsid w:val="00EB31D0"/>
    <w:rsid w:val="00EB32B1"/>
    <w:rsid w:val="00EB32CC"/>
    <w:rsid w:val="00EB3A7F"/>
    <w:rsid w:val="00EB3B12"/>
    <w:rsid w:val="00EB3B6D"/>
    <w:rsid w:val="00EB3C64"/>
    <w:rsid w:val="00EB3DF0"/>
    <w:rsid w:val="00EB3EF7"/>
    <w:rsid w:val="00EB3FD8"/>
    <w:rsid w:val="00EB4001"/>
    <w:rsid w:val="00EB420F"/>
    <w:rsid w:val="00EB4377"/>
    <w:rsid w:val="00EB4869"/>
    <w:rsid w:val="00EB48A2"/>
    <w:rsid w:val="00EB4B79"/>
    <w:rsid w:val="00EB4C02"/>
    <w:rsid w:val="00EB4E46"/>
    <w:rsid w:val="00EB51C4"/>
    <w:rsid w:val="00EB5474"/>
    <w:rsid w:val="00EB5482"/>
    <w:rsid w:val="00EB5489"/>
    <w:rsid w:val="00EB569F"/>
    <w:rsid w:val="00EB5721"/>
    <w:rsid w:val="00EB57EB"/>
    <w:rsid w:val="00EB5854"/>
    <w:rsid w:val="00EB5A6D"/>
    <w:rsid w:val="00EB5A88"/>
    <w:rsid w:val="00EB5ACB"/>
    <w:rsid w:val="00EB5AD0"/>
    <w:rsid w:val="00EB607D"/>
    <w:rsid w:val="00EB60BA"/>
    <w:rsid w:val="00EB6318"/>
    <w:rsid w:val="00EB6627"/>
    <w:rsid w:val="00EB6A7A"/>
    <w:rsid w:val="00EB6B3F"/>
    <w:rsid w:val="00EB6C0E"/>
    <w:rsid w:val="00EB6C40"/>
    <w:rsid w:val="00EB6CB8"/>
    <w:rsid w:val="00EB6CE0"/>
    <w:rsid w:val="00EB7047"/>
    <w:rsid w:val="00EB713A"/>
    <w:rsid w:val="00EB736B"/>
    <w:rsid w:val="00EB756B"/>
    <w:rsid w:val="00EB7902"/>
    <w:rsid w:val="00EB7A39"/>
    <w:rsid w:val="00EB7AED"/>
    <w:rsid w:val="00EB7B57"/>
    <w:rsid w:val="00EB7C6D"/>
    <w:rsid w:val="00EB7CEA"/>
    <w:rsid w:val="00EB7E9A"/>
    <w:rsid w:val="00EB7F97"/>
    <w:rsid w:val="00EB7FCF"/>
    <w:rsid w:val="00EC01D0"/>
    <w:rsid w:val="00EC0364"/>
    <w:rsid w:val="00EC045C"/>
    <w:rsid w:val="00EC04CE"/>
    <w:rsid w:val="00EC04EC"/>
    <w:rsid w:val="00EC058B"/>
    <w:rsid w:val="00EC05F4"/>
    <w:rsid w:val="00EC0717"/>
    <w:rsid w:val="00EC079D"/>
    <w:rsid w:val="00EC0830"/>
    <w:rsid w:val="00EC09AA"/>
    <w:rsid w:val="00EC0EDC"/>
    <w:rsid w:val="00EC1554"/>
    <w:rsid w:val="00EC15ED"/>
    <w:rsid w:val="00EC1681"/>
    <w:rsid w:val="00EC19FD"/>
    <w:rsid w:val="00EC1A13"/>
    <w:rsid w:val="00EC1B51"/>
    <w:rsid w:val="00EC1CE6"/>
    <w:rsid w:val="00EC1E34"/>
    <w:rsid w:val="00EC1F8C"/>
    <w:rsid w:val="00EC212D"/>
    <w:rsid w:val="00EC2245"/>
    <w:rsid w:val="00EC2325"/>
    <w:rsid w:val="00EC249D"/>
    <w:rsid w:val="00EC2627"/>
    <w:rsid w:val="00EC2791"/>
    <w:rsid w:val="00EC2882"/>
    <w:rsid w:val="00EC2AAC"/>
    <w:rsid w:val="00EC2AF6"/>
    <w:rsid w:val="00EC2BF0"/>
    <w:rsid w:val="00EC2D60"/>
    <w:rsid w:val="00EC2EAF"/>
    <w:rsid w:val="00EC2F17"/>
    <w:rsid w:val="00EC2F2C"/>
    <w:rsid w:val="00EC2F42"/>
    <w:rsid w:val="00EC31B9"/>
    <w:rsid w:val="00EC3270"/>
    <w:rsid w:val="00EC33D6"/>
    <w:rsid w:val="00EC33E2"/>
    <w:rsid w:val="00EC34DD"/>
    <w:rsid w:val="00EC3D04"/>
    <w:rsid w:val="00EC3D7E"/>
    <w:rsid w:val="00EC3DF1"/>
    <w:rsid w:val="00EC4086"/>
    <w:rsid w:val="00EC418F"/>
    <w:rsid w:val="00EC4561"/>
    <w:rsid w:val="00EC46FC"/>
    <w:rsid w:val="00EC48B7"/>
    <w:rsid w:val="00EC499F"/>
    <w:rsid w:val="00EC49A0"/>
    <w:rsid w:val="00EC4DEA"/>
    <w:rsid w:val="00EC4E31"/>
    <w:rsid w:val="00EC4E39"/>
    <w:rsid w:val="00EC5057"/>
    <w:rsid w:val="00EC5164"/>
    <w:rsid w:val="00EC51A2"/>
    <w:rsid w:val="00EC54B6"/>
    <w:rsid w:val="00EC5532"/>
    <w:rsid w:val="00EC5634"/>
    <w:rsid w:val="00EC563F"/>
    <w:rsid w:val="00EC58A5"/>
    <w:rsid w:val="00EC5C0A"/>
    <w:rsid w:val="00EC5D74"/>
    <w:rsid w:val="00EC60D5"/>
    <w:rsid w:val="00EC624A"/>
    <w:rsid w:val="00EC65E4"/>
    <w:rsid w:val="00EC671A"/>
    <w:rsid w:val="00EC6770"/>
    <w:rsid w:val="00EC6899"/>
    <w:rsid w:val="00EC6AC3"/>
    <w:rsid w:val="00EC6F92"/>
    <w:rsid w:val="00EC6FB5"/>
    <w:rsid w:val="00EC7084"/>
    <w:rsid w:val="00EC708F"/>
    <w:rsid w:val="00EC726E"/>
    <w:rsid w:val="00EC7283"/>
    <w:rsid w:val="00EC72BA"/>
    <w:rsid w:val="00EC74A4"/>
    <w:rsid w:val="00EC75E2"/>
    <w:rsid w:val="00EC76DB"/>
    <w:rsid w:val="00EC786B"/>
    <w:rsid w:val="00EC78CA"/>
    <w:rsid w:val="00EC79B4"/>
    <w:rsid w:val="00EC7B99"/>
    <w:rsid w:val="00EC7BFA"/>
    <w:rsid w:val="00EC7E5F"/>
    <w:rsid w:val="00EC7EDB"/>
    <w:rsid w:val="00EC7F05"/>
    <w:rsid w:val="00EC7F8B"/>
    <w:rsid w:val="00ED006A"/>
    <w:rsid w:val="00ED0243"/>
    <w:rsid w:val="00ED0264"/>
    <w:rsid w:val="00ED0668"/>
    <w:rsid w:val="00ED0683"/>
    <w:rsid w:val="00ED0763"/>
    <w:rsid w:val="00ED0803"/>
    <w:rsid w:val="00ED082A"/>
    <w:rsid w:val="00ED0B39"/>
    <w:rsid w:val="00ED0D1A"/>
    <w:rsid w:val="00ED0F7E"/>
    <w:rsid w:val="00ED1509"/>
    <w:rsid w:val="00ED156B"/>
    <w:rsid w:val="00ED18B3"/>
    <w:rsid w:val="00ED18DC"/>
    <w:rsid w:val="00ED1E29"/>
    <w:rsid w:val="00ED1FFF"/>
    <w:rsid w:val="00ED2082"/>
    <w:rsid w:val="00ED2375"/>
    <w:rsid w:val="00ED23BB"/>
    <w:rsid w:val="00ED2527"/>
    <w:rsid w:val="00ED27C5"/>
    <w:rsid w:val="00ED291E"/>
    <w:rsid w:val="00ED295E"/>
    <w:rsid w:val="00ED2E9D"/>
    <w:rsid w:val="00ED34D9"/>
    <w:rsid w:val="00ED3547"/>
    <w:rsid w:val="00ED3571"/>
    <w:rsid w:val="00ED3583"/>
    <w:rsid w:val="00ED367F"/>
    <w:rsid w:val="00ED36B3"/>
    <w:rsid w:val="00ED38AE"/>
    <w:rsid w:val="00ED3B90"/>
    <w:rsid w:val="00ED3D20"/>
    <w:rsid w:val="00ED3DD7"/>
    <w:rsid w:val="00ED3E7F"/>
    <w:rsid w:val="00ED3F34"/>
    <w:rsid w:val="00ED40C7"/>
    <w:rsid w:val="00ED40EA"/>
    <w:rsid w:val="00ED41C7"/>
    <w:rsid w:val="00ED4270"/>
    <w:rsid w:val="00ED42B3"/>
    <w:rsid w:val="00ED42DD"/>
    <w:rsid w:val="00ED44EA"/>
    <w:rsid w:val="00ED4780"/>
    <w:rsid w:val="00ED4850"/>
    <w:rsid w:val="00ED4874"/>
    <w:rsid w:val="00ED48DD"/>
    <w:rsid w:val="00ED4918"/>
    <w:rsid w:val="00ED4952"/>
    <w:rsid w:val="00ED4AB6"/>
    <w:rsid w:val="00ED4AC6"/>
    <w:rsid w:val="00ED4C91"/>
    <w:rsid w:val="00ED51B7"/>
    <w:rsid w:val="00ED527C"/>
    <w:rsid w:val="00ED52C8"/>
    <w:rsid w:val="00ED55EF"/>
    <w:rsid w:val="00ED58DA"/>
    <w:rsid w:val="00ED5AB1"/>
    <w:rsid w:val="00ED5BAC"/>
    <w:rsid w:val="00ED5C19"/>
    <w:rsid w:val="00ED5F6F"/>
    <w:rsid w:val="00ED61DC"/>
    <w:rsid w:val="00ED6464"/>
    <w:rsid w:val="00ED677D"/>
    <w:rsid w:val="00ED67D9"/>
    <w:rsid w:val="00ED69A2"/>
    <w:rsid w:val="00ED6A0E"/>
    <w:rsid w:val="00ED6A83"/>
    <w:rsid w:val="00ED6A92"/>
    <w:rsid w:val="00ED6E42"/>
    <w:rsid w:val="00ED6E60"/>
    <w:rsid w:val="00ED7064"/>
    <w:rsid w:val="00ED71B2"/>
    <w:rsid w:val="00ED71E4"/>
    <w:rsid w:val="00ED7252"/>
    <w:rsid w:val="00ED73C6"/>
    <w:rsid w:val="00ED746E"/>
    <w:rsid w:val="00ED7553"/>
    <w:rsid w:val="00ED75A0"/>
    <w:rsid w:val="00ED7AD4"/>
    <w:rsid w:val="00ED7ADD"/>
    <w:rsid w:val="00EE0437"/>
    <w:rsid w:val="00EE0542"/>
    <w:rsid w:val="00EE0588"/>
    <w:rsid w:val="00EE07A3"/>
    <w:rsid w:val="00EE085C"/>
    <w:rsid w:val="00EE0B07"/>
    <w:rsid w:val="00EE0BFA"/>
    <w:rsid w:val="00EE0C80"/>
    <w:rsid w:val="00EE0D57"/>
    <w:rsid w:val="00EE0DF0"/>
    <w:rsid w:val="00EE0E33"/>
    <w:rsid w:val="00EE0F2F"/>
    <w:rsid w:val="00EE1167"/>
    <w:rsid w:val="00EE11A5"/>
    <w:rsid w:val="00EE11DA"/>
    <w:rsid w:val="00EE16D8"/>
    <w:rsid w:val="00EE1A37"/>
    <w:rsid w:val="00EE20DB"/>
    <w:rsid w:val="00EE2200"/>
    <w:rsid w:val="00EE222E"/>
    <w:rsid w:val="00EE234D"/>
    <w:rsid w:val="00EE2486"/>
    <w:rsid w:val="00EE24FB"/>
    <w:rsid w:val="00EE2611"/>
    <w:rsid w:val="00EE279F"/>
    <w:rsid w:val="00EE2891"/>
    <w:rsid w:val="00EE2BF7"/>
    <w:rsid w:val="00EE2EBD"/>
    <w:rsid w:val="00EE2F04"/>
    <w:rsid w:val="00EE3077"/>
    <w:rsid w:val="00EE3152"/>
    <w:rsid w:val="00EE328F"/>
    <w:rsid w:val="00EE34E2"/>
    <w:rsid w:val="00EE35C8"/>
    <w:rsid w:val="00EE39BF"/>
    <w:rsid w:val="00EE3A18"/>
    <w:rsid w:val="00EE3B4D"/>
    <w:rsid w:val="00EE3D38"/>
    <w:rsid w:val="00EE40EE"/>
    <w:rsid w:val="00EE4145"/>
    <w:rsid w:val="00EE41DF"/>
    <w:rsid w:val="00EE427D"/>
    <w:rsid w:val="00EE43CF"/>
    <w:rsid w:val="00EE4562"/>
    <w:rsid w:val="00EE4CB9"/>
    <w:rsid w:val="00EE5150"/>
    <w:rsid w:val="00EE52DC"/>
    <w:rsid w:val="00EE5360"/>
    <w:rsid w:val="00EE5390"/>
    <w:rsid w:val="00EE5418"/>
    <w:rsid w:val="00EE5470"/>
    <w:rsid w:val="00EE5537"/>
    <w:rsid w:val="00EE5623"/>
    <w:rsid w:val="00EE56CD"/>
    <w:rsid w:val="00EE5836"/>
    <w:rsid w:val="00EE5AEB"/>
    <w:rsid w:val="00EE5B89"/>
    <w:rsid w:val="00EE5C1B"/>
    <w:rsid w:val="00EE5CD9"/>
    <w:rsid w:val="00EE5E74"/>
    <w:rsid w:val="00EE5F08"/>
    <w:rsid w:val="00EE612D"/>
    <w:rsid w:val="00EE62A7"/>
    <w:rsid w:val="00EE634E"/>
    <w:rsid w:val="00EE644E"/>
    <w:rsid w:val="00EE6497"/>
    <w:rsid w:val="00EE650F"/>
    <w:rsid w:val="00EE65E6"/>
    <w:rsid w:val="00EE67FF"/>
    <w:rsid w:val="00EE69CE"/>
    <w:rsid w:val="00EE6B5E"/>
    <w:rsid w:val="00EE6B75"/>
    <w:rsid w:val="00EE6BC4"/>
    <w:rsid w:val="00EE6CCD"/>
    <w:rsid w:val="00EE6D0E"/>
    <w:rsid w:val="00EE6DFC"/>
    <w:rsid w:val="00EE70FE"/>
    <w:rsid w:val="00EE71C2"/>
    <w:rsid w:val="00EE756B"/>
    <w:rsid w:val="00EE7818"/>
    <w:rsid w:val="00EE78BD"/>
    <w:rsid w:val="00EE7A74"/>
    <w:rsid w:val="00EE7BB1"/>
    <w:rsid w:val="00EE7C67"/>
    <w:rsid w:val="00EE7DB6"/>
    <w:rsid w:val="00EE7ED1"/>
    <w:rsid w:val="00EE7F64"/>
    <w:rsid w:val="00EF0008"/>
    <w:rsid w:val="00EF01EB"/>
    <w:rsid w:val="00EF040F"/>
    <w:rsid w:val="00EF0552"/>
    <w:rsid w:val="00EF0BAE"/>
    <w:rsid w:val="00EF0DA6"/>
    <w:rsid w:val="00EF114C"/>
    <w:rsid w:val="00EF11FC"/>
    <w:rsid w:val="00EF15B4"/>
    <w:rsid w:val="00EF1BA9"/>
    <w:rsid w:val="00EF1C63"/>
    <w:rsid w:val="00EF1D45"/>
    <w:rsid w:val="00EF1E53"/>
    <w:rsid w:val="00EF1FB0"/>
    <w:rsid w:val="00EF220D"/>
    <w:rsid w:val="00EF2282"/>
    <w:rsid w:val="00EF2286"/>
    <w:rsid w:val="00EF236B"/>
    <w:rsid w:val="00EF25B9"/>
    <w:rsid w:val="00EF2A22"/>
    <w:rsid w:val="00EF2EBE"/>
    <w:rsid w:val="00EF2F0C"/>
    <w:rsid w:val="00EF30E0"/>
    <w:rsid w:val="00EF3102"/>
    <w:rsid w:val="00EF3384"/>
    <w:rsid w:val="00EF33C7"/>
    <w:rsid w:val="00EF3465"/>
    <w:rsid w:val="00EF3539"/>
    <w:rsid w:val="00EF353F"/>
    <w:rsid w:val="00EF37D6"/>
    <w:rsid w:val="00EF38F5"/>
    <w:rsid w:val="00EF38FF"/>
    <w:rsid w:val="00EF39E1"/>
    <w:rsid w:val="00EF3B70"/>
    <w:rsid w:val="00EF3C74"/>
    <w:rsid w:val="00EF3CCB"/>
    <w:rsid w:val="00EF3DB8"/>
    <w:rsid w:val="00EF3E92"/>
    <w:rsid w:val="00EF405C"/>
    <w:rsid w:val="00EF416F"/>
    <w:rsid w:val="00EF4496"/>
    <w:rsid w:val="00EF4620"/>
    <w:rsid w:val="00EF46B0"/>
    <w:rsid w:val="00EF47B0"/>
    <w:rsid w:val="00EF490F"/>
    <w:rsid w:val="00EF495F"/>
    <w:rsid w:val="00EF49D1"/>
    <w:rsid w:val="00EF4D00"/>
    <w:rsid w:val="00EF4EBB"/>
    <w:rsid w:val="00EF4FA1"/>
    <w:rsid w:val="00EF5063"/>
    <w:rsid w:val="00EF5070"/>
    <w:rsid w:val="00EF50E0"/>
    <w:rsid w:val="00EF5146"/>
    <w:rsid w:val="00EF533F"/>
    <w:rsid w:val="00EF5436"/>
    <w:rsid w:val="00EF5487"/>
    <w:rsid w:val="00EF5569"/>
    <w:rsid w:val="00EF563D"/>
    <w:rsid w:val="00EF5798"/>
    <w:rsid w:val="00EF580B"/>
    <w:rsid w:val="00EF5947"/>
    <w:rsid w:val="00EF59C1"/>
    <w:rsid w:val="00EF5A59"/>
    <w:rsid w:val="00EF5B80"/>
    <w:rsid w:val="00EF5DC5"/>
    <w:rsid w:val="00EF5E32"/>
    <w:rsid w:val="00EF60D2"/>
    <w:rsid w:val="00EF620B"/>
    <w:rsid w:val="00EF6242"/>
    <w:rsid w:val="00EF6253"/>
    <w:rsid w:val="00EF62B2"/>
    <w:rsid w:val="00EF6485"/>
    <w:rsid w:val="00EF64A9"/>
    <w:rsid w:val="00EF6B4C"/>
    <w:rsid w:val="00EF7189"/>
    <w:rsid w:val="00EF72C5"/>
    <w:rsid w:val="00EF750B"/>
    <w:rsid w:val="00EF75BF"/>
    <w:rsid w:val="00EF78CC"/>
    <w:rsid w:val="00EF79C3"/>
    <w:rsid w:val="00EF79C8"/>
    <w:rsid w:val="00EF79D4"/>
    <w:rsid w:val="00EF7A8B"/>
    <w:rsid w:val="00EF7D46"/>
    <w:rsid w:val="00F00090"/>
    <w:rsid w:val="00F00204"/>
    <w:rsid w:val="00F0041A"/>
    <w:rsid w:val="00F00633"/>
    <w:rsid w:val="00F0081C"/>
    <w:rsid w:val="00F00933"/>
    <w:rsid w:val="00F009A6"/>
    <w:rsid w:val="00F00A1E"/>
    <w:rsid w:val="00F00AA7"/>
    <w:rsid w:val="00F00AC7"/>
    <w:rsid w:val="00F00B01"/>
    <w:rsid w:val="00F01240"/>
    <w:rsid w:val="00F0129D"/>
    <w:rsid w:val="00F013F2"/>
    <w:rsid w:val="00F0177B"/>
    <w:rsid w:val="00F017F4"/>
    <w:rsid w:val="00F01AD4"/>
    <w:rsid w:val="00F01B0A"/>
    <w:rsid w:val="00F01C47"/>
    <w:rsid w:val="00F01C89"/>
    <w:rsid w:val="00F01DAE"/>
    <w:rsid w:val="00F01E93"/>
    <w:rsid w:val="00F01ED9"/>
    <w:rsid w:val="00F020D2"/>
    <w:rsid w:val="00F02111"/>
    <w:rsid w:val="00F021DE"/>
    <w:rsid w:val="00F0228F"/>
    <w:rsid w:val="00F025E4"/>
    <w:rsid w:val="00F026BC"/>
    <w:rsid w:val="00F02821"/>
    <w:rsid w:val="00F0284C"/>
    <w:rsid w:val="00F029C2"/>
    <w:rsid w:val="00F029ED"/>
    <w:rsid w:val="00F02ACD"/>
    <w:rsid w:val="00F02D68"/>
    <w:rsid w:val="00F02DE0"/>
    <w:rsid w:val="00F030A2"/>
    <w:rsid w:val="00F03487"/>
    <w:rsid w:val="00F0351D"/>
    <w:rsid w:val="00F03638"/>
    <w:rsid w:val="00F036BA"/>
    <w:rsid w:val="00F0394D"/>
    <w:rsid w:val="00F03CFD"/>
    <w:rsid w:val="00F0400F"/>
    <w:rsid w:val="00F04254"/>
    <w:rsid w:val="00F0434E"/>
    <w:rsid w:val="00F045EC"/>
    <w:rsid w:val="00F0466F"/>
    <w:rsid w:val="00F0487A"/>
    <w:rsid w:val="00F04CB0"/>
    <w:rsid w:val="00F04DC8"/>
    <w:rsid w:val="00F04E58"/>
    <w:rsid w:val="00F054EE"/>
    <w:rsid w:val="00F055C3"/>
    <w:rsid w:val="00F05954"/>
    <w:rsid w:val="00F05983"/>
    <w:rsid w:val="00F05A90"/>
    <w:rsid w:val="00F05D50"/>
    <w:rsid w:val="00F05EF9"/>
    <w:rsid w:val="00F05F8B"/>
    <w:rsid w:val="00F05F95"/>
    <w:rsid w:val="00F069F0"/>
    <w:rsid w:val="00F06D49"/>
    <w:rsid w:val="00F06D5E"/>
    <w:rsid w:val="00F06DC7"/>
    <w:rsid w:val="00F06E86"/>
    <w:rsid w:val="00F070E3"/>
    <w:rsid w:val="00F070F0"/>
    <w:rsid w:val="00F07149"/>
    <w:rsid w:val="00F0721D"/>
    <w:rsid w:val="00F077FD"/>
    <w:rsid w:val="00F07C5C"/>
    <w:rsid w:val="00F07CB6"/>
    <w:rsid w:val="00F07DC6"/>
    <w:rsid w:val="00F10298"/>
    <w:rsid w:val="00F103E4"/>
    <w:rsid w:val="00F1051B"/>
    <w:rsid w:val="00F1081E"/>
    <w:rsid w:val="00F10827"/>
    <w:rsid w:val="00F109AC"/>
    <w:rsid w:val="00F10C42"/>
    <w:rsid w:val="00F10EDD"/>
    <w:rsid w:val="00F10F08"/>
    <w:rsid w:val="00F1141A"/>
    <w:rsid w:val="00F11552"/>
    <w:rsid w:val="00F1155B"/>
    <w:rsid w:val="00F116C1"/>
    <w:rsid w:val="00F1177E"/>
    <w:rsid w:val="00F11823"/>
    <w:rsid w:val="00F11864"/>
    <w:rsid w:val="00F118BF"/>
    <w:rsid w:val="00F11A63"/>
    <w:rsid w:val="00F11B52"/>
    <w:rsid w:val="00F11FCB"/>
    <w:rsid w:val="00F12029"/>
    <w:rsid w:val="00F12356"/>
    <w:rsid w:val="00F1238E"/>
    <w:rsid w:val="00F123F5"/>
    <w:rsid w:val="00F126EF"/>
    <w:rsid w:val="00F12866"/>
    <w:rsid w:val="00F12869"/>
    <w:rsid w:val="00F12B7B"/>
    <w:rsid w:val="00F12CBB"/>
    <w:rsid w:val="00F12DF7"/>
    <w:rsid w:val="00F12EB9"/>
    <w:rsid w:val="00F1301B"/>
    <w:rsid w:val="00F1302F"/>
    <w:rsid w:val="00F1309C"/>
    <w:rsid w:val="00F131A5"/>
    <w:rsid w:val="00F13205"/>
    <w:rsid w:val="00F13303"/>
    <w:rsid w:val="00F136DE"/>
    <w:rsid w:val="00F1384D"/>
    <w:rsid w:val="00F1389B"/>
    <w:rsid w:val="00F138FC"/>
    <w:rsid w:val="00F1392C"/>
    <w:rsid w:val="00F13A71"/>
    <w:rsid w:val="00F13DCC"/>
    <w:rsid w:val="00F13FEE"/>
    <w:rsid w:val="00F14014"/>
    <w:rsid w:val="00F14200"/>
    <w:rsid w:val="00F142CF"/>
    <w:rsid w:val="00F14412"/>
    <w:rsid w:val="00F146D9"/>
    <w:rsid w:val="00F14AD9"/>
    <w:rsid w:val="00F14BD3"/>
    <w:rsid w:val="00F14C32"/>
    <w:rsid w:val="00F14D29"/>
    <w:rsid w:val="00F14E9A"/>
    <w:rsid w:val="00F14F88"/>
    <w:rsid w:val="00F150EA"/>
    <w:rsid w:val="00F151AD"/>
    <w:rsid w:val="00F151F4"/>
    <w:rsid w:val="00F1546E"/>
    <w:rsid w:val="00F15505"/>
    <w:rsid w:val="00F15539"/>
    <w:rsid w:val="00F1582B"/>
    <w:rsid w:val="00F15915"/>
    <w:rsid w:val="00F159CB"/>
    <w:rsid w:val="00F15A0F"/>
    <w:rsid w:val="00F15BBE"/>
    <w:rsid w:val="00F15C67"/>
    <w:rsid w:val="00F15C9D"/>
    <w:rsid w:val="00F15CC5"/>
    <w:rsid w:val="00F161DB"/>
    <w:rsid w:val="00F16202"/>
    <w:rsid w:val="00F1664E"/>
    <w:rsid w:val="00F16661"/>
    <w:rsid w:val="00F1666F"/>
    <w:rsid w:val="00F16A21"/>
    <w:rsid w:val="00F16A3D"/>
    <w:rsid w:val="00F16ADA"/>
    <w:rsid w:val="00F16FAA"/>
    <w:rsid w:val="00F16FCE"/>
    <w:rsid w:val="00F17534"/>
    <w:rsid w:val="00F17646"/>
    <w:rsid w:val="00F1765F"/>
    <w:rsid w:val="00F17828"/>
    <w:rsid w:val="00F17CB5"/>
    <w:rsid w:val="00F17EAB"/>
    <w:rsid w:val="00F17F07"/>
    <w:rsid w:val="00F17F7D"/>
    <w:rsid w:val="00F20064"/>
    <w:rsid w:val="00F2015A"/>
    <w:rsid w:val="00F201FD"/>
    <w:rsid w:val="00F20411"/>
    <w:rsid w:val="00F204B9"/>
    <w:rsid w:val="00F20506"/>
    <w:rsid w:val="00F20530"/>
    <w:rsid w:val="00F20647"/>
    <w:rsid w:val="00F209BD"/>
    <w:rsid w:val="00F20A47"/>
    <w:rsid w:val="00F20B39"/>
    <w:rsid w:val="00F20C25"/>
    <w:rsid w:val="00F20C61"/>
    <w:rsid w:val="00F20D7D"/>
    <w:rsid w:val="00F20E2A"/>
    <w:rsid w:val="00F21121"/>
    <w:rsid w:val="00F21216"/>
    <w:rsid w:val="00F21265"/>
    <w:rsid w:val="00F21953"/>
    <w:rsid w:val="00F21C4F"/>
    <w:rsid w:val="00F21C67"/>
    <w:rsid w:val="00F21D38"/>
    <w:rsid w:val="00F21DE5"/>
    <w:rsid w:val="00F21DF3"/>
    <w:rsid w:val="00F21EED"/>
    <w:rsid w:val="00F21F2E"/>
    <w:rsid w:val="00F21F3A"/>
    <w:rsid w:val="00F22058"/>
    <w:rsid w:val="00F22070"/>
    <w:rsid w:val="00F22234"/>
    <w:rsid w:val="00F22254"/>
    <w:rsid w:val="00F222D6"/>
    <w:rsid w:val="00F225CC"/>
    <w:rsid w:val="00F22687"/>
    <w:rsid w:val="00F22AE0"/>
    <w:rsid w:val="00F230F8"/>
    <w:rsid w:val="00F231B3"/>
    <w:rsid w:val="00F2325A"/>
    <w:rsid w:val="00F233BE"/>
    <w:rsid w:val="00F235FA"/>
    <w:rsid w:val="00F23923"/>
    <w:rsid w:val="00F23A81"/>
    <w:rsid w:val="00F23CE2"/>
    <w:rsid w:val="00F23E1B"/>
    <w:rsid w:val="00F23EFA"/>
    <w:rsid w:val="00F2406E"/>
    <w:rsid w:val="00F240DC"/>
    <w:rsid w:val="00F24103"/>
    <w:rsid w:val="00F241A4"/>
    <w:rsid w:val="00F241B5"/>
    <w:rsid w:val="00F24270"/>
    <w:rsid w:val="00F244AA"/>
    <w:rsid w:val="00F2454F"/>
    <w:rsid w:val="00F24585"/>
    <w:rsid w:val="00F246B0"/>
    <w:rsid w:val="00F246C4"/>
    <w:rsid w:val="00F246EF"/>
    <w:rsid w:val="00F24AD5"/>
    <w:rsid w:val="00F24C5A"/>
    <w:rsid w:val="00F24F94"/>
    <w:rsid w:val="00F25175"/>
    <w:rsid w:val="00F25333"/>
    <w:rsid w:val="00F25499"/>
    <w:rsid w:val="00F25503"/>
    <w:rsid w:val="00F255AA"/>
    <w:rsid w:val="00F25682"/>
    <w:rsid w:val="00F258CC"/>
    <w:rsid w:val="00F25912"/>
    <w:rsid w:val="00F25BD5"/>
    <w:rsid w:val="00F25E8B"/>
    <w:rsid w:val="00F25F3B"/>
    <w:rsid w:val="00F25FD3"/>
    <w:rsid w:val="00F2620F"/>
    <w:rsid w:val="00F2632B"/>
    <w:rsid w:val="00F26776"/>
    <w:rsid w:val="00F268D3"/>
    <w:rsid w:val="00F26960"/>
    <w:rsid w:val="00F2696C"/>
    <w:rsid w:val="00F26B6F"/>
    <w:rsid w:val="00F26D83"/>
    <w:rsid w:val="00F2736D"/>
    <w:rsid w:val="00F27578"/>
    <w:rsid w:val="00F275F0"/>
    <w:rsid w:val="00F279C2"/>
    <w:rsid w:val="00F27A14"/>
    <w:rsid w:val="00F27D7A"/>
    <w:rsid w:val="00F30099"/>
    <w:rsid w:val="00F30125"/>
    <w:rsid w:val="00F30276"/>
    <w:rsid w:val="00F3035D"/>
    <w:rsid w:val="00F303E9"/>
    <w:rsid w:val="00F3058A"/>
    <w:rsid w:val="00F30610"/>
    <w:rsid w:val="00F307A0"/>
    <w:rsid w:val="00F308EE"/>
    <w:rsid w:val="00F30A61"/>
    <w:rsid w:val="00F30AEA"/>
    <w:rsid w:val="00F30B53"/>
    <w:rsid w:val="00F30E67"/>
    <w:rsid w:val="00F31171"/>
    <w:rsid w:val="00F311A6"/>
    <w:rsid w:val="00F311F8"/>
    <w:rsid w:val="00F312DD"/>
    <w:rsid w:val="00F3152C"/>
    <w:rsid w:val="00F3156B"/>
    <w:rsid w:val="00F315F0"/>
    <w:rsid w:val="00F315F7"/>
    <w:rsid w:val="00F3160D"/>
    <w:rsid w:val="00F317F1"/>
    <w:rsid w:val="00F31831"/>
    <w:rsid w:val="00F319CC"/>
    <w:rsid w:val="00F32011"/>
    <w:rsid w:val="00F320FC"/>
    <w:rsid w:val="00F32160"/>
    <w:rsid w:val="00F32218"/>
    <w:rsid w:val="00F32371"/>
    <w:rsid w:val="00F32831"/>
    <w:rsid w:val="00F32D68"/>
    <w:rsid w:val="00F32EEE"/>
    <w:rsid w:val="00F33250"/>
    <w:rsid w:val="00F33283"/>
    <w:rsid w:val="00F332FA"/>
    <w:rsid w:val="00F33410"/>
    <w:rsid w:val="00F334A5"/>
    <w:rsid w:val="00F3364B"/>
    <w:rsid w:val="00F33A97"/>
    <w:rsid w:val="00F33DCF"/>
    <w:rsid w:val="00F33E38"/>
    <w:rsid w:val="00F33E9B"/>
    <w:rsid w:val="00F33FED"/>
    <w:rsid w:val="00F3400D"/>
    <w:rsid w:val="00F34230"/>
    <w:rsid w:val="00F34930"/>
    <w:rsid w:val="00F3497F"/>
    <w:rsid w:val="00F34C7B"/>
    <w:rsid w:val="00F34CB1"/>
    <w:rsid w:val="00F34CE5"/>
    <w:rsid w:val="00F34DFD"/>
    <w:rsid w:val="00F34E96"/>
    <w:rsid w:val="00F34FEB"/>
    <w:rsid w:val="00F35179"/>
    <w:rsid w:val="00F35284"/>
    <w:rsid w:val="00F35385"/>
    <w:rsid w:val="00F353D5"/>
    <w:rsid w:val="00F3546B"/>
    <w:rsid w:val="00F354A0"/>
    <w:rsid w:val="00F35A1D"/>
    <w:rsid w:val="00F35A9A"/>
    <w:rsid w:val="00F35D90"/>
    <w:rsid w:val="00F35E70"/>
    <w:rsid w:val="00F36187"/>
    <w:rsid w:val="00F361C3"/>
    <w:rsid w:val="00F36276"/>
    <w:rsid w:val="00F363D3"/>
    <w:rsid w:val="00F36406"/>
    <w:rsid w:val="00F3646F"/>
    <w:rsid w:val="00F36B4C"/>
    <w:rsid w:val="00F36D56"/>
    <w:rsid w:val="00F36FEA"/>
    <w:rsid w:val="00F37182"/>
    <w:rsid w:val="00F371DD"/>
    <w:rsid w:val="00F373F6"/>
    <w:rsid w:val="00F3740A"/>
    <w:rsid w:val="00F37460"/>
    <w:rsid w:val="00F3748C"/>
    <w:rsid w:val="00F374AB"/>
    <w:rsid w:val="00F374C3"/>
    <w:rsid w:val="00F37519"/>
    <w:rsid w:val="00F3754E"/>
    <w:rsid w:val="00F37560"/>
    <w:rsid w:val="00F375A8"/>
    <w:rsid w:val="00F3772D"/>
    <w:rsid w:val="00F37F88"/>
    <w:rsid w:val="00F4010C"/>
    <w:rsid w:val="00F40152"/>
    <w:rsid w:val="00F40383"/>
    <w:rsid w:val="00F403A4"/>
    <w:rsid w:val="00F403B8"/>
    <w:rsid w:val="00F404B7"/>
    <w:rsid w:val="00F407AF"/>
    <w:rsid w:val="00F40A6D"/>
    <w:rsid w:val="00F40C24"/>
    <w:rsid w:val="00F41159"/>
    <w:rsid w:val="00F411C5"/>
    <w:rsid w:val="00F4130F"/>
    <w:rsid w:val="00F415BA"/>
    <w:rsid w:val="00F415CA"/>
    <w:rsid w:val="00F41637"/>
    <w:rsid w:val="00F416CD"/>
    <w:rsid w:val="00F417D2"/>
    <w:rsid w:val="00F41A1B"/>
    <w:rsid w:val="00F41A3B"/>
    <w:rsid w:val="00F41C0A"/>
    <w:rsid w:val="00F41E2E"/>
    <w:rsid w:val="00F41EE3"/>
    <w:rsid w:val="00F41F39"/>
    <w:rsid w:val="00F422C4"/>
    <w:rsid w:val="00F4269C"/>
    <w:rsid w:val="00F426F6"/>
    <w:rsid w:val="00F427B1"/>
    <w:rsid w:val="00F42873"/>
    <w:rsid w:val="00F42969"/>
    <w:rsid w:val="00F42B88"/>
    <w:rsid w:val="00F42EBD"/>
    <w:rsid w:val="00F435A6"/>
    <w:rsid w:val="00F43646"/>
    <w:rsid w:val="00F43662"/>
    <w:rsid w:val="00F43AE1"/>
    <w:rsid w:val="00F43B2E"/>
    <w:rsid w:val="00F43BCE"/>
    <w:rsid w:val="00F43DE3"/>
    <w:rsid w:val="00F43E0C"/>
    <w:rsid w:val="00F43F79"/>
    <w:rsid w:val="00F440AB"/>
    <w:rsid w:val="00F44188"/>
    <w:rsid w:val="00F441EC"/>
    <w:rsid w:val="00F44353"/>
    <w:rsid w:val="00F443A6"/>
    <w:rsid w:val="00F443D2"/>
    <w:rsid w:val="00F4462A"/>
    <w:rsid w:val="00F44748"/>
    <w:rsid w:val="00F44B3C"/>
    <w:rsid w:val="00F44B57"/>
    <w:rsid w:val="00F44F0F"/>
    <w:rsid w:val="00F45134"/>
    <w:rsid w:val="00F45217"/>
    <w:rsid w:val="00F453DB"/>
    <w:rsid w:val="00F45484"/>
    <w:rsid w:val="00F459CA"/>
    <w:rsid w:val="00F45CFA"/>
    <w:rsid w:val="00F45DA7"/>
    <w:rsid w:val="00F46093"/>
    <w:rsid w:val="00F461A0"/>
    <w:rsid w:val="00F463A1"/>
    <w:rsid w:val="00F464E9"/>
    <w:rsid w:val="00F46522"/>
    <w:rsid w:val="00F4689F"/>
    <w:rsid w:val="00F4696A"/>
    <w:rsid w:val="00F469C4"/>
    <w:rsid w:val="00F46B6A"/>
    <w:rsid w:val="00F46BBA"/>
    <w:rsid w:val="00F46BF7"/>
    <w:rsid w:val="00F46D33"/>
    <w:rsid w:val="00F46F14"/>
    <w:rsid w:val="00F46FA6"/>
    <w:rsid w:val="00F47062"/>
    <w:rsid w:val="00F47121"/>
    <w:rsid w:val="00F47142"/>
    <w:rsid w:val="00F472DE"/>
    <w:rsid w:val="00F472F0"/>
    <w:rsid w:val="00F47391"/>
    <w:rsid w:val="00F4742D"/>
    <w:rsid w:val="00F47451"/>
    <w:rsid w:val="00F4753D"/>
    <w:rsid w:val="00F47632"/>
    <w:rsid w:val="00F477EA"/>
    <w:rsid w:val="00F47851"/>
    <w:rsid w:val="00F4794F"/>
    <w:rsid w:val="00F47A2C"/>
    <w:rsid w:val="00F47B40"/>
    <w:rsid w:val="00F47C63"/>
    <w:rsid w:val="00F50288"/>
    <w:rsid w:val="00F502B2"/>
    <w:rsid w:val="00F502BC"/>
    <w:rsid w:val="00F5056B"/>
    <w:rsid w:val="00F50778"/>
    <w:rsid w:val="00F508C5"/>
    <w:rsid w:val="00F508F4"/>
    <w:rsid w:val="00F50C5B"/>
    <w:rsid w:val="00F50D52"/>
    <w:rsid w:val="00F50E44"/>
    <w:rsid w:val="00F50E66"/>
    <w:rsid w:val="00F50E93"/>
    <w:rsid w:val="00F510CC"/>
    <w:rsid w:val="00F51316"/>
    <w:rsid w:val="00F5147C"/>
    <w:rsid w:val="00F515CF"/>
    <w:rsid w:val="00F51C50"/>
    <w:rsid w:val="00F51C98"/>
    <w:rsid w:val="00F51D3A"/>
    <w:rsid w:val="00F51D4B"/>
    <w:rsid w:val="00F521D1"/>
    <w:rsid w:val="00F52255"/>
    <w:rsid w:val="00F52287"/>
    <w:rsid w:val="00F52451"/>
    <w:rsid w:val="00F52593"/>
    <w:rsid w:val="00F529C6"/>
    <w:rsid w:val="00F52AD6"/>
    <w:rsid w:val="00F52FAE"/>
    <w:rsid w:val="00F532CD"/>
    <w:rsid w:val="00F53384"/>
    <w:rsid w:val="00F535AF"/>
    <w:rsid w:val="00F53658"/>
    <w:rsid w:val="00F538B6"/>
    <w:rsid w:val="00F53E30"/>
    <w:rsid w:val="00F541EC"/>
    <w:rsid w:val="00F54331"/>
    <w:rsid w:val="00F54413"/>
    <w:rsid w:val="00F548FE"/>
    <w:rsid w:val="00F54A55"/>
    <w:rsid w:val="00F54CC9"/>
    <w:rsid w:val="00F54DAF"/>
    <w:rsid w:val="00F54EAA"/>
    <w:rsid w:val="00F550E8"/>
    <w:rsid w:val="00F550EB"/>
    <w:rsid w:val="00F55147"/>
    <w:rsid w:val="00F551FD"/>
    <w:rsid w:val="00F553CC"/>
    <w:rsid w:val="00F553E5"/>
    <w:rsid w:val="00F55429"/>
    <w:rsid w:val="00F5549D"/>
    <w:rsid w:val="00F554D3"/>
    <w:rsid w:val="00F5582F"/>
    <w:rsid w:val="00F559C3"/>
    <w:rsid w:val="00F559EC"/>
    <w:rsid w:val="00F559F8"/>
    <w:rsid w:val="00F55D7A"/>
    <w:rsid w:val="00F55ED1"/>
    <w:rsid w:val="00F56276"/>
    <w:rsid w:val="00F56278"/>
    <w:rsid w:val="00F567E8"/>
    <w:rsid w:val="00F56B5A"/>
    <w:rsid w:val="00F56D59"/>
    <w:rsid w:val="00F56DFE"/>
    <w:rsid w:val="00F56F39"/>
    <w:rsid w:val="00F572DA"/>
    <w:rsid w:val="00F572EA"/>
    <w:rsid w:val="00F573D6"/>
    <w:rsid w:val="00F57441"/>
    <w:rsid w:val="00F57471"/>
    <w:rsid w:val="00F576A3"/>
    <w:rsid w:val="00F57700"/>
    <w:rsid w:val="00F57749"/>
    <w:rsid w:val="00F577FE"/>
    <w:rsid w:val="00F57B70"/>
    <w:rsid w:val="00F57FF0"/>
    <w:rsid w:val="00F600CB"/>
    <w:rsid w:val="00F600D2"/>
    <w:rsid w:val="00F60312"/>
    <w:rsid w:val="00F60351"/>
    <w:rsid w:val="00F605D6"/>
    <w:rsid w:val="00F60871"/>
    <w:rsid w:val="00F60BA8"/>
    <w:rsid w:val="00F60BD1"/>
    <w:rsid w:val="00F60D65"/>
    <w:rsid w:val="00F60DA4"/>
    <w:rsid w:val="00F60E00"/>
    <w:rsid w:val="00F60F16"/>
    <w:rsid w:val="00F60FFA"/>
    <w:rsid w:val="00F6127D"/>
    <w:rsid w:val="00F6136A"/>
    <w:rsid w:val="00F61459"/>
    <w:rsid w:val="00F61582"/>
    <w:rsid w:val="00F6184C"/>
    <w:rsid w:val="00F6186D"/>
    <w:rsid w:val="00F61D12"/>
    <w:rsid w:val="00F62186"/>
    <w:rsid w:val="00F622A8"/>
    <w:rsid w:val="00F623E1"/>
    <w:rsid w:val="00F62866"/>
    <w:rsid w:val="00F6291A"/>
    <w:rsid w:val="00F6299A"/>
    <w:rsid w:val="00F62A26"/>
    <w:rsid w:val="00F62CC7"/>
    <w:rsid w:val="00F62ECC"/>
    <w:rsid w:val="00F6300A"/>
    <w:rsid w:val="00F63075"/>
    <w:rsid w:val="00F632FF"/>
    <w:rsid w:val="00F63563"/>
    <w:rsid w:val="00F63B81"/>
    <w:rsid w:val="00F63EAA"/>
    <w:rsid w:val="00F64073"/>
    <w:rsid w:val="00F6423A"/>
    <w:rsid w:val="00F6443B"/>
    <w:rsid w:val="00F645CD"/>
    <w:rsid w:val="00F6461C"/>
    <w:rsid w:val="00F64637"/>
    <w:rsid w:val="00F64896"/>
    <w:rsid w:val="00F6497B"/>
    <w:rsid w:val="00F64A62"/>
    <w:rsid w:val="00F64AF7"/>
    <w:rsid w:val="00F652AE"/>
    <w:rsid w:val="00F652B4"/>
    <w:rsid w:val="00F652E3"/>
    <w:rsid w:val="00F655FF"/>
    <w:rsid w:val="00F65632"/>
    <w:rsid w:val="00F656D7"/>
    <w:rsid w:val="00F65718"/>
    <w:rsid w:val="00F65818"/>
    <w:rsid w:val="00F658F8"/>
    <w:rsid w:val="00F65A86"/>
    <w:rsid w:val="00F65B32"/>
    <w:rsid w:val="00F65B5A"/>
    <w:rsid w:val="00F65CF2"/>
    <w:rsid w:val="00F65DB0"/>
    <w:rsid w:val="00F65DD5"/>
    <w:rsid w:val="00F65DF8"/>
    <w:rsid w:val="00F66031"/>
    <w:rsid w:val="00F6615B"/>
    <w:rsid w:val="00F66412"/>
    <w:rsid w:val="00F66447"/>
    <w:rsid w:val="00F6648B"/>
    <w:rsid w:val="00F664AB"/>
    <w:rsid w:val="00F66607"/>
    <w:rsid w:val="00F6664B"/>
    <w:rsid w:val="00F669A2"/>
    <w:rsid w:val="00F66D15"/>
    <w:rsid w:val="00F67369"/>
    <w:rsid w:val="00F674BE"/>
    <w:rsid w:val="00F674C4"/>
    <w:rsid w:val="00F674F2"/>
    <w:rsid w:val="00F676DD"/>
    <w:rsid w:val="00F67724"/>
    <w:rsid w:val="00F6780B"/>
    <w:rsid w:val="00F6781B"/>
    <w:rsid w:val="00F67845"/>
    <w:rsid w:val="00F67909"/>
    <w:rsid w:val="00F67AAD"/>
    <w:rsid w:val="00F67C9B"/>
    <w:rsid w:val="00F67CD3"/>
    <w:rsid w:val="00F67E88"/>
    <w:rsid w:val="00F67EE3"/>
    <w:rsid w:val="00F67FAB"/>
    <w:rsid w:val="00F7011E"/>
    <w:rsid w:val="00F70330"/>
    <w:rsid w:val="00F70338"/>
    <w:rsid w:val="00F7038F"/>
    <w:rsid w:val="00F70421"/>
    <w:rsid w:val="00F707D0"/>
    <w:rsid w:val="00F70A85"/>
    <w:rsid w:val="00F70B0D"/>
    <w:rsid w:val="00F70B2B"/>
    <w:rsid w:val="00F70FEA"/>
    <w:rsid w:val="00F710BB"/>
    <w:rsid w:val="00F7125C"/>
    <w:rsid w:val="00F713AB"/>
    <w:rsid w:val="00F7163D"/>
    <w:rsid w:val="00F71843"/>
    <w:rsid w:val="00F71869"/>
    <w:rsid w:val="00F71BE0"/>
    <w:rsid w:val="00F71E34"/>
    <w:rsid w:val="00F72084"/>
    <w:rsid w:val="00F720A9"/>
    <w:rsid w:val="00F72169"/>
    <w:rsid w:val="00F721EE"/>
    <w:rsid w:val="00F72216"/>
    <w:rsid w:val="00F724B0"/>
    <w:rsid w:val="00F72509"/>
    <w:rsid w:val="00F726DB"/>
    <w:rsid w:val="00F729DE"/>
    <w:rsid w:val="00F72DC3"/>
    <w:rsid w:val="00F72E17"/>
    <w:rsid w:val="00F72E1A"/>
    <w:rsid w:val="00F72E36"/>
    <w:rsid w:val="00F731FD"/>
    <w:rsid w:val="00F73382"/>
    <w:rsid w:val="00F735AA"/>
    <w:rsid w:val="00F73AC3"/>
    <w:rsid w:val="00F73B20"/>
    <w:rsid w:val="00F7401F"/>
    <w:rsid w:val="00F7409D"/>
    <w:rsid w:val="00F741E0"/>
    <w:rsid w:val="00F742E3"/>
    <w:rsid w:val="00F7431E"/>
    <w:rsid w:val="00F74480"/>
    <w:rsid w:val="00F744E7"/>
    <w:rsid w:val="00F744EE"/>
    <w:rsid w:val="00F74530"/>
    <w:rsid w:val="00F74613"/>
    <w:rsid w:val="00F74756"/>
    <w:rsid w:val="00F7479A"/>
    <w:rsid w:val="00F7488A"/>
    <w:rsid w:val="00F749A2"/>
    <w:rsid w:val="00F74B76"/>
    <w:rsid w:val="00F74C07"/>
    <w:rsid w:val="00F74F42"/>
    <w:rsid w:val="00F74F4E"/>
    <w:rsid w:val="00F74FAC"/>
    <w:rsid w:val="00F7500C"/>
    <w:rsid w:val="00F7506F"/>
    <w:rsid w:val="00F750D6"/>
    <w:rsid w:val="00F75212"/>
    <w:rsid w:val="00F753B8"/>
    <w:rsid w:val="00F75495"/>
    <w:rsid w:val="00F754D5"/>
    <w:rsid w:val="00F7565E"/>
    <w:rsid w:val="00F756AF"/>
    <w:rsid w:val="00F757F3"/>
    <w:rsid w:val="00F7584C"/>
    <w:rsid w:val="00F75888"/>
    <w:rsid w:val="00F758FE"/>
    <w:rsid w:val="00F75B18"/>
    <w:rsid w:val="00F75D37"/>
    <w:rsid w:val="00F75FE6"/>
    <w:rsid w:val="00F761DC"/>
    <w:rsid w:val="00F76259"/>
    <w:rsid w:val="00F763B8"/>
    <w:rsid w:val="00F76739"/>
    <w:rsid w:val="00F767AB"/>
    <w:rsid w:val="00F768A0"/>
    <w:rsid w:val="00F76A88"/>
    <w:rsid w:val="00F76BC5"/>
    <w:rsid w:val="00F76CB7"/>
    <w:rsid w:val="00F772B4"/>
    <w:rsid w:val="00F77780"/>
    <w:rsid w:val="00F777D8"/>
    <w:rsid w:val="00F777F0"/>
    <w:rsid w:val="00F77846"/>
    <w:rsid w:val="00F77C40"/>
    <w:rsid w:val="00F77E11"/>
    <w:rsid w:val="00F800D7"/>
    <w:rsid w:val="00F80171"/>
    <w:rsid w:val="00F801D9"/>
    <w:rsid w:val="00F80505"/>
    <w:rsid w:val="00F8084D"/>
    <w:rsid w:val="00F80B77"/>
    <w:rsid w:val="00F80BDF"/>
    <w:rsid w:val="00F80D23"/>
    <w:rsid w:val="00F80F4C"/>
    <w:rsid w:val="00F80F4F"/>
    <w:rsid w:val="00F81016"/>
    <w:rsid w:val="00F8109B"/>
    <w:rsid w:val="00F81517"/>
    <w:rsid w:val="00F81716"/>
    <w:rsid w:val="00F818A6"/>
    <w:rsid w:val="00F81C0E"/>
    <w:rsid w:val="00F81C0F"/>
    <w:rsid w:val="00F81CC2"/>
    <w:rsid w:val="00F81DC8"/>
    <w:rsid w:val="00F81F2D"/>
    <w:rsid w:val="00F82344"/>
    <w:rsid w:val="00F82687"/>
    <w:rsid w:val="00F82ACD"/>
    <w:rsid w:val="00F82B24"/>
    <w:rsid w:val="00F82D8A"/>
    <w:rsid w:val="00F834BD"/>
    <w:rsid w:val="00F83AE5"/>
    <w:rsid w:val="00F83BBA"/>
    <w:rsid w:val="00F83EB8"/>
    <w:rsid w:val="00F83F4E"/>
    <w:rsid w:val="00F845A4"/>
    <w:rsid w:val="00F84601"/>
    <w:rsid w:val="00F84687"/>
    <w:rsid w:val="00F84A24"/>
    <w:rsid w:val="00F84A69"/>
    <w:rsid w:val="00F84DAB"/>
    <w:rsid w:val="00F84EA8"/>
    <w:rsid w:val="00F84F51"/>
    <w:rsid w:val="00F850E2"/>
    <w:rsid w:val="00F85150"/>
    <w:rsid w:val="00F85165"/>
    <w:rsid w:val="00F8529C"/>
    <w:rsid w:val="00F854BF"/>
    <w:rsid w:val="00F8550E"/>
    <w:rsid w:val="00F85576"/>
    <w:rsid w:val="00F8576D"/>
    <w:rsid w:val="00F8580A"/>
    <w:rsid w:val="00F859CA"/>
    <w:rsid w:val="00F85A5E"/>
    <w:rsid w:val="00F85CD7"/>
    <w:rsid w:val="00F85D1F"/>
    <w:rsid w:val="00F85DC9"/>
    <w:rsid w:val="00F86048"/>
    <w:rsid w:val="00F860A6"/>
    <w:rsid w:val="00F86147"/>
    <w:rsid w:val="00F86432"/>
    <w:rsid w:val="00F86559"/>
    <w:rsid w:val="00F8655D"/>
    <w:rsid w:val="00F86B98"/>
    <w:rsid w:val="00F86BEC"/>
    <w:rsid w:val="00F86CD9"/>
    <w:rsid w:val="00F871F6"/>
    <w:rsid w:val="00F87211"/>
    <w:rsid w:val="00F8737B"/>
    <w:rsid w:val="00F8762D"/>
    <w:rsid w:val="00F8764A"/>
    <w:rsid w:val="00F876C8"/>
    <w:rsid w:val="00F87B25"/>
    <w:rsid w:val="00F87BB2"/>
    <w:rsid w:val="00F87DD0"/>
    <w:rsid w:val="00F87E5A"/>
    <w:rsid w:val="00F90093"/>
    <w:rsid w:val="00F900DA"/>
    <w:rsid w:val="00F901F8"/>
    <w:rsid w:val="00F902C8"/>
    <w:rsid w:val="00F9031E"/>
    <w:rsid w:val="00F904CC"/>
    <w:rsid w:val="00F9055E"/>
    <w:rsid w:val="00F907C0"/>
    <w:rsid w:val="00F90A1F"/>
    <w:rsid w:val="00F90B0D"/>
    <w:rsid w:val="00F90B25"/>
    <w:rsid w:val="00F90C01"/>
    <w:rsid w:val="00F90D49"/>
    <w:rsid w:val="00F90ED0"/>
    <w:rsid w:val="00F90FC0"/>
    <w:rsid w:val="00F9103F"/>
    <w:rsid w:val="00F912BC"/>
    <w:rsid w:val="00F914D5"/>
    <w:rsid w:val="00F915BE"/>
    <w:rsid w:val="00F917F5"/>
    <w:rsid w:val="00F91A64"/>
    <w:rsid w:val="00F91E56"/>
    <w:rsid w:val="00F920E6"/>
    <w:rsid w:val="00F92139"/>
    <w:rsid w:val="00F9215B"/>
    <w:rsid w:val="00F922BC"/>
    <w:rsid w:val="00F923F0"/>
    <w:rsid w:val="00F924E2"/>
    <w:rsid w:val="00F9256D"/>
    <w:rsid w:val="00F92621"/>
    <w:rsid w:val="00F9286F"/>
    <w:rsid w:val="00F92A59"/>
    <w:rsid w:val="00F92E66"/>
    <w:rsid w:val="00F92ED4"/>
    <w:rsid w:val="00F92EF0"/>
    <w:rsid w:val="00F93445"/>
    <w:rsid w:val="00F9367D"/>
    <w:rsid w:val="00F938C4"/>
    <w:rsid w:val="00F94070"/>
    <w:rsid w:val="00F940B5"/>
    <w:rsid w:val="00F94312"/>
    <w:rsid w:val="00F9451C"/>
    <w:rsid w:val="00F9456D"/>
    <w:rsid w:val="00F94784"/>
    <w:rsid w:val="00F94842"/>
    <w:rsid w:val="00F948BD"/>
    <w:rsid w:val="00F94911"/>
    <w:rsid w:val="00F94D68"/>
    <w:rsid w:val="00F9514A"/>
    <w:rsid w:val="00F95332"/>
    <w:rsid w:val="00F95528"/>
    <w:rsid w:val="00F956DE"/>
    <w:rsid w:val="00F956FD"/>
    <w:rsid w:val="00F95756"/>
    <w:rsid w:val="00F958AE"/>
    <w:rsid w:val="00F95A5D"/>
    <w:rsid w:val="00F95C2F"/>
    <w:rsid w:val="00F95CCE"/>
    <w:rsid w:val="00F95D20"/>
    <w:rsid w:val="00F95F12"/>
    <w:rsid w:val="00F95F71"/>
    <w:rsid w:val="00F9611D"/>
    <w:rsid w:val="00F96380"/>
    <w:rsid w:val="00F9639C"/>
    <w:rsid w:val="00F96486"/>
    <w:rsid w:val="00F96525"/>
    <w:rsid w:val="00F96586"/>
    <w:rsid w:val="00F965AF"/>
    <w:rsid w:val="00F96630"/>
    <w:rsid w:val="00F96787"/>
    <w:rsid w:val="00F9678D"/>
    <w:rsid w:val="00F96957"/>
    <w:rsid w:val="00F96E35"/>
    <w:rsid w:val="00F96E77"/>
    <w:rsid w:val="00F96F23"/>
    <w:rsid w:val="00F96F6F"/>
    <w:rsid w:val="00F97346"/>
    <w:rsid w:val="00F97349"/>
    <w:rsid w:val="00F9735E"/>
    <w:rsid w:val="00F974D1"/>
    <w:rsid w:val="00F97722"/>
    <w:rsid w:val="00F97A6F"/>
    <w:rsid w:val="00F97AAB"/>
    <w:rsid w:val="00FA02CF"/>
    <w:rsid w:val="00FA03C1"/>
    <w:rsid w:val="00FA042F"/>
    <w:rsid w:val="00FA04FF"/>
    <w:rsid w:val="00FA068D"/>
    <w:rsid w:val="00FA08B6"/>
    <w:rsid w:val="00FA0E33"/>
    <w:rsid w:val="00FA0E48"/>
    <w:rsid w:val="00FA0EBC"/>
    <w:rsid w:val="00FA0EDF"/>
    <w:rsid w:val="00FA12F3"/>
    <w:rsid w:val="00FA1410"/>
    <w:rsid w:val="00FA1477"/>
    <w:rsid w:val="00FA14D7"/>
    <w:rsid w:val="00FA158E"/>
    <w:rsid w:val="00FA1593"/>
    <w:rsid w:val="00FA1977"/>
    <w:rsid w:val="00FA1A49"/>
    <w:rsid w:val="00FA1ABF"/>
    <w:rsid w:val="00FA1AC5"/>
    <w:rsid w:val="00FA1CF4"/>
    <w:rsid w:val="00FA1D48"/>
    <w:rsid w:val="00FA1E48"/>
    <w:rsid w:val="00FA2192"/>
    <w:rsid w:val="00FA2329"/>
    <w:rsid w:val="00FA234E"/>
    <w:rsid w:val="00FA2545"/>
    <w:rsid w:val="00FA2853"/>
    <w:rsid w:val="00FA2899"/>
    <w:rsid w:val="00FA293D"/>
    <w:rsid w:val="00FA2940"/>
    <w:rsid w:val="00FA29A7"/>
    <w:rsid w:val="00FA29FF"/>
    <w:rsid w:val="00FA2ACA"/>
    <w:rsid w:val="00FA2CA1"/>
    <w:rsid w:val="00FA2CDF"/>
    <w:rsid w:val="00FA2EEE"/>
    <w:rsid w:val="00FA2FF0"/>
    <w:rsid w:val="00FA3308"/>
    <w:rsid w:val="00FA3326"/>
    <w:rsid w:val="00FA3867"/>
    <w:rsid w:val="00FA3870"/>
    <w:rsid w:val="00FA3AD2"/>
    <w:rsid w:val="00FA3BFF"/>
    <w:rsid w:val="00FA3D39"/>
    <w:rsid w:val="00FA417E"/>
    <w:rsid w:val="00FA4211"/>
    <w:rsid w:val="00FA47DE"/>
    <w:rsid w:val="00FA4977"/>
    <w:rsid w:val="00FA4A32"/>
    <w:rsid w:val="00FA4BFE"/>
    <w:rsid w:val="00FA4BFF"/>
    <w:rsid w:val="00FA4DDA"/>
    <w:rsid w:val="00FA4FC5"/>
    <w:rsid w:val="00FA4FCE"/>
    <w:rsid w:val="00FA528E"/>
    <w:rsid w:val="00FA5851"/>
    <w:rsid w:val="00FA58A4"/>
    <w:rsid w:val="00FA5B39"/>
    <w:rsid w:val="00FA5BA3"/>
    <w:rsid w:val="00FA5BD7"/>
    <w:rsid w:val="00FA5D1A"/>
    <w:rsid w:val="00FA60CB"/>
    <w:rsid w:val="00FA61C1"/>
    <w:rsid w:val="00FA61E8"/>
    <w:rsid w:val="00FA628A"/>
    <w:rsid w:val="00FA6387"/>
    <w:rsid w:val="00FA648E"/>
    <w:rsid w:val="00FA64C6"/>
    <w:rsid w:val="00FA653B"/>
    <w:rsid w:val="00FA6664"/>
    <w:rsid w:val="00FA6686"/>
    <w:rsid w:val="00FA698E"/>
    <w:rsid w:val="00FA6AE0"/>
    <w:rsid w:val="00FA7036"/>
    <w:rsid w:val="00FA70D1"/>
    <w:rsid w:val="00FA71EB"/>
    <w:rsid w:val="00FA7305"/>
    <w:rsid w:val="00FA739D"/>
    <w:rsid w:val="00FA768E"/>
    <w:rsid w:val="00FA771A"/>
    <w:rsid w:val="00FA7898"/>
    <w:rsid w:val="00FA793F"/>
    <w:rsid w:val="00FA794C"/>
    <w:rsid w:val="00FA7CB9"/>
    <w:rsid w:val="00FA7D14"/>
    <w:rsid w:val="00FB0383"/>
    <w:rsid w:val="00FB05E0"/>
    <w:rsid w:val="00FB0670"/>
    <w:rsid w:val="00FB0A29"/>
    <w:rsid w:val="00FB0A9F"/>
    <w:rsid w:val="00FB0C27"/>
    <w:rsid w:val="00FB0E00"/>
    <w:rsid w:val="00FB0E2A"/>
    <w:rsid w:val="00FB1132"/>
    <w:rsid w:val="00FB1245"/>
    <w:rsid w:val="00FB15F8"/>
    <w:rsid w:val="00FB16CB"/>
    <w:rsid w:val="00FB1731"/>
    <w:rsid w:val="00FB1959"/>
    <w:rsid w:val="00FB1A18"/>
    <w:rsid w:val="00FB1E7D"/>
    <w:rsid w:val="00FB2059"/>
    <w:rsid w:val="00FB2108"/>
    <w:rsid w:val="00FB2349"/>
    <w:rsid w:val="00FB25E2"/>
    <w:rsid w:val="00FB26B6"/>
    <w:rsid w:val="00FB2793"/>
    <w:rsid w:val="00FB2AA6"/>
    <w:rsid w:val="00FB2B32"/>
    <w:rsid w:val="00FB2B42"/>
    <w:rsid w:val="00FB2E64"/>
    <w:rsid w:val="00FB2EA4"/>
    <w:rsid w:val="00FB309A"/>
    <w:rsid w:val="00FB3152"/>
    <w:rsid w:val="00FB31C3"/>
    <w:rsid w:val="00FB32BB"/>
    <w:rsid w:val="00FB36B1"/>
    <w:rsid w:val="00FB37A0"/>
    <w:rsid w:val="00FB39E5"/>
    <w:rsid w:val="00FB39EF"/>
    <w:rsid w:val="00FB3A13"/>
    <w:rsid w:val="00FB3A32"/>
    <w:rsid w:val="00FB3AFD"/>
    <w:rsid w:val="00FB3B4B"/>
    <w:rsid w:val="00FB3CDC"/>
    <w:rsid w:val="00FB3D52"/>
    <w:rsid w:val="00FB3E39"/>
    <w:rsid w:val="00FB3F4B"/>
    <w:rsid w:val="00FB3FEE"/>
    <w:rsid w:val="00FB413E"/>
    <w:rsid w:val="00FB43FD"/>
    <w:rsid w:val="00FB4427"/>
    <w:rsid w:val="00FB46EB"/>
    <w:rsid w:val="00FB4831"/>
    <w:rsid w:val="00FB49B8"/>
    <w:rsid w:val="00FB4D9A"/>
    <w:rsid w:val="00FB4DF2"/>
    <w:rsid w:val="00FB4F21"/>
    <w:rsid w:val="00FB4F79"/>
    <w:rsid w:val="00FB4FE7"/>
    <w:rsid w:val="00FB544D"/>
    <w:rsid w:val="00FB55D3"/>
    <w:rsid w:val="00FB5927"/>
    <w:rsid w:val="00FB59CD"/>
    <w:rsid w:val="00FB5ABC"/>
    <w:rsid w:val="00FB5AD7"/>
    <w:rsid w:val="00FB5BEB"/>
    <w:rsid w:val="00FB5CFC"/>
    <w:rsid w:val="00FB5E18"/>
    <w:rsid w:val="00FB5E22"/>
    <w:rsid w:val="00FB5EB2"/>
    <w:rsid w:val="00FB5EC1"/>
    <w:rsid w:val="00FB5FE2"/>
    <w:rsid w:val="00FB60D3"/>
    <w:rsid w:val="00FB6213"/>
    <w:rsid w:val="00FB625A"/>
    <w:rsid w:val="00FB6350"/>
    <w:rsid w:val="00FB643B"/>
    <w:rsid w:val="00FB6503"/>
    <w:rsid w:val="00FB651C"/>
    <w:rsid w:val="00FB667E"/>
    <w:rsid w:val="00FB67D5"/>
    <w:rsid w:val="00FB67F7"/>
    <w:rsid w:val="00FB6C30"/>
    <w:rsid w:val="00FB6E83"/>
    <w:rsid w:val="00FB705D"/>
    <w:rsid w:val="00FB7100"/>
    <w:rsid w:val="00FB7558"/>
    <w:rsid w:val="00FB7605"/>
    <w:rsid w:val="00FB7728"/>
    <w:rsid w:val="00FB77CE"/>
    <w:rsid w:val="00FB78A4"/>
    <w:rsid w:val="00FB794A"/>
    <w:rsid w:val="00FB7A36"/>
    <w:rsid w:val="00FB7C7F"/>
    <w:rsid w:val="00FB7DE5"/>
    <w:rsid w:val="00FC0293"/>
    <w:rsid w:val="00FC04F8"/>
    <w:rsid w:val="00FC075C"/>
    <w:rsid w:val="00FC0940"/>
    <w:rsid w:val="00FC09B3"/>
    <w:rsid w:val="00FC0B1E"/>
    <w:rsid w:val="00FC0C78"/>
    <w:rsid w:val="00FC0C97"/>
    <w:rsid w:val="00FC0CCF"/>
    <w:rsid w:val="00FC0F1E"/>
    <w:rsid w:val="00FC1139"/>
    <w:rsid w:val="00FC1193"/>
    <w:rsid w:val="00FC11D3"/>
    <w:rsid w:val="00FC1419"/>
    <w:rsid w:val="00FC14E9"/>
    <w:rsid w:val="00FC1650"/>
    <w:rsid w:val="00FC1A6D"/>
    <w:rsid w:val="00FC20E5"/>
    <w:rsid w:val="00FC224D"/>
    <w:rsid w:val="00FC23F8"/>
    <w:rsid w:val="00FC2462"/>
    <w:rsid w:val="00FC2598"/>
    <w:rsid w:val="00FC2729"/>
    <w:rsid w:val="00FC279B"/>
    <w:rsid w:val="00FC29C0"/>
    <w:rsid w:val="00FC29C4"/>
    <w:rsid w:val="00FC2BB1"/>
    <w:rsid w:val="00FC2CD7"/>
    <w:rsid w:val="00FC2E01"/>
    <w:rsid w:val="00FC2EBE"/>
    <w:rsid w:val="00FC2ED7"/>
    <w:rsid w:val="00FC2F0C"/>
    <w:rsid w:val="00FC2F70"/>
    <w:rsid w:val="00FC3576"/>
    <w:rsid w:val="00FC3757"/>
    <w:rsid w:val="00FC3897"/>
    <w:rsid w:val="00FC3D34"/>
    <w:rsid w:val="00FC4001"/>
    <w:rsid w:val="00FC4002"/>
    <w:rsid w:val="00FC409E"/>
    <w:rsid w:val="00FC4211"/>
    <w:rsid w:val="00FC453A"/>
    <w:rsid w:val="00FC496D"/>
    <w:rsid w:val="00FC50BC"/>
    <w:rsid w:val="00FC50F1"/>
    <w:rsid w:val="00FC52A9"/>
    <w:rsid w:val="00FC5334"/>
    <w:rsid w:val="00FC5480"/>
    <w:rsid w:val="00FC5809"/>
    <w:rsid w:val="00FC583A"/>
    <w:rsid w:val="00FC597A"/>
    <w:rsid w:val="00FC5C51"/>
    <w:rsid w:val="00FC61DA"/>
    <w:rsid w:val="00FC64AB"/>
    <w:rsid w:val="00FC664E"/>
    <w:rsid w:val="00FC6888"/>
    <w:rsid w:val="00FC6AE7"/>
    <w:rsid w:val="00FC6B9D"/>
    <w:rsid w:val="00FC6BB6"/>
    <w:rsid w:val="00FC6C24"/>
    <w:rsid w:val="00FC6CA3"/>
    <w:rsid w:val="00FC6E05"/>
    <w:rsid w:val="00FC6F96"/>
    <w:rsid w:val="00FC6FBB"/>
    <w:rsid w:val="00FC700E"/>
    <w:rsid w:val="00FC71C5"/>
    <w:rsid w:val="00FC733B"/>
    <w:rsid w:val="00FC73C7"/>
    <w:rsid w:val="00FC75D3"/>
    <w:rsid w:val="00FC79E5"/>
    <w:rsid w:val="00FC7A6A"/>
    <w:rsid w:val="00FC7AF6"/>
    <w:rsid w:val="00FC7B20"/>
    <w:rsid w:val="00FC7B77"/>
    <w:rsid w:val="00FC7C9A"/>
    <w:rsid w:val="00FC7EAD"/>
    <w:rsid w:val="00FD0168"/>
    <w:rsid w:val="00FD021F"/>
    <w:rsid w:val="00FD024C"/>
    <w:rsid w:val="00FD038B"/>
    <w:rsid w:val="00FD042B"/>
    <w:rsid w:val="00FD0493"/>
    <w:rsid w:val="00FD04FB"/>
    <w:rsid w:val="00FD062E"/>
    <w:rsid w:val="00FD0666"/>
    <w:rsid w:val="00FD07E7"/>
    <w:rsid w:val="00FD0A0D"/>
    <w:rsid w:val="00FD0B79"/>
    <w:rsid w:val="00FD0B7F"/>
    <w:rsid w:val="00FD0BE9"/>
    <w:rsid w:val="00FD0D04"/>
    <w:rsid w:val="00FD0E4C"/>
    <w:rsid w:val="00FD1192"/>
    <w:rsid w:val="00FD1230"/>
    <w:rsid w:val="00FD123D"/>
    <w:rsid w:val="00FD170E"/>
    <w:rsid w:val="00FD1780"/>
    <w:rsid w:val="00FD1E38"/>
    <w:rsid w:val="00FD1FA2"/>
    <w:rsid w:val="00FD2050"/>
    <w:rsid w:val="00FD2070"/>
    <w:rsid w:val="00FD2280"/>
    <w:rsid w:val="00FD23A6"/>
    <w:rsid w:val="00FD251B"/>
    <w:rsid w:val="00FD2612"/>
    <w:rsid w:val="00FD263D"/>
    <w:rsid w:val="00FD2A24"/>
    <w:rsid w:val="00FD2D3C"/>
    <w:rsid w:val="00FD2EA7"/>
    <w:rsid w:val="00FD2EAF"/>
    <w:rsid w:val="00FD2EFC"/>
    <w:rsid w:val="00FD33B3"/>
    <w:rsid w:val="00FD33CE"/>
    <w:rsid w:val="00FD35EC"/>
    <w:rsid w:val="00FD3781"/>
    <w:rsid w:val="00FD3967"/>
    <w:rsid w:val="00FD39BE"/>
    <w:rsid w:val="00FD39CF"/>
    <w:rsid w:val="00FD3A77"/>
    <w:rsid w:val="00FD3DCA"/>
    <w:rsid w:val="00FD3E10"/>
    <w:rsid w:val="00FD42AB"/>
    <w:rsid w:val="00FD42E4"/>
    <w:rsid w:val="00FD43A4"/>
    <w:rsid w:val="00FD4415"/>
    <w:rsid w:val="00FD459E"/>
    <w:rsid w:val="00FD4D28"/>
    <w:rsid w:val="00FD4D68"/>
    <w:rsid w:val="00FD4D88"/>
    <w:rsid w:val="00FD4E0D"/>
    <w:rsid w:val="00FD4FF6"/>
    <w:rsid w:val="00FD5039"/>
    <w:rsid w:val="00FD5086"/>
    <w:rsid w:val="00FD511D"/>
    <w:rsid w:val="00FD51F4"/>
    <w:rsid w:val="00FD52FE"/>
    <w:rsid w:val="00FD5375"/>
    <w:rsid w:val="00FD57C7"/>
    <w:rsid w:val="00FD5A32"/>
    <w:rsid w:val="00FD5A41"/>
    <w:rsid w:val="00FD5B26"/>
    <w:rsid w:val="00FD5B99"/>
    <w:rsid w:val="00FD5D42"/>
    <w:rsid w:val="00FD5FD1"/>
    <w:rsid w:val="00FD6239"/>
    <w:rsid w:val="00FD62CE"/>
    <w:rsid w:val="00FD6614"/>
    <w:rsid w:val="00FD6B89"/>
    <w:rsid w:val="00FD6BB9"/>
    <w:rsid w:val="00FD6DAD"/>
    <w:rsid w:val="00FD73A0"/>
    <w:rsid w:val="00FD7460"/>
    <w:rsid w:val="00FD74BC"/>
    <w:rsid w:val="00FD785E"/>
    <w:rsid w:val="00FD791E"/>
    <w:rsid w:val="00FD79AF"/>
    <w:rsid w:val="00FD7A4B"/>
    <w:rsid w:val="00FD7BCA"/>
    <w:rsid w:val="00FD7DEF"/>
    <w:rsid w:val="00FD7E97"/>
    <w:rsid w:val="00FD7EB3"/>
    <w:rsid w:val="00FE001E"/>
    <w:rsid w:val="00FE0073"/>
    <w:rsid w:val="00FE02F2"/>
    <w:rsid w:val="00FE0409"/>
    <w:rsid w:val="00FE0513"/>
    <w:rsid w:val="00FE0587"/>
    <w:rsid w:val="00FE0827"/>
    <w:rsid w:val="00FE0887"/>
    <w:rsid w:val="00FE09ED"/>
    <w:rsid w:val="00FE0A46"/>
    <w:rsid w:val="00FE0C62"/>
    <w:rsid w:val="00FE0D59"/>
    <w:rsid w:val="00FE13E4"/>
    <w:rsid w:val="00FE13EF"/>
    <w:rsid w:val="00FE16B6"/>
    <w:rsid w:val="00FE18B9"/>
    <w:rsid w:val="00FE197E"/>
    <w:rsid w:val="00FE1AC0"/>
    <w:rsid w:val="00FE1B6E"/>
    <w:rsid w:val="00FE1C42"/>
    <w:rsid w:val="00FE1F17"/>
    <w:rsid w:val="00FE1F97"/>
    <w:rsid w:val="00FE2028"/>
    <w:rsid w:val="00FE21DF"/>
    <w:rsid w:val="00FE233C"/>
    <w:rsid w:val="00FE2801"/>
    <w:rsid w:val="00FE29FB"/>
    <w:rsid w:val="00FE2A98"/>
    <w:rsid w:val="00FE2B21"/>
    <w:rsid w:val="00FE2B81"/>
    <w:rsid w:val="00FE2D26"/>
    <w:rsid w:val="00FE2F0D"/>
    <w:rsid w:val="00FE2F4A"/>
    <w:rsid w:val="00FE3089"/>
    <w:rsid w:val="00FE324C"/>
    <w:rsid w:val="00FE3297"/>
    <w:rsid w:val="00FE3440"/>
    <w:rsid w:val="00FE37EE"/>
    <w:rsid w:val="00FE3871"/>
    <w:rsid w:val="00FE3DCA"/>
    <w:rsid w:val="00FE3DFC"/>
    <w:rsid w:val="00FE3F47"/>
    <w:rsid w:val="00FE3FB0"/>
    <w:rsid w:val="00FE4083"/>
    <w:rsid w:val="00FE46EC"/>
    <w:rsid w:val="00FE47AC"/>
    <w:rsid w:val="00FE4803"/>
    <w:rsid w:val="00FE483F"/>
    <w:rsid w:val="00FE48B5"/>
    <w:rsid w:val="00FE59C7"/>
    <w:rsid w:val="00FE5D1B"/>
    <w:rsid w:val="00FE5E41"/>
    <w:rsid w:val="00FE5F3F"/>
    <w:rsid w:val="00FE6046"/>
    <w:rsid w:val="00FE60AE"/>
    <w:rsid w:val="00FE60EC"/>
    <w:rsid w:val="00FE6308"/>
    <w:rsid w:val="00FE63FC"/>
    <w:rsid w:val="00FE6AD1"/>
    <w:rsid w:val="00FE6D66"/>
    <w:rsid w:val="00FE7817"/>
    <w:rsid w:val="00FE7C2F"/>
    <w:rsid w:val="00FE7CDE"/>
    <w:rsid w:val="00FF0049"/>
    <w:rsid w:val="00FF00A3"/>
    <w:rsid w:val="00FF0152"/>
    <w:rsid w:val="00FF0432"/>
    <w:rsid w:val="00FF07A7"/>
    <w:rsid w:val="00FF08BE"/>
    <w:rsid w:val="00FF0BCF"/>
    <w:rsid w:val="00FF0CC2"/>
    <w:rsid w:val="00FF0D40"/>
    <w:rsid w:val="00FF0E4A"/>
    <w:rsid w:val="00FF0F70"/>
    <w:rsid w:val="00FF1046"/>
    <w:rsid w:val="00FF104C"/>
    <w:rsid w:val="00FF1178"/>
    <w:rsid w:val="00FF12FA"/>
    <w:rsid w:val="00FF1727"/>
    <w:rsid w:val="00FF1AE3"/>
    <w:rsid w:val="00FF1CC6"/>
    <w:rsid w:val="00FF1E22"/>
    <w:rsid w:val="00FF1EA9"/>
    <w:rsid w:val="00FF21D2"/>
    <w:rsid w:val="00FF242B"/>
    <w:rsid w:val="00FF24A3"/>
    <w:rsid w:val="00FF2728"/>
    <w:rsid w:val="00FF2C55"/>
    <w:rsid w:val="00FF312B"/>
    <w:rsid w:val="00FF318B"/>
    <w:rsid w:val="00FF34A8"/>
    <w:rsid w:val="00FF373B"/>
    <w:rsid w:val="00FF384F"/>
    <w:rsid w:val="00FF39FC"/>
    <w:rsid w:val="00FF3BD7"/>
    <w:rsid w:val="00FF3C27"/>
    <w:rsid w:val="00FF3C71"/>
    <w:rsid w:val="00FF3F2F"/>
    <w:rsid w:val="00FF41F8"/>
    <w:rsid w:val="00FF430E"/>
    <w:rsid w:val="00FF45B3"/>
    <w:rsid w:val="00FF4977"/>
    <w:rsid w:val="00FF49B0"/>
    <w:rsid w:val="00FF4C09"/>
    <w:rsid w:val="00FF4D96"/>
    <w:rsid w:val="00FF4DFE"/>
    <w:rsid w:val="00FF51F1"/>
    <w:rsid w:val="00FF5272"/>
    <w:rsid w:val="00FF52DD"/>
    <w:rsid w:val="00FF554A"/>
    <w:rsid w:val="00FF569C"/>
    <w:rsid w:val="00FF57EC"/>
    <w:rsid w:val="00FF58AE"/>
    <w:rsid w:val="00FF5AE1"/>
    <w:rsid w:val="00FF5B17"/>
    <w:rsid w:val="00FF5B7C"/>
    <w:rsid w:val="00FF5C5E"/>
    <w:rsid w:val="00FF5CDB"/>
    <w:rsid w:val="00FF5F05"/>
    <w:rsid w:val="00FF6049"/>
    <w:rsid w:val="00FF6282"/>
    <w:rsid w:val="00FF642E"/>
    <w:rsid w:val="00FF6792"/>
    <w:rsid w:val="00FF67F1"/>
    <w:rsid w:val="00FF687F"/>
    <w:rsid w:val="00FF6C30"/>
    <w:rsid w:val="00FF6DDB"/>
    <w:rsid w:val="00FF6F57"/>
    <w:rsid w:val="00FF6FEA"/>
    <w:rsid w:val="00FF703B"/>
    <w:rsid w:val="00FF70E7"/>
    <w:rsid w:val="00FF71CF"/>
    <w:rsid w:val="00FF7202"/>
    <w:rsid w:val="00FF7371"/>
    <w:rsid w:val="00FF7401"/>
    <w:rsid w:val="00FF7422"/>
    <w:rsid w:val="00FF79AD"/>
    <w:rsid w:val="00FF7B57"/>
    <w:rsid w:val="00FF7C54"/>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9354C"/>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0"/>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0"/>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0"/>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0"/>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0"/>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2B0BF3"/>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2B0BF3"/>
    <w:rPr>
      <w:sz w:val="18"/>
      <w:szCs w:val="18"/>
    </w:rPr>
  </w:style>
  <w:style w:type="paragraph" w:styleId="a5">
    <w:name w:val="footer"/>
    <w:basedOn w:val="a"/>
    <w:link w:val="a6"/>
    <w:uiPriority w:val="99"/>
    <w:unhideWhenUsed/>
    <w:rsid w:val="002B0BF3"/>
    <w:pPr>
      <w:tabs>
        <w:tab w:val="center" w:pos="4153"/>
        <w:tab w:val="right" w:pos="8306"/>
      </w:tabs>
      <w:jc w:val="left"/>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c">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d"/>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iPriority w:val="99"/>
    <w:unhideWhenUsed/>
    <w:qFormat/>
    <w:rsid w:val="00275CF5"/>
    <w:pPr>
      <w:jc w:val="left"/>
    </w:pPr>
  </w:style>
  <w:style w:type="character" w:customStyle="1" w:styleId="af2">
    <w:name w:val="批注文字 字符"/>
    <w:basedOn w:val="a0"/>
    <w:link w:val="af1"/>
    <w:uiPriority w:val="99"/>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L">
    <w:name w:val="TAL"/>
    <w:basedOn w:val="a"/>
    <w:link w:val="TALChar"/>
    <w:rsid w:val="00155029"/>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155029"/>
    <w:rPr>
      <w:rFonts w:ascii="Arial" w:hAnsi="Arial" w:cs="Times New Roman"/>
      <w:kern w:val="0"/>
      <w:sz w:val="18"/>
      <w:szCs w:val="20"/>
      <w:lang w:val="en-GB" w:eastAsia="en-US"/>
    </w:rPr>
  </w:style>
  <w:style w:type="paragraph" w:customStyle="1" w:styleId="23">
    <w:name w:val="列出段落2"/>
    <w:basedOn w:val="a"/>
    <w:link w:val="afb"/>
    <w:uiPriority w:val="34"/>
    <w:qFormat/>
    <w:rsid w:val="00181AD3"/>
    <w:pPr>
      <w:widowControl/>
      <w:suppressAutoHyphens/>
      <w:adjustRightInd/>
      <w:snapToGrid/>
      <w:spacing w:beforeLines="0" w:before="0" w:after="50" w:line="240" w:lineRule="auto"/>
      <w:ind w:left="840"/>
      <w:jc w:val="left"/>
    </w:pPr>
    <w:rPr>
      <w:rFonts w:ascii="Cambria" w:eastAsia="黑体" w:hAnsi="Cambria" w:cs="宋体"/>
      <w:kern w:val="0"/>
      <w:sz w:val="20"/>
      <w:szCs w:val="20"/>
      <w:lang w:eastAsia="en-US"/>
    </w:rPr>
  </w:style>
  <w:style w:type="character" w:customStyle="1" w:styleId="afb">
    <w:name w:val="列出段落 字符"/>
    <w:aliases w:val="列表段落 字符2,-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23"/>
    <w:uiPriority w:val="34"/>
    <w:qFormat/>
    <w:rsid w:val="00181AD3"/>
    <w:rPr>
      <w:rFonts w:ascii="Cambria" w:eastAsia="黑体" w:hAnsi="Cambria" w:cs="宋体"/>
      <w:kern w:val="0"/>
      <w:sz w:val="20"/>
      <w:szCs w:val="20"/>
      <w:lang w:eastAsia="en-US"/>
    </w:rPr>
  </w:style>
  <w:style w:type="paragraph" w:customStyle="1" w:styleId="12">
    <w:name w:val="목록 단락1"/>
    <w:basedOn w:val="a"/>
    <w:uiPriority w:val="34"/>
    <w:qFormat/>
    <w:rsid w:val="00742A21"/>
    <w:pPr>
      <w:widowControl/>
      <w:suppressAutoHyphens/>
      <w:adjustRightInd/>
      <w:snapToGrid/>
      <w:spacing w:beforeLines="0" w:before="0" w:after="50" w:line="259" w:lineRule="auto"/>
      <w:ind w:left="840"/>
    </w:pPr>
    <w:rPr>
      <w:rFonts w:ascii="Cambria" w:eastAsia="黑体" w:hAnsi="Cambria" w:cs="宋体"/>
      <w:kern w:val="0"/>
      <w:sz w:val="20"/>
      <w:szCs w:val="20"/>
      <w:lang w:eastAsia="en-US"/>
    </w:rPr>
  </w:style>
  <w:style w:type="paragraph" w:customStyle="1" w:styleId="31">
    <w:name w:val="列出段落3"/>
    <w:basedOn w:val="a"/>
    <w:uiPriority w:val="34"/>
    <w:qFormat/>
    <w:rsid w:val="00742A21"/>
    <w:pPr>
      <w:widowControl/>
      <w:suppressAutoHyphens/>
      <w:adjustRightInd/>
      <w:snapToGrid/>
      <w:spacing w:beforeLines="0" w:before="0" w:after="50" w:line="240" w:lineRule="auto"/>
      <w:ind w:left="840"/>
      <w:jc w:val="left"/>
    </w:pPr>
    <w:rPr>
      <w:rFonts w:ascii="Cambria" w:eastAsia="黑体" w:hAnsi="Cambria" w:cs="宋体"/>
      <w:kern w:val="0"/>
      <w:sz w:val="20"/>
      <w:szCs w:val="20"/>
      <w:lang w:eastAsia="en-US"/>
    </w:rPr>
  </w:style>
  <w:style w:type="paragraph" w:customStyle="1" w:styleId="bullet1">
    <w:name w:val="bullet1"/>
    <w:basedOn w:val="a8"/>
    <w:qFormat/>
    <w:rsid w:val="007F012B"/>
    <w:pPr>
      <w:widowControl/>
      <w:numPr>
        <w:numId w:val="52"/>
      </w:numPr>
      <w:adjustRightInd/>
      <w:snapToGrid/>
      <w:spacing w:beforeLines="0" w:before="0" w:line="276" w:lineRule="auto"/>
      <w:ind w:firstLineChars="0" w:firstLine="0"/>
      <w:contextualSpacing/>
    </w:pPr>
    <w:rPr>
      <w:rFonts w:eastAsia="等线" w:cs="Times New Roman"/>
      <w:i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40199786">
      <w:bodyDiv w:val="1"/>
      <w:marLeft w:val="0"/>
      <w:marRight w:val="0"/>
      <w:marTop w:val="0"/>
      <w:marBottom w:val="0"/>
      <w:divBdr>
        <w:top w:val="none" w:sz="0" w:space="0" w:color="auto"/>
        <w:left w:val="none" w:sz="0" w:space="0" w:color="auto"/>
        <w:bottom w:val="none" w:sz="0" w:space="0" w:color="auto"/>
        <w:right w:val="none" w:sz="0" w:space="0" w:color="auto"/>
      </w:divBdr>
      <w:divsChild>
        <w:div w:id="1939755286">
          <w:marLeft w:val="1714"/>
          <w:marRight w:val="0"/>
          <w:marTop w:val="0"/>
          <w:marBottom w:val="0"/>
          <w:divBdr>
            <w:top w:val="none" w:sz="0" w:space="0" w:color="auto"/>
            <w:left w:val="none" w:sz="0" w:space="0" w:color="auto"/>
            <w:bottom w:val="none" w:sz="0" w:space="0" w:color="auto"/>
            <w:right w:val="none" w:sz="0" w:space="0" w:color="auto"/>
          </w:divBdr>
        </w:div>
        <w:div w:id="1258057236">
          <w:marLeft w:val="1714"/>
          <w:marRight w:val="0"/>
          <w:marTop w:val="0"/>
          <w:marBottom w:val="0"/>
          <w:divBdr>
            <w:top w:val="none" w:sz="0" w:space="0" w:color="auto"/>
            <w:left w:val="none" w:sz="0" w:space="0" w:color="auto"/>
            <w:bottom w:val="none" w:sz="0" w:space="0" w:color="auto"/>
            <w:right w:val="none" w:sz="0" w:space="0" w:color="auto"/>
          </w:divBdr>
        </w:div>
      </w:divsChild>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1439436">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10922698">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577253762">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65922260">
      <w:bodyDiv w:val="1"/>
      <w:marLeft w:val="0"/>
      <w:marRight w:val="0"/>
      <w:marTop w:val="0"/>
      <w:marBottom w:val="0"/>
      <w:divBdr>
        <w:top w:val="none" w:sz="0" w:space="0" w:color="auto"/>
        <w:left w:val="none" w:sz="0" w:space="0" w:color="auto"/>
        <w:bottom w:val="none" w:sz="0" w:space="0" w:color="auto"/>
        <w:right w:val="none" w:sz="0" w:space="0" w:color="auto"/>
      </w:divBdr>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784350892">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36193627">
      <w:bodyDiv w:val="1"/>
      <w:marLeft w:val="0"/>
      <w:marRight w:val="0"/>
      <w:marTop w:val="0"/>
      <w:marBottom w:val="0"/>
      <w:divBdr>
        <w:top w:val="none" w:sz="0" w:space="0" w:color="auto"/>
        <w:left w:val="none" w:sz="0" w:space="0" w:color="auto"/>
        <w:bottom w:val="none" w:sz="0" w:space="0" w:color="auto"/>
        <w:right w:val="none" w:sz="0" w:space="0" w:color="auto"/>
      </w:divBdr>
      <w:divsChild>
        <w:div w:id="859243682">
          <w:marLeft w:val="274"/>
          <w:marRight w:val="0"/>
          <w:marTop w:val="0"/>
          <w:marBottom w:val="0"/>
          <w:divBdr>
            <w:top w:val="none" w:sz="0" w:space="0" w:color="auto"/>
            <w:left w:val="none" w:sz="0" w:space="0" w:color="auto"/>
            <w:bottom w:val="none" w:sz="0" w:space="0" w:color="auto"/>
            <w:right w:val="none" w:sz="0" w:space="0" w:color="auto"/>
          </w:divBdr>
        </w:div>
        <w:div w:id="1478230477">
          <w:marLeft w:val="274"/>
          <w:marRight w:val="0"/>
          <w:marTop w:val="0"/>
          <w:marBottom w:val="0"/>
          <w:divBdr>
            <w:top w:val="none" w:sz="0" w:space="0" w:color="auto"/>
            <w:left w:val="none" w:sz="0" w:space="0" w:color="auto"/>
            <w:bottom w:val="none" w:sz="0" w:space="0" w:color="auto"/>
            <w:right w:val="none" w:sz="0" w:space="0" w:color="auto"/>
          </w:divBdr>
        </w:div>
        <w:div w:id="946349848">
          <w:marLeft w:val="274"/>
          <w:marRight w:val="0"/>
          <w:marTop w:val="0"/>
          <w:marBottom w:val="0"/>
          <w:divBdr>
            <w:top w:val="none" w:sz="0" w:space="0" w:color="auto"/>
            <w:left w:val="none" w:sz="0" w:space="0" w:color="auto"/>
            <w:bottom w:val="none" w:sz="0" w:space="0" w:color="auto"/>
            <w:right w:val="none" w:sz="0" w:space="0" w:color="auto"/>
          </w:divBdr>
        </w:div>
        <w:div w:id="1182822809">
          <w:marLeft w:val="274"/>
          <w:marRight w:val="0"/>
          <w:marTop w:val="0"/>
          <w:marBottom w:val="0"/>
          <w:divBdr>
            <w:top w:val="none" w:sz="0" w:space="0" w:color="auto"/>
            <w:left w:val="none" w:sz="0" w:space="0" w:color="auto"/>
            <w:bottom w:val="none" w:sz="0" w:space="0" w:color="auto"/>
            <w:right w:val="none" w:sz="0" w:space="0" w:color="auto"/>
          </w:divBdr>
        </w:div>
      </w:divsChild>
    </w:div>
    <w:div w:id="845679310">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414624361">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77721669">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57758753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85873188">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55737512">
      <w:bodyDiv w:val="1"/>
      <w:marLeft w:val="0"/>
      <w:marRight w:val="0"/>
      <w:marTop w:val="0"/>
      <w:marBottom w:val="0"/>
      <w:divBdr>
        <w:top w:val="none" w:sz="0" w:space="0" w:color="auto"/>
        <w:left w:val="none" w:sz="0" w:space="0" w:color="auto"/>
        <w:bottom w:val="none" w:sz="0" w:space="0" w:color="auto"/>
        <w:right w:val="none" w:sz="0" w:space="0" w:color="auto"/>
      </w:divBdr>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8077B-566A-4478-BEE3-40B3A8689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26</Pages>
  <Words>12412</Words>
  <Characters>62559</Characters>
  <Application>Microsoft Office Word</Application>
  <DocSecurity>0</DocSecurity>
  <Lines>1025</Lines>
  <Paragraphs>535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5</cp:revision>
  <dcterms:created xsi:type="dcterms:W3CDTF">2023-05-15T02:52:00Z</dcterms:created>
  <dcterms:modified xsi:type="dcterms:W3CDTF">2023-05-15T10:09:00Z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(3)nRI6pOeIDPPCC6K/Mtsq3BRYPKKBykl/XHYu1qjUjtJMP4/9kfgOYRnse51LJGo2y82A5/dH
hYovBMtR46S7hNNe21RXfyB4Fln5HV/bF0wfy4bKB8+pGIU0qqdUNMa6AyN66mQSf1oVksda
evkt+TJ7W7uf0/All7f5zeuGxaE0dtC287s2g0+s17vEJJadZ926TfINeuUUZKtBn8GzCZ8L
BNolYmNrNBZnlMRcwW</vt:lpwstr>
  </property>
  <property fmtid="{D5CDD505-2E9C-101B-9397-08002B2CF9AE}" pid="3" name="_2015_ms_pID_7253431">
    <vt:lpwstr>nX/Ky9gCte2R1XLOQbjOmkvRGeBCSZI+LXOyj99qa1AhCVZZFnOyGf
Wf+wXsT4dwVLUMpBNZ7kVblvJQm8uldKHjWaj2w/A8BAvcQj9cdsD8g3dnoj2rMODx8fvDjL
K8PeDl+gLYUg7WHTl0utn65/kT2qx4IYNTaX/uDvnt7eqg/F0CbB2qw3Alwh9L56CJPIbuJn
HpoLDGSc9WHlH/p9kxo8b/t5YZJFmWxfURNB</vt:lpwstr>
  </property>
  <property fmtid="{D5CDD505-2E9C-101B-9397-08002B2CF9AE}" pid="4" name="_2015_ms_pID_7253432">
    <vt:lpwstr>nGTLZy8eZAuWIWdXuCaOcRc=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1667181389</vt:lpwstr>
  </property>
</Properties>
</file>