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2C4D17" w14:textId="291055BE" w:rsidR="00B47547" w:rsidRDefault="00B47547" w:rsidP="00B47547">
      <w:pPr>
        <w:pStyle w:val="aff"/>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A6C87"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2A6C87"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2A6C87"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2A6C87"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 xml:space="preserve">Contributions [9, 10, 12, 13, 15, 16, 17, 19, 30, 33, 34, 35] express support for Option 3, whereas contributions [11, 18, 20, 21, 23, 25, 26, 27, 28, 31, 32] express support for Option 4. Furthermore, contribution [11] expresses that </w:t>
      </w:r>
      <w:proofErr w:type="gramStart"/>
      <w:r>
        <w:rPr>
          <w:lang w:val="en-US"/>
        </w:rPr>
        <w:t>an</w:t>
      </w:r>
      <w:proofErr w:type="gramEnd"/>
      <w:r>
        <w:rPr>
          <w:lang w:val="en-US"/>
        </w:rPr>
        <w:t xml:space="preserve">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2A6C87" w:rsidRPr="00C73301" w14:paraId="30317B70" w14:textId="77777777" w:rsidTr="003D00D7">
        <w:tc>
          <w:tcPr>
            <w:tcW w:w="1479" w:type="dxa"/>
          </w:tcPr>
          <w:p w14:paraId="4F5761CA" w14:textId="26502584" w:rsidR="002A6C87" w:rsidRDefault="002A6C87" w:rsidP="001C6599">
            <w:pPr>
              <w:jc w:val="left"/>
              <w:rPr>
                <w:rFonts w:eastAsiaTheme="minorEastAsia" w:hint="eastAsia"/>
                <w:lang w:val="en-US" w:eastAsia="zh-CN"/>
              </w:rPr>
            </w:pPr>
            <w:r>
              <w:rPr>
                <w:rFonts w:eastAsiaTheme="minorEastAsia" w:hint="eastAsia"/>
                <w:lang w:val="en-US" w:eastAsia="zh-CN"/>
              </w:rPr>
              <w:t>vivo</w:t>
            </w:r>
          </w:p>
        </w:tc>
        <w:tc>
          <w:tcPr>
            <w:tcW w:w="1493" w:type="dxa"/>
          </w:tcPr>
          <w:p w14:paraId="664F703A" w14:textId="023E58FE" w:rsidR="002A6C87" w:rsidRDefault="002A6C87" w:rsidP="001C6599">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109145DA" w14:textId="77777777" w:rsidR="002A6C87" w:rsidRDefault="002A6C87" w:rsidP="001C6599">
            <w:pPr>
              <w:jc w:val="left"/>
              <w:rPr>
                <w:rFonts w:eastAsiaTheme="minorEastAsia" w:hint="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 xml:space="preserve">RAN1 left R17 EI up to RAN2 (separate preamble/RO in RAN1#106-e). We can do the same here for R18, and it is up to the network. If the ROs for R17 and R18 </w:t>
            </w:r>
            <w:r>
              <w:lastRenderedPageBreak/>
              <w:t>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r>
              <w:rPr>
                <w:rFonts w:eastAsiaTheme="minorEastAsia"/>
                <w:lang w:val="en-US" w:eastAsia="zh-CN"/>
              </w:rPr>
              <w:lastRenderedPageBreak/>
              <w:t>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lastRenderedPageBreak/>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w:t>
            </w:r>
            <w:r w:rsidRPr="007A205D">
              <w:rPr>
                <w:b/>
                <w:lang w:val="en-US"/>
              </w:rPr>
              <w:lastRenderedPageBreak/>
              <w:t xml:space="preserve">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E26FFC" w:rsidRPr="00C73301" w14:paraId="6228D756" w14:textId="77777777" w:rsidTr="003D00D7">
        <w:tc>
          <w:tcPr>
            <w:tcW w:w="1479" w:type="dxa"/>
          </w:tcPr>
          <w:p w14:paraId="0AA020B6" w14:textId="523CFFE2" w:rsidR="00E26FFC" w:rsidRDefault="002A6C87" w:rsidP="001C659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C13ACB3" w14:textId="09315C85" w:rsidR="00E26FFC" w:rsidRDefault="002A6C87"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9D52CE9" w14:textId="365ACDB3" w:rsidR="00E26FFC" w:rsidRDefault="002A6C87" w:rsidP="001C659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Only Rel-17 RedCap UEs</w:t>
            </w:r>
          </w:p>
          <w:p w14:paraId="596A224C"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eRedCap is up to NW </w:t>
            </w:r>
            <w:r>
              <w:rPr>
                <w:rFonts w:eastAsia="Yu Mincho"/>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A6C87" w:rsidRPr="00C73301" w14:paraId="18FCFC09" w14:textId="77777777" w:rsidTr="003D00D7">
        <w:tc>
          <w:tcPr>
            <w:tcW w:w="1479" w:type="dxa"/>
          </w:tcPr>
          <w:p w14:paraId="34F8C062" w14:textId="543903D0" w:rsidR="002A6C87" w:rsidRDefault="002A6C87" w:rsidP="00B14807">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5F94924" w14:textId="2A541EBA" w:rsidR="002A6C87" w:rsidRDefault="002A6C87" w:rsidP="00B14807">
            <w:pPr>
              <w:tabs>
                <w:tab w:val="left" w:pos="551"/>
              </w:tabs>
              <w:jc w:val="left"/>
              <w:rPr>
                <w:rFonts w:eastAsiaTheme="minorEastAsia" w:hint="eastAsia"/>
                <w:lang w:val="en-US" w:eastAsia="zh-CN"/>
              </w:rPr>
            </w:pPr>
            <w:r>
              <w:rPr>
                <w:rFonts w:eastAsiaTheme="minorEastAsia" w:hint="eastAsia"/>
                <w:lang w:val="en-US" w:eastAsia="zh-CN"/>
              </w:rPr>
              <w:t>N</w:t>
            </w:r>
          </w:p>
        </w:tc>
        <w:tc>
          <w:tcPr>
            <w:tcW w:w="6659" w:type="dxa"/>
          </w:tcPr>
          <w:p w14:paraId="0777C63E" w14:textId="6CE215BB" w:rsidR="002A6C87" w:rsidRDefault="002A6C87" w:rsidP="00B1480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lastRenderedPageBreak/>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lastRenderedPageBreak/>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lastRenderedPageBreak/>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2A6C87" w:rsidRPr="00C73301" w14:paraId="67A5E7E1" w14:textId="77777777" w:rsidTr="003D00D7">
        <w:tc>
          <w:tcPr>
            <w:tcW w:w="1479" w:type="dxa"/>
          </w:tcPr>
          <w:p w14:paraId="622ECFB3" w14:textId="6581A893" w:rsidR="002A6C87" w:rsidRDefault="002A6C87" w:rsidP="00002C3A">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8E2E171" w14:textId="77777777" w:rsidR="002A6C87" w:rsidRDefault="002A6C87" w:rsidP="00002C3A">
            <w:pPr>
              <w:tabs>
                <w:tab w:val="left" w:pos="551"/>
              </w:tabs>
              <w:jc w:val="left"/>
              <w:rPr>
                <w:rFonts w:eastAsiaTheme="minorEastAsia" w:hint="eastAsia"/>
                <w:lang w:val="en-US" w:eastAsia="zh-CN"/>
              </w:rPr>
            </w:pPr>
          </w:p>
        </w:tc>
        <w:tc>
          <w:tcPr>
            <w:tcW w:w="6659" w:type="dxa"/>
          </w:tcPr>
          <w:p w14:paraId="72EF769A" w14:textId="04A9A590" w:rsidR="002A6C87" w:rsidRDefault="002A6C87" w:rsidP="00002C3A">
            <w:pPr>
              <w:rPr>
                <w:rFonts w:eastAsiaTheme="minorEastAsia" w:hint="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723E7" w:rsidRPr="00C73301" w14:paraId="3F9CB8C2" w14:textId="77777777" w:rsidTr="003D00D7">
        <w:tc>
          <w:tcPr>
            <w:tcW w:w="1479" w:type="dxa"/>
          </w:tcPr>
          <w:p w14:paraId="59812740" w14:textId="4C0D0AE1" w:rsidR="000723E7" w:rsidRDefault="000723E7" w:rsidP="00002C3A">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ACBB590" w14:textId="2B67280A" w:rsidR="000723E7" w:rsidRDefault="000723E7" w:rsidP="00002C3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401440F" w14:textId="77777777" w:rsidR="000723E7" w:rsidRDefault="000723E7" w:rsidP="00002C3A">
            <w:pPr>
              <w:jc w:val="left"/>
              <w:rPr>
                <w:rFonts w:eastAsiaTheme="minorEastAsia" w:hint="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w:t>
            </w:r>
            <w:r>
              <w:rPr>
                <w:rFonts w:eastAsia="Microsoft YaHei UI"/>
                <w:b/>
                <w:sz w:val="20"/>
                <w:szCs w:val="22"/>
                <w:lang w:val="en-US" w:eastAsia="zh-CN"/>
              </w:rPr>
              <w:lastRenderedPageBreak/>
              <w:t>(PDSCH)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723E7" w:rsidRPr="00C73301" w14:paraId="18E40E77" w14:textId="77777777" w:rsidTr="003D00D7">
        <w:tc>
          <w:tcPr>
            <w:tcW w:w="1479" w:type="dxa"/>
          </w:tcPr>
          <w:p w14:paraId="351467B4" w14:textId="7C8BCE16" w:rsidR="000723E7" w:rsidRDefault="000723E7" w:rsidP="00B14807">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DB256D" w14:textId="1A6E2A70" w:rsidR="000723E7" w:rsidRDefault="000723E7" w:rsidP="00B1480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7437B9E9" w14:textId="77777777" w:rsidR="000723E7" w:rsidRPr="00777594" w:rsidRDefault="000723E7" w:rsidP="00777594">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723E7" w:rsidRPr="00C73301" w14:paraId="585A5713" w14:textId="77777777" w:rsidTr="003D00D7">
        <w:tc>
          <w:tcPr>
            <w:tcW w:w="1479" w:type="dxa"/>
          </w:tcPr>
          <w:p w14:paraId="6FA9324F" w14:textId="255E6764" w:rsidR="000723E7" w:rsidRDefault="000723E7" w:rsidP="00B14807">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8FBEC5F" w14:textId="31B13495" w:rsidR="000723E7" w:rsidRDefault="000723E7" w:rsidP="00B1480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03A7D31B" w14:textId="77777777" w:rsidR="000723E7" w:rsidRDefault="000723E7" w:rsidP="00BC49B4">
            <w:pPr>
              <w:jc w:val="left"/>
              <w:rPr>
                <w:rFonts w:eastAsiaTheme="minorEastAsia" w:hint="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receive an UL grant in a DCI with a PUSCH resource </w:t>
            </w:r>
            <w:r>
              <w:rPr>
                <w:rFonts w:ascii="Times" w:hAnsi="Times"/>
                <w:szCs w:val="24"/>
                <w:lang w:val="en-US"/>
              </w:rPr>
              <w:lastRenderedPageBreak/>
              <w:t>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0723E7" w:rsidRPr="00C73301" w14:paraId="5D710717" w14:textId="77777777" w:rsidTr="003D00D7">
        <w:tc>
          <w:tcPr>
            <w:tcW w:w="1479" w:type="dxa"/>
          </w:tcPr>
          <w:p w14:paraId="6C9859AE" w14:textId="231E8AF9" w:rsidR="000723E7" w:rsidRDefault="000723E7" w:rsidP="00B14807">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BB55F6C" w14:textId="65C6257B" w:rsidR="000723E7" w:rsidRDefault="000723E7" w:rsidP="00B14807">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681A8BC6" w14:textId="77777777" w:rsidR="000723E7" w:rsidRPr="00C73301" w:rsidRDefault="000723E7" w:rsidP="00B1480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6F0417">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宋体"/>
                <w:i/>
                <w:iCs/>
                <w:lang w:eastAsia="ja-JP"/>
              </w:rPr>
              <w:t>scalingFactor</w:t>
            </w:r>
            <w:proofErr w:type="spellEnd"/>
            <w:r>
              <w:rPr>
                <w:rFonts w:eastAsia="宋体"/>
                <w:i/>
                <w:iCs/>
                <w:lang w:eastAsia="ja-JP"/>
              </w:rPr>
              <w:t xml:space="preserve">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806C8">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806C8">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0723E7" w:rsidRPr="00C73301" w14:paraId="5EF5250B" w14:textId="77777777" w:rsidTr="002806C8">
        <w:tc>
          <w:tcPr>
            <w:tcW w:w="1479" w:type="dxa"/>
          </w:tcPr>
          <w:p w14:paraId="65FA438C" w14:textId="57FF0674" w:rsidR="000723E7" w:rsidRDefault="000723E7" w:rsidP="00B14807">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CFE4F97" w14:textId="6DA76209" w:rsidR="000723E7" w:rsidRDefault="000723E7" w:rsidP="00B14807">
            <w:pPr>
              <w:tabs>
                <w:tab w:val="left" w:pos="551"/>
              </w:tabs>
              <w:jc w:val="left"/>
              <w:rPr>
                <w:rFonts w:eastAsiaTheme="minorEastAsia" w:hint="eastAsia"/>
                <w:lang w:val="en-US" w:eastAsia="zh-CN"/>
              </w:rPr>
            </w:pPr>
            <w:r>
              <w:rPr>
                <w:rFonts w:eastAsiaTheme="minorEastAsia" w:hint="eastAsia"/>
                <w:lang w:val="en-US" w:eastAsia="zh-CN"/>
              </w:rPr>
              <w:t>Y</w:t>
            </w:r>
            <w:bookmarkStart w:id="5" w:name="_GoBack"/>
            <w:bookmarkEnd w:id="5"/>
          </w:p>
        </w:tc>
        <w:tc>
          <w:tcPr>
            <w:tcW w:w="6662" w:type="dxa"/>
            <w:gridSpan w:val="2"/>
          </w:tcPr>
          <w:p w14:paraId="534025C0" w14:textId="77777777" w:rsidR="000723E7" w:rsidRDefault="000723E7" w:rsidP="00B14807">
            <w:pPr>
              <w:jc w:val="left"/>
              <w:rPr>
                <w:rFonts w:eastAsiaTheme="minorEastAsia" w:hint="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lastRenderedPageBreak/>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lastRenderedPageBreak/>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6"/>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6F0417">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6F0417">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6F0417">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lastRenderedPageBreak/>
              <w:t>[4]</w:t>
            </w:r>
          </w:p>
        </w:tc>
        <w:tc>
          <w:tcPr>
            <w:tcW w:w="1456" w:type="dxa"/>
            <w:tcMar>
              <w:top w:w="0" w:type="dxa"/>
              <w:left w:w="70" w:type="dxa"/>
              <w:bottom w:w="0" w:type="dxa"/>
              <w:right w:w="70" w:type="dxa"/>
            </w:tcMar>
          </w:tcPr>
          <w:p w14:paraId="19587AEE" w14:textId="77777777" w:rsidR="00785212" w:rsidRDefault="006F0417">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6F0417">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6F0417">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6F0417">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6F0417">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6F0417">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6F0417">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6F0417">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6F0417">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6F0417">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6F0417">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6F0417">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6F0417">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6F0417">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6F0417">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6F0417">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6F0417">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6F0417">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6F0417">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6F0417">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6F0417">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6F0417">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6F0417">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6F0417">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6F0417">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6F0417">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1F084BF6" w14:textId="77777777" w:rsidR="00785212" w:rsidRDefault="006F0417">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6F0417">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6F0417">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6F0417">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6F0417">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6F0417">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6F0417">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6F0417">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781E7" w14:textId="77777777" w:rsidR="006F0417" w:rsidRDefault="006F0417">
      <w:pPr>
        <w:spacing w:line="240" w:lineRule="auto"/>
      </w:pPr>
      <w:r>
        <w:separator/>
      </w:r>
    </w:p>
  </w:endnote>
  <w:endnote w:type="continuationSeparator" w:id="0">
    <w:p w14:paraId="5A3DDE52" w14:textId="77777777" w:rsidR="006F0417" w:rsidRDefault="006F0417">
      <w:pPr>
        <w:spacing w:line="240" w:lineRule="auto"/>
      </w:pPr>
      <w:r>
        <w:continuationSeparator/>
      </w:r>
    </w:p>
  </w:endnote>
  <w:endnote w:type="continuationNotice" w:id="1">
    <w:p w14:paraId="56EF42CC" w14:textId="77777777" w:rsidR="006F0417" w:rsidRDefault="006F0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2BA26" w14:textId="77777777" w:rsidR="006F0417" w:rsidRDefault="006F0417">
      <w:pPr>
        <w:spacing w:after="0"/>
      </w:pPr>
      <w:r>
        <w:separator/>
      </w:r>
    </w:p>
  </w:footnote>
  <w:footnote w:type="continuationSeparator" w:id="0">
    <w:p w14:paraId="33D071D8" w14:textId="77777777" w:rsidR="006F0417" w:rsidRDefault="006F0417">
      <w:pPr>
        <w:spacing w:after="0"/>
      </w:pPr>
      <w:r>
        <w:continuationSeparator/>
      </w:r>
    </w:p>
  </w:footnote>
  <w:footnote w:type="continuationNotice" w:id="1">
    <w:p w14:paraId="0DB2EA00" w14:textId="77777777" w:rsidR="006F0417" w:rsidRDefault="006F04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3E7"/>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6C87"/>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1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256"/>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6FFC"/>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AF2BC37E-6A45-4A6E-A345-5BB19B26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101">
    <w:name w:val="未处理的提及10"/>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07B84-4BF7-4CAE-A164-55094110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13883</Words>
  <Characters>79134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92832</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5</cp:revision>
  <dcterms:created xsi:type="dcterms:W3CDTF">2023-03-01T06:11:00Z</dcterms:created>
  <dcterms:modified xsi:type="dcterms:W3CDTF">2023-03-01T06:33:00Z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