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CBD15" w14:textId="6669F436" w:rsidR="00785212" w:rsidRDefault="00675A7F">
      <w:pPr>
        <w:pStyle w:val="ab"/>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939E6">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939E6">
        <w:rPr>
          <w:sz w:val="22"/>
          <w:szCs w:val="22"/>
          <w:lang w:val="en-US"/>
        </w:rPr>
        <w:t>7</w:t>
      </w:r>
    </w:p>
    <w:p w14:paraId="6E9E918A" w14:textId="77777777" w:rsidR="00785212" w:rsidRDefault="00675A7F">
      <w:pPr>
        <w:pStyle w:val="ab"/>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2FFEF56C"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36039">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283B9F2" w14:textId="71E816BA" w:rsidR="009E3C84" w:rsidRDefault="009E3C84" w:rsidP="009E3C8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AC54B9">
        <w:rPr>
          <w:lang w:val="en-US"/>
        </w:rPr>
        <w:t xml:space="preserve">The issues that are in the focus of this discussion round are furthermore tagged </w:t>
      </w:r>
      <w:r w:rsidR="00AC54B9" w:rsidRPr="006E246F">
        <w:rPr>
          <w:color w:val="FF0000"/>
          <w:lang w:val="en-US"/>
        </w:rPr>
        <w:t>FL</w:t>
      </w:r>
      <w:r w:rsidR="001A0B4D">
        <w:rPr>
          <w:color w:val="FF0000"/>
          <w:lang w:val="en-US"/>
        </w:rPr>
        <w:t>4</w:t>
      </w:r>
      <w:r w:rsidR="00AC54B9">
        <w:rPr>
          <w:lang w:val="en-US"/>
        </w:rPr>
        <w:t xml:space="preserve">. </w:t>
      </w:r>
      <w:r w:rsidR="00E20106">
        <w:rPr>
          <w:lang w:val="en-US"/>
        </w:rPr>
        <w:t>The FLS for the initial round can be found in [37].</w:t>
      </w:r>
    </w:p>
    <w:p w14:paraId="6C55931C" w14:textId="77777777" w:rsidR="00B47547" w:rsidRDefault="00B47547" w:rsidP="00B47547">
      <w:pPr>
        <w:rPr>
          <w:lang w:val="en-US"/>
        </w:rPr>
      </w:pPr>
      <w:r>
        <w:rPr>
          <w:lang w:val="en-US"/>
        </w:rPr>
        <w:t>Follow the naming convention in this example:</w:t>
      </w:r>
    </w:p>
    <w:p w14:paraId="29F98CA3" w14:textId="5ADC7731" w:rsidR="00B47547" w:rsidRDefault="00B47547" w:rsidP="00B47547">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5951F9B" w14:textId="57986003" w:rsidR="00B47547" w:rsidRDefault="00B47547" w:rsidP="00B47547">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24EA67B5" w14:textId="5000FEEA" w:rsidR="00B47547" w:rsidRDefault="00B47547" w:rsidP="00B47547">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9961E5" w14:textId="26DB23CA" w:rsidR="00B47547" w:rsidRDefault="00B47547" w:rsidP="00B47547">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A4D718C" w14:textId="77777777" w:rsidR="00B47547" w:rsidRDefault="00B47547" w:rsidP="00B4754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809DC28" w14:textId="46B54C19" w:rsidR="00B47547" w:rsidRDefault="00B47547" w:rsidP="00B47547">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D4FAB45" w14:textId="768A06EE" w:rsidR="00B47547" w:rsidRDefault="00B47547" w:rsidP="00B47547">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46A4D83" w14:textId="77777777" w:rsidR="00B47547" w:rsidRDefault="00B47547" w:rsidP="00B47547">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2C4D17" w14:textId="291055BE" w:rsidR="00B47547" w:rsidRDefault="00B47547" w:rsidP="00B47547">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27965588" w14:textId="77777777" w:rsidR="00B47547" w:rsidRDefault="00B47547" w:rsidP="00B47547">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5C04B8" w14:textId="77777777" w:rsidR="00B47547" w:rsidRDefault="00B47547" w:rsidP="00B47547">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2DD72A" w14:textId="77777777" w:rsidR="00B47547" w:rsidRDefault="00B47547" w:rsidP="00B4754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69DEE0F9" w:rsidR="00785212" w:rsidRPr="00B47547" w:rsidRDefault="00B4754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475B54">
        <w:rPr>
          <w:rFonts w:ascii="Times" w:hAnsi="Times"/>
          <w:b/>
          <w:szCs w:val="24"/>
          <w:lang w:val="en-US"/>
        </w:rPr>
        <w:t>4</w:t>
      </w:r>
      <w:r w:rsidR="00675A7F">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맑은 고딕"/>
                <w:lang w:val="en-US" w:eastAsia="ko-KR"/>
              </w:rPr>
            </w:pPr>
            <w:r>
              <w:rPr>
                <w:rFonts w:eastAsia="맑은 고딕" w:hint="eastAsia"/>
                <w:lang w:val="en-US" w:eastAsia="ko-KR"/>
              </w:rPr>
              <w:t>L</w:t>
            </w:r>
            <w:r>
              <w:rPr>
                <w:rFonts w:eastAsia="맑은 고딕"/>
                <w:lang w:val="en-US" w:eastAsia="ko-KR"/>
              </w:rPr>
              <w:t>G</w:t>
            </w:r>
            <w:r w:rsidR="001F3A2E">
              <w:rPr>
                <w:rFonts w:eastAsia="맑은 고딕"/>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맑은 고딕"/>
                <w:lang w:val="en-US" w:eastAsia="ko-KR"/>
              </w:rPr>
            </w:pPr>
            <w:r>
              <w:rPr>
                <w:rFonts w:eastAsia="맑은 고딕" w:hint="eastAsia"/>
                <w:lang w:val="en-US" w:eastAsia="ko-KR"/>
              </w:rPr>
              <w:t>S</w:t>
            </w:r>
            <w:r>
              <w:rPr>
                <w:rFonts w:eastAsia="맑은 고딕"/>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맑은 고딕"/>
                <w:lang w:val="en-US" w:eastAsia="ko-KR"/>
              </w:rPr>
            </w:pPr>
            <w:r>
              <w:rPr>
                <w:rFonts w:eastAsia="맑은 고딕"/>
                <w:lang w:val="en-US" w:eastAsia="ko-KR"/>
              </w:rPr>
              <w:t>s</w:t>
            </w:r>
            <w:r w:rsidR="00082329">
              <w:rPr>
                <w:rFonts w:eastAsia="맑은 고딕"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002C3A"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FD6855"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bookmarkStart w:id="3" w:name="_GoBack"/>
            <w:bookmarkEnd w:id="3"/>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FD6855"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FD6855"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1"/>
        <w:numPr>
          <w:ilvl w:val="0"/>
          <w:numId w:val="0"/>
        </w:numPr>
        <w:ind w:left="1134" w:hanging="1134"/>
        <w:rPr>
          <w:lang w:val="en-US"/>
        </w:rPr>
      </w:pPr>
      <w:bookmarkStart w:id="4" w:name="_Toc101519362"/>
      <w:r>
        <w:rPr>
          <w:lang w:val="en-US"/>
        </w:rPr>
        <w:t>2</w:t>
      </w:r>
      <w:r>
        <w:rPr>
          <w:lang w:val="en-US"/>
        </w:rPr>
        <w:tab/>
      </w:r>
      <w:bookmarkEnd w:id="4"/>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af0"/>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af6"/>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3, which is 1 layer, Qm=4 and scaling factor 0.75</w:t>
            </w:r>
          </w:p>
          <w:p w14:paraId="6028FA5E" w14:textId="77777777" w:rsidR="00785212" w:rsidRPr="00C73301" w:rsidRDefault="00675A7F">
            <w:pPr>
              <w:pStyle w:val="af6"/>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Qm=4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lastRenderedPageBreak/>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33934542"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0"/>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af6"/>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af6"/>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af0"/>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0"/>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0"/>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0"/>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ms.</w:t>
      </w:r>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af0"/>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lastRenderedPageBreak/>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0"/>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65260B6B" w14:textId="77777777" w:rsidR="00871A4C" w:rsidRPr="00621594" w:rsidRDefault="00871A4C" w:rsidP="00871A4C">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af0"/>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hint="eastAsia"/>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hint="eastAsia"/>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lastRenderedPageBreak/>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lastRenderedPageBreak/>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af6"/>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af6"/>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 2-step RACH: MsgA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af6"/>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af6"/>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3D00D7">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3D00D7">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3D00D7">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3D00D7">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af6"/>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af6"/>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3D00D7">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af6"/>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af6"/>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af6"/>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af6"/>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3D00D7">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lastRenderedPageBreak/>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af6"/>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af6"/>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af6"/>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af6"/>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af6"/>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3D00D7">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3D00D7">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3D00D7">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3D00D7">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3D00D7">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3D00D7">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3D00D7">
        <w:tc>
          <w:tcPr>
            <w:tcW w:w="1479" w:type="dxa"/>
          </w:tcPr>
          <w:p w14:paraId="48F93E3C" w14:textId="6E218038" w:rsidR="00002C3A" w:rsidRDefault="00002C3A" w:rsidP="001C6599">
            <w:pPr>
              <w:jc w:val="left"/>
              <w:rPr>
                <w:rFonts w:eastAsia="Yu Mincho" w:hint="eastAsia"/>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hint="eastAsia"/>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af0"/>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af6"/>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af6"/>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af6"/>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af6"/>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af6"/>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lastRenderedPageBreak/>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af6"/>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1AB7D34E" w14:textId="244EB3B2" w:rsidR="00C47FF9" w:rsidRPr="00C47FF9" w:rsidRDefault="00675A7F" w:rsidP="00C47FF9">
      <w:pPr>
        <w:pStyle w:val="af6"/>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af6"/>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Yu Mincho"/>
                <w:lang w:val="en-US" w:eastAsia="ja-JP"/>
              </w:rPr>
              <w:t>V</w:t>
            </w:r>
            <w:r w:rsidR="00675A7F">
              <w:rPr>
                <w:rFonts w:eastAsia="Yu Mincho"/>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ko-KR"/>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ko-KR"/>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ko-KR"/>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Yu Mincho"/>
                <w:lang w:val="en-US" w:eastAsia="ja-JP"/>
              </w:rPr>
            </w:pPr>
            <w:r>
              <w:t xml:space="preserve">We are okay to NOT support the additional separate initial BWP specific to Rel-18 RedCap UEs as suggested by the main bullet. Other than that, we prefer to </w:t>
            </w:r>
            <w:r>
              <w:lastRenderedPageBreak/>
              <w:t>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lastRenderedPageBreak/>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For the subbullet,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7320D3AB" w:rsidR="002D72DE" w:rsidRDefault="002D72DE" w:rsidP="002D72DE">
            <w:pPr>
              <w:pStyle w:val="af6"/>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af6"/>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61920F53"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3AE315BF"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UEs, and a separate initial BWP for Rel-18 RedCap UEs,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40821852"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Rel-18 RedCap UEs use a separate initial DL/UL BWP while Rel-17 RedCap UEs and non-RedCap UEs use the normal initial DL/UL BWP</w:t>
            </w:r>
            <w:r>
              <w:rPr>
                <w:rFonts w:eastAsia="Yu Mincho"/>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lastRenderedPageBreak/>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089076D5" w:rsidR="0097151E" w:rsidRPr="00C73301" w:rsidRDefault="005E6DAF" w:rsidP="003D00D7">
            <w:pPr>
              <w:jc w:val="left"/>
              <w:rPr>
                <w:rFonts w:eastAsiaTheme="minorEastAsia"/>
                <w:lang w:val="en-US" w:eastAsia="zh-CN"/>
              </w:rPr>
            </w:pPr>
            <w:r w:rsidRPr="005E6DAF">
              <w:rPr>
                <w:rFonts w:eastAsiaTheme="minorEastAsia"/>
                <w:lang w:val="en-US" w:eastAsia="zh-CN"/>
              </w:rPr>
              <w:t>The test and corresponding effort in RAN4 are also related. Therefore, we propose to conclude that "the decision can be left up to RAN2 and RAN4".</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hint="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hint="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lastRenderedPageBreak/>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af6"/>
              <w:numPr>
                <w:ilvl w:val="0"/>
                <w:numId w:val="30"/>
              </w:numPr>
              <w:rPr>
                <w:rFonts w:ascii="Times New Roman" w:eastAsia="바탕"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2.5-1</w:t>
            </w:r>
            <w:r>
              <w:rPr>
                <w:b/>
                <w:lang w:val="en-US"/>
              </w:rPr>
              <w:t>c</w:t>
            </w:r>
            <w:r w:rsidRPr="002F3E75">
              <w:rPr>
                <w:b/>
                <w:bCs/>
                <w:lang w:val="en-US"/>
              </w:rPr>
              <w:t>:</w:t>
            </w:r>
          </w:p>
          <w:p w14:paraId="65458DF3" w14:textId="54418C14" w:rsidR="0036316C" w:rsidRPr="0036316C" w:rsidRDefault="0036316C" w:rsidP="0036316C">
            <w:pPr>
              <w:pStyle w:val="af6"/>
              <w:numPr>
                <w:ilvl w:val="0"/>
                <w:numId w:val="30"/>
              </w:numPr>
              <w:rPr>
                <w:rFonts w:ascii="Times New Roman" w:eastAsia="바탕"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6B3BDD17"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18D91814"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sidRPr="00E33723">
              <w:rPr>
                <w:rFonts w:eastAsiaTheme="minorEastAsia"/>
                <w:lang w:val="en-US" w:eastAsia="zh-CN"/>
              </w:rPr>
              <w:t>17 RedCap UEs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UEs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non-RedCap UEs or Rel-17 RedCap UEs.</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bl>
    <w:p w14:paraId="23811B77" w14:textId="77777777" w:rsidR="00DB4A2D" w:rsidRDefault="00DB4A2D">
      <w:pPr>
        <w:rPr>
          <w:rFonts w:eastAsia="Microsoft YaHei UI"/>
          <w:lang w:val="en-US"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af6"/>
              <w:numPr>
                <w:ilvl w:val="0"/>
                <w:numId w:val="30"/>
              </w:numPr>
              <w:rPr>
                <w:rFonts w:ascii="Times New Roman" w:eastAsia="바탕" w:hAnsi="Times New Roman" w:cs="Times New Roman"/>
                <w:b/>
                <w:bCs/>
                <w:sz w:val="20"/>
                <w:szCs w:val="20"/>
                <w:lang w:val="en-US" w:eastAsia="en-US"/>
              </w:rPr>
            </w:pPr>
            <w:r>
              <w:rPr>
                <w:rFonts w:eastAsia="Microsoft YaHei UI"/>
                <w:b/>
                <w:sz w:val="20"/>
                <w:szCs w:val="22"/>
                <w:lang w:val="en-US" w:eastAsia="zh-CN"/>
              </w:rPr>
              <w:lastRenderedPageBreak/>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af0"/>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af6"/>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af6"/>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It means t</w:t>
            </w:r>
            <w:r w:rsidRPr="00777594">
              <w:rPr>
                <w:rFonts w:eastAsiaTheme="minorEastAsia"/>
                <w:color w:val="FF0000"/>
                <w:lang w:val="en-US" w:eastAsia="zh-CN"/>
              </w:rPr>
              <w:t>T</w:t>
            </w:r>
            <w:r w:rsidRPr="00777594">
              <w:rPr>
                <w:rFonts w:eastAsiaTheme="minorEastAsia"/>
                <w:lang w:val="en-US" w:eastAsia="zh-CN"/>
              </w:rPr>
              <w:t>he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hint="eastAsia"/>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hint="eastAsia"/>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af0"/>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lastRenderedPageBreak/>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3D00D7">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3D00D7">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lastRenderedPageBreak/>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3D00D7">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3D00D7">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3D00D7">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3D00D7">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3D00D7">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3D00D7">
        <w:tc>
          <w:tcPr>
            <w:tcW w:w="1479" w:type="dxa"/>
          </w:tcPr>
          <w:p w14:paraId="19DADD23" w14:textId="4608621D" w:rsidR="00002C3A" w:rsidRDefault="00002C3A" w:rsidP="00B14807">
            <w:pPr>
              <w:jc w:val="left"/>
              <w:rPr>
                <w:rFonts w:eastAsia="Yu Mincho" w:hint="eastAsia"/>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hint="eastAsia"/>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bl>
    <w:p w14:paraId="4A468CE1" w14:textId="77777777" w:rsidR="003A0434" w:rsidRDefault="003A0434">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af0"/>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0"/>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hint="eastAsia"/>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hint="eastAsia"/>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bl>
    <w:p w14:paraId="74814662" w14:textId="77777777" w:rsidR="00DD2ABC" w:rsidRDefault="00DD2ABC">
      <w:pPr>
        <w:tabs>
          <w:tab w:val="left" w:pos="1545"/>
        </w:tabs>
        <w:rPr>
          <w:rFonts w:eastAsia="Microsoft YaHei UI"/>
          <w:lang w:val="en-US" w:eastAsia="zh-CN"/>
        </w:rPr>
      </w:pPr>
    </w:p>
    <w:p w14:paraId="44BACD27" w14:textId="77777777" w:rsidR="00785212" w:rsidRDefault="00675A7F">
      <w:pPr>
        <w:pStyle w:val="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0"/>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af0"/>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0"/>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4E213B">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4E213B">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4E213B">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4E213B">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0"/>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057286">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m:t>
                          </m:r>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4E213B">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4E213B">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lastRenderedPageBreak/>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4E213B">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4E213B">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4E213B">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4E213B">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4E213B">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r>
              <w:rPr>
                <w:rFonts w:eastAsia="SimSun"/>
                <w:i/>
                <w:iCs/>
                <w:lang w:eastAsia="ja-JP"/>
              </w:rPr>
              <w:t xml:space="preserve">scalingFactor </w:t>
            </w:r>
            <w:r>
              <w:rPr>
                <w:rFonts w:eastAsia="SimSun"/>
                <w:lang w:eastAsia="ja-JP"/>
              </w:rPr>
              <w:t>other than the values supported in existing spec 38.306. Currently possible values are 1, 0.8, 0.75, and 0.4. This has to be clarified first before deciding the value itself.</w:t>
            </w:r>
          </w:p>
        </w:tc>
      </w:tr>
      <w:tr w:rsidR="00785212" w14:paraId="3D09E520" w14:textId="77777777" w:rsidTr="004E213B">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4E213B">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4E213B">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4E213B">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F26432" w14:paraId="479D9886" w14:textId="77777777" w:rsidTr="004E213B">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4E213B">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r w:rsidRPr="00066B35">
              <w:rPr>
                <w:rFonts w:eastAsiaTheme="minorEastAsia"/>
                <w:i/>
                <w:iCs/>
                <w:lang w:val="en-US" w:eastAsia="zh-CN"/>
              </w:rPr>
              <w:t>scalingFactor</w:t>
            </w:r>
            <w:r>
              <w:rPr>
                <w:rFonts w:eastAsiaTheme="minorEastAsia"/>
                <w:lang w:val="en-US" w:eastAsia="zh-CN"/>
              </w:rPr>
              <w:t xml:space="preserve"> values.</w:t>
            </w:r>
          </w:p>
        </w:tc>
      </w:tr>
      <w:tr w:rsidR="001E1EE1" w14:paraId="21BE29FB" w14:textId="77777777" w:rsidTr="004E213B">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4E213B">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4E213B">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r w:rsidR="00566A90" w:rsidRPr="00566A90">
              <w:rPr>
                <w:rFonts w:eastAsiaTheme="minorEastAsia"/>
                <w:i/>
                <w:iCs/>
                <w:lang w:val="en-US" w:eastAsia="zh-CN"/>
              </w:rPr>
              <w:t>scalingFactor</w:t>
            </w:r>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4 relaxed to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2806C8">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2806C8">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2806C8">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2806C8">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2806C8">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2806C8">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2806C8">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We would prefer a value of X=3, but if a majority of companies want 3.2, we would be fine with that value.</w:t>
            </w:r>
          </w:p>
        </w:tc>
      </w:tr>
      <w:tr w:rsidR="00002C3A" w:rsidRPr="00C73301" w14:paraId="5F6164E6" w14:textId="77777777" w:rsidTr="002806C8">
        <w:tc>
          <w:tcPr>
            <w:tcW w:w="1479" w:type="dxa"/>
          </w:tcPr>
          <w:p w14:paraId="6012C848" w14:textId="3668A2B2" w:rsidR="00002C3A" w:rsidRDefault="00002C3A" w:rsidP="00B14807">
            <w:pPr>
              <w:jc w:val="left"/>
              <w:rPr>
                <w:rFonts w:eastAsia="Yu Mincho" w:hint="eastAsia"/>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hint="eastAsia"/>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0"/>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0"/>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1"/>
        <w:numPr>
          <w:ilvl w:val="0"/>
          <w:numId w:val="0"/>
        </w:numPr>
        <w:ind w:left="1134" w:hanging="1134"/>
        <w:rPr>
          <w:lang w:val="en-US"/>
        </w:rPr>
      </w:pPr>
      <w:r>
        <w:rPr>
          <w:lang w:val="en-US"/>
        </w:rPr>
        <w:lastRenderedPageBreak/>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af6"/>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af6"/>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af6"/>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af6"/>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af6"/>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af6"/>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af6"/>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af6"/>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af6"/>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af6"/>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af6"/>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af6"/>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af6"/>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af6"/>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af6"/>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w:t>
            </w:r>
            <w:r>
              <w:rPr>
                <w:rFonts w:eastAsia="Yu Mincho"/>
                <w:lang w:val="en-US" w:eastAsia="ja-JP"/>
              </w:rPr>
              <w:lastRenderedPageBreak/>
              <w:t>demand explosive connections toward gNodeB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6"/>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057286">
            <w:pPr>
              <w:jc w:val="left"/>
              <w:rPr>
                <w:color w:val="0000FF"/>
                <w:u w:val="single"/>
                <w:lang w:val="en-US"/>
              </w:rPr>
            </w:pPr>
            <w:hyperlink r:id="rId16" w:history="1">
              <w:r w:rsidR="00675A7F">
                <w:rPr>
                  <w:rStyle w:val="af3"/>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057286">
            <w:pPr>
              <w:jc w:val="left"/>
              <w:rPr>
                <w:rFonts w:eastAsia="Calibri"/>
                <w:color w:val="0000FF"/>
                <w:u w:val="single"/>
                <w:lang w:val="en-US"/>
              </w:rPr>
            </w:pPr>
            <w:hyperlink r:id="rId17" w:history="1">
              <w:r w:rsidR="00675A7F">
                <w:rPr>
                  <w:rStyle w:val="af3"/>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057286">
            <w:pPr>
              <w:jc w:val="left"/>
              <w:rPr>
                <w:rStyle w:val="af3"/>
                <w:color w:val="0000FF"/>
              </w:rPr>
            </w:pPr>
            <w:hyperlink r:id="rId18" w:history="1">
              <w:r w:rsidR="00675A7F">
                <w:rPr>
                  <w:rStyle w:val="af3"/>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057286">
            <w:pPr>
              <w:jc w:val="left"/>
              <w:rPr>
                <w:rStyle w:val="af3"/>
                <w:color w:val="0000FF"/>
              </w:rPr>
            </w:pPr>
            <w:hyperlink r:id="rId19" w:history="1">
              <w:r w:rsidR="00675A7F">
                <w:rPr>
                  <w:rStyle w:val="af3"/>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057286">
            <w:pPr>
              <w:jc w:val="left"/>
              <w:rPr>
                <w:rStyle w:val="af3"/>
                <w:color w:val="0000FF"/>
              </w:rPr>
            </w:pPr>
            <w:hyperlink r:id="rId20" w:history="1">
              <w:r w:rsidR="00675A7F">
                <w:rPr>
                  <w:rStyle w:val="af3"/>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057286">
            <w:pPr>
              <w:jc w:val="left"/>
              <w:rPr>
                <w:rStyle w:val="af3"/>
                <w:color w:val="0000FF"/>
              </w:rPr>
            </w:pPr>
            <w:hyperlink r:id="rId21" w:history="1">
              <w:r w:rsidR="00675A7F">
                <w:rPr>
                  <w:rStyle w:val="af3"/>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057286">
            <w:pPr>
              <w:jc w:val="left"/>
              <w:rPr>
                <w:rStyle w:val="af3"/>
                <w:color w:val="0000FF"/>
                <w:lang w:val="en-US" w:eastAsia="sv-SE"/>
              </w:rPr>
            </w:pPr>
            <w:hyperlink r:id="rId22" w:history="1">
              <w:r w:rsidR="00675A7F">
                <w:rPr>
                  <w:rStyle w:val="af3"/>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057286">
            <w:pPr>
              <w:jc w:val="left"/>
              <w:rPr>
                <w:rStyle w:val="af3"/>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057286">
            <w:pPr>
              <w:jc w:val="left"/>
              <w:rPr>
                <w:rStyle w:val="af3"/>
                <w:color w:val="0000FF"/>
                <w:lang w:val="en-US" w:eastAsia="sv-SE"/>
              </w:rPr>
            </w:pPr>
            <w:hyperlink r:id="rId24" w:history="1">
              <w:r w:rsidR="00675A7F">
                <w:rPr>
                  <w:rStyle w:val="af3"/>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057286">
            <w:pPr>
              <w:jc w:val="left"/>
              <w:rPr>
                <w:rStyle w:val="af3"/>
                <w:color w:val="0000FF"/>
                <w:lang w:val="en-US" w:eastAsia="sv-SE"/>
              </w:rPr>
            </w:pPr>
            <w:hyperlink r:id="rId25" w:history="1">
              <w:r w:rsidR="00675A7F">
                <w:rPr>
                  <w:rStyle w:val="af3"/>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057286">
            <w:pPr>
              <w:jc w:val="left"/>
              <w:rPr>
                <w:rStyle w:val="af3"/>
                <w:color w:val="0000FF"/>
                <w:lang w:val="en-US" w:eastAsia="sv-SE"/>
              </w:rPr>
            </w:pPr>
            <w:hyperlink r:id="rId26" w:history="1">
              <w:r w:rsidR="00675A7F">
                <w:rPr>
                  <w:rStyle w:val="af3"/>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057286">
            <w:pPr>
              <w:jc w:val="left"/>
              <w:rPr>
                <w:rStyle w:val="af3"/>
                <w:color w:val="0000FF"/>
                <w:lang w:val="en-US" w:eastAsia="sv-SE"/>
              </w:rPr>
            </w:pPr>
            <w:hyperlink r:id="rId27" w:history="1">
              <w:r w:rsidR="00675A7F">
                <w:rPr>
                  <w:rStyle w:val="af3"/>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057286">
            <w:pPr>
              <w:jc w:val="left"/>
              <w:rPr>
                <w:rStyle w:val="af3"/>
                <w:color w:val="0000FF"/>
                <w:lang w:val="en-US" w:eastAsia="sv-SE"/>
              </w:rPr>
            </w:pPr>
            <w:hyperlink r:id="rId28" w:history="1">
              <w:r w:rsidR="00675A7F">
                <w:rPr>
                  <w:rStyle w:val="af3"/>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057286">
            <w:pPr>
              <w:jc w:val="left"/>
              <w:rPr>
                <w:rStyle w:val="af3"/>
                <w:color w:val="0000FF"/>
                <w:lang w:val="en-US" w:eastAsia="sv-SE"/>
              </w:rPr>
            </w:pPr>
            <w:hyperlink r:id="rId29" w:history="1">
              <w:r w:rsidR="00675A7F">
                <w:rPr>
                  <w:rStyle w:val="af3"/>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057286">
            <w:pPr>
              <w:jc w:val="left"/>
              <w:rPr>
                <w:rStyle w:val="af3"/>
                <w:color w:val="0000FF"/>
                <w:lang w:val="en-US" w:eastAsia="sv-SE"/>
              </w:rPr>
            </w:pPr>
            <w:hyperlink r:id="rId30" w:history="1">
              <w:r w:rsidR="00675A7F">
                <w:rPr>
                  <w:rStyle w:val="af3"/>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057286">
            <w:pPr>
              <w:jc w:val="left"/>
              <w:rPr>
                <w:rStyle w:val="af3"/>
                <w:color w:val="0000FF"/>
                <w:lang w:val="en-US" w:eastAsia="sv-SE"/>
              </w:rPr>
            </w:pPr>
            <w:hyperlink r:id="rId31" w:history="1">
              <w:r w:rsidR="00675A7F">
                <w:rPr>
                  <w:rStyle w:val="af3"/>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057286">
            <w:pPr>
              <w:jc w:val="left"/>
              <w:rPr>
                <w:rStyle w:val="af3"/>
                <w:color w:val="0000FF"/>
                <w:lang w:val="en-US" w:eastAsia="sv-SE"/>
              </w:rPr>
            </w:pPr>
            <w:hyperlink r:id="rId32" w:history="1">
              <w:r w:rsidR="00675A7F">
                <w:rPr>
                  <w:rStyle w:val="af3"/>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057286">
            <w:pPr>
              <w:jc w:val="left"/>
              <w:rPr>
                <w:rStyle w:val="af3"/>
                <w:color w:val="0000FF"/>
                <w:lang w:val="en-US" w:eastAsia="sv-SE"/>
              </w:rPr>
            </w:pPr>
            <w:hyperlink r:id="rId33" w:history="1">
              <w:r w:rsidR="00675A7F">
                <w:rPr>
                  <w:rStyle w:val="af3"/>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057286">
            <w:pPr>
              <w:jc w:val="left"/>
              <w:rPr>
                <w:rStyle w:val="af3"/>
                <w:color w:val="0000FF"/>
                <w:lang w:val="en-US" w:eastAsia="sv-SE"/>
              </w:rPr>
            </w:pPr>
            <w:hyperlink r:id="rId34" w:history="1">
              <w:r w:rsidR="00675A7F">
                <w:rPr>
                  <w:rStyle w:val="af3"/>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057286">
            <w:pPr>
              <w:jc w:val="left"/>
              <w:rPr>
                <w:rStyle w:val="af3"/>
                <w:color w:val="0000FF"/>
                <w:lang w:val="en-US" w:eastAsia="sv-SE"/>
              </w:rPr>
            </w:pPr>
            <w:hyperlink r:id="rId35" w:history="1">
              <w:r w:rsidR="00675A7F">
                <w:rPr>
                  <w:rStyle w:val="af3"/>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lastRenderedPageBreak/>
              <w:t>[21]</w:t>
            </w:r>
          </w:p>
        </w:tc>
        <w:tc>
          <w:tcPr>
            <w:tcW w:w="1456" w:type="dxa"/>
            <w:tcMar>
              <w:top w:w="0" w:type="dxa"/>
              <w:left w:w="70" w:type="dxa"/>
              <w:bottom w:w="0" w:type="dxa"/>
              <w:right w:w="70" w:type="dxa"/>
            </w:tcMar>
          </w:tcPr>
          <w:p w14:paraId="3F4F2E42" w14:textId="77777777" w:rsidR="00785212" w:rsidRDefault="00057286">
            <w:pPr>
              <w:jc w:val="left"/>
              <w:rPr>
                <w:rStyle w:val="af3"/>
                <w:color w:val="0000FF"/>
                <w:lang w:val="en-US" w:eastAsia="sv-SE"/>
              </w:rPr>
            </w:pPr>
            <w:hyperlink r:id="rId36" w:history="1">
              <w:r w:rsidR="00675A7F">
                <w:rPr>
                  <w:rStyle w:val="af3"/>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057286">
            <w:pPr>
              <w:jc w:val="left"/>
              <w:rPr>
                <w:rStyle w:val="af3"/>
                <w:color w:val="0000FF"/>
                <w:lang w:val="en-US" w:eastAsia="sv-SE"/>
              </w:rPr>
            </w:pPr>
            <w:hyperlink r:id="rId37" w:history="1">
              <w:r w:rsidR="00675A7F">
                <w:rPr>
                  <w:rStyle w:val="af3"/>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057286">
            <w:pPr>
              <w:jc w:val="left"/>
              <w:rPr>
                <w:rStyle w:val="af3"/>
                <w:color w:val="0000FF"/>
                <w:lang w:val="en-US" w:eastAsia="sv-SE"/>
              </w:rPr>
            </w:pPr>
            <w:hyperlink r:id="rId38" w:history="1">
              <w:r w:rsidR="00675A7F">
                <w:rPr>
                  <w:rStyle w:val="af3"/>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057286">
            <w:pPr>
              <w:jc w:val="left"/>
              <w:rPr>
                <w:rStyle w:val="af3"/>
                <w:color w:val="0000FF"/>
                <w:lang w:val="en-US" w:eastAsia="sv-SE"/>
              </w:rPr>
            </w:pPr>
            <w:hyperlink r:id="rId39" w:history="1">
              <w:r w:rsidR="00675A7F">
                <w:rPr>
                  <w:rStyle w:val="af3"/>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057286">
            <w:pPr>
              <w:jc w:val="left"/>
              <w:rPr>
                <w:rStyle w:val="af3"/>
                <w:color w:val="0000FF"/>
                <w:lang w:val="en-US" w:eastAsia="sv-SE"/>
              </w:rPr>
            </w:pPr>
            <w:hyperlink r:id="rId40" w:history="1">
              <w:r w:rsidR="00675A7F">
                <w:rPr>
                  <w:rStyle w:val="af3"/>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057286">
            <w:pPr>
              <w:jc w:val="left"/>
              <w:rPr>
                <w:rStyle w:val="af3"/>
                <w:color w:val="0000FF"/>
                <w:lang w:val="en-US" w:eastAsia="sv-SE"/>
              </w:rPr>
            </w:pPr>
            <w:hyperlink r:id="rId41" w:history="1">
              <w:r w:rsidR="00675A7F">
                <w:rPr>
                  <w:rStyle w:val="af3"/>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057286">
            <w:pPr>
              <w:jc w:val="left"/>
              <w:rPr>
                <w:rStyle w:val="af3"/>
                <w:color w:val="0000FF"/>
                <w:lang w:val="en-US" w:eastAsia="sv-SE"/>
              </w:rPr>
            </w:pPr>
            <w:hyperlink r:id="rId42" w:history="1">
              <w:r w:rsidR="00675A7F">
                <w:rPr>
                  <w:rStyle w:val="af3"/>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057286">
            <w:pPr>
              <w:jc w:val="left"/>
              <w:rPr>
                <w:rStyle w:val="af3"/>
                <w:color w:val="0000FF"/>
                <w:lang w:val="en-US" w:eastAsia="sv-SE"/>
              </w:rPr>
            </w:pPr>
            <w:hyperlink r:id="rId43" w:history="1">
              <w:r w:rsidR="00675A7F">
                <w:rPr>
                  <w:rStyle w:val="af3"/>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af3"/>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057286">
            <w:pPr>
              <w:jc w:val="left"/>
              <w:rPr>
                <w:rStyle w:val="af3"/>
                <w:color w:val="0000FF"/>
                <w:lang w:val="en-US" w:eastAsia="sv-SE"/>
              </w:rPr>
            </w:pPr>
            <w:hyperlink r:id="rId45" w:history="1">
              <w:r w:rsidR="00675A7F">
                <w:rPr>
                  <w:rStyle w:val="af3"/>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057286">
            <w:pPr>
              <w:jc w:val="left"/>
              <w:rPr>
                <w:rStyle w:val="af3"/>
                <w:color w:val="0000FF"/>
                <w:lang w:val="en-US" w:eastAsia="sv-SE"/>
              </w:rPr>
            </w:pPr>
            <w:hyperlink r:id="rId46" w:history="1">
              <w:r w:rsidR="00675A7F">
                <w:rPr>
                  <w:rStyle w:val="af3"/>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057286">
            <w:pPr>
              <w:jc w:val="left"/>
              <w:rPr>
                <w:rStyle w:val="af3"/>
                <w:color w:val="0000FF"/>
                <w:lang w:val="en-US" w:eastAsia="sv-SE"/>
              </w:rPr>
            </w:pPr>
            <w:hyperlink r:id="rId47" w:history="1">
              <w:r w:rsidR="00675A7F">
                <w:rPr>
                  <w:rStyle w:val="af3"/>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057286">
            <w:pPr>
              <w:jc w:val="left"/>
              <w:rPr>
                <w:rStyle w:val="af3"/>
                <w:color w:val="0000FF"/>
                <w:lang w:val="en-US" w:eastAsia="sv-SE"/>
              </w:rPr>
            </w:pPr>
            <w:hyperlink r:id="rId48" w:history="1">
              <w:r w:rsidR="00675A7F">
                <w:rPr>
                  <w:rStyle w:val="af3"/>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057286">
            <w:pPr>
              <w:jc w:val="left"/>
              <w:rPr>
                <w:color w:val="000000"/>
                <w:lang w:val="en-US"/>
              </w:rPr>
            </w:pPr>
            <w:hyperlink r:id="rId49" w:history="1">
              <w:r w:rsidR="00675A7F">
                <w:rPr>
                  <w:rStyle w:val="af3"/>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057286">
            <w:pPr>
              <w:jc w:val="left"/>
              <w:rPr>
                <w:color w:val="000000"/>
                <w:lang w:val="en-US"/>
              </w:rPr>
            </w:pPr>
            <w:hyperlink r:id="rId50" w:history="1">
              <w:r w:rsidR="00675A7F">
                <w:rPr>
                  <w:rStyle w:val="af3"/>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af3"/>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057286">
            <w:pPr>
              <w:jc w:val="left"/>
              <w:rPr>
                <w:rStyle w:val="af3"/>
                <w:color w:val="0000FF"/>
              </w:rPr>
            </w:pPr>
            <w:hyperlink r:id="rId52" w:history="1">
              <w:r w:rsidR="00675A7F">
                <w:rPr>
                  <w:rStyle w:val="af3"/>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af3"/>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057286">
            <w:pPr>
              <w:jc w:val="left"/>
            </w:pPr>
            <w:hyperlink r:id="rId54" w:history="1">
              <w:r w:rsidR="00675A7F">
                <w:rPr>
                  <w:rStyle w:val="af3"/>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057286">
            <w:pPr>
              <w:jc w:val="left"/>
            </w:pPr>
            <w:hyperlink r:id="rId55" w:history="1">
              <w:r w:rsidR="00957CE4">
                <w:rPr>
                  <w:rStyle w:val="af3"/>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AB2EF" w14:textId="77777777" w:rsidR="00057286" w:rsidRDefault="00057286">
      <w:pPr>
        <w:spacing w:line="240" w:lineRule="auto"/>
      </w:pPr>
      <w:r>
        <w:separator/>
      </w:r>
    </w:p>
  </w:endnote>
  <w:endnote w:type="continuationSeparator" w:id="0">
    <w:p w14:paraId="1BE2F185" w14:textId="77777777" w:rsidR="00057286" w:rsidRDefault="00057286">
      <w:pPr>
        <w:spacing w:line="240" w:lineRule="auto"/>
      </w:pPr>
      <w:r>
        <w:continuationSeparator/>
      </w:r>
    </w:p>
  </w:endnote>
  <w:endnote w:type="continuationNotice" w:id="1">
    <w:p w14:paraId="0D589B4F" w14:textId="77777777" w:rsidR="00057286" w:rsidRDefault="00057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等线">
    <w:altName w:val="바탕"/>
    <w:panose1 w:val="00000000000000000000"/>
    <w:charset w:val="81"/>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바탕"/>
    <w:panose1 w:val="00000000000000000000"/>
    <w:charset w:val="81"/>
    <w:family w:val="roman"/>
    <w:notTrueType/>
    <w:pitch w:val="default"/>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A0CDA" w14:textId="77777777" w:rsidR="00057286" w:rsidRDefault="00057286">
      <w:pPr>
        <w:spacing w:after="0"/>
      </w:pPr>
      <w:r>
        <w:separator/>
      </w:r>
    </w:p>
  </w:footnote>
  <w:footnote w:type="continuationSeparator" w:id="0">
    <w:p w14:paraId="70451DDA" w14:textId="77777777" w:rsidR="00057286" w:rsidRDefault="00057286">
      <w:pPr>
        <w:spacing w:after="0"/>
      </w:pPr>
      <w:r>
        <w:continuationSeparator/>
      </w:r>
    </w:p>
  </w:footnote>
  <w:footnote w:type="continuationNotice" w:id="1">
    <w:p w14:paraId="0F8318AB" w14:textId="77777777" w:rsidR="00057286" w:rsidRDefault="0005728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35508A4"/>
    <w:multiLevelType w:val="multilevel"/>
    <w:tmpl w:val="335508A4"/>
    <w:lvl w:ilvl="0">
      <w:start w:val="2"/>
      <w:numFmt w:val="bullet"/>
      <w:lvlText w:val="-"/>
      <w:lvlJc w:val="left"/>
      <w:pPr>
        <w:ind w:left="720" w:hanging="360"/>
      </w:pPr>
      <w:rPr>
        <w:rFonts w:ascii="Times New Roman" w:eastAsia="바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1"/>
  </w:num>
  <w:num w:numId="3">
    <w:abstractNumId w:val="1"/>
  </w:num>
  <w:num w:numId="4">
    <w:abstractNumId w:val="0"/>
  </w:num>
  <w:num w:numId="5">
    <w:abstractNumId w:val="16"/>
  </w:num>
  <w:num w:numId="6">
    <w:abstractNumId w:val="19"/>
    <w:lvlOverride w:ilvl="0">
      <w:startOverride w:val="1"/>
    </w:lvlOverride>
  </w:num>
  <w:num w:numId="7">
    <w:abstractNumId w:val="20"/>
  </w:num>
  <w:num w:numId="8">
    <w:abstractNumId w:val="24"/>
  </w:num>
  <w:num w:numId="9">
    <w:abstractNumId w:val="28"/>
  </w:num>
  <w:num w:numId="10">
    <w:abstractNumId w:val="25"/>
  </w:num>
  <w:num w:numId="11">
    <w:abstractNumId w:val="17"/>
  </w:num>
  <w:num w:numId="12">
    <w:abstractNumId w:val="13"/>
  </w:num>
  <w:num w:numId="13">
    <w:abstractNumId w:val="26"/>
  </w:num>
  <w:num w:numId="14">
    <w:abstractNumId w:val="2"/>
  </w:num>
  <w:num w:numId="15">
    <w:abstractNumId w:val="14"/>
  </w:num>
  <w:num w:numId="16">
    <w:abstractNumId w:val="6"/>
  </w:num>
  <w:num w:numId="17">
    <w:abstractNumId w:val="29"/>
  </w:num>
  <w:num w:numId="18">
    <w:abstractNumId w:val="18"/>
  </w:num>
  <w:num w:numId="19">
    <w:abstractNumId w:val="23"/>
  </w:num>
  <w:num w:numId="20">
    <w:abstractNumId w:val="9"/>
  </w:num>
  <w:num w:numId="21">
    <w:abstractNumId w:val="22"/>
  </w:num>
  <w:num w:numId="22">
    <w:abstractNumId w:val="8"/>
  </w:num>
  <w:num w:numId="23">
    <w:abstractNumId w:val="15"/>
  </w:num>
  <w:num w:numId="24">
    <w:abstractNumId w:val="27"/>
  </w:num>
  <w:num w:numId="25">
    <w:abstractNumId w:val="5"/>
  </w:num>
  <w:num w:numId="26">
    <w:abstractNumId w:val="12"/>
  </w:num>
  <w:num w:numId="27">
    <w:abstractNumId w:val="30"/>
  </w:num>
  <w:num w:numId="28">
    <w:abstractNumId w:val="10"/>
  </w:num>
  <w:num w:numId="29">
    <w:abstractNumId w:val="7"/>
  </w:num>
  <w:num w:numId="30">
    <w:abstractNumId w:val="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26D"/>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E46"/>
    <w:rsid w:val="00264F3B"/>
    <w:rsid w:val="002652E4"/>
    <w:rsid w:val="002653F0"/>
    <w:rsid w:val="00265547"/>
    <w:rsid w:val="0026599C"/>
    <w:rsid w:val="00265BF1"/>
    <w:rsid w:val="00265EFE"/>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BC9"/>
    <w:rsid w:val="008F3DFB"/>
    <w:rsid w:val="008F3EAA"/>
    <w:rsid w:val="008F4005"/>
    <w:rsid w:val="008F4123"/>
    <w:rsid w:val="008F43F9"/>
    <w:rsid w:val="008F47D7"/>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628"/>
    <w:rsid w:val="009F5B6E"/>
    <w:rsid w:val="009F5BD1"/>
    <w:rsid w:val="009F5C5C"/>
    <w:rsid w:val="009F5D9F"/>
    <w:rsid w:val="009F64EB"/>
    <w:rsid w:val="009F6703"/>
    <w:rsid w:val="009F6975"/>
    <w:rsid w:val="009F6AA2"/>
    <w:rsid w:val="009F6C73"/>
    <w:rsid w:val="009F6FBB"/>
    <w:rsid w:val="009F6FF8"/>
    <w:rsid w:val="009F700E"/>
    <w:rsid w:val="009F7027"/>
    <w:rsid w:val="009F70CE"/>
    <w:rsid w:val="009F7177"/>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FC"/>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106"/>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5220"/>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F085C5"/>
  <w15:docId w15:val="{37199E98-DAB2-49F9-9F7D-AEDA5F87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eastAsia="바탕"/>
      <w:sz w:val="28"/>
      <w:lang w:val="en-US" w:eastAsia="en-US"/>
    </w:rPr>
  </w:style>
  <w:style w:type="character" w:customStyle="1" w:styleId="Char7">
    <w:name w:val="목록 단락 Char"/>
    <w:aliases w:val="- Bullets Char,列出段落 Char,?? ?? Char,????? Char,???? Char,Lista1 Char,列出段落1 Char,中等深浅网格 1 - 着色 21 Char,¥ê¥¹¥È¶ÎÂä Char,¥¡¡¡¡ì¬º¥¹¥È¶ÎÂä Char,ÁÐ³ö¶ÎÂä Char,列表段落1 Char,—ño’i—Ž Char,1st level - Bullet List Paragraph Char,Paragrafo elenco Char"/>
    <w:link w:val="af6"/>
    <w:uiPriority w:val="34"/>
    <w:qFormat/>
    <w:locked/>
    <w:rPr>
      <w:rFonts w:ascii="Times" w:eastAsia="SimSun" w:hAnsi="Times" w:cs="Times"/>
      <w:sz w:val="22"/>
      <w:szCs w:val="24"/>
      <w:lang w:eastAsia="ja-JP"/>
    </w:rPr>
  </w:style>
  <w:style w:type="paragraph" w:styleId="af6">
    <w:name w:val="List Paragraph"/>
    <w:aliases w:val="- Bullets,列出段落,?? ??,?????,????,Lista1,列出段落1,中等深浅网格 1 - 着色 21,¥ê¥¹¥È¶ÎÂä,¥¡¡¡¡ì¬º¥¹¥È¶ÎÂä,ÁÐ³ö¶ÎÂä,列表段落1,—ño’i—Ž,1st level - Bullet List Paragraph,Lettre d'introduction,Paragrafo elenco,Normal bullet 2,Bullet list,목록단락"/>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바탕"/>
      <w:lang w:val="en-GB" w:eastAsia="en-US"/>
    </w:rPr>
  </w:style>
  <w:style w:type="paragraph" w:customStyle="1" w:styleId="15">
    <w:name w:val="修订1"/>
    <w:hidden/>
    <w:uiPriority w:val="99"/>
    <w:semiHidden/>
    <w:qFormat/>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39A6AB86-852B-4C63-9169-E252DE3D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6EE92B2-AFDD-4735-BF16-1346EA252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13703</Words>
  <Characters>78112</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91632</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안승진/책임연구원/미래기술센터 C&amp;M표준(연)5G무선통신표준Task(seungjin.ahn@lge.com)</cp:lastModifiedBy>
  <cp:revision>9</cp:revision>
  <dcterms:created xsi:type="dcterms:W3CDTF">2023-03-01T05:36:00Z</dcterms:created>
  <dcterms:modified xsi:type="dcterms:W3CDTF">2023-03-01T05:55:00Z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