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813ED0"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813ED0"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813ED0"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813ED0"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游明朝"/>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ＭＳ Ｐゴシック"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游明朝"/>
                <w:lang w:val="en-US" w:eastAsia="ja-JP"/>
              </w:rPr>
            </w:pPr>
            <w:r>
              <w:t>LG</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游明朝"/>
                <w:lang w:val="en-US" w:eastAsia="ja-JP"/>
              </w:rPr>
            </w:pPr>
            <w:r>
              <w:t>LG</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w:t>
            </w:r>
            <w:proofErr w:type="gramStart"/>
            <w:r>
              <w:rPr>
                <w:rFonts w:eastAsiaTheme="minorEastAsia"/>
                <w:lang w:val="en-US" w:eastAsia="zh-CN"/>
              </w:rPr>
              <w:t>e.g.</w:t>
            </w:r>
            <w:proofErr w:type="gramEnd"/>
            <w:r>
              <w:rPr>
                <w:rFonts w:eastAsiaTheme="minorEastAsia"/>
                <w:lang w:val="en-US" w:eastAsia="zh-CN"/>
              </w:rPr>
              <w:t xml:space="preserve"> to balance latency vs RAR PDSCH 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 xml:space="preserve">The benefit is unclear for us. A UE needs to be implemented that the UE can process RAR PDSCH whatever the X value is, i.e., the UE </w:t>
            </w:r>
            <w:proofErr w:type="gramStart"/>
            <w:r>
              <w:rPr>
                <w:rFonts w:eastAsia="游明朝"/>
                <w:lang w:val="en-US" w:eastAsia="ja-JP"/>
              </w:rPr>
              <w:t>has to</w:t>
            </w:r>
            <w:proofErr w:type="gramEnd"/>
            <w:r>
              <w:rPr>
                <w:rFonts w:eastAsia="游明朝"/>
                <w:lang w:val="en-US" w:eastAsia="ja-JP"/>
              </w:rPr>
              <w:t xml:space="preserve">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游明朝"/>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w:t>
            </w:r>
            <w:proofErr w:type="gramStart"/>
            <w:r>
              <w:rPr>
                <w:rFonts w:eastAsiaTheme="minorEastAsia" w:hint="eastAsia"/>
                <w:lang w:val="en-US" w:eastAsia="zh-CN"/>
              </w:rPr>
              <w:t>i.e.</w:t>
            </w:r>
            <w:proofErr w:type="gramEnd"/>
            <w:r>
              <w:rPr>
                <w:rFonts w:eastAsiaTheme="minorEastAsia" w:hint="eastAsia"/>
                <w:lang w:val="en-US" w:eastAsia="zh-CN"/>
              </w:rPr>
              <w:t xml:space="preserv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游明朝"/>
                <w:lang w:val="en-US" w:eastAsia="ja-JP"/>
              </w:rPr>
            </w:pPr>
            <w:r>
              <w:t>LG</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sidRPr="007B657B">
        <w:rPr>
          <w:rFonts w:eastAsia="ＭＳ Ｐゴシック"/>
          <w:b/>
          <w:bCs/>
          <w:vertAlign w:val="subscript"/>
          <w:lang w:eastAsia="zh-CN"/>
        </w:rPr>
        <w:t>T,1</w:t>
      </w:r>
      <w:r w:rsidRPr="007B657B">
        <w:rPr>
          <w:rFonts w:eastAsia="ＭＳ Ｐゴシック"/>
          <w:b/>
          <w:bCs/>
          <w:lang w:eastAsia="zh-CN"/>
        </w:rPr>
        <w:t xml:space="preserve"> + N</w:t>
      </w:r>
      <w:r w:rsidRPr="007B657B">
        <w:rPr>
          <w:rFonts w:eastAsia="ＭＳ Ｐゴシック"/>
          <w:b/>
          <w:bCs/>
          <w:vertAlign w:val="subscript"/>
          <w:lang w:eastAsia="zh-CN"/>
        </w:rPr>
        <w:t>T,2</w:t>
      </w:r>
      <w:r w:rsidRPr="007B657B">
        <w:rPr>
          <w:rFonts w:eastAsia="ＭＳ Ｐゴシック"/>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ＭＳ Ｐゴシック"/>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ＭＳ Ｐゴシック" w:hAnsi="Times"/>
          <w:b/>
          <w:bCs/>
          <w:szCs w:val="24"/>
          <w:vertAlign w:val="subscript"/>
          <w:lang w:val="en-US" w:eastAsia="ja-JP"/>
        </w:rPr>
        <w:t>T,1</w:t>
      </w:r>
      <w:r w:rsidRPr="007B657B">
        <w:rPr>
          <w:rFonts w:ascii="Times" w:eastAsia="ＭＳ Ｐゴシック" w:hAnsi="Times"/>
          <w:b/>
          <w:bCs/>
          <w:szCs w:val="24"/>
          <w:lang w:val="en-US" w:eastAsia="ja-JP"/>
        </w:rPr>
        <w:t xml:space="preserve"> + N</w:t>
      </w:r>
      <w:r w:rsidRPr="007B657B">
        <w:rPr>
          <w:rFonts w:ascii="Times" w:eastAsia="ＭＳ Ｐゴシック" w:hAnsi="Times"/>
          <w:b/>
          <w:bCs/>
          <w:szCs w:val="24"/>
          <w:vertAlign w:val="subscript"/>
          <w:lang w:val="en-US" w:eastAsia="ja-JP"/>
        </w:rPr>
        <w:t>T,2</w:t>
      </w:r>
      <w:r w:rsidRPr="007B657B">
        <w:rPr>
          <w:rFonts w:ascii="Times" w:eastAsia="ＭＳ Ｐゴシック" w:hAnsi="Times"/>
          <w:b/>
          <w:bCs/>
          <w:szCs w:val="24"/>
          <w:lang w:val="en-US" w:eastAsia="ja-JP"/>
        </w:rPr>
        <w:t xml:space="preserve"> + 0.5 + X </w:t>
      </w:r>
      <w:proofErr w:type="spellStart"/>
      <w:r w:rsidRPr="007B657B">
        <w:rPr>
          <w:rFonts w:ascii="Times" w:eastAsia="ＭＳ Ｐゴシック"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ＭＳ Ｐゴシック"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ＭＳ Ｐゴシック" w:hAnsi="Times"/>
          <w:b/>
          <w:bCs/>
          <w:color w:val="FF0000"/>
          <w:szCs w:val="24"/>
          <w:lang w:val="en-US" w:eastAsia="ja-JP"/>
        </w:rPr>
        <w:t>Working assumption:</w:t>
      </w:r>
      <w:r w:rsidR="009472D1" w:rsidRPr="009472D1">
        <w:rPr>
          <w:rFonts w:ascii="Times" w:eastAsia="ＭＳ Ｐゴシック" w:hAnsi="Times"/>
          <w:b/>
          <w:bCs/>
          <w:color w:val="FF0000"/>
          <w:szCs w:val="24"/>
          <w:lang w:val="en-US" w:eastAsia="ja-JP"/>
        </w:rPr>
        <w:t xml:space="preserve"> </w:t>
      </w:r>
      <w:r w:rsidR="00CE7C4B" w:rsidRPr="009472D1">
        <w:rPr>
          <w:rFonts w:ascii="Times" w:eastAsia="ＭＳ Ｐゴシック" w:hAnsi="Times"/>
          <w:b/>
          <w:bCs/>
          <w:color w:val="FF0000"/>
          <w:szCs w:val="24"/>
          <w:lang w:val="en-US" w:eastAsia="ja-JP"/>
        </w:rPr>
        <w:t xml:space="preserve">X </w:t>
      </w:r>
      <w:r w:rsidR="00FE46BE" w:rsidRPr="009472D1">
        <w:rPr>
          <w:rFonts w:ascii="Times" w:eastAsia="ＭＳ Ｐゴシック" w:hAnsi="Times"/>
          <w:b/>
          <w:bCs/>
          <w:color w:val="FF0000"/>
          <w:szCs w:val="24"/>
          <w:lang w:val="en-US" w:eastAsia="ja-JP"/>
        </w:rPr>
        <w:t>= 1 ms for 15 kHz SCS</w:t>
      </w:r>
      <w:r w:rsidR="009472D1">
        <w:rPr>
          <w:b/>
          <w:bCs/>
          <w:color w:val="FF0000"/>
          <w:lang w:val="en-US"/>
        </w:rPr>
        <w:t>,</w:t>
      </w:r>
      <w:r w:rsidR="00147D6F" w:rsidRPr="009472D1">
        <w:rPr>
          <w:rFonts w:ascii="Times" w:eastAsia="ＭＳ Ｐゴシック" w:hAnsi="Times"/>
          <w:b/>
          <w:bCs/>
          <w:color w:val="FF0000"/>
          <w:szCs w:val="24"/>
          <w:lang w:val="en-US" w:eastAsia="ja-JP"/>
        </w:rPr>
        <w:t xml:space="preserve"> </w:t>
      </w:r>
      <w:r w:rsidR="0085769D">
        <w:rPr>
          <w:rFonts w:ascii="Times" w:eastAsia="ＭＳ Ｐゴシック" w:hAnsi="Times"/>
          <w:b/>
          <w:bCs/>
          <w:color w:val="FF0000"/>
          <w:szCs w:val="24"/>
          <w:lang w:val="en-US" w:eastAsia="ja-JP"/>
        </w:rPr>
        <w:t xml:space="preserve">and </w:t>
      </w:r>
      <w:r w:rsidR="00FE46BE" w:rsidRPr="009472D1">
        <w:rPr>
          <w:rFonts w:ascii="Times" w:eastAsia="ＭＳ Ｐゴシック"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w:t>
      </w:r>
      <w:r w:rsidR="001605DC">
        <w:rPr>
          <w:rFonts w:ascii="Times" w:eastAsia="ＭＳ Ｐゴシック" w:hAnsi="Times"/>
          <w:b/>
          <w:bCs/>
          <w:color w:val="FF0000"/>
          <w:szCs w:val="24"/>
          <w:lang w:val="en-US" w:eastAsia="ja-JP"/>
        </w:rPr>
        <w:t xml:space="preserve"> X=0 is applied in</w:t>
      </w:r>
      <w:r>
        <w:rPr>
          <w:rFonts w:ascii="Times" w:eastAsia="ＭＳ Ｐゴシック" w:hAnsi="Times"/>
          <w:b/>
          <w:bCs/>
          <w:color w:val="FF0000"/>
          <w:szCs w:val="24"/>
          <w:lang w:val="en-US" w:eastAsia="ja-JP"/>
        </w:rPr>
        <w:t xml:space="preserve"> some cases</w:t>
      </w:r>
      <w:r w:rsidR="001605DC">
        <w:rPr>
          <w:rFonts w:ascii="Times" w:eastAsia="ＭＳ Ｐゴシック" w:hAnsi="Times"/>
          <w:b/>
          <w:bCs/>
          <w:color w:val="FF0000"/>
          <w:szCs w:val="24"/>
          <w:lang w:val="en-US" w:eastAsia="ja-JP"/>
        </w:rPr>
        <w:t xml:space="preserve">, </w:t>
      </w:r>
      <w:r>
        <w:rPr>
          <w:rFonts w:ascii="Times" w:eastAsia="ＭＳ Ｐゴシック" w:hAnsi="Times"/>
          <w:b/>
          <w:bCs/>
          <w:color w:val="FF0000"/>
          <w:szCs w:val="24"/>
          <w:lang w:val="en-US" w:eastAsia="ja-JP"/>
        </w:rPr>
        <w:t>e.g., for small TBS</w:t>
      </w:r>
      <w:r w:rsidR="001605DC">
        <w:rPr>
          <w:rFonts w:ascii="Times" w:eastAsia="ＭＳ Ｐゴシック"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ＭＳ Ｐゴシック"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w:t>
      </w:r>
      <w:r w:rsidR="00871A4C">
        <w:rPr>
          <w:rFonts w:ascii="Times" w:eastAsia="ＭＳ Ｐゴシック" w:hAnsi="Times"/>
          <w:szCs w:val="24"/>
          <w:lang w:val="en-US" w:eastAsia="ja-JP"/>
        </w:rPr>
        <w:t xml:space="preserve"> online</w:t>
      </w:r>
      <w:r>
        <w:rPr>
          <w:rFonts w:ascii="Times" w:eastAsia="ＭＳ Ｐゴシック" w:hAnsi="Times"/>
          <w:szCs w:val="24"/>
          <w:lang w:val="en-US" w:eastAsia="ja-JP"/>
        </w:rPr>
        <w:t xml:space="preserve"> session, the following proposal </w:t>
      </w:r>
      <w:r w:rsidR="0003540E">
        <w:rPr>
          <w:rFonts w:ascii="Times" w:eastAsia="ＭＳ Ｐゴシック" w:hAnsi="Times"/>
          <w:szCs w:val="24"/>
          <w:lang w:val="en-US" w:eastAsia="ja-JP"/>
        </w:rPr>
        <w:t>was discussed in the Tuesday offline session</w:t>
      </w:r>
      <w:r>
        <w:rPr>
          <w:rFonts w:ascii="Times" w:eastAsia="ＭＳ Ｐゴシック"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ＭＳ Ｐゴシック"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sidR="00621594">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sidR="00621594">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sidR="00621594">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sidR="00621594">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 xml:space="preserve">For 4-step RACH, we see some potential benefit with only support Msg.1, </w:t>
            </w:r>
            <w:proofErr w:type="gramStart"/>
            <w:r>
              <w:rPr>
                <w:rFonts w:eastAsiaTheme="minorEastAsia"/>
                <w:lang w:val="en-US" w:eastAsia="zh-CN"/>
              </w:rPr>
              <w:t>e.g.</w:t>
            </w:r>
            <w:proofErr w:type="gramEnd"/>
            <w:r>
              <w:rPr>
                <w:rFonts w:eastAsiaTheme="minorEastAsia"/>
                <w:lang w:val="en-US" w:eastAsia="zh-CN"/>
              </w:rPr>
              <w:t xml:space="preserve">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lastRenderedPageBreak/>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e"/>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1C4F4C6A" w14:textId="77777777" w:rsidR="00785212" w:rsidRDefault="00675A7F">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 xml:space="preserve">If separate early indication by Msg1 is not supported, NW </w:t>
            </w:r>
            <w:proofErr w:type="gramStart"/>
            <w:r>
              <w:rPr>
                <w:rFonts w:eastAsia="游明朝"/>
                <w:lang w:val="en-US" w:eastAsia="ja-JP"/>
              </w:rPr>
              <w:t>have to</w:t>
            </w:r>
            <w:proofErr w:type="gramEnd"/>
            <w:r>
              <w:rPr>
                <w:rFonts w:eastAsia="游明朝"/>
                <w:lang w:val="en-US" w:eastAsia="ja-JP"/>
              </w:rPr>
              <w:t xml:space="preserve"> configure Msg2/3 resources considering the restriction on eRe</w:t>
            </w:r>
            <w:r w:rsidR="00CD0B87">
              <w:rPr>
                <w:rFonts w:eastAsia="游明朝"/>
                <w:lang w:val="en-US" w:eastAsia="ja-JP"/>
              </w:rPr>
              <w:t>d</w:t>
            </w:r>
            <w:r>
              <w:rPr>
                <w:rFonts w:eastAsia="游明朝"/>
                <w:lang w:val="en-US" w:eastAsia="ja-JP"/>
              </w:rPr>
              <w:t xml:space="preserve">Cap UE for all the UEs including legacy UEs. This may have impacts on the current deployment </w:t>
            </w:r>
            <w:proofErr w:type="gramStart"/>
            <w:r>
              <w:rPr>
                <w:rFonts w:eastAsia="游明朝"/>
                <w:lang w:val="en-US" w:eastAsia="ja-JP"/>
              </w:rPr>
              <w:t>and also</w:t>
            </w:r>
            <w:proofErr w:type="gramEnd"/>
            <w:r>
              <w:rPr>
                <w:rFonts w:eastAsia="游明朝"/>
                <w:lang w:val="en-US" w:eastAsia="ja-JP"/>
              </w:rPr>
              <w:t xml:space="preserve">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w:t>
            </w:r>
            <w:r w:rsidRPr="00651F50">
              <w:rPr>
                <w:rFonts w:eastAsiaTheme="minorEastAsia"/>
                <w:lang w:val="en-US" w:eastAsia="zh-CN"/>
              </w:rPr>
              <w:lastRenderedPageBreak/>
              <w:t>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e"/>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e"/>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e"/>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e"/>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intention with the proposal. But </w:t>
            </w:r>
            <w:proofErr w:type="gramStart"/>
            <w:r>
              <w:rPr>
                <w:rFonts w:eastAsiaTheme="minorEastAsia"/>
                <w:lang w:val="en-US" w:eastAsia="zh-CN"/>
              </w:rPr>
              <w:t>still</w:t>
            </w:r>
            <w:proofErr w:type="gramEnd"/>
            <w:r>
              <w:rPr>
                <w:rFonts w:eastAsiaTheme="minorEastAsia"/>
                <w:lang w:val="en-US" w:eastAsia="zh-CN"/>
              </w:rPr>
              <w:t xml:space="preserve">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游明朝"/>
                <w:lang w:val="en-US" w:eastAsia="ja-JP"/>
              </w:rPr>
              <w:t>V</w:t>
            </w:r>
            <w:r w:rsidR="00675A7F">
              <w:rPr>
                <w:rFonts w:eastAsia="游明朝"/>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 xml:space="preserve">For this case, NW configures two separate initial BWPs, i.e., one separate initial BWP for Rel-17 RedCap and another separate initial BWP for Rel-18 eRedCap via SIB1 (it has been already supported in the current specification that multiple </w:t>
            </w:r>
            <w:r>
              <w:rPr>
                <w:rFonts w:eastAsia="游明朝"/>
                <w:lang w:val="en-US" w:eastAsia="ja-JP"/>
              </w:rPr>
              <w:lastRenderedPageBreak/>
              <w:t>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游明朝"/>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游明朝"/>
                <w:lang w:val="en-US" w:eastAsia="ja-JP"/>
              </w:rPr>
            </w:pPr>
            <w:r>
              <w:t xml:space="preserve">We are okay to NOT support the additional separate initial BWP specific to Rel-18 RedCap UEs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lastRenderedPageBreak/>
              <w:t>High Priority Proposal 2.4-1b</w:t>
            </w:r>
            <w:r>
              <w:rPr>
                <w:b/>
                <w:bCs/>
                <w:lang w:val="en-US"/>
              </w:rPr>
              <w:t>:</w:t>
            </w:r>
          </w:p>
          <w:p w14:paraId="2EA6CFC7" w14:textId="7320D3AB" w:rsidR="002D72DE" w:rsidRDefault="002D72DE" w:rsidP="002D72DE">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 xml:space="preserve">While we don’t see any significant impact from RAN1 perspective, whether to configure another separate initial BWP specific to Rel-18 eRedCap is up to NW </w:t>
            </w:r>
            <w:proofErr w:type="gramStart"/>
            <w:r>
              <w:rPr>
                <w:rFonts w:eastAsia="游明朝"/>
                <w:lang w:val="en-US" w:eastAsia="ja-JP"/>
              </w:rPr>
              <w:t>similar to</w:t>
            </w:r>
            <w:proofErr w:type="gramEnd"/>
            <w:r>
              <w:rPr>
                <w:rFonts w:eastAsia="游明朝"/>
                <w:lang w:val="en-US" w:eastAsia="ja-JP"/>
              </w:rPr>
              <w:t xml:space="preserve">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w:t>
            </w:r>
            <w:proofErr w:type="gramStart"/>
            <w:r>
              <w:rPr>
                <w:rFonts w:eastAsia="游明朝"/>
                <w:lang w:val="en-US" w:eastAsia="ja-JP"/>
              </w:rPr>
              <w:t>exactly the same</w:t>
            </w:r>
            <w:proofErr w:type="gramEnd"/>
            <w:r>
              <w:rPr>
                <w:rFonts w:eastAsia="游明朝"/>
                <w:lang w:val="en-US" w:eastAsia="ja-JP"/>
              </w:rPr>
              <w:t xml:space="preserve"> operation as Rel-17 RedCap.</w:t>
            </w:r>
          </w:p>
          <w:p w14:paraId="5128E11C" w14:textId="40821852"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Rel-18 RedCap UEs use a separate initial DL/UL BWP while Rel-17 RedCap UEs and non-RedCap UEs use the normal initial DL/UL BWP</w:t>
            </w:r>
            <w:r>
              <w:rPr>
                <w:rFonts w:eastAsia="游明朝"/>
                <w:lang w:val="en-US" w:eastAsia="ja-JP"/>
              </w:rPr>
              <w:t xml:space="preserve">, i.e., conclude that there is no significant impact to support from RAN1 perspective and that decision </w:t>
            </w:r>
            <w:proofErr w:type="gramStart"/>
            <w:r>
              <w:rPr>
                <w:rFonts w:eastAsia="游明朝"/>
                <w:lang w:val="en-US" w:eastAsia="ja-JP"/>
              </w:rPr>
              <w:t>can  be</w:t>
            </w:r>
            <w:proofErr w:type="gramEnd"/>
            <w:r>
              <w:rPr>
                <w:rFonts w:eastAsia="游明朝"/>
                <w:lang w:val="en-US" w:eastAsia="ja-JP"/>
              </w:rPr>
              <w:t xml:space="preserv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游明朝" w:hint="eastAsia"/>
                <w:lang w:val="en-US" w:eastAsia="ja-JP"/>
              </w:rPr>
            </w:pPr>
            <w:r>
              <w:rPr>
                <w:rFonts w:eastAsia="游明朝" w:hint="eastAsia"/>
                <w:lang w:val="en-US" w:eastAsia="ja-JP"/>
              </w:rPr>
              <w:t>Y</w:t>
            </w:r>
            <w:r w:rsidR="008727AA">
              <w:rPr>
                <w:rFonts w:eastAsia="游明朝"/>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lastRenderedPageBreak/>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游明朝"/>
                <w:lang w:val="en-US" w:eastAsia="ja-JP"/>
              </w:rPr>
            </w:pPr>
            <w:r>
              <w:t>LG</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 xml:space="preserve">Considering the loose timeline of broadcast PDSCH, relaxing may not be necessary. UE can buffer </w:t>
            </w:r>
            <w:proofErr w:type="gramStart"/>
            <w:r>
              <w:rPr>
                <w:rFonts w:eastAsiaTheme="minorEastAsia"/>
                <w:lang w:val="en-US" w:eastAsia="zh-CN"/>
              </w:rPr>
              <w:t>both of them</w:t>
            </w:r>
            <w:proofErr w:type="gramEnd"/>
            <w:r>
              <w:rPr>
                <w:rFonts w:eastAsiaTheme="minorEastAsia"/>
                <w:lang w:val="en-US" w:eastAsia="zh-CN"/>
              </w:rPr>
              <w:t xml:space="preserve">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w:t>
            </w:r>
            <w:proofErr w:type="gramStart"/>
            <w:r>
              <w:rPr>
                <w:rFonts w:eastAsiaTheme="minorEastAsia"/>
                <w:lang w:val="en-US" w:eastAsia="zh-CN"/>
              </w:rPr>
              <w:t>similar to</w:t>
            </w:r>
            <w:proofErr w:type="gramEnd"/>
            <w:r>
              <w:rPr>
                <w:rFonts w:eastAsiaTheme="minorEastAsia"/>
                <w:lang w:val="en-US" w:eastAsia="zh-CN"/>
              </w:rPr>
              <w:t xml:space="preserve">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hint="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17D95B20" w14:textId="6B3BDD17" w:rsidR="005E6DAF" w:rsidRPr="00C73301" w:rsidRDefault="005E6DAF" w:rsidP="005E6DAF">
            <w:pPr>
              <w:rPr>
                <w:rFonts w:eastAsiaTheme="minorEastAsia" w:hint="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w:t>
            </w:r>
            <w:r w:rsidRPr="005E6DAF">
              <w:rPr>
                <w:rFonts w:eastAsiaTheme="minorEastAsia"/>
                <w:lang w:val="en-US" w:eastAsia="zh-CN"/>
              </w:rPr>
              <w:lastRenderedPageBreak/>
              <w:t>modification of current deployment on SIB/OSI/paging/RAR, we propose to conclude as proposed.</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游明朝"/>
                <w:lang w:val="en-US" w:eastAsia="ja-JP"/>
              </w:rPr>
            </w:pPr>
            <w:r>
              <w:t>LG</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It is a valid case that when UE still processes a broadcast/multicast PDSCH larger than 5MHz (</w:t>
            </w:r>
            <w:proofErr w:type="gramStart"/>
            <w:r>
              <w:rPr>
                <w:rFonts w:eastAsia="游明朝"/>
                <w:lang w:eastAsia="ja-JP"/>
              </w:rPr>
              <w:t>e.g.</w:t>
            </w:r>
            <w:proofErr w:type="gramEnd"/>
            <w:r>
              <w:rPr>
                <w:rFonts w:eastAsia="游明朝"/>
                <w:lang w:eastAsia="ja-JP"/>
              </w:rPr>
              <w:t xml:space="preserve">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lastRenderedPageBreak/>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19DE8CE4" w14:textId="37D5FB48" w:rsidR="003A0434" w:rsidRPr="005E6DAF" w:rsidRDefault="005E6DAF" w:rsidP="003D00D7">
            <w:pPr>
              <w:jc w:val="left"/>
              <w:rPr>
                <w:rFonts w:eastAsia="游明朝" w:hint="eastAsia"/>
                <w:lang w:val="en-US" w:eastAsia="ja-JP"/>
              </w:rPr>
            </w:pPr>
            <w:r>
              <w:rPr>
                <w:rFonts w:eastAsia="游明朝" w:hint="eastAsia"/>
                <w:lang w:val="en-US" w:eastAsia="ja-JP"/>
              </w:rPr>
              <w:t>E</w:t>
            </w:r>
            <w:r>
              <w:rPr>
                <w:rFonts w:eastAsia="游明朝"/>
                <w:lang w:val="en-US" w:eastAsia="ja-JP"/>
              </w:rPr>
              <w:t>ricsson’s update is also fine.</w:t>
            </w: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游明朝"/>
                <w:lang w:val="en-US" w:eastAsia="ja-JP"/>
              </w:rPr>
            </w:pPr>
            <w:r>
              <w:t>LG</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lastRenderedPageBreak/>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游明朝" w:hint="eastAsia"/>
                <w:lang w:val="en-US" w:eastAsia="ja-JP"/>
              </w:rPr>
            </w:pPr>
            <w:r>
              <w:rPr>
                <w:rFonts w:eastAsia="游明朝"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lastRenderedPageBreak/>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游明朝" w:hint="eastAsia"/>
                <w:lang w:val="en-US" w:eastAsia="ja-JP"/>
              </w:rPr>
            </w:pPr>
            <w:r>
              <w:rPr>
                <w:rFonts w:eastAsia="游明朝" w:hint="eastAsia"/>
                <w:lang w:val="en-US" w:eastAsia="ja-JP"/>
              </w:rPr>
              <w:t>A</w:t>
            </w:r>
            <w:r>
              <w:rPr>
                <w:rFonts w:eastAsia="游明朝"/>
                <w:lang w:val="en-US" w:eastAsia="ja-JP"/>
              </w:rPr>
              <w:t xml:space="preserve">ccept </w:t>
            </w:r>
            <w:r w:rsidR="008C3C25">
              <w:rPr>
                <w:rFonts w:eastAsia="游明朝"/>
                <w:lang w:val="en-US" w:eastAsia="ja-JP"/>
              </w:rPr>
              <w:t>the proposal</w:t>
            </w:r>
            <w:r>
              <w:rPr>
                <w:rFonts w:eastAsia="游明朝"/>
                <w:lang w:val="en-US" w:eastAsia="ja-JP"/>
              </w:rPr>
              <w:t xml:space="preserve"> for </w:t>
            </w:r>
            <w:r w:rsidR="008C3C25">
              <w:rPr>
                <w:rFonts w:eastAsia="游明朝"/>
                <w:lang w:val="en-US" w:eastAsia="ja-JP"/>
              </w:rPr>
              <w:t>the progress.</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Intel, Nordic, Qualcomm </w:t>
            </w:r>
            <w:proofErr w:type="gramStart"/>
            <w:r>
              <w:rPr>
                <w:rFonts w:eastAsiaTheme="minorEastAsia"/>
                <w:lang w:val="en-US" w:eastAsia="zh-CN"/>
              </w:rPr>
              <w:t>and etc.</w:t>
            </w:r>
            <w:proofErr w:type="gramEnd"/>
            <w:r>
              <w:rPr>
                <w:rFonts w:eastAsiaTheme="minorEastAsia"/>
                <w:lang w:val="en-US" w:eastAsia="zh-CN"/>
              </w:rPr>
              <w:t>..</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e"/>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e"/>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e"/>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e"/>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e"/>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e"/>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e"/>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e"/>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e"/>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e"/>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e"/>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e"/>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e"/>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e"/>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e"/>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lastRenderedPageBreak/>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t xml:space="preserve">Same as the discussion for separate initial BWP specific to Rel-18 eRedCap, we see the needs to ensure the capacity since the target device of Rel-18 eRedCap is low-end devices and the number of UE which NW </w:t>
            </w:r>
            <w:proofErr w:type="gramStart"/>
            <w:r>
              <w:rPr>
                <w:rFonts w:eastAsia="游明朝"/>
                <w:lang w:val="en-US" w:eastAsia="ja-JP"/>
              </w:rPr>
              <w:t>has to</w:t>
            </w:r>
            <w:proofErr w:type="gramEnd"/>
            <w:r>
              <w:rPr>
                <w:rFonts w:eastAsia="游明朝"/>
                <w:lang w:val="en-US" w:eastAsia="ja-JP"/>
              </w:rPr>
              <w:t xml:space="preserve">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游明朝"/>
                <w:lang w:val="en-US" w:eastAsia="ja-JP"/>
              </w:rPr>
            </w:pPr>
            <w:r>
              <w:rPr>
                <w:rFonts w:eastAsia="游明朝" w:hint="eastAsia"/>
                <w:lang w:val="en-US" w:eastAsia="ko-KR"/>
              </w:rPr>
              <w:t>LG</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afa"/>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afa"/>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afa"/>
                <w:color w:val="0000FF"/>
              </w:rPr>
            </w:pPr>
            <w:hyperlink r:id="rId18" w:history="1">
              <w:r w:rsidR="00675A7F">
                <w:rPr>
                  <w:rStyle w:val="afa"/>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afa"/>
                <w:color w:val="0000FF"/>
              </w:rPr>
            </w:pPr>
            <w:hyperlink r:id="rId19" w:history="1">
              <w:r w:rsidR="00675A7F">
                <w:rPr>
                  <w:rStyle w:val="afa"/>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afa"/>
                <w:color w:val="0000FF"/>
              </w:rPr>
            </w:pPr>
            <w:hyperlink r:id="rId20" w:history="1">
              <w:r w:rsidR="00675A7F">
                <w:rPr>
                  <w:rStyle w:val="afa"/>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afa"/>
                <w:color w:val="0000FF"/>
              </w:rPr>
            </w:pPr>
            <w:hyperlink r:id="rId21" w:history="1">
              <w:r w:rsidR="00675A7F">
                <w:rPr>
                  <w:rStyle w:val="afa"/>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afa"/>
                <w:color w:val="0000FF"/>
                <w:lang w:val="en-US" w:eastAsia="sv-SE"/>
              </w:rPr>
            </w:pPr>
            <w:hyperlink r:id="rId22" w:history="1">
              <w:r w:rsidR="00675A7F">
                <w:rPr>
                  <w:rStyle w:val="afa"/>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lastRenderedPageBreak/>
              <w:t>[8]</w:t>
            </w:r>
          </w:p>
        </w:tc>
        <w:tc>
          <w:tcPr>
            <w:tcW w:w="1456" w:type="dxa"/>
            <w:tcMar>
              <w:top w:w="0" w:type="dxa"/>
              <w:left w:w="70" w:type="dxa"/>
              <w:bottom w:w="0" w:type="dxa"/>
              <w:right w:w="70" w:type="dxa"/>
            </w:tcMar>
          </w:tcPr>
          <w:p w14:paraId="5E686BE6" w14:textId="77777777" w:rsidR="00785212" w:rsidRDefault="00000000">
            <w:pPr>
              <w:jc w:val="left"/>
              <w:rPr>
                <w:rStyle w:val="afa"/>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afa"/>
                <w:color w:val="0000FF"/>
                <w:lang w:val="en-US" w:eastAsia="sv-SE"/>
              </w:rPr>
            </w:pPr>
            <w:hyperlink r:id="rId24" w:history="1">
              <w:r w:rsidR="00675A7F">
                <w:rPr>
                  <w:rStyle w:val="afa"/>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afa"/>
                <w:color w:val="0000FF"/>
                <w:lang w:val="en-US" w:eastAsia="sv-SE"/>
              </w:rPr>
            </w:pPr>
            <w:hyperlink r:id="rId25" w:history="1">
              <w:r w:rsidR="00675A7F">
                <w:rPr>
                  <w:rStyle w:val="afa"/>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afa"/>
                <w:color w:val="0000FF"/>
                <w:lang w:val="en-US" w:eastAsia="sv-SE"/>
              </w:rPr>
            </w:pPr>
            <w:hyperlink r:id="rId26" w:history="1">
              <w:r w:rsidR="00675A7F">
                <w:rPr>
                  <w:rStyle w:val="afa"/>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afa"/>
                <w:color w:val="0000FF"/>
                <w:lang w:val="en-US" w:eastAsia="sv-SE"/>
              </w:rPr>
            </w:pPr>
            <w:hyperlink r:id="rId27" w:history="1">
              <w:r w:rsidR="00675A7F">
                <w:rPr>
                  <w:rStyle w:val="afa"/>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afa"/>
                <w:color w:val="0000FF"/>
                <w:lang w:val="en-US" w:eastAsia="sv-SE"/>
              </w:rPr>
            </w:pPr>
            <w:hyperlink r:id="rId28" w:history="1">
              <w:r w:rsidR="00675A7F">
                <w:rPr>
                  <w:rStyle w:val="afa"/>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afa"/>
                <w:color w:val="0000FF"/>
                <w:lang w:val="en-US" w:eastAsia="sv-SE"/>
              </w:rPr>
            </w:pPr>
            <w:hyperlink r:id="rId29" w:history="1">
              <w:r w:rsidR="00675A7F">
                <w:rPr>
                  <w:rStyle w:val="afa"/>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afa"/>
                <w:color w:val="0000FF"/>
                <w:lang w:val="en-US" w:eastAsia="sv-SE"/>
              </w:rPr>
            </w:pPr>
            <w:hyperlink r:id="rId30" w:history="1">
              <w:r w:rsidR="00675A7F">
                <w:rPr>
                  <w:rStyle w:val="afa"/>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afa"/>
                <w:color w:val="0000FF"/>
                <w:lang w:val="en-US" w:eastAsia="sv-SE"/>
              </w:rPr>
            </w:pPr>
            <w:hyperlink r:id="rId31" w:history="1">
              <w:r w:rsidR="00675A7F">
                <w:rPr>
                  <w:rStyle w:val="afa"/>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afa"/>
                <w:color w:val="0000FF"/>
                <w:lang w:val="en-US" w:eastAsia="sv-SE"/>
              </w:rPr>
            </w:pPr>
            <w:hyperlink r:id="rId32" w:history="1">
              <w:r w:rsidR="00675A7F">
                <w:rPr>
                  <w:rStyle w:val="afa"/>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afa"/>
                <w:color w:val="0000FF"/>
                <w:lang w:val="en-US" w:eastAsia="sv-SE"/>
              </w:rPr>
            </w:pPr>
            <w:hyperlink r:id="rId33" w:history="1">
              <w:r w:rsidR="00675A7F">
                <w:rPr>
                  <w:rStyle w:val="afa"/>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afa"/>
                <w:color w:val="0000FF"/>
                <w:lang w:val="en-US" w:eastAsia="sv-SE"/>
              </w:rPr>
            </w:pPr>
            <w:hyperlink r:id="rId34" w:history="1">
              <w:r w:rsidR="00675A7F">
                <w:rPr>
                  <w:rStyle w:val="afa"/>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afa"/>
                <w:color w:val="0000FF"/>
                <w:lang w:val="en-US" w:eastAsia="sv-SE"/>
              </w:rPr>
            </w:pPr>
            <w:hyperlink r:id="rId35" w:history="1">
              <w:r w:rsidR="00675A7F">
                <w:rPr>
                  <w:rStyle w:val="afa"/>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afa"/>
                <w:color w:val="0000FF"/>
                <w:lang w:val="en-US" w:eastAsia="sv-SE"/>
              </w:rPr>
            </w:pPr>
            <w:hyperlink r:id="rId36" w:history="1">
              <w:r w:rsidR="00675A7F">
                <w:rPr>
                  <w:rStyle w:val="afa"/>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afa"/>
                <w:color w:val="0000FF"/>
                <w:lang w:val="en-US" w:eastAsia="sv-SE"/>
              </w:rPr>
            </w:pPr>
            <w:hyperlink r:id="rId37" w:history="1">
              <w:r w:rsidR="00675A7F">
                <w:rPr>
                  <w:rStyle w:val="afa"/>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afa"/>
                <w:color w:val="0000FF"/>
                <w:lang w:val="en-US" w:eastAsia="sv-SE"/>
              </w:rPr>
            </w:pPr>
            <w:hyperlink r:id="rId38" w:history="1">
              <w:r w:rsidR="00675A7F">
                <w:rPr>
                  <w:rStyle w:val="afa"/>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afa"/>
                <w:color w:val="0000FF"/>
                <w:lang w:val="en-US" w:eastAsia="sv-SE"/>
              </w:rPr>
            </w:pPr>
            <w:hyperlink r:id="rId39" w:history="1">
              <w:r w:rsidR="00675A7F">
                <w:rPr>
                  <w:rStyle w:val="afa"/>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afa"/>
                <w:color w:val="0000FF"/>
                <w:lang w:val="en-US" w:eastAsia="sv-SE"/>
              </w:rPr>
            </w:pPr>
            <w:hyperlink r:id="rId40" w:history="1">
              <w:r w:rsidR="00675A7F">
                <w:rPr>
                  <w:rStyle w:val="afa"/>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afa"/>
                <w:color w:val="0000FF"/>
                <w:lang w:val="en-US" w:eastAsia="sv-SE"/>
              </w:rPr>
            </w:pPr>
            <w:hyperlink r:id="rId41" w:history="1">
              <w:r w:rsidR="00675A7F">
                <w:rPr>
                  <w:rStyle w:val="afa"/>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afa"/>
                <w:color w:val="0000FF"/>
                <w:lang w:val="en-US" w:eastAsia="sv-SE"/>
              </w:rPr>
            </w:pPr>
            <w:hyperlink r:id="rId42" w:history="1">
              <w:r w:rsidR="00675A7F">
                <w:rPr>
                  <w:rStyle w:val="afa"/>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afa"/>
                <w:color w:val="0000FF"/>
                <w:lang w:val="en-US" w:eastAsia="sv-SE"/>
              </w:rPr>
            </w:pPr>
            <w:hyperlink r:id="rId43" w:history="1">
              <w:r w:rsidR="00675A7F">
                <w:rPr>
                  <w:rStyle w:val="afa"/>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afa"/>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afa"/>
                <w:color w:val="0000FF"/>
                <w:lang w:val="en-US" w:eastAsia="sv-SE"/>
              </w:rPr>
            </w:pPr>
            <w:hyperlink r:id="rId45" w:history="1">
              <w:r w:rsidR="00675A7F">
                <w:rPr>
                  <w:rStyle w:val="afa"/>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afa"/>
                <w:color w:val="0000FF"/>
                <w:lang w:val="en-US" w:eastAsia="sv-SE"/>
              </w:rPr>
            </w:pPr>
            <w:hyperlink r:id="rId46" w:history="1">
              <w:r w:rsidR="00675A7F">
                <w:rPr>
                  <w:rStyle w:val="afa"/>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afa"/>
                <w:color w:val="0000FF"/>
                <w:lang w:val="en-US" w:eastAsia="sv-SE"/>
              </w:rPr>
            </w:pPr>
            <w:hyperlink r:id="rId47" w:history="1">
              <w:r w:rsidR="00675A7F">
                <w:rPr>
                  <w:rStyle w:val="afa"/>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afa"/>
                <w:color w:val="0000FF"/>
                <w:lang w:val="en-US" w:eastAsia="sv-SE"/>
              </w:rPr>
            </w:pPr>
            <w:hyperlink r:id="rId48" w:history="1">
              <w:r w:rsidR="00675A7F">
                <w:rPr>
                  <w:rStyle w:val="afa"/>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afa"/>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afa"/>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a"/>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1AA623CE" w14:textId="77777777" w:rsidR="00785212" w:rsidRDefault="00000000">
            <w:pPr>
              <w:jc w:val="left"/>
              <w:rPr>
                <w:rStyle w:val="afa"/>
                <w:color w:val="0000FF"/>
              </w:rPr>
            </w:pPr>
            <w:hyperlink r:id="rId52" w:history="1">
              <w:r w:rsidR="00675A7F">
                <w:rPr>
                  <w:rStyle w:val="afa"/>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a"/>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afa"/>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afa"/>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4F35" w14:textId="77777777" w:rsidR="00AC0B2B" w:rsidRDefault="00AC0B2B">
      <w:pPr>
        <w:spacing w:line="240" w:lineRule="auto"/>
      </w:pPr>
      <w:r>
        <w:separator/>
      </w:r>
    </w:p>
  </w:endnote>
  <w:endnote w:type="continuationSeparator" w:id="0">
    <w:p w14:paraId="5CE9C9F2" w14:textId="77777777" w:rsidR="00AC0B2B" w:rsidRDefault="00AC0B2B">
      <w:pPr>
        <w:spacing w:line="240" w:lineRule="auto"/>
      </w:pPr>
      <w:r>
        <w:continuationSeparator/>
      </w:r>
    </w:p>
  </w:endnote>
  <w:endnote w:type="continuationNotice" w:id="1">
    <w:p w14:paraId="49884031" w14:textId="77777777" w:rsidR="00AC0B2B" w:rsidRDefault="00AC0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DACC" w14:textId="77777777" w:rsidR="00AC0B2B" w:rsidRDefault="00AC0B2B">
      <w:pPr>
        <w:spacing w:after="0"/>
      </w:pPr>
      <w:r>
        <w:separator/>
      </w:r>
    </w:p>
  </w:footnote>
  <w:footnote w:type="continuationSeparator" w:id="0">
    <w:p w14:paraId="2008C24F" w14:textId="77777777" w:rsidR="00AC0B2B" w:rsidRDefault="00AC0B2B">
      <w:pPr>
        <w:spacing w:after="0"/>
      </w:pPr>
      <w:r>
        <w:continuationSeparator/>
      </w:r>
    </w:p>
  </w:footnote>
  <w:footnote w:type="continuationNotice" w:id="1">
    <w:p w14:paraId="75B90B51" w14:textId="77777777" w:rsidR="00AC0B2B" w:rsidRDefault="00AC0B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4A3"/>
    <w:rsid w:val="00223638"/>
    <w:rsid w:val="0022388F"/>
    <w:rsid w:val="00223961"/>
    <w:rsid w:val="00223CC9"/>
    <w:rsid w:val="00223E8F"/>
    <w:rsid w:val="00223F81"/>
    <w:rsid w:val="0022429F"/>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37199E98-DAB2-49F9-9F7D-AEDA5F87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styleId="aff0">
    <w:name w:val="Unresolved Mention"/>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13337</Words>
  <Characters>76025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89184</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Maki Shotaro (眞木 翔太郎)</cp:lastModifiedBy>
  <cp:revision>6</cp:revision>
  <dcterms:created xsi:type="dcterms:W3CDTF">2023-02-28T16:54:00Z</dcterms:created>
  <dcterms:modified xsi:type="dcterms:W3CDTF">2023-02-28T17:05:00Z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