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44039" w14:textId="21381393" w:rsidR="00F679D8" w:rsidRDefault="00000000">
      <w:pPr>
        <w:rPr>
          <w:b/>
        </w:rPr>
      </w:pPr>
      <w:r>
        <w:rPr>
          <w:b/>
        </w:rPr>
        <w:t xml:space="preserve">3GPP TSG RAN WG1 </w:t>
      </w:r>
      <w:r w:rsidR="0089794E">
        <w:rPr>
          <w:b/>
        </w:rPr>
        <w:t>Meeting</w:t>
      </w:r>
      <w:r>
        <w:rPr>
          <w:b/>
        </w:rPr>
        <w:t>#111</w:t>
      </w:r>
      <w:r>
        <w:rPr>
          <w:b/>
        </w:rPr>
        <w:tab/>
      </w:r>
      <w:r>
        <w:rPr>
          <w:b/>
        </w:rPr>
        <w:tab/>
      </w:r>
      <w:r>
        <w:rPr>
          <w:b/>
        </w:rPr>
        <w:tab/>
      </w:r>
      <w:r>
        <w:rPr>
          <w:b/>
        </w:rPr>
        <w:tab/>
      </w:r>
      <w:r>
        <w:rPr>
          <w:b/>
        </w:rPr>
        <w:tab/>
      </w:r>
      <w:r>
        <w:rPr>
          <w:b/>
        </w:rPr>
        <w:tab/>
      </w:r>
      <w:r>
        <w:rPr>
          <w:b/>
        </w:rPr>
        <w:tab/>
        <w:t xml:space="preserve"> R1-2212431</w:t>
      </w:r>
    </w:p>
    <w:p w14:paraId="47826CC2" w14:textId="3CEB1288" w:rsidR="00F679D8" w:rsidRDefault="0089794E">
      <w:r>
        <w:rPr>
          <w:b/>
        </w:rPr>
        <w:t>Toulouse</w:t>
      </w:r>
      <w:r w:rsidR="00000000">
        <w:rPr>
          <w:b/>
        </w:rPr>
        <w:t>, November 14th – 18th, 2022</w:t>
      </w:r>
    </w:p>
    <w:p w14:paraId="672A6659" w14:textId="77777777" w:rsidR="00F679D8" w:rsidRDefault="00F679D8">
      <w:pPr>
        <w:pBdr>
          <w:top w:val="single" w:sz="4" w:space="1" w:color="000000"/>
        </w:pBdr>
        <w:spacing w:line="240" w:lineRule="auto"/>
        <w:rPr>
          <w:rFonts w:ascii="Times New Roman" w:eastAsia="Times New Roman" w:hAnsi="Times New Roman" w:cs="Times New Roman"/>
          <w:sz w:val="16"/>
          <w:szCs w:val="16"/>
        </w:rPr>
      </w:pPr>
    </w:p>
    <w:p w14:paraId="70BDBB4F" w14:textId="77777777" w:rsidR="00F679D8" w:rsidRDefault="00000000">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t>9.14.3</w:t>
      </w:r>
    </w:p>
    <w:p w14:paraId="557B5582" w14:textId="77777777" w:rsidR="00F679D8" w:rsidRDefault="00000000">
      <w:pPr>
        <w:spacing w:after="60" w:line="240" w:lineRule="auto"/>
        <w:rPr>
          <w:rFonts w:ascii="Times New Roman" w:eastAsia="Times New Roman" w:hAnsi="Times New Roman" w:cs="Times New Roman"/>
        </w:rPr>
      </w:pPr>
      <w:r>
        <w:rPr>
          <w:rFonts w:ascii="Times New Roman" w:eastAsia="Times New Roman" w:hAnsi="Times New Roman" w:cs="Times New Roman"/>
          <w:b/>
        </w:rPr>
        <w:t>Source: CEWiT</w:t>
      </w:r>
    </w:p>
    <w:p w14:paraId="32FE7138" w14:textId="77777777" w:rsidR="00F679D8" w:rsidRDefault="00000000">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t>Dynamic switching between DFT-S-OFDM and CP-OFDM</w:t>
      </w:r>
    </w:p>
    <w:p w14:paraId="389CFBC7" w14:textId="77777777" w:rsidR="00F679D8" w:rsidRDefault="00000000">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 xml:space="preserve">Discussion </w:t>
      </w:r>
    </w:p>
    <w:p w14:paraId="0A37501D" w14:textId="77777777" w:rsidR="00F679D8" w:rsidRDefault="00F679D8">
      <w:pPr>
        <w:pBdr>
          <w:bottom w:val="single" w:sz="4" w:space="1" w:color="000000"/>
        </w:pBdr>
        <w:spacing w:line="240" w:lineRule="auto"/>
        <w:rPr>
          <w:rFonts w:ascii="Times New Roman" w:eastAsia="Times New Roman" w:hAnsi="Times New Roman" w:cs="Times New Roman"/>
          <w:sz w:val="16"/>
          <w:szCs w:val="16"/>
        </w:rPr>
      </w:pPr>
    </w:p>
    <w:p w14:paraId="3E7A9F1C" w14:textId="77777777" w:rsidR="00F679D8" w:rsidRDefault="00000000">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0" w:name="_xl2dgc5pmumw"/>
      <w:bookmarkEnd w:id="0"/>
      <w:r>
        <w:rPr>
          <w:rFonts w:ascii="Times New Roman" w:eastAsia="Times New Roman" w:hAnsi="Times New Roman" w:cs="Times New Roman"/>
          <w:b/>
          <w:sz w:val="28"/>
          <w:szCs w:val="28"/>
        </w:rPr>
        <w:t>Introduction</w:t>
      </w:r>
    </w:p>
    <w:p w14:paraId="5D6966AD" w14:textId="77777777" w:rsidR="00F679D8" w:rsidRDefault="00000000">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According to Work Item Description RP-220937 on Further NR coverage enhancements the following is the scope of the agenda.</w:t>
      </w:r>
    </w:p>
    <w:p w14:paraId="5DAB6C7B" w14:textId="77777777" w:rsidR="00F679D8" w:rsidRDefault="00F679D8">
      <w:pPr>
        <w:rPr>
          <w:rFonts w:ascii="Times New Roman" w:eastAsia="MS Mincho" w:hAnsi="Times New Roman" w:cs="Times New Roman"/>
          <w:sz w:val="20"/>
          <w:szCs w:val="20"/>
          <w:lang w:val="en-GB" w:eastAsia="ja-JP"/>
        </w:rPr>
      </w:pPr>
    </w:p>
    <w:p w14:paraId="3CD8C69E" w14:textId="3DADF495" w:rsidR="00F679D8" w:rsidRDefault="0089794E">
      <w:r>
        <w:rPr>
          <w:noProof/>
        </w:rPr>
      </w:r>
      <w:r>
        <w:pict w14:anchorId="12435F5C">
          <v:rect id="Shape1" o:spid="_x0000_s1026" style="width:468pt;height: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" fillcolor="white [3201]" strokeweight=".5pt">
            <v:stroke joinstyle="round"/>
            <v:textbox style="mso-fit-shape-to-text:t">
              <w:txbxContent>
                <w:p w14:paraId="719B2A0B" w14:textId="77777777" w:rsidR="00F679D8" w:rsidRDefault="00000000">
                  <w:pPr>
                    <w:pStyle w:val="ListParagraph"/>
                    <w:numPr>
                      <w:ilvl w:val="0"/>
                      <w:numId w:val="2"/>
                    </w:numPr>
                    <w:snapToGrid w:val="0"/>
                    <w:spacing w:before="120" w:line="240" w:lineRule="auto"/>
                    <w:jc w:val="both"/>
                    <w:rPr>
                      <w:rFonts w:ascii="Times New Roman" w:hAnsi="Times New Roman" w:cs="Times New Roman"/>
                      <w:bCs/>
                      <w:sz w:val="20"/>
                    </w:rPr>
                  </w:pPr>
                  <w:r>
                    <w:rPr>
                      <w:rFonts w:ascii="Times New Roman" w:hAnsi="Times New Roman" w:cs="Times New Roman"/>
                      <w:bCs/>
                      <w:sz w:val="20"/>
                    </w:rPr>
                    <w:t>Specify enhancements to support dynamic switching between DFT-S-OFDM and CP-OFDM (RAN1)</w:t>
                  </w:r>
                </w:p>
              </w:txbxContent>
            </v:textbox>
            <w10:anchorlock/>
          </v:rect>
        </w:pict>
      </w:r>
    </w:p>
    <w:p w14:paraId="02EB378F" w14:textId="77777777" w:rsidR="00F679D8" w:rsidRDefault="00F679D8"/>
    <w:p w14:paraId="09284344" w14:textId="77777777" w:rsidR="00F679D8" w:rsidRDefault="00000000">
      <w:pPr>
        <w:jc w:val="both"/>
        <w:rPr>
          <w:rFonts w:ascii="Times New Roman" w:hAnsi="Times New Roman" w:cs="Times New Roman"/>
          <w:bCs/>
          <w:sz w:val="20"/>
        </w:rPr>
      </w:pPr>
      <w:r>
        <w:rPr>
          <w:rFonts w:ascii="Times New Roman" w:hAnsi="Times New Roman" w:cs="Times New Roman"/>
          <w:bCs/>
          <w:sz w:val="20"/>
        </w:rPr>
        <w:t xml:space="preserve">Transform precoding of waveform is used in new radio (NR) to switch to a low peak to average power ratio (PAPR) waveform when the user equipment (UE) is at the cell-edge region having a weak channel supporting single layer transmission and requires more power to reach the connected gNodeB. In the current 3GPP specification, this is achieved by enabling transform precoding (TP) through Radio Resource Control (RRC) signaling to switch the PUSCH waveform from CP-OFDM to DFT-S-OFDM for cell-edge UEs and disabling TP for cell centre UEs. However, there are cell-edge UEs whose channel supports multi-layer transmissions occasionally. Since a UE with TP enabled is allowed to have only single rank PUSCH transmission, for multi-rank transmission, the UE is expected to switch to CP-OFDM by disabling TP using RRC. However, the switching speed of this control is inadequate for a UE to adapt effectively with the fading channel. Hence a faster than RRC switching method is imperative for efficient utilization of the air interface resources. </w:t>
      </w:r>
    </w:p>
    <w:p w14:paraId="6A05A809" w14:textId="77777777" w:rsidR="00F679D8" w:rsidRDefault="00F679D8">
      <w:pPr>
        <w:rPr>
          <w:rFonts w:ascii="Times New Roman" w:hAnsi="Times New Roman" w:cs="Times New Roman"/>
          <w:bCs/>
          <w:sz w:val="20"/>
        </w:rPr>
      </w:pPr>
    </w:p>
    <w:p w14:paraId="14370E0C" w14:textId="1CA324CA" w:rsidR="00F679D8" w:rsidRDefault="4EB3DFA7" w:rsidP="4EB3DFA7">
      <w:pPr>
        <w:rPr>
          <w:rFonts w:ascii="Times New Roman" w:hAnsi="Times New Roman" w:cs="Times New Roman"/>
          <w:sz w:val="20"/>
          <w:szCs w:val="20"/>
        </w:rPr>
      </w:pPr>
      <w:r w:rsidRPr="4EB3DFA7">
        <w:rPr>
          <w:rFonts w:ascii="Times New Roman" w:hAnsi="Times New Roman" w:cs="Times New Roman"/>
          <w:sz w:val="20"/>
          <w:szCs w:val="20"/>
        </w:rPr>
        <w:t xml:space="preserve">The following agreement has been made on Dynamic Waveform Switching in the email discussion in RAN1 #110-bis-e. </w:t>
      </w:r>
      <w:r w:rsidRPr="4EB3DFA7">
        <w:rPr>
          <w:rFonts w:ascii="Times New Roman" w:hAnsi="Times New Roman" w:cs="Times New Roman"/>
          <w:sz w:val="20"/>
          <w:szCs w:val="20"/>
          <w:highlight w:val="cyan"/>
        </w:rPr>
        <w:t>[110bis-e-R18-Coverage-03]</w:t>
      </w:r>
    </w:p>
    <w:p w14:paraId="5A39BBE3" w14:textId="77777777" w:rsidR="00F679D8" w:rsidRDefault="00F679D8">
      <w:pPr>
        <w:rPr>
          <w:rFonts w:ascii="Times New Roman" w:hAnsi="Times New Roman" w:cs="Times New Roman"/>
          <w:bCs/>
          <w:sz w:val="20"/>
        </w:rPr>
      </w:pPr>
    </w:p>
    <w:p w14:paraId="41C8F396" w14:textId="77777777" w:rsidR="00F679D8" w:rsidRDefault="00F679D8">
      <w:pPr>
        <w:rPr>
          <w:rFonts w:ascii="Times New Roman" w:hAnsi="Times New Roman" w:cs="Times New Roman"/>
          <w:bCs/>
          <w:sz w:val="20"/>
        </w:rPr>
      </w:pPr>
    </w:p>
    <w:tbl>
      <w:tblPr>
        <w:tblW w:w="5000" w:type="pct"/>
        <w:tblLayout w:type="fixed"/>
        <w:tblCellMar>
          <w:left w:w="0" w:type="dxa"/>
          <w:right w:w="0" w:type="dxa"/>
        </w:tblCellMar>
        <w:tblLook w:val="04A0" w:firstRow="1" w:lastRow="0" w:firstColumn="1" w:lastColumn="0" w:noHBand="0" w:noVBand="1"/>
      </w:tblPr>
      <w:tblGrid>
        <w:gridCol w:w="9360"/>
      </w:tblGrid>
      <w:tr w:rsidR="00F679D8" w14:paraId="1EB78B6E" w14:textId="77777777">
        <w:tc>
          <w:tcPr>
            <w:tcW w:w="9360" w:type="dxa"/>
          </w:tcPr>
          <w:p w14:paraId="44AD7A18" w14:textId="77777777" w:rsidR="00F679D8" w:rsidRDefault="00000000">
            <w:pPr>
              <w:jc w:val="both"/>
              <w:rPr>
                <w:rFonts w:ascii="Times New Roman" w:hAnsi="Times New Roman" w:cs="Times New Roman"/>
                <w:szCs w:val="20"/>
                <w:highlight w:val="green"/>
              </w:rPr>
            </w:pPr>
            <w:r>
              <w:rPr>
                <w:rFonts w:ascii="Times New Roman" w:hAnsi="Times New Roman" w:cs="Times New Roman"/>
                <w:szCs w:val="20"/>
                <w:highlight w:val="green"/>
              </w:rPr>
              <w:t>Agreement</w:t>
            </w:r>
          </w:p>
          <w:p w14:paraId="09433078" w14:textId="77777777" w:rsidR="00F679D8" w:rsidRDefault="00000000">
            <w:pPr>
              <w:jc w:val="both"/>
              <w:rPr>
                <w:rFonts w:ascii="Times New Roman" w:hAnsi="Times New Roman" w:cs="Times New Roman"/>
                <w:bCs/>
                <w:sz w:val="20"/>
              </w:rPr>
            </w:pPr>
            <w:r>
              <w:rPr>
                <w:rFonts w:ascii="Times New Roman" w:hAnsi="Times New Roman" w:cs="Times New Roman"/>
                <w:bCs/>
                <w:sz w:val="20"/>
                <w:szCs w:val="20"/>
              </w:rPr>
              <w:t>Dynamic waveform switching enhancement in R18 is only applicable to PUSCH channel.</w:t>
            </w:r>
          </w:p>
          <w:p w14:paraId="72A3D3EC" w14:textId="77777777" w:rsidR="00F679D8" w:rsidRDefault="00F679D8">
            <w:pPr>
              <w:rPr>
                <w:rFonts w:ascii="Times New Roman" w:hAnsi="Times New Roman" w:cs="Times New Roman"/>
                <w:bCs/>
                <w:sz w:val="20"/>
              </w:rPr>
            </w:pPr>
          </w:p>
          <w:p w14:paraId="3ED9FB69" w14:textId="77777777" w:rsidR="00F679D8" w:rsidRDefault="00000000">
            <w:pPr>
              <w:jc w:val="both"/>
              <w:rPr>
                <w:rFonts w:ascii="Times New Roman" w:hAnsi="Times New Roman" w:cs="Times New Roman"/>
                <w:b/>
                <w:bCs/>
                <w:sz w:val="20"/>
                <w:szCs w:val="20"/>
                <w:highlight w:val="darkYellow"/>
              </w:rPr>
            </w:pPr>
            <w:r>
              <w:rPr>
                <w:rFonts w:ascii="Times New Roman" w:hAnsi="Times New Roman" w:cs="Times New Roman"/>
                <w:b/>
                <w:bCs/>
                <w:sz w:val="20"/>
                <w:szCs w:val="20"/>
                <w:highlight w:val="darkYellow"/>
              </w:rPr>
              <w:t>Working Assumption</w:t>
            </w:r>
          </w:p>
          <w:p w14:paraId="607DF73D" w14:textId="77777777" w:rsidR="00F679D8" w:rsidRDefault="00000000">
            <w:pPr>
              <w:jc w:val="both"/>
              <w:rPr>
                <w:rFonts w:ascii="Times New Roman" w:hAnsi="Times New Roman" w:cs="Times New Roman"/>
                <w:color w:val="000000"/>
                <w:szCs w:val="20"/>
              </w:rPr>
            </w:pPr>
            <w:r>
              <w:rPr>
                <w:rFonts w:ascii="Times New Roman" w:hAnsi="Times New Roman" w:cs="Times New Roman"/>
                <w:color w:val="000000"/>
                <w:szCs w:val="20"/>
              </w:rPr>
              <w:t>Support at least one of the following options for the dynamic waveform indication in R18:</w:t>
            </w:r>
          </w:p>
          <w:p w14:paraId="55DF668C" w14:textId="77777777" w:rsidR="00F679D8" w:rsidRDefault="00000000">
            <w:pPr>
              <w:rPr>
                <w:rFonts w:ascii="Times New Roman" w:hAnsi="Times New Roman" w:cs="Times New Roman"/>
                <w:color w:val="000000"/>
                <w:szCs w:val="20"/>
                <w:lang w:eastAsia="zh-CN"/>
              </w:rPr>
            </w:pPr>
            <w:r>
              <w:rPr>
                <w:rFonts w:ascii="Times New Roman" w:hAnsi="Times New Roman" w:cs="Times New Roman"/>
                <w:color w:val="000000"/>
                <w:szCs w:val="20"/>
                <w:lang w:eastAsia="zh-CN"/>
              </w:rPr>
              <w:t>Alt 1: Indication from an UL scheduling DCI</w:t>
            </w:r>
          </w:p>
          <w:p w14:paraId="43A84B57" w14:textId="77777777" w:rsidR="00F679D8" w:rsidRDefault="00000000">
            <w:pPr>
              <w:pStyle w:val="a"/>
              <w:numPr>
                <w:ilvl w:val="0"/>
                <w:numId w:val="4"/>
              </w:numPr>
              <w:ind w:left="720" w:hanging="360"/>
              <w:rPr>
                <w:rFonts w:ascii="Times New Roman" w:hAnsi="Times New Roman" w:cs="Times New Roman"/>
                <w:color w:val="000000"/>
                <w:szCs w:val="20"/>
                <w:lang w:eastAsia="zh-CN"/>
              </w:rPr>
            </w:pPr>
            <w:r>
              <w:rPr>
                <w:rFonts w:ascii="Times New Roman" w:hAnsi="Times New Roman" w:cs="Times New Roman"/>
                <w:color w:val="000000"/>
                <w:szCs w:val="20"/>
                <w:lang w:eastAsia="zh-CN"/>
              </w:rPr>
              <w:t>Alt 1-A: New field in scheduling DCI</w:t>
            </w:r>
          </w:p>
          <w:p w14:paraId="5A82C4AD" w14:textId="77777777" w:rsidR="00F679D8" w:rsidRDefault="00000000">
            <w:pPr>
              <w:pStyle w:val="a"/>
              <w:numPr>
                <w:ilvl w:val="0"/>
                <w:numId w:val="4"/>
              </w:numPr>
              <w:ind w:left="720" w:hanging="360"/>
              <w:rPr>
                <w:rFonts w:ascii="Times New Roman" w:hAnsi="Times New Roman" w:cs="Times New Roman"/>
                <w:color w:val="000000"/>
                <w:szCs w:val="20"/>
              </w:rPr>
            </w:pPr>
            <w:r>
              <w:rPr>
                <w:rFonts w:ascii="Times New Roman" w:hAnsi="Times New Roman" w:cs="Times New Roman"/>
                <w:color w:val="000000"/>
                <w:szCs w:val="20"/>
              </w:rPr>
              <w:t>Alt 1-B: Reuse existing field in scheduling DCI</w:t>
            </w:r>
          </w:p>
          <w:p w14:paraId="39D70EB4" w14:textId="77777777" w:rsidR="00F679D8" w:rsidRDefault="00000000">
            <w:pPr>
              <w:pStyle w:val="a"/>
              <w:numPr>
                <w:ilvl w:val="1"/>
                <w:numId w:val="4"/>
              </w:numPr>
              <w:rPr>
                <w:rFonts w:ascii="Times New Roman" w:hAnsi="Times New Roman" w:cs="Times New Roman"/>
                <w:bCs/>
                <w:sz w:val="20"/>
              </w:rPr>
            </w:pPr>
            <w:r>
              <w:rPr>
                <w:rFonts w:ascii="Times New Roman" w:hAnsi="Times New Roman" w:cs="Times New Roman"/>
                <w:bCs/>
                <w:color w:val="000000"/>
                <w:sz w:val="20"/>
                <w:szCs w:val="20"/>
              </w:rPr>
              <w:t>Alt 1-B-1: Explicit indication by repurposing field, e.g.</w:t>
            </w:r>
          </w:p>
          <w:p w14:paraId="76FA7BA0" w14:textId="77777777" w:rsidR="00F679D8" w:rsidRDefault="00000000">
            <w:pPr>
              <w:pStyle w:val="a"/>
              <w:numPr>
                <w:ilvl w:val="2"/>
                <w:numId w:val="4"/>
              </w:numPr>
              <w:rPr>
                <w:rFonts w:ascii="Times New Roman" w:hAnsi="Times New Roman" w:cs="Times New Roman"/>
                <w:bCs/>
                <w:sz w:val="20"/>
              </w:rPr>
            </w:pPr>
            <w:r>
              <w:rPr>
                <w:rFonts w:ascii="Times New Roman" w:hAnsi="Times New Roman" w:cs="Times New Roman"/>
                <w:bCs/>
                <w:color w:val="000000"/>
                <w:sz w:val="20"/>
                <w:szCs w:val="20"/>
              </w:rPr>
              <w:t>Add one column to TDRA table</w:t>
            </w:r>
          </w:p>
          <w:p w14:paraId="54D371A9"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Add one column to MCS table(s)</w:t>
            </w:r>
          </w:p>
          <w:p w14:paraId="75F2854A"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Other solutions not precluded</w:t>
            </w:r>
          </w:p>
          <w:p w14:paraId="2E3B099E" w14:textId="77777777" w:rsidR="00F679D8" w:rsidRDefault="00000000">
            <w:pPr>
              <w:pStyle w:val="a"/>
              <w:numPr>
                <w:ilvl w:val="1"/>
                <w:numId w:val="4"/>
              </w:numPr>
              <w:rPr>
                <w:rFonts w:ascii="Times New Roman" w:hAnsi="Times New Roman" w:cs="Times New Roman"/>
                <w:color w:val="000000"/>
                <w:szCs w:val="20"/>
              </w:rPr>
            </w:pPr>
            <w:r>
              <w:rPr>
                <w:rFonts w:ascii="Times New Roman" w:hAnsi="Times New Roman" w:cs="Times New Roman"/>
                <w:color w:val="000000"/>
                <w:szCs w:val="20"/>
              </w:rPr>
              <w:t>Alt 1-B-2: Implicit determination from condition(s) on scheduling information, e.g.</w:t>
            </w:r>
          </w:p>
          <w:p w14:paraId="3E19CDA7"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RA type, MSB of RA</w:t>
            </w:r>
          </w:p>
          <w:p w14:paraId="4AF1E2D9"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Number of RBs (below threshold or multiple of 2,3,5)</w:t>
            </w:r>
          </w:p>
          <w:p w14:paraId="0CE1871C"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lastRenderedPageBreak/>
              <w:t>Location of RB allocation within carrier and the associated MPR</w:t>
            </w:r>
          </w:p>
          <w:p w14:paraId="7C5951EE"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MCS below threshold</w:t>
            </w:r>
          </w:p>
          <w:p w14:paraId="7C283BF8" w14:textId="77777777" w:rsidR="00F679D8" w:rsidRDefault="00000000">
            <w:pPr>
              <w:pStyle w:val="a"/>
              <w:numPr>
                <w:ilvl w:val="2"/>
                <w:numId w:val="4"/>
              </w:numPr>
            </w:pPr>
            <w:r>
              <w:rPr>
                <w:rFonts w:ascii="Times New Roman" w:hAnsi="Times New Roman" w:cs="Times New Roman"/>
                <w:color w:val="000000"/>
                <w:szCs w:val="20"/>
              </w:rPr>
              <w:t>Number of PUSCH repetitions (or whether PUSCH repetition is used)</w:t>
            </w:r>
            <w:r>
              <w:rPr>
                <w:rFonts w:ascii="Times New Roman" w:eastAsia="DengXian;SimSun" w:hAnsi="Times New Roman" w:cs="Times New Roman"/>
                <w:color w:val="000000"/>
                <w:szCs w:val="20"/>
                <w:lang w:eastAsia="zh-CN"/>
              </w:rPr>
              <w:t xml:space="preserve"> and/or </w:t>
            </w:r>
            <w:r>
              <w:rPr>
                <w:rFonts w:ascii="Times New Roman" w:hAnsi="Times New Roman" w:cs="Times New Roman"/>
                <w:color w:val="000000"/>
                <w:szCs w:val="20"/>
              </w:rPr>
              <w:t>TBoMS</w:t>
            </w:r>
          </w:p>
          <w:p w14:paraId="4D2B0A30"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Number of DMRS CDM group(s) without data</w:t>
            </w:r>
          </w:p>
          <w:p w14:paraId="3C9E5400"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Precoding information and number of layers</w:t>
            </w:r>
          </w:p>
          <w:p w14:paraId="1E8FB605"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SRI</w:t>
            </w:r>
          </w:p>
          <w:p w14:paraId="00006282"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Condition over multiple types of scheduling information</w:t>
            </w:r>
          </w:p>
          <w:p w14:paraId="4E6425E5" w14:textId="77777777" w:rsidR="00F679D8" w:rsidRDefault="00000000">
            <w:pPr>
              <w:pStyle w:val="a"/>
              <w:numPr>
                <w:ilvl w:val="2"/>
                <w:numId w:val="4"/>
              </w:numPr>
              <w:rPr>
                <w:rFonts w:ascii="Times New Roman" w:hAnsi="Times New Roman" w:cs="Times New Roman"/>
                <w:color w:val="000000"/>
                <w:szCs w:val="20"/>
              </w:rPr>
            </w:pPr>
            <w:r>
              <w:rPr>
                <w:rFonts w:ascii="Times New Roman" w:hAnsi="Times New Roman" w:cs="Times New Roman"/>
                <w:color w:val="000000"/>
                <w:szCs w:val="20"/>
              </w:rPr>
              <w:t>Other types of scheduling information not precluded</w:t>
            </w:r>
          </w:p>
          <w:p w14:paraId="35E71F76" w14:textId="77777777" w:rsidR="00F679D8" w:rsidRDefault="00000000">
            <w:pPr>
              <w:pStyle w:val="a"/>
              <w:numPr>
                <w:ilvl w:val="0"/>
                <w:numId w:val="4"/>
              </w:numPr>
              <w:ind w:left="720" w:hanging="360"/>
              <w:rPr>
                <w:rFonts w:ascii="Times New Roman" w:hAnsi="Times New Roman" w:cs="Times New Roman"/>
                <w:color w:val="000000"/>
                <w:szCs w:val="20"/>
              </w:rPr>
            </w:pPr>
            <w:r>
              <w:rPr>
                <w:rFonts w:ascii="Times New Roman" w:hAnsi="Times New Roman" w:cs="Times New Roman"/>
                <w:color w:val="000000"/>
                <w:szCs w:val="20"/>
              </w:rPr>
              <w:t>Indicated waveform applies at least to the scheduled PUSCH transmission</w:t>
            </w:r>
          </w:p>
          <w:p w14:paraId="57FED5BB" w14:textId="77777777" w:rsidR="00F679D8" w:rsidRDefault="00000000">
            <w:pPr>
              <w:pStyle w:val="a"/>
              <w:numPr>
                <w:ilvl w:val="1"/>
                <w:numId w:val="4"/>
              </w:numPr>
              <w:rPr>
                <w:rFonts w:ascii="Times New Roman" w:hAnsi="Times New Roman" w:cs="Times New Roman"/>
                <w:color w:val="000000"/>
                <w:szCs w:val="20"/>
              </w:rPr>
            </w:pPr>
            <w:r>
              <w:rPr>
                <w:rFonts w:ascii="Times New Roman" w:hAnsi="Times New Roman" w:cs="Times New Roman"/>
                <w:color w:val="000000"/>
                <w:szCs w:val="20"/>
              </w:rPr>
              <w:t>FFS: Whether it also applies to subsequent transmissions, and of which type</w:t>
            </w:r>
          </w:p>
          <w:p w14:paraId="04AD6CF6" w14:textId="77777777" w:rsidR="00F679D8" w:rsidRDefault="00000000">
            <w:pPr>
              <w:pStyle w:val="a"/>
              <w:numPr>
                <w:ilvl w:val="0"/>
                <w:numId w:val="4"/>
              </w:numPr>
              <w:ind w:left="720" w:hanging="360"/>
              <w:rPr>
                <w:rFonts w:ascii="Times New Roman" w:hAnsi="Times New Roman" w:cs="Times New Roman"/>
                <w:color w:val="000000"/>
                <w:szCs w:val="20"/>
              </w:rPr>
            </w:pPr>
            <w:r>
              <w:rPr>
                <w:rFonts w:ascii="Times New Roman" w:hAnsi="Times New Roman" w:cs="Times New Roman"/>
                <w:color w:val="000000"/>
                <w:szCs w:val="20"/>
              </w:rPr>
              <w:t xml:space="preserve">FFS: DCI formats can contain the indication </w:t>
            </w:r>
          </w:p>
          <w:p w14:paraId="5AF57AB9" w14:textId="77777777" w:rsidR="00F679D8" w:rsidRDefault="00000000">
            <w:pPr>
              <w:pStyle w:val="a"/>
              <w:numPr>
                <w:ilvl w:val="0"/>
                <w:numId w:val="4"/>
              </w:numPr>
              <w:ind w:left="720" w:hanging="360"/>
              <w:rPr>
                <w:rFonts w:ascii="Times New Roman" w:hAnsi="Times New Roman" w:cs="Times New Roman"/>
                <w:color w:val="000000"/>
                <w:szCs w:val="20"/>
              </w:rPr>
            </w:pPr>
            <w:r>
              <w:rPr>
                <w:rFonts w:ascii="Times New Roman" w:hAnsi="Times New Roman" w:cs="Times New Roman"/>
                <w:color w:val="000000"/>
                <w:szCs w:val="20"/>
              </w:rPr>
              <w:t>FFS: Indication applies only if condition(s) are satisfied (e.g. PDCCH occasion, /RNTI, /Search space of the scheduling DCI, latest PHR reported by the UE, etc.)</w:t>
            </w:r>
          </w:p>
          <w:p w14:paraId="03D45F81" w14:textId="77777777" w:rsidR="00F679D8" w:rsidRDefault="00000000">
            <w:pPr>
              <w:spacing w:before="240"/>
              <w:rPr>
                <w:rFonts w:ascii="Times New Roman" w:hAnsi="Times New Roman" w:cs="Times New Roman"/>
                <w:color w:val="000000"/>
                <w:szCs w:val="20"/>
              </w:rPr>
            </w:pPr>
            <w:r>
              <w:rPr>
                <w:rFonts w:ascii="Times New Roman" w:hAnsi="Times New Roman" w:cs="Times New Roman"/>
                <w:color w:val="000000"/>
                <w:szCs w:val="20"/>
              </w:rPr>
              <w:t>Alt 2: Indication from a non-UL scheduling DCI</w:t>
            </w:r>
          </w:p>
          <w:p w14:paraId="297A5647" w14:textId="77777777" w:rsidR="00F679D8" w:rsidRDefault="00000000">
            <w:pPr>
              <w:pStyle w:val="a"/>
              <w:numPr>
                <w:ilvl w:val="0"/>
                <w:numId w:val="4"/>
              </w:numPr>
              <w:ind w:left="720" w:hanging="360"/>
              <w:rPr>
                <w:rFonts w:ascii="Times New Roman" w:hAnsi="Times New Roman" w:cs="Times New Roman"/>
                <w:color w:val="000000"/>
                <w:szCs w:val="20"/>
              </w:rPr>
            </w:pPr>
            <w:r>
              <w:rPr>
                <w:rFonts w:ascii="Times New Roman" w:hAnsi="Times New Roman" w:cs="Times New Roman"/>
                <w:color w:val="000000"/>
                <w:szCs w:val="20"/>
              </w:rPr>
              <w:t>FFS: DCI formats that can provide the indication (e.g. Downlink DCI, UE-group common DCI)</w:t>
            </w:r>
          </w:p>
          <w:p w14:paraId="1B21BB74" w14:textId="77777777" w:rsidR="00F679D8" w:rsidRDefault="00000000">
            <w:pPr>
              <w:pStyle w:val="a"/>
              <w:numPr>
                <w:ilvl w:val="0"/>
                <w:numId w:val="4"/>
              </w:numPr>
              <w:ind w:left="720" w:hanging="360"/>
              <w:rPr>
                <w:rFonts w:ascii="Times New Roman" w:hAnsi="Times New Roman" w:cs="Times New Roman"/>
                <w:color w:val="000000"/>
                <w:szCs w:val="20"/>
              </w:rPr>
            </w:pPr>
            <w:r>
              <w:rPr>
                <w:rFonts w:ascii="Times New Roman" w:hAnsi="Times New Roman" w:cs="Times New Roman"/>
                <w:color w:val="000000"/>
                <w:szCs w:val="20"/>
              </w:rPr>
              <w:t>FFS: Types of subsequent transmissions to which indication is applicable</w:t>
            </w:r>
          </w:p>
          <w:p w14:paraId="0D0B940D" w14:textId="77777777" w:rsidR="00F679D8" w:rsidRDefault="00F679D8">
            <w:pPr>
              <w:rPr>
                <w:rFonts w:ascii="Times New Roman" w:eastAsia="DengXian;SimSun" w:hAnsi="Times New Roman" w:cs="Times New Roman"/>
                <w:color w:val="000000"/>
                <w:szCs w:val="20"/>
                <w:lang w:eastAsia="zh-CN"/>
              </w:rPr>
            </w:pPr>
          </w:p>
        </w:tc>
      </w:tr>
    </w:tbl>
    <w:p w14:paraId="0E27B00A" w14:textId="77777777" w:rsidR="00F679D8" w:rsidRDefault="00F679D8">
      <w:pPr>
        <w:jc w:val="both"/>
        <w:rPr>
          <w:rFonts w:ascii="Times New Roman" w:eastAsia="DengXian;SimSun" w:hAnsi="Times New Roman" w:cs="Times New Roman"/>
          <w:color w:val="000000"/>
          <w:szCs w:val="20"/>
          <w:lang w:eastAsia="zh-CN"/>
        </w:rPr>
      </w:pPr>
    </w:p>
    <w:p w14:paraId="60061E4C" w14:textId="77777777" w:rsidR="00F679D8" w:rsidRDefault="00F679D8">
      <w:pPr>
        <w:jc w:val="both"/>
        <w:rPr>
          <w:rFonts w:ascii="Times New Roman" w:hAnsi="Times New Roman" w:cs="Times New Roman"/>
          <w:bCs/>
          <w:sz w:val="20"/>
        </w:rPr>
      </w:pPr>
    </w:p>
    <w:p w14:paraId="44EAFD9C" w14:textId="77777777" w:rsidR="00F679D8" w:rsidRDefault="00F679D8">
      <w:pPr>
        <w:rPr>
          <w:rFonts w:ascii="Times New Roman" w:hAnsi="Times New Roman" w:cs="Times New Roman"/>
          <w:bCs/>
          <w:sz w:val="20"/>
        </w:rPr>
      </w:pPr>
    </w:p>
    <w:p w14:paraId="4AFE23A4" w14:textId="77777777" w:rsidR="00F679D8" w:rsidRDefault="00000000">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Discussion</w:t>
      </w:r>
    </w:p>
    <w:p w14:paraId="4B94D5A5" w14:textId="77777777" w:rsidR="00F679D8" w:rsidRDefault="00F679D8">
      <w:pPr>
        <w:jc w:val="both"/>
        <w:rPr>
          <w:rFonts w:ascii="Times New Roman" w:hAnsi="Times New Roman" w:cs="Times New Roman"/>
        </w:rPr>
      </w:pPr>
    </w:p>
    <w:p w14:paraId="22087B6F" w14:textId="77777777" w:rsidR="00F679D8" w:rsidRDefault="00000000">
      <w:pPr>
        <w:pStyle w:val="ListParagraph"/>
        <w:numPr>
          <w:ilvl w:val="1"/>
          <w:numId w:val="1"/>
        </w:numPr>
        <w:jc w:val="both"/>
      </w:pPr>
      <w:r>
        <w:rPr>
          <w:rFonts w:ascii="Times New Roman" w:hAnsi="Times New Roman" w:cs="Times New Roman"/>
          <w:b/>
          <w:sz w:val="28"/>
        </w:rPr>
        <w:t>Implicit Indication</w:t>
      </w:r>
    </w:p>
    <w:p w14:paraId="3DEEC669" w14:textId="77777777" w:rsidR="00F679D8" w:rsidRDefault="00F679D8">
      <w:pPr>
        <w:jc w:val="both"/>
        <w:rPr>
          <w:rFonts w:ascii="Times New Roman" w:hAnsi="Times New Roman" w:cs="Times New Roman"/>
        </w:rPr>
      </w:pPr>
    </w:p>
    <w:p w14:paraId="7EB7A2FE" w14:textId="236D7E00" w:rsidR="00F679D8" w:rsidRDefault="4EB3DFA7">
      <w:pPr>
        <w:jc w:val="both"/>
        <w:rPr>
          <w:rFonts w:ascii="Times New Roman" w:hAnsi="Times New Roman" w:cs="Times New Roman"/>
        </w:rPr>
      </w:pPr>
      <w:r w:rsidRPr="4EB3DFA7">
        <w:rPr>
          <w:rFonts w:ascii="Times New Roman" w:hAnsi="Times New Roman" w:cs="Times New Roman"/>
        </w:rPr>
        <w:t xml:space="preserve">Considering the dependency of the PDCCH payload size on whether transform precoding is enabled or not in RRC, for the UE to infer the waveform switching by means of DCI has to happen in an implicit manner. But defining proper condition under which waveform switching can happen is up to the scheduler and trying to define the conditions in the specification will impose a lot of constraints on the scheduling decisions. </w:t>
      </w:r>
    </w:p>
    <w:p w14:paraId="207CCF61" w14:textId="77777777" w:rsidR="00F679D8" w:rsidRDefault="00000000">
      <w:pPr>
        <w:jc w:val="both"/>
        <w:rPr>
          <w:rFonts w:ascii="Times New Roman" w:hAnsi="Times New Roman" w:cs="Times New Roman"/>
        </w:rPr>
      </w:pPr>
      <w:r>
        <w:rPr>
          <w:rFonts w:ascii="Times New Roman" w:hAnsi="Times New Roman" w:cs="Times New Roman"/>
        </w:rPr>
        <w:t xml:space="preserve">     </w:t>
      </w:r>
    </w:p>
    <w:p w14:paraId="1A08E47C" w14:textId="77777777" w:rsidR="00F679D8" w:rsidRDefault="00000000">
      <w:pPr>
        <w:jc w:val="both"/>
        <w:rPr>
          <w:rFonts w:ascii="Times New Roman" w:hAnsi="Times New Roman" w:cs="Times New Roman"/>
        </w:rPr>
      </w:pPr>
      <w:r>
        <w:rPr>
          <w:rFonts w:ascii="Times New Roman" w:hAnsi="Times New Roman" w:cs="Times New Roman"/>
        </w:rPr>
        <w:t>Also down selecting from options listed under Alt-1-B-2 will be difficult considering the merits and demerits of each scheme.</w:t>
      </w:r>
    </w:p>
    <w:p w14:paraId="3656B9AB" w14:textId="77777777" w:rsidR="00F679D8" w:rsidRDefault="00F679D8">
      <w:pPr>
        <w:jc w:val="both"/>
        <w:rPr>
          <w:rFonts w:ascii="Times New Roman" w:hAnsi="Times New Roman" w:cs="Times New Roman"/>
        </w:rPr>
      </w:pPr>
    </w:p>
    <w:p w14:paraId="413B73FE" w14:textId="77777777" w:rsidR="00F679D8" w:rsidRDefault="00000000">
      <w:pPr>
        <w:tabs>
          <w:tab w:val="left" w:pos="4057"/>
        </w:tabs>
        <w:jc w:val="both"/>
        <w:rPr>
          <w:rFonts w:ascii="Times New Roman" w:hAnsi="Times New Roman" w:cs="Times New Roman"/>
          <w:iCs/>
          <w:sz w:val="20"/>
        </w:rPr>
      </w:pPr>
      <w:r>
        <w:rPr>
          <w:rFonts w:ascii="Times New Roman" w:hAnsi="Times New Roman" w:cs="Times New Roman"/>
          <w:b/>
          <w:iCs/>
          <w:sz w:val="20"/>
        </w:rPr>
        <w:t xml:space="preserve">Proposal 1: Define proper metric to down select the sub-bullets in Alt-1-B-2. </w:t>
      </w:r>
    </w:p>
    <w:p w14:paraId="45FB0818" w14:textId="77777777" w:rsidR="00F679D8" w:rsidRDefault="00F679D8">
      <w:pPr>
        <w:jc w:val="both"/>
        <w:rPr>
          <w:rFonts w:ascii="Times New Roman" w:hAnsi="Times New Roman" w:cs="Times New Roman"/>
          <w:i/>
          <w:iCs/>
          <w:color w:val="D9D9D9" w:themeColor="background1" w:themeShade="D9"/>
        </w:rPr>
      </w:pPr>
    </w:p>
    <w:p w14:paraId="11B7E74D" w14:textId="77777777" w:rsidR="00F679D8" w:rsidRDefault="00000000">
      <w:pPr>
        <w:pStyle w:val="ListParagraph"/>
        <w:numPr>
          <w:ilvl w:val="1"/>
          <w:numId w:val="1"/>
        </w:numPr>
        <w:jc w:val="both"/>
        <w:rPr>
          <w:rFonts w:ascii="Times New Roman" w:hAnsi="Times New Roman" w:cs="Times New Roman"/>
          <w:b/>
          <w:i/>
          <w:iCs/>
          <w:color w:val="000000"/>
          <w:sz w:val="28"/>
        </w:rPr>
      </w:pPr>
      <w:r>
        <w:rPr>
          <w:rFonts w:ascii="Times New Roman" w:hAnsi="Times New Roman" w:cs="Times New Roman"/>
          <w:b/>
          <w:color w:val="000000"/>
          <w:sz w:val="28"/>
          <w:szCs w:val="20"/>
        </w:rPr>
        <w:t>Indication from a non-UL scheduling DCI</w:t>
      </w:r>
    </w:p>
    <w:p w14:paraId="29D6B04F" w14:textId="77777777" w:rsidR="00F679D8" w:rsidRDefault="00000000">
      <w:pPr>
        <w:pStyle w:val="ListParagraph"/>
        <w:jc w:val="both"/>
        <w:rPr>
          <w:rFonts w:ascii="Times New Roman" w:hAnsi="Times New Roman" w:cs="Times New Roman"/>
          <w:b/>
          <w:i/>
          <w:iCs/>
          <w:color w:val="000000"/>
          <w:sz w:val="28"/>
        </w:rPr>
      </w:pPr>
      <w:r>
        <w:rPr>
          <w:rFonts w:ascii="Times New Roman" w:hAnsi="Times New Roman" w:cs="Times New Roman"/>
          <w:b/>
          <w:i/>
          <w:iCs/>
          <w:color w:val="000000"/>
          <w:sz w:val="28"/>
        </w:rPr>
        <w:t xml:space="preserve"> </w:t>
      </w:r>
    </w:p>
    <w:p w14:paraId="4FAE3977" w14:textId="77777777" w:rsidR="00F679D8" w:rsidRDefault="4EB3DFA7">
      <w:pPr>
        <w:jc w:val="both"/>
        <w:rPr>
          <w:rFonts w:ascii="Times New Roman" w:hAnsi="Times New Roman" w:cs="Times New Roman"/>
        </w:rPr>
      </w:pPr>
      <w:r w:rsidRPr="4EB3DFA7">
        <w:rPr>
          <w:rFonts w:ascii="Times New Roman" w:hAnsi="Times New Roman" w:cs="Times New Roman"/>
        </w:rPr>
        <w:t>If the UE channel conditions are not dynamic to change the waveform every scheduling DCI, we can consider indication of waveform switching through a non-UL scheduling DCI and keep the waveform applicable over a window. This will have very less specification impact and doesn’t alter the current Rel17 procedures.</w:t>
      </w:r>
    </w:p>
    <w:p w14:paraId="5EACFFD0" w14:textId="57E42CFF" w:rsidR="4EB3DFA7" w:rsidRDefault="4EB3DFA7" w:rsidP="4EB3DFA7">
      <w:pPr>
        <w:jc w:val="both"/>
        <w:rPr>
          <w:rFonts w:ascii="Times New Roman" w:hAnsi="Times New Roman" w:cs="Times New Roman"/>
        </w:rPr>
      </w:pPr>
    </w:p>
    <w:p w14:paraId="12013F4D" w14:textId="7F2C4B8B" w:rsidR="4EB3DFA7" w:rsidRDefault="4EB3DFA7" w:rsidP="4EB3DFA7">
      <w:pPr>
        <w:jc w:val="both"/>
        <w:rPr>
          <w:rFonts w:ascii="Times New Roman" w:hAnsi="Times New Roman" w:cs="Times New Roman"/>
        </w:rPr>
      </w:pPr>
    </w:p>
    <w:p w14:paraId="05C2A4D3" w14:textId="77777777" w:rsidR="00F679D8" w:rsidRDefault="00000000">
      <w:pPr>
        <w:jc w:val="both"/>
        <w:rPr>
          <w:rFonts w:ascii="Times New Roman" w:hAnsi="Times New Roman" w:cs="Times New Roman"/>
        </w:rPr>
      </w:pPr>
      <w:r>
        <w:rPr>
          <w:rFonts w:ascii="Times New Roman" w:hAnsi="Times New Roman" w:cs="Times New Roman"/>
          <w:i/>
          <w:iCs/>
          <w:color w:val="D9D9D9" w:themeColor="background1" w:themeShade="D9"/>
        </w:rPr>
        <w:t xml:space="preserve">     </w:t>
      </w:r>
    </w:p>
    <w:p w14:paraId="43968939" w14:textId="0038AFE0" w:rsidR="00F679D8" w:rsidRDefault="4EB3DFA7" w:rsidP="4EB3DFA7">
      <w:pPr>
        <w:tabs>
          <w:tab w:val="left" w:pos="4057"/>
        </w:tabs>
        <w:jc w:val="both"/>
        <w:rPr>
          <w:rFonts w:ascii="Times New Roman" w:hAnsi="Times New Roman" w:cs="Times New Roman"/>
          <w:b/>
          <w:bCs/>
          <w:color w:val="000000"/>
          <w:sz w:val="20"/>
          <w:szCs w:val="20"/>
        </w:rPr>
      </w:pPr>
      <w:r w:rsidRPr="4EB3DFA7">
        <w:rPr>
          <w:rFonts w:ascii="Times New Roman" w:hAnsi="Times New Roman" w:cs="Times New Roman"/>
          <w:b/>
          <w:bCs/>
          <w:color w:val="000000" w:themeColor="text1"/>
          <w:sz w:val="20"/>
          <w:szCs w:val="20"/>
        </w:rPr>
        <w:t xml:space="preserve">Proposal 2: Consider Alt-2 based waveform switching with a window for the validity of the </w:t>
      </w:r>
      <w:r w:rsidR="26C4FCF1" w:rsidRPr="4EB3DFA7">
        <w:rPr>
          <w:rFonts w:ascii="Times New Roman" w:hAnsi="Times New Roman" w:cs="Times New Roman"/>
          <w:b/>
          <w:bCs/>
          <w:color w:val="000000" w:themeColor="text1"/>
          <w:sz w:val="20"/>
          <w:szCs w:val="20"/>
        </w:rPr>
        <w:t>waveform.</w:t>
      </w:r>
    </w:p>
    <w:p w14:paraId="049F31CB" w14:textId="77777777" w:rsidR="00F679D8" w:rsidRDefault="00F679D8">
      <w:pPr>
        <w:jc w:val="both"/>
        <w:rPr>
          <w:rFonts w:ascii="Times New Roman" w:hAnsi="Times New Roman" w:cs="Times New Roman"/>
          <w:i/>
          <w:iCs/>
          <w:color w:val="D9D9D9" w:themeColor="background1" w:themeShade="D9"/>
        </w:rPr>
      </w:pPr>
    </w:p>
    <w:p w14:paraId="071E4E01" w14:textId="77777777" w:rsidR="00F679D8" w:rsidRDefault="00000000">
      <w:pPr>
        <w:pStyle w:val="ListParagraph"/>
        <w:numPr>
          <w:ilvl w:val="0"/>
          <w:numId w:val="1"/>
        </w:numPr>
        <w:jc w:val="both"/>
        <w:rPr>
          <w:rFonts w:ascii="Times New Roman" w:hAnsi="Times New Roman" w:cs="Times New Roman"/>
          <w:b/>
          <w:sz w:val="28"/>
        </w:rPr>
      </w:pPr>
      <w:r>
        <w:rPr>
          <w:rFonts w:ascii="Times New Roman" w:hAnsi="Times New Roman" w:cs="Times New Roman"/>
          <w:b/>
          <w:sz w:val="28"/>
        </w:rPr>
        <w:t>References</w:t>
      </w:r>
    </w:p>
    <w:p w14:paraId="2F2A8E93" w14:textId="77777777" w:rsidR="00F679D8" w:rsidRDefault="4EB3DFA7">
      <w:pPr>
        <w:pStyle w:val="Reference"/>
        <w:numPr>
          <w:ilvl w:val="0"/>
          <w:numId w:val="3"/>
        </w:numPr>
        <w:jc w:val="both"/>
        <w:rPr>
          <w:rFonts w:ascii="Times New Roman" w:hAnsi="Times New Roman"/>
          <w:sz w:val="20"/>
          <w:szCs w:val="20"/>
          <w:lang w:val="en-US" w:eastAsia="en-US"/>
        </w:rPr>
      </w:pPr>
      <w:r w:rsidRPr="4EB3DFA7">
        <w:rPr>
          <w:rFonts w:ascii="Times New Roman" w:eastAsia="MS Mincho" w:hAnsi="Times New Roman" w:cs="Times New Roman"/>
          <w:sz w:val="20"/>
          <w:szCs w:val="20"/>
          <w:lang w:eastAsia="ja-JP"/>
        </w:rPr>
        <w:t>RP-220937</w:t>
      </w:r>
      <w:r w:rsidRPr="4EB3DFA7">
        <w:rPr>
          <w:rFonts w:ascii="Times New Roman" w:hAnsi="Times New Roman"/>
          <w:sz w:val="20"/>
          <w:szCs w:val="20"/>
          <w:lang w:val="en-US" w:eastAsia="en-US"/>
        </w:rPr>
        <w:t>, “WID-MIMO Evolution”.</w:t>
      </w:r>
    </w:p>
    <w:p w14:paraId="4F959431" w14:textId="56CC3A9C" w:rsidR="62EE388D" w:rsidRDefault="62EE388D" w:rsidP="4EB3DFA7">
      <w:pPr>
        <w:pStyle w:val="Reference"/>
        <w:numPr>
          <w:ilvl w:val="0"/>
          <w:numId w:val="3"/>
        </w:numPr>
        <w:jc w:val="both"/>
        <w:rPr>
          <w:rFonts w:ascii="Times New Roman" w:hAnsi="Times New Roman"/>
          <w:sz w:val="20"/>
          <w:szCs w:val="20"/>
          <w:lang w:val="en-US" w:eastAsia="en-US"/>
        </w:rPr>
      </w:pPr>
      <w:r w:rsidRPr="4EB3DFA7">
        <w:rPr>
          <w:rFonts w:ascii="Times New Roman" w:hAnsi="Times New Roman"/>
          <w:sz w:val="20"/>
          <w:szCs w:val="20"/>
          <w:lang w:val="en-US" w:eastAsia="en-US"/>
        </w:rPr>
        <w:t>Chair's notes RAN1_110bis-e v17.</w:t>
      </w:r>
    </w:p>
    <w:p w14:paraId="53128261" w14:textId="77777777" w:rsidR="00F679D8" w:rsidRDefault="00F679D8">
      <w:pPr>
        <w:jc w:val="both"/>
        <w:rPr>
          <w:rFonts w:ascii="Times New Roman" w:hAnsi="Times New Roman" w:cs="Times New Roman"/>
          <w:i/>
          <w:iCs/>
          <w:color w:val="D9D9D9" w:themeColor="background1" w:themeShade="D9"/>
        </w:rPr>
      </w:pPr>
    </w:p>
    <w:sectPr w:rsidR="00F679D8">
      <w:pgSz w:w="12240" w:h="15840"/>
      <w:pgMar w:top="1440" w:right="1440" w:bottom="1440" w:left="1440" w:header="0" w:footer="0" w:gutter="0"/>
      <w:pgNumType w:start="1"/>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SimSun">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8B93"/>
    <w:multiLevelType w:val="multilevel"/>
    <w:tmpl w:val="8E7EDD4A"/>
    <w:lvl w:ilvl="0">
      <w:start w:val="1"/>
      <w:numFmt w:val="decimal"/>
      <w:lvlText w:val="%1"/>
      <w:lvlJc w:val="left"/>
      <w:pPr>
        <w:tabs>
          <w:tab w:val="num" w:pos="0"/>
        </w:tabs>
        <w:ind w:left="432" w:hanging="432"/>
      </w:pPr>
      <w:rPr>
        <w:rFonts w:ascii="Times New Roman" w:hAnsi="Times New Roman" w:cs="Times New Roman"/>
        <w:i w:val="0"/>
        <w:position w:val="0"/>
        <w:sz w:val="28"/>
        <w:vertAlign w:val="baseline"/>
      </w:rPr>
    </w:lvl>
    <w:lvl w:ilvl="1">
      <w:start w:val="1"/>
      <w:numFmt w:val="decimal"/>
      <w:lvlText w:val="%1.%2"/>
      <w:lvlJc w:val="left"/>
      <w:pPr>
        <w:tabs>
          <w:tab w:val="num" w:pos="0"/>
        </w:tabs>
        <w:ind w:left="576" w:hanging="576"/>
      </w:pPr>
      <w:rPr>
        <w:rFonts w:ascii="Times New Roman" w:eastAsia="Times New Roman" w:hAnsi="Times New Roman" w:cs="Times New Roman"/>
        <w:b/>
        <w:i w:val="0"/>
        <w:position w:val="0"/>
        <w:sz w:val="24"/>
        <w:szCs w:val="24"/>
        <w:vertAlign w:val="baseline"/>
      </w:rPr>
    </w:lvl>
    <w:lvl w:ilvl="2">
      <w:start w:val="1"/>
      <w:numFmt w:val="decimal"/>
      <w:lvlText w:val="%1.%2.%3"/>
      <w:lvlJc w:val="left"/>
      <w:pPr>
        <w:tabs>
          <w:tab w:val="num" w:pos="0"/>
        </w:tabs>
        <w:ind w:left="720" w:hanging="720"/>
      </w:pPr>
      <w:rPr>
        <w:position w:val="0"/>
        <w:sz w:val="22"/>
        <w:vertAlign w:val="baseline"/>
      </w:rPr>
    </w:lvl>
    <w:lvl w:ilvl="3">
      <w:start w:val="1"/>
      <w:numFmt w:val="decimal"/>
      <w:lvlText w:val="%1.%2.%3.%4"/>
      <w:lvlJc w:val="left"/>
      <w:pPr>
        <w:tabs>
          <w:tab w:val="num" w:pos="0"/>
        </w:tabs>
        <w:ind w:left="864" w:hanging="864"/>
      </w:pPr>
      <w:rPr>
        <w:position w:val="0"/>
        <w:sz w:val="22"/>
        <w:vertAlign w:val="baseline"/>
      </w:rPr>
    </w:lvl>
    <w:lvl w:ilvl="4">
      <w:start w:val="1"/>
      <w:numFmt w:val="decimal"/>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1" w15:restartNumberingAfterBreak="0">
    <w:nsid w:val="38411998"/>
    <w:multiLevelType w:val="multilevel"/>
    <w:tmpl w:val="4E22E4CA"/>
    <w:lvl w:ilvl="0">
      <w:start w:val="1"/>
      <w:numFmt w:val="bullet"/>
      <w:lvlText w:val="-"/>
      <w:lvlJc w:val="left"/>
      <w:pPr>
        <w:tabs>
          <w:tab w:val="num" w:pos="0"/>
        </w:tabs>
        <w:ind w:left="0" w:firstLine="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97D277B"/>
    <w:multiLevelType w:val="multilevel"/>
    <w:tmpl w:val="E4E49DBC"/>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69EF2BEB"/>
    <w:multiLevelType w:val="multilevel"/>
    <w:tmpl w:val="628020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C471999"/>
    <w:multiLevelType w:val="multilevel"/>
    <w:tmpl w:val="733C30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57537344">
    <w:abstractNumId w:val="0"/>
  </w:num>
  <w:num w:numId="2" w16cid:durableId="1893496936">
    <w:abstractNumId w:val="4"/>
  </w:num>
  <w:num w:numId="3" w16cid:durableId="1694645961">
    <w:abstractNumId w:val="2"/>
  </w:num>
  <w:num w:numId="4" w16cid:durableId="1186212216">
    <w:abstractNumId w:val="1"/>
  </w:num>
  <w:num w:numId="5" w16cid:durableId="979192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10E05BFF"/>
    <w:rsid w:val="0089794E"/>
    <w:rsid w:val="00F679D8"/>
    <w:rsid w:val="10E05BFF"/>
    <w:rsid w:val="13BB0C65"/>
    <w:rsid w:val="26C4FCF1"/>
    <w:rsid w:val="3433097E"/>
    <w:rsid w:val="4EB3DFA7"/>
    <w:rsid w:val="59654F5D"/>
    <w:rsid w:val="62EE388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17BD60"/>
  <w15:docId w15:val="{1E61AD32-A40D-47FB-BBDF-8A4BC2DD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style>
  <w:style w:type="paragraph" w:styleId="Heading1">
    <w:name w:val="heading 1"/>
    <w:basedOn w:val="Normal"/>
    <w:next w:val="Normal"/>
    <w:qFormat/>
    <w:pPr>
      <w:keepNext/>
      <w:keepLines/>
      <w:spacing w:before="400" w:after="120"/>
      <w:outlineLvl w:val="0"/>
    </w:pPr>
    <w:rPr>
      <w:sz w:val="40"/>
      <w:szCs w:val="40"/>
    </w:rPr>
  </w:style>
  <w:style w:type="paragraph" w:styleId="Heading2">
    <w:name w:val="heading 2"/>
    <w:basedOn w:val="Normal"/>
    <w:next w:val="Normal"/>
    <w:qFormat/>
    <w:pPr>
      <w:keepNext/>
      <w:keepLines/>
      <w:spacing w:before="360" w:after="120"/>
      <w:outlineLvl w:val="1"/>
    </w:pPr>
    <w:rPr>
      <w:sz w:val="32"/>
      <w:szCs w:val="32"/>
    </w:rPr>
  </w:style>
  <w:style w:type="paragraph" w:styleId="Heading3">
    <w:name w:val="heading 3"/>
    <w:basedOn w:val="Normal"/>
    <w:next w:val="Normal"/>
    <w:qFormat/>
    <w:pPr>
      <w:keepNext/>
      <w:keepLines/>
      <w:spacing w:before="320" w:after="80"/>
      <w:outlineLvl w:val="2"/>
    </w:pPr>
    <w:rPr>
      <w:color w:val="434343"/>
      <w:sz w:val="28"/>
      <w:szCs w:val="28"/>
    </w:rPr>
  </w:style>
  <w:style w:type="paragraph" w:styleId="Heading4">
    <w:name w:val="heading 4"/>
    <w:basedOn w:val="Normal"/>
    <w:next w:val="Normal"/>
    <w:qFormat/>
    <w:pPr>
      <w:keepNext/>
      <w:keepLines/>
      <w:spacing w:before="280" w:after="80"/>
      <w:outlineLvl w:val="3"/>
    </w:pPr>
    <w:rPr>
      <w:color w:val="666666"/>
      <w:sz w:val="24"/>
      <w:szCs w:val="24"/>
    </w:rPr>
  </w:style>
  <w:style w:type="paragraph" w:styleId="Heading5">
    <w:name w:val="heading 5"/>
    <w:basedOn w:val="Normal"/>
    <w:next w:val="Normal"/>
    <w:qFormat/>
    <w:pPr>
      <w:keepNext/>
      <w:keepLines/>
      <w:spacing w:before="240" w:after="80"/>
      <w:outlineLvl w:val="4"/>
    </w:pPr>
    <w:rPr>
      <w:color w:val="666666"/>
    </w:rPr>
  </w:style>
  <w:style w:type="paragraph" w:styleId="Heading6">
    <w:name w:val="heading 6"/>
    <w:basedOn w:val="Normal"/>
    <w:next w:val="Normal"/>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737882"/>
  </w:style>
  <w:style w:type="character" w:customStyle="1" w:styleId="ReferenceChar">
    <w:name w:val="Reference Char"/>
    <w:link w:val="Reference"/>
    <w:qFormat/>
    <w:rsid w:val="006D15F6"/>
    <w:rPr>
      <w:lang w:val="en-GB" w:eastAsia="zh-CN"/>
    </w:rPr>
  </w:style>
  <w:style w:type="character" w:customStyle="1" w:styleId="WW8Num107z0">
    <w:name w:val="WW8Num107z0"/>
    <w:qFormat/>
    <w:rPr>
      <w:rFonts w:ascii="Times New Roman" w:eastAsia="DengXian;SimSun" w:hAnsi="Times New Roman" w:cs="Times New Roman"/>
    </w:rPr>
  </w:style>
  <w:style w:type="character" w:customStyle="1" w:styleId="WW8Num107z1">
    <w:name w:val="WW8Num107z1"/>
    <w:qFormat/>
    <w:rPr>
      <w:rFonts w:ascii="Courier New" w:hAnsi="Courier New" w:cs="Courier New"/>
    </w:rPr>
  </w:style>
  <w:style w:type="character" w:customStyle="1" w:styleId="WW8Num107z2">
    <w:name w:val="WW8Num107z2"/>
    <w:qFormat/>
    <w:rPr>
      <w:rFonts w:ascii="Wingdings" w:hAnsi="Wingdings" w:cs="Wingdings"/>
    </w:rPr>
  </w:style>
  <w:style w:type="character" w:customStyle="1" w:styleId="WW8Num107z3">
    <w:name w:val="WW8Num107z3"/>
    <w:qFormat/>
    <w:rPr>
      <w:rFonts w:ascii="Symbol" w:hAnsi="Symbol" w:cs="Symbol"/>
    </w:rPr>
  </w:style>
  <w:style w:type="character" w:customStyle="1" w:styleId="WW8Num120z0">
    <w:name w:val="WW8Num120z0"/>
    <w:qFormat/>
    <w:rPr>
      <w:rFonts w:ascii="Times New Roman" w:eastAsia="DengXian;SimSun" w:hAnsi="Times New Roman" w:cs="Times New Roman"/>
    </w:rPr>
  </w:style>
  <w:style w:type="character" w:customStyle="1" w:styleId="WW8Num120z1">
    <w:name w:val="WW8Num120z1"/>
    <w:qFormat/>
    <w:rPr>
      <w:rFonts w:ascii="Courier New" w:hAnsi="Courier New" w:cs="Courier New"/>
    </w:rPr>
  </w:style>
  <w:style w:type="character" w:customStyle="1" w:styleId="WW8Num120z2">
    <w:name w:val="WW8Num120z2"/>
    <w:qFormat/>
    <w:rPr>
      <w:rFonts w:ascii="Wingdings" w:hAnsi="Wingdings" w:cs="Wingdings"/>
    </w:rPr>
  </w:style>
  <w:style w:type="character" w:customStyle="1" w:styleId="WW8Num120z3">
    <w:name w:val="WW8Num120z3"/>
    <w:qFormat/>
    <w:rPr>
      <w:rFonts w:ascii="Symbol" w:hAnsi="Symbol" w:cs="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lang/>
    </w:rPr>
  </w:style>
  <w:style w:type="paragraph" w:styleId="Title">
    <w:name w:val="Title"/>
    <w:basedOn w:val="Normal"/>
    <w:next w:val="Normal"/>
    <w:qFormat/>
    <w:pPr>
      <w:keepNext/>
      <w:keepLines/>
      <w:spacing w:after="60"/>
    </w:pPr>
    <w:rPr>
      <w:sz w:val="52"/>
      <w:szCs w:val="52"/>
    </w:rPr>
  </w:style>
  <w:style w:type="paragraph" w:styleId="Subtitle">
    <w:name w:val="Subtitle"/>
    <w:basedOn w:val="Normal"/>
    <w:next w:val="Normal"/>
    <w:qFormat/>
    <w:pPr>
      <w:keepNext/>
      <w:keepLines/>
      <w:spacing w:after="320"/>
    </w:pPr>
    <w:rPr>
      <w:color w:val="666666"/>
      <w:sz w:val="30"/>
      <w:szCs w:val="30"/>
    </w:rPr>
  </w:style>
  <w:style w:type="paragraph" w:styleId="ListParagraph">
    <w:name w:val="List Paragraph"/>
    <w:basedOn w:val="Normal"/>
    <w:link w:val="ListParagraphChar"/>
    <w:uiPriority w:val="34"/>
    <w:qFormat/>
    <w:rsid w:val="007B1E96"/>
    <w:pPr>
      <w:ind w:left="720"/>
      <w:contextualSpacing/>
    </w:pPr>
  </w:style>
  <w:style w:type="paragraph" w:customStyle="1" w:styleId="Reference">
    <w:name w:val="Reference"/>
    <w:basedOn w:val="Normal"/>
    <w:link w:val="ReferenceChar"/>
    <w:qFormat/>
    <w:rsid w:val="006D15F6"/>
    <w:pPr>
      <w:spacing w:after="160" w:line="259" w:lineRule="auto"/>
    </w:pPr>
    <w:rPr>
      <w:lang w:val="en-GB" w:eastAsia="zh-CN"/>
    </w:rPr>
  </w:style>
  <w:style w:type="paragraph" w:customStyle="1" w:styleId="FrameContents">
    <w:name w:val="Frame Contents"/>
    <w:basedOn w:val="Normal"/>
    <w:qFormat/>
  </w:style>
  <w:style w:type="paragraph" w:customStyle="1" w:styleId="a">
    <w:name w:val="목록 단락"/>
    <w:basedOn w:val="Normal"/>
    <w:qFormat/>
    <w:pPr>
      <w:ind w:left="840"/>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07">
    <w:name w:val="WW8Num107"/>
    <w:qFormat/>
  </w:style>
  <w:style w:type="numbering" w:customStyle="1" w:styleId="WW8Num120">
    <w:name w:val="WW8Num12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645</Words>
  <Characters>3682</Characters>
  <Application>Microsoft Office Word</Application>
  <DocSecurity>0</DocSecurity>
  <Lines>30</Lines>
  <Paragraphs>8</Paragraphs>
  <ScaleCrop>false</ScaleCrop>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pardhasarathy.j</cp:lastModifiedBy>
  <cp:revision>101</cp:revision>
  <dcterms:created xsi:type="dcterms:W3CDTF">2022-04-05T23:29:00Z</dcterms:created>
  <dcterms:modified xsi:type="dcterms:W3CDTF">2022-11-07T12:59:00Z</dcterms:modified>
  <dc:language>en-IN</dc:language>
</cp:coreProperties>
</file>