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r w:rsidRPr="00C641F0">
              <w:rPr>
                <w:rFonts w:eastAsia="PMingLiU"/>
                <w:b/>
                <w:bCs/>
                <w:lang w:val="en-US" w:eastAsia="zh-TW"/>
              </w:rPr>
              <w:t>st-FFT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ZTE, Sanechips</w:t>
            </w:r>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w:t>
            </w:r>
            <w:r>
              <w:rPr>
                <w:rFonts w:eastAsiaTheme="minorEastAsia"/>
                <w:lang w:val="en-US" w:eastAsia="zh-CN"/>
              </w:rPr>
              <w:t>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w:t>
            </w:r>
            <w:r>
              <w:rPr>
                <w:b/>
                <w:highlight w:val="yellow"/>
                <w:lang w:val="en-US"/>
              </w:rPr>
              <w:t>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3EAF8ECD" w:rsidR="00166CA2" w:rsidRDefault="00166CA2" w:rsidP="00B026E6">
            <w:pPr>
              <w:rPr>
                <w:rFonts w:eastAsiaTheme="minorEastAsia"/>
                <w:lang w:val="en-US" w:eastAsia="zh-CN"/>
              </w:rPr>
            </w:pPr>
          </w:p>
        </w:tc>
        <w:tc>
          <w:tcPr>
            <w:tcW w:w="1401" w:type="dxa"/>
          </w:tcPr>
          <w:p w14:paraId="019BE8AE" w14:textId="7C6EB8AC" w:rsidR="00166CA2" w:rsidRDefault="00166CA2" w:rsidP="00B026E6">
            <w:pPr>
              <w:tabs>
                <w:tab w:val="left" w:pos="551"/>
              </w:tabs>
              <w:jc w:val="left"/>
              <w:rPr>
                <w:rFonts w:eastAsiaTheme="minorEastAsia"/>
                <w:lang w:val="en-US" w:eastAsia="zh-CN"/>
              </w:rPr>
            </w:pP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01B8D419" w:rsidR="00166CA2" w:rsidRDefault="00166CA2" w:rsidP="00B026E6">
            <w:pPr>
              <w:rPr>
                <w:rFonts w:eastAsiaTheme="minorEastAsia"/>
                <w:lang w:val="en-US" w:eastAsia="zh-CN"/>
              </w:rPr>
            </w:pPr>
          </w:p>
        </w:tc>
        <w:tc>
          <w:tcPr>
            <w:tcW w:w="1401" w:type="dxa"/>
          </w:tcPr>
          <w:p w14:paraId="214F672C" w14:textId="38E3441D" w:rsidR="00166CA2" w:rsidRDefault="00166CA2" w:rsidP="00B026E6">
            <w:pPr>
              <w:tabs>
                <w:tab w:val="left" w:pos="551"/>
              </w:tabs>
              <w:jc w:val="left"/>
              <w:rPr>
                <w:rFonts w:eastAsiaTheme="minorEastAsia"/>
                <w:lang w:val="en-US" w:eastAsia="zh-CN"/>
              </w:rPr>
            </w:pPr>
          </w:p>
        </w:tc>
        <w:tc>
          <w:tcPr>
            <w:tcW w:w="6846" w:type="dxa"/>
            <w:gridSpan w:val="2"/>
          </w:tcPr>
          <w:p w14:paraId="7E35B7A8" w14:textId="70063319" w:rsidR="00166CA2" w:rsidRDefault="00166CA2" w:rsidP="00B026E6">
            <w:pPr>
              <w:rPr>
                <w:rFonts w:eastAsiaTheme="minorEastAsia"/>
                <w:lang w:val="en-US" w:eastAsia="zh-CN"/>
              </w:rPr>
            </w:pPr>
          </w:p>
        </w:tc>
      </w:tr>
      <w:tr w:rsidR="00166CA2" w14:paraId="310EBB0A" w14:textId="77777777" w:rsidTr="00B026E6">
        <w:tc>
          <w:tcPr>
            <w:tcW w:w="1384" w:type="dxa"/>
          </w:tcPr>
          <w:p w14:paraId="6A268BEC" w14:textId="0F286102" w:rsidR="00166CA2" w:rsidRDefault="00166CA2" w:rsidP="00B026E6">
            <w:pPr>
              <w:rPr>
                <w:rFonts w:eastAsiaTheme="minorEastAsia"/>
                <w:lang w:val="en-US" w:eastAsia="zh-CN"/>
              </w:rPr>
            </w:pPr>
          </w:p>
        </w:tc>
        <w:tc>
          <w:tcPr>
            <w:tcW w:w="1401" w:type="dxa"/>
          </w:tcPr>
          <w:p w14:paraId="63D2BEF7" w14:textId="589960EE" w:rsidR="00166CA2" w:rsidRDefault="00166CA2" w:rsidP="00B026E6">
            <w:pPr>
              <w:tabs>
                <w:tab w:val="left" w:pos="551"/>
              </w:tabs>
              <w:jc w:val="left"/>
              <w:rPr>
                <w:rFonts w:eastAsiaTheme="minorEastAsia"/>
                <w:lang w:val="en-US" w:eastAsia="zh-CN"/>
              </w:rPr>
            </w:pPr>
          </w:p>
        </w:tc>
        <w:tc>
          <w:tcPr>
            <w:tcW w:w="6846" w:type="dxa"/>
            <w:gridSpan w:val="2"/>
          </w:tcPr>
          <w:p w14:paraId="3879BB2F" w14:textId="2AAD621B" w:rsidR="00166CA2" w:rsidRDefault="00166CA2" w:rsidP="00B026E6">
            <w:pPr>
              <w:rPr>
                <w:rFonts w:eastAsiaTheme="minorEastAsia"/>
                <w:lang w:val="en-US" w:eastAsia="zh-CN"/>
              </w:rPr>
            </w:pP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lastRenderedPageBreak/>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lastRenderedPageBreak/>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lastRenderedPageBreak/>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lastRenderedPageBreak/>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4972BB5E" w:rsidR="00BB5193" w:rsidRPr="00BF03CE" w:rsidRDefault="00BB5193" w:rsidP="008C2F98">
            <w:pPr>
              <w:rPr>
                <w:rFonts w:eastAsiaTheme="minorEastAsia"/>
                <w:lang w:val="en-US" w:eastAsia="zh-CN"/>
              </w:rPr>
            </w:pPr>
          </w:p>
        </w:tc>
        <w:tc>
          <w:tcPr>
            <w:tcW w:w="1438" w:type="dxa"/>
            <w:gridSpan w:val="2"/>
          </w:tcPr>
          <w:p w14:paraId="7ADA64DF" w14:textId="76DAF841" w:rsidR="00BB5193" w:rsidRPr="00BF03CE" w:rsidRDefault="00BB5193" w:rsidP="008C2F98">
            <w:pPr>
              <w:tabs>
                <w:tab w:val="left" w:pos="551"/>
              </w:tabs>
              <w:rPr>
                <w:rFonts w:eastAsiaTheme="minorEastAsia"/>
                <w:lang w:val="en-US" w:eastAsia="zh-CN"/>
              </w:rPr>
            </w:pP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3F9B693D" w:rsidR="00BB5193" w:rsidRPr="00BF03CE" w:rsidRDefault="00BB5193" w:rsidP="008C2F98">
            <w:pPr>
              <w:rPr>
                <w:rFonts w:eastAsiaTheme="minorEastAsia"/>
                <w:lang w:val="en-US" w:eastAsia="zh-CN"/>
              </w:rPr>
            </w:pPr>
          </w:p>
        </w:tc>
        <w:tc>
          <w:tcPr>
            <w:tcW w:w="1438" w:type="dxa"/>
            <w:gridSpan w:val="2"/>
          </w:tcPr>
          <w:p w14:paraId="1C08C94F" w14:textId="55B6774F" w:rsidR="00BB5193" w:rsidRPr="00BF03CE" w:rsidRDefault="00BB5193" w:rsidP="008C2F98">
            <w:pPr>
              <w:tabs>
                <w:tab w:val="left" w:pos="551"/>
              </w:tabs>
              <w:rPr>
                <w:rFonts w:eastAsiaTheme="minorEastAsia"/>
                <w:lang w:val="en-US" w:eastAsia="zh-CN"/>
              </w:rPr>
            </w:pP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208848F3" w:rsidR="00BB5193" w:rsidRPr="00BF03CE" w:rsidRDefault="00BB5193" w:rsidP="008C2F98">
            <w:pPr>
              <w:rPr>
                <w:rFonts w:eastAsiaTheme="minorEastAsia"/>
                <w:lang w:val="en-US" w:eastAsia="zh-CN"/>
              </w:rPr>
            </w:pP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688B9C7A" w:rsidR="00BB5193" w:rsidRPr="00BF03CE" w:rsidRDefault="00BB5193" w:rsidP="008C2F98">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lastRenderedPageBreak/>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lastRenderedPageBreak/>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w:t>
            </w:r>
            <w:r>
              <w:rPr>
                <w:rFonts w:eastAsiaTheme="minorEastAsia"/>
                <w:lang w:val="en-US" w:eastAsia="zh-CN"/>
              </w:rPr>
              <w:lastRenderedPageBreak/>
              <w:t xml:space="preserve">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lastRenderedPageBreak/>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lastRenderedPageBreak/>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w:t>
            </w:r>
            <w:r>
              <w:rPr>
                <w:rFonts w:eastAsiaTheme="minorEastAsia"/>
                <w:lang w:val="en-US" w:eastAsia="zh-CN"/>
              </w:rPr>
              <w:lastRenderedPageBreak/>
              <w:t xml:space="preserve">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w:t>
            </w:r>
            <w:r>
              <w:rPr>
                <w:rFonts w:eastAsia="Malgun Gothic"/>
                <w:lang w:val="en-US" w:eastAsia="ko-KR"/>
              </w:rPr>
              <w:lastRenderedPageBreak/>
              <w:t>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lastRenderedPageBreak/>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paging. </w:t>
            </w:r>
            <w:r>
              <w:rPr>
                <w:lang w:eastAsia="zh-CN"/>
              </w:rPr>
              <w:lastRenderedPageBreak/>
              <w:t>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RedCap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lastRenderedPageBreak/>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Secondly, gNB may have chance to learn the UE capability, if Msg 1 report is supported. Even R17 and R18 redcap share the same Msg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8A7C7A">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tc>
          <w:tcPr>
            <w:tcW w:w="1479" w:type="dxa"/>
          </w:tcPr>
          <w:p w14:paraId="62CB5DC9" w14:textId="77777777" w:rsidR="004B5237" w:rsidRDefault="004B5237" w:rsidP="009B15E9">
            <w:pPr>
              <w:rPr>
                <w:rFonts w:eastAsiaTheme="minorEastAsia"/>
                <w:lang w:val="en-US" w:eastAsia="zh-CN"/>
              </w:rPr>
            </w:pPr>
          </w:p>
        </w:tc>
        <w:tc>
          <w:tcPr>
            <w:tcW w:w="1372" w:type="dxa"/>
            <w:gridSpan w:val="2"/>
          </w:tcPr>
          <w:p w14:paraId="2ED9E5E7" w14:textId="77777777" w:rsidR="004B5237" w:rsidRDefault="004B5237" w:rsidP="009B15E9">
            <w:pPr>
              <w:tabs>
                <w:tab w:val="left" w:pos="551"/>
              </w:tabs>
              <w:rPr>
                <w:rFonts w:eastAsiaTheme="minorEastAsia"/>
                <w:lang w:val="en-US" w:eastAsia="zh-CN"/>
              </w:rPr>
            </w:pPr>
          </w:p>
        </w:tc>
        <w:tc>
          <w:tcPr>
            <w:tcW w:w="6783" w:type="dxa"/>
            <w:gridSpan w:val="2"/>
          </w:tcPr>
          <w:p w14:paraId="78558863" w14:textId="77777777" w:rsidR="004B5237" w:rsidRDefault="004B5237" w:rsidP="009B15E9">
            <w:pPr>
              <w:rPr>
                <w:lang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lastRenderedPageBreak/>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lastRenderedPageBreak/>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lastRenderedPageBreak/>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w:t>
            </w:r>
            <w:r>
              <w:rPr>
                <w:rFonts w:eastAsiaTheme="minorEastAsia"/>
                <w:lang w:val="en-US" w:eastAsia="zh-CN"/>
              </w:rPr>
              <w:lastRenderedPageBreak/>
              <w:t xml:space="preserve">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lastRenderedPageBreak/>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lastRenderedPageBreak/>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77777777" w:rsidR="00E968FB" w:rsidRDefault="00E968FB" w:rsidP="006B00B8">
            <w:pPr>
              <w:rPr>
                <w:rFonts w:eastAsiaTheme="minorEastAsia"/>
                <w:lang w:val="en-US" w:eastAsia="zh-CN"/>
              </w:rPr>
            </w:pPr>
          </w:p>
        </w:tc>
        <w:tc>
          <w:tcPr>
            <w:tcW w:w="1372" w:type="dxa"/>
          </w:tcPr>
          <w:p w14:paraId="124E761B" w14:textId="77777777" w:rsidR="00E968FB" w:rsidRDefault="00E968FB" w:rsidP="006B00B8">
            <w:pPr>
              <w:tabs>
                <w:tab w:val="left" w:pos="551"/>
              </w:tabs>
              <w:rPr>
                <w:rFonts w:eastAsiaTheme="minorEastAsia"/>
                <w:lang w:val="en-US" w:eastAsia="zh-CN"/>
              </w:rPr>
            </w:pP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w:t>
      </w:r>
      <w:r>
        <w:rPr>
          <w:rFonts w:eastAsia="Microsoft YaHei UI"/>
          <w:bCs/>
          <w:lang w:val="en-US" w:eastAsia="zh-CN"/>
        </w:rPr>
        <w:lastRenderedPageBreak/>
        <w:t xml:space="preserve">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lastRenderedPageBreak/>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lastRenderedPageBreak/>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lastRenderedPageBreak/>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E46C6E">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E46C6E">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E46C6E">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E46C6E">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E46C6E">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E46C6E">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E46C6E">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E46C6E">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E46C6E">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E46C6E">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E46C6E">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E46C6E">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E46C6E">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E46C6E">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E46C6E">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E46C6E">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E46C6E">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E46C6E">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E46C6E">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E46C6E">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E46C6E">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E46C6E">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E46C6E">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lastRenderedPageBreak/>
              <w:t>[24]</w:t>
            </w:r>
          </w:p>
        </w:tc>
        <w:tc>
          <w:tcPr>
            <w:tcW w:w="1456" w:type="dxa"/>
            <w:tcMar>
              <w:top w:w="0" w:type="dxa"/>
              <w:left w:w="70" w:type="dxa"/>
              <w:bottom w:w="0" w:type="dxa"/>
              <w:right w:w="70" w:type="dxa"/>
            </w:tcMar>
          </w:tcPr>
          <w:p w14:paraId="2E4B5732" w14:textId="77777777" w:rsidR="00D12078" w:rsidRDefault="00E46C6E">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E46C6E">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E46C6E">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E46C6E">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E46C6E">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E46C6E">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E46C6E">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E46C6E">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E46C6E">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E46C6E">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E46C6E">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E46C6E">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E46C6E">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E46C6E">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E46C6E">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B2EE" w14:textId="77777777" w:rsidR="00493026" w:rsidRDefault="00493026">
      <w:pPr>
        <w:spacing w:line="240" w:lineRule="auto"/>
      </w:pPr>
      <w:r>
        <w:separator/>
      </w:r>
    </w:p>
  </w:endnote>
  <w:endnote w:type="continuationSeparator" w:id="0">
    <w:p w14:paraId="2F94942D" w14:textId="77777777" w:rsidR="00493026" w:rsidRDefault="00493026">
      <w:pPr>
        <w:spacing w:line="240" w:lineRule="auto"/>
      </w:pPr>
      <w:r>
        <w:continuationSeparator/>
      </w:r>
    </w:p>
  </w:endnote>
  <w:endnote w:type="continuationNotice" w:id="1">
    <w:p w14:paraId="50C8A4F7" w14:textId="77777777" w:rsidR="00F755E9" w:rsidRDefault="00F75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8C5F" w14:textId="77777777" w:rsidR="00493026" w:rsidRDefault="00493026">
      <w:pPr>
        <w:spacing w:after="0"/>
      </w:pPr>
      <w:r>
        <w:separator/>
      </w:r>
    </w:p>
  </w:footnote>
  <w:footnote w:type="continuationSeparator" w:id="0">
    <w:p w14:paraId="0FBB524B" w14:textId="77777777" w:rsidR="00493026" w:rsidRDefault="00493026">
      <w:pPr>
        <w:spacing w:after="0"/>
      </w:pPr>
      <w:r>
        <w:continuationSeparator/>
      </w:r>
    </w:p>
  </w:footnote>
  <w:footnote w:type="continuationNotice" w:id="1">
    <w:p w14:paraId="53BF00E3" w14:textId="77777777" w:rsidR="00F755E9" w:rsidRDefault="00F755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documentManagement/types"/>
    <ds:schemaRef ds:uri="d8762117-8292-4133-b1c7-eab5c6487cfd"/>
    <ds:schemaRef ds:uri="http://schemas.microsoft.com/office/2006/metadata/properties"/>
    <ds:schemaRef ds:uri="9b239327-9e80-40e4-b1b7-4394fed77a33"/>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38672</Words>
  <Characters>220436</Characters>
  <Application>Microsoft Office Word</Application>
  <DocSecurity>0</DocSecurity>
  <Lines>1836</Lines>
  <Paragraphs>517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92</cp:revision>
  <dcterms:created xsi:type="dcterms:W3CDTF">2022-10-18T04:43:00Z</dcterms:created>
  <dcterms:modified xsi:type="dcterms:W3CDTF">2022-10-18T10:22:00Z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