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w:t>
      </w:r>
      <w:r>
        <w:rPr>
          <w:rFonts w:hint="eastAsia"/>
          <w:b/>
          <w:lang w:val="en-US"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w:t>
      </w:r>
      <w:r>
        <w:rPr>
          <w:rFonts w:hint="eastAsia"/>
          <w:b/>
          <w:lang w:val="en-US" w:eastAsia="zh-CN"/>
        </w:rPr>
        <w:t>2</w:t>
      </w:r>
      <w:r>
        <w:rPr>
          <w:b/>
          <w:lang w:eastAsia="zh-CN"/>
        </w:rPr>
        <w:t>0</w:t>
      </w:r>
      <w:r>
        <w:rPr>
          <w:rFonts w:hint="eastAsia"/>
          <w:b/>
          <w:lang w:eastAsia="zh-CN"/>
        </w:rPr>
        <w:t>xxxx</w:t>
      </w:r>
    </w:p>
    <w:p>
      <w:pPr>
        <w:pBdr>
          <w:bottom w:val="single" w:color="auto" w:sz="4" w:space="1"/>
        </w:pBdr>
        <w:spacing w:after="0"/>
        <w:jc w:val="left"/>
        <w:rPr>
          <w:rFonts w:hint="default"/>
          <w:b/>
          <w:lang w:val="en-US" w:eastAsia="zh-CN"/>
        </w:rPr>
      </w:pPr>
      <w:r>
        <w:rPr>
          <w:rFonts w:cs="Arial"/>
          <w:b/>
          <w:lang w:val="sv-SE" w:eastAsia="zh-CN"/>
        </w:rPr>
        <w:t xml:space="preserve">e-Meeting, </w:t>
      </w:r>
      <w:r>
        <w:rPr>
          <w:rFonts w:hint="eastAsia" w:cs="Arial"/>
          <w:b/>
          <w:lang w:val="en-US" w:eastAsia="zh-CN"/>
        </w:rPr>
        <w:t>Oct</w:t>
      </w:r>
      <w:r>
        <w:rPr>
          <w:rFonts w:cs="Arial"/>
          <w:b/>
          <w:lang w:val="sv-SE" w:eastAsia="zh-CN"/>
        </w:rPr>
        <w:t xml:space="preserve"> </w:t>
      </w:r>
      <w:r>
        <w:rPr>
          <w:rFonts w:hint="eastAsia" w:cs="Arial"/>
          <w:b/>
          <w:lang w:val="en-US" w:eastAsia="zh-CN"/>
        </w:rPr>
        <w:t>10</w:t>
      </w:r>
      <w:r>
        <w:rPr>
          <w:rFonts w:hint="eastAsia" w:cs="Arial"/>
          <w:b/>
          <w:vertAlign w:val="superscript"/>
          <w:lang w:val="en-US" w:eastAsia="zh-CN"/>
        </w:rPr>
        <w:t>th</w:t>
      </w:r>
      <w:r>
        <w:rPr>
          <w:rFonts w:cs="Arial"/>
          <w:b/>
          <w:lang w:val="sv-SE" w:eastAsia="zh-CN"/>
        </w:rPr>
        <w:t xml:space="preserve"> - </w:t>
      </w:r>
      <w:r>
        <w:rPr>
          <w:rFonts w:hint="eastAsia" w:cs="Arial"/>
          <w:b/>
          <w:lang w:val="en-US" w:eastAsia="zh-CN"/>
        </w:rPr>
        <w:t>19</w:t>
      </w:r>
      <w:r>
        <w:rPr>
          <w:rFonts w:hint="eastAsia" w:cs="Arial"/>
          <w:b/>
          <w:vertAlign w:val="superscript"/>
          <w:lang w:val="en-US" w:eastAsia="zh-CN"/>
        </w:rPr>
        <w:t>th</w:t>
      </w:r>
      <w:r>
        <w:rPr>
          <w:rFonts w:cs="Arial"/>
          <w:b/>
          <w:lang w:val="sv-SE" w:eastAsia="zh-CN"/>
        </w:rPr>
        <w:t>, 202</w:t>
      </w:r>
      <w:r>
        <w:rPr>
          <w:rFonts w:hint="eastAsia" w:cs="Arial"/>
          <w:b/>
          <w:lang w:val="en-US" w:eastAsia="zh-CN"/>
        </w:rPr>
        <w:t>2</w:t>
      </w:r>
    </w:p>
    <w:p>
      <w:pPr>
        <w:pBdr>
          <w:bottom w:val="single" w:color="auto" w:sz="4" w:space="1"/>
        </w:pBdr>
        <w:spacing w:after="0"/>
        <w:jc w:val="left"/>
        <w:rPr>
          <w:b/>
          <w:lang w:eastAsia="zh-CN"/>
        </w:rPr>
      </w:pPr>
    </w:p>
    <w:p>
      <w:pPr>
        <w:pBdr>
          <w:bottom w:val="single" w:color="auto" w:sz="4" w:space="1"/>
        </w:pBdr>
        <w:spacing w:after="0"/>
        <w:jc w:val="left"/>
        <w:rPr>
          <w:rFonts w:hint="default"/>
          <w:b/>
          <w:lang w:val="en-US" w:eastAsia="zh-CN"/>
        </w:rPr>
      </w:pPr>
      <w:r>
        <w:rPr>
          <w:b/>
          <w:lang w:eastAsia="zh-CN"/>
        </w:rPr>
        <w:t>Agenda Item:</w:t>
      </w:r>
      <w:r>
        <w:rPr>
          <w:b/>
          <w:lang w:eastAsia="zh-CN"/>
        </w:rPr>
        <w:tab/>
      </w:r>
      <w:r>
        <w:rPr>
          <w:rFonts w:hint="eastAsia"/>
          <w:b/>
          <w:lang w:val="en-US"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rFonts w:hint="default"/>
          <w:b/>
          <w:lang w:val="en-US" w:eastAsia="zh-CN"/>
        </w:rPr>
      </w:pPr>
      <w:r>
        <w:rPr>
          <w:b/>
          <w:lang w:eastAsia="zh-CN"/>
        </w:rPr>
        <w:t>Title:</w:t>
      </w:r>
      <w:r>
        <w:rPr>
          <w:b/>
          <w:lang w:eastAsia="zh-CN"/>
        </w:rPr>
        <w:tab/>
      </w:r>
      <w:r>
        <w:rPr>
          <w:b/>
          <w:lang w:eastAsia="zh-CN"/>
        </w:rPr>
        <w:tab/>
      </w:r>
      <w:r>
        <w:rPr>
          <w:b/>
          <w:lang w:eastAsia="zh-CN"/>
        </w:rPr>
        <w:tab/>
      </w:r>
      <w:r>
        <w:rPr>
          <w:rFonts w:hint="eastAsia"/>
          <w:b/>
          <w:lang w:val="en-US" w:eastAsia="zh-CN"/>
        </w:rPr>
        <w:t>S</w:t>
      </w:r>
      <w:r>
        <w:rPr>
          <w:b/>
          <w:lang w:eastAsia="zh-CN"/>
        </w:rPr>
        <w:t xml:space="preserve">ummary </w:t>
      </w:r>
      <w:r>
        <w:rPr>
          <w:rFonts w:hint="eastAsia"/>
          <w:b/>
          <w:lang w:val="en-US" w:eastAsia="zh-CN"/>
        </w:rPr>
        <w:t>of</w:t>
      </w:r>
      <w:r>
        <w:rPr>
          <w:b/>
          <w:lang w:eastAsia="zh-CN"/>
        </w:rPr>
        <w:t xml:space="preserve"> </w:t>
      </w:r>
      <w:r>
        <w:rPr>
          <w:rFonts w:hint="eastAsia"/>
          <w:b/>
          <w:lang w:val="en-US" w:eastAsia="zh-CN"/>
        </w:rPr>
        <w:t>preparation phase email discussion for Rel-17 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pPr>
        <w:rPr>
          <w:rFonts w:hint="eastAsia"/>
          <w:lang w:val="en-US" w:eastAsia="zh-CN"/>
        </w:rPr>
      </w:pPr>
      <w:r>
        <w:t xml:space="preserve">This document contains the summary of issues related to </w:t>
      </w:r>
      <w:r>
        <w:rPr>
          <w:rFonts w:hint="eastAsia"/>
          <w:lang w:eastAsia="zh-CN"/>
        </w:rPr>
        <w:t xml:space="preserve">the </w:t>
      </w:r>
      <w:r>
        <w:t>maintenance of Rel-1</w:t>
      </w:r>
      <w:r>
        <w:rPr>
          <w:rFonts w:hint="eastAsia"/>
          <w:lang w:val="en-US" w:eastAsia="zh-CN"/>
        </w:rPr>
        <w:t>7</w:t>
      </w:r>
      <w:r>
        <w:t xml:space="preserve"> </w:t>
      </w:r>
      <w:r>
        <w:rPr>
          <w:rFonts w:hint="eastAsia"/>
          <w:lang w:val="en-US" w:eastAsia="zh-CN"/>
        </w:rPr>
        <w:t>Small data transmission</w:t>
      </w:r>
      <w:r>
        <w:t xml:space="preserve"> WI in RAN1#1</w:t>
      </w:r>
      <w:r>
        <w:rPr>
          <w:rFonts w:hint="eastAsia"/>
          <w:lang w:val="en-US" w:eastAsia="zh-CN"/>
        </w:rPr>
        <w:t>10bis</w:t>
      </w:r>
      <w:r>
        <w:t>-e meeting.</w:t>
      </w:r>
      <w:r>
        <w:rPr>
          <w:rFonts w:hint="eastAsia"/>
          <w:lang w:val="en-US" w:eastAsia="zh-CN"/>
        </w:rPr>
        <w:t xml:space="preserve"> The following email discussion is initiated to collect companies</w:t>
      </w:r>
      <w:r>
        <w:rPr>
          <w:rFonts w:hint="default"/>
          <w:lang w:val="en-US" w:eastAsia="zh-CN"/>
        </w:rPr>
        <w:t>’</w:t>
      </w:r>
      <w:r>
        <w:rPr>
          <w:rFonts w:hint="eastAsia"/>
          <w:lang w:val="en-US" w:eastAsia="zh-CN"/>
        </w:rPr>
        <w:t xml:space="preserve"> views:</w:t>
      </w:r>
    </w:p>
    <w:p>
      <w:r>
        <w:rPr>
          <w:highlight w:val="cyan"/>
        </w:rPr>
        <w:t>[110bis-e-R17-Others-01] Email discussion to determine maintenance issues to be handled in RAN1#110bis-e by October 12 – Ziyang (ZTE)</w:t>
      </w:r>
    </w:p>
    <w:p>
      <w:pPr>
        <w:numPr>
          <w:ilvl w:val="0"/>
          <w:numId w:val="9"/>
        </w:numPr>
        <w:rPr>
          <w:highlight w:val="cyan"/>
        </w:rPr>
      </w:pPr>
      <w:r>
        <w:rPr>
          <w:highlight w:val="cyan"/>
        </w:rPr>
        <w:t>Additional email discussions will be set up once the maintenance issues for RAN1#110bis-e are determined</w:t>
      </w:r>
    </w:p>
    <w:p>
      <w:bookmarkStart w:id="4" w:name="_GoBack"/>
      <w:bookmarkEnd w:id="4"/>
    </w:p>
    <w:bookmarkEnd w:id="2"/>
    <w:p>
      <w:pPr>
        <w:pStyle w:val="2"/>
        <w:ind w:left="431" w:hanging="431"/>
      </w:pPr>
      <w:r>
        <w:rPr>
          <w:rFonts w:hint="eastAsia"/>
          <w:lang w:val="en-US" w:eastAsia="zh-CN"/>
        </w:rPr>
        <w:t>Preparation phase discussion</w:t>
      </w:r>
    </w:p>
    <w:p>
      <w:r>
        <w:rPr>
          <w:rFonts w:hint="eastAsia"/>
        </w:rPr>
        <w:t xml:space="preserve">The following </w:t>
      </w:r>
      <w:r>
        <w:rPr>
          <w:rFonts w:hint="eastAsia"/>
          <w:lang w:val="en-US" w:eastAsia="zh-CN"/>
        </w:rPr>
        <w:t>issues are collected from companies</w:t>
      </w:r>
      <w:r>
        <w:rPr>
          <w:rFonts w:hint="default"/>
          <w:lang w:val="en-US" w:eastAsia="zh-CN"/>
        </w:rPr>
        <w:t>’</w:t>
      </w:r>
      <w:r>
        <w:rPr>
          <w:rFonts w:hint="eastAsia"/>
          <w:lang w:val="en-US" w:eastAsia="zh-CN"/>
        </w:rPr>
        <w:t xml:space="preserve"> contributions and summarized for</w:t>
      </w:r>
      <w:r>
        <w:rPr>
          <w:rFonts w:hint="eastAsia"/>
        </w:rPr>
        <w:t xml:space="preserve"> </w:t>
      </w:r>
      <w:r>
        <w:t>the maintenance of Rel-1</w:t>
      </w:r>
      <w:r>
        <w:rPr>
          <w:rFonts w:hint="eastAsia"/>
          <w:lang w:val="en-US" w:eastAsia="zh-CN"/>
        </w:rPr>
        <w:t>7 SDT</w:t>
      </w:r>
      <w:r>
        <w:t xml:space="preserve"> in </w:t>
      </w:r>
      <w:r>
        <w:rPr>
          <w:rFonts w:hint="eastAsia"/>
        </w:rPr>
        <w:t>RAN1#1</w:t>
      </w:r>
      <w:r>
        <w:rPr>
          <w:rFonts w:hint="eastAsia"/>
          <w:lang w:val="en-US" w:eastAsia="zh-CN"/>
        </w:rPr>
        <w:t>10bis</w:t>
      </w:r>
      <w:r>
        <w:rPr>
          <w:rFonts w:hint="eastAsia"/>
        </w:rPr>
        <w:t>-e.</w:t>
      </w:r>
    </w:p>
    <w:tbl>
      <w:tblPr>
        <w:tblStyle w:val="33"/>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6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Pr>
          <w:p>
            <w:pPr>
              <w:widowControl w:val="0"/>
              <w:spacing w:after="0"/>
              <w:rPr>
                <w:sz w:val="22"/>
                <w:szCs w:val="22"/>
              </w:rPr>
            </w:pPr>
            <w:r>
              <w:rPr>
                <w:rFonts w:hint="eastAsia"/>
                <w:sz w:val="22"/>
                <w:szCs w:val="22"/>
                <w:lang w:eastAsia="zh-CN"/>
              </w:rPr>
              <w:t>Issue</w:t>
            </w:r>
            <w:r>
              <w:rPr>
                <w:rFonts w:hint="eastAsia"/>
                <w:sz w:val="22"/>
                <w:szCs w:val="22"/>
              </w:rPr>
              <w:t xml:space="preserve"> #</w:t>
            </w:r>
          </w:p>
        </w:tc>
        <w:tc>
          <w:tcPr>
            <w:tcW w:w="7563" w:type="dxa"/>
          </w:tcPr>
          <w:p>
            <w:pPr>
              <w:widowControl w:val="0"/>
              <w:spacing w:after="0"/>
              <w:rPr>
                <w:sz w:val="22"/>
                <w:szCs w:val="22"/>
              </w:rPr>
            </w:pPr>
            <w:r>
              <w:rPr>
                <w:rFonts w:hint="eastAsia"/>
                <w:sz w:val="22"/>
                <w:szCs w:val="22"/>
              </w:rPr>
              <w:t>Description</w:t>
            </w:r>
          </w:p>
        </w:tc>
        <w:tc>
          <w:tcPr>
            <w:tcW w:w="1371" w:type="dxa"/>
          </w:tcPr>
          <w:p>
            <w:pPr>
              <w:widowControl w:val="0"/>
              <w:spacing w:after="0"/>
              <w:rPr>
                <w:sz w:val="22"/>
                <w:szCs w:val="22"/>
              </w:rPr>
            </w:pPr>
            <w:r>
              <w:rPr>
                <w:rFonts w:hint="eastAsia"/>
                <w:sz w:val="22"/>
                <w:szCs w:val="22"/>
              </w:rPr>
              <w:t xml:space="preserve">TDoc </w:t>
            </w: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sz w:val="22"/>
                <w:szCs w:val="22"/>
                <w:lang w:eastAsia="zh-CN"/>
              </w:rPr>
            </w:pPr>
            <w:r>
              <w:rPr>
                <w:rFonts w:hint="eastAsia"/>
                <w:sz w:val="22"/>
                <w:szCs w:val="22"/>
                <w:lang w:eastAsia="zh-CN"/>
              </w:rPr>
              <w:t>1</w:t>
            </w:r>
          </w:p>
        </w:tc>
        <w:tc>
          <w:tcPr>
            <w:tcW w:w="7563" w:type="dxa"/>
          </w:tcPr>
          <w:p>
            <w:pPr>
              <w:widowControl w:val="0"/>
              <w:spacing w:after="0"/>
              <w:rPr>
                <w:rFonts w:hint="eastAsia"/>
                <w:sz w:val="22"/>
                <w:szCs w:val="22"/>
                <w:lang w:val="en-US" w:eastAsia="zh-CN"/>
              </w:rPr>
            </w:pPr>
            <w:r>
              <w:rPr>
                <w:rFonts w:hint="eastAsia"/>
                <w:sz w:val="22"/>
                <w:szCs w:val="22"/>
                <w:lang w:val="en-US" w:eastAsia="zh-CN"/>
              </w:rPr>
              <w:t>CD-SSBs for RedCap UE SSB to PUSCH mapping</w:t>
            </w:r>
          </w:p>
          <w:p>
            <w:pPr>
              <w:pStyle w:val="177"/>
              <w:widowControl w:val="0"/>
              <w:numPr>
                <w:ilvl w:val="0"/>
                <w:numId w:val="0"/>
              </w:numPr>
              <w:rPr>
                <w:rFonts w:ascii="Times New Roman" w:hAnsi="Times New Roman"/>
                <w:b/>
                <w:i/>
                <w:sz w:val="20"/>
                <w:szCs w:val="20"/>
              </w:rPr>
            </w:pPr>
          </w:p>
          <w:p>
            <w:pPr>
              <w:pStyle w:val="177"/>
              <w:widowControl w:val="0"/>
              <w:numPr>
                <w:ilvl w:val="0"/>
                <w:numId w:val="0"/>
              </w:numPr>
              <w:rPr>
                <w:rFonts w:hint="default" w:ascii="Times New Roman" w:hAnsi="Times New Roman" w:cs="Times New Roman" w:eastAsiaTheme="minorEastAsia"/>
                <w:sz w:val="22"/>
                <w:szCs w:val="22"/>
                <w:lang w:val="en-US" w:eastAsia="zh-CN" w:bidi="ar-SA"/>
              </w:rPr>
            </w:pPr>
            <w:r>
              <w:rPr>
                <w:rFonts w:hint="eastAsia" w:cs="Times New Roman"/>
                <w:sz w:val="22"/>
                <w:szCs w:val="22"/>
                <w:lang w:val="en-US" w:eastAsia="zh-CN" w:bidi="ar-SA"/>
              </w:rPr>
              <w:t xml:space="preserve">For RedCap UE performing SDT, vivo proposes that </w:t>
            </w:r>
            <w:r>
              <w:rPr>
                <w:rFonts w:hint="eastAsia" w:ascii="Times New Roman" w:hAnsi="Times New Roman" w:cs="Times New Roman" w:eastAsiaTheme="minorEastAsia"/>
                <w:sz w:val="22"/>
                <w:szCs w:val="22"/>
                <w:lang w:val="en-US" w:eastAsia="zh-CN" w:bidi="ar-SA"/>
              </w:rPr>
              <w:t>RAN1 should conclude that only CD-SSBs in initial DL BWP is used for SSB to CG PUSCH mapping and further discuss whether any specification change is needed to explicitly restrict the SSBs to be only among the SSBs configured by ssb-PositionsInBurst in SIB1 or by ServingCellConfigCommon.</w:t>
            </w:r>
          </w:p>
          <w:p>
            <w:pPr>
              <w:widowControl w:val="0"/>
              <w:spacing w:after="0"/>
              <w:rPr>
                <w:rFonts w:hint="default"/>
                <w:sz w:val="22"/>
                <w:szCs w:val="22"/>
                <w:lang w:val="en-US" w:eastAsia="zh-CN"/>
              </w:rPr>
            </w:pPr>
            <w:r>
              <w:rPr>
                <w:rFonts w:hint="eastAsia"/>
                <w:sz w:val="22"/>
                <w:szCs w:val="22"/>
                <w:lang w:val="en-US" w:eastAsia="zh-CN"/>
              </w:rPr>
              <w:t xml:space="preserve"> </w:t>
            </w:r>
          </w:p>
        </w:tc>
        <w:tc>
          <w:tcPr>
            <w:tcW w:w="1371" w:type="dxa"/>
          </w:tcPr>
          <w:p>
            <w:pPr>
              <w:widowControl w:val="0"/>
              <w:spacing w:after="0"/>
              <w:rPr>
                <w:rFonts w:hint="default"/>
                <w:sz w:val="22"/>
                <w:szCs w:val="22"/>
                <w:lang w:val="en-US" w:eastAsia="zh-CN"/>
              </w:rPr>
            </w:pPr>
            <w:r>
              <w:rPr>
                <w:rFonts w:hint="eastAsia"/>
                <w:sz w:val="22"/>
                <w:szCs w:val="22"/>
                <w:lang w:val="en-US" w:eastAsia="zh-CN"/>
              </w:rPr>
              <w:t>R1-2208623 vivo</w:t>
            </w:r>
          </w:p>
          <w:p>
            <w:pPr>
              <w:widowControl w:val="0"/>
              <w:spacing w:after="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2</w:t>
            </w:r>
          </w:p>
        </w:tc>
        <w:tc>
          <w:tcPr>
            <w:tcW w:w="7563" w:type="dxa"/>
          </w:tcPr>
          <w:p>
            <w:pPr>
              <w:widowControl w:val="0"/>
              <w:spacing w:after="0"/>
              <w:rPr>
                <w:rFonts w:hint="default"/>
                <w:sz w:val="22"/>
                <w:szCs w:val="22"/>
                <w:lang w:val="en-US" w:eastAsia="zh-CN"/>
              </w:rPr>
            </w:pPr>
            <w:r>
              <w:rPr>
                <w:rFonts w:hint="eastAsia"/>
                <w:sz w:val="22"/>
                <w:szCs w:val="22"/>
                <w:lang w:val="en-US" w:eastAsia="zh-CN"/>
              </w:rPr>
              <w:t>Redundancy versions of repetitions for CG-SDT</w:t>
            </w:r>
          </w:p>
          <w:p>
            <w:pPr>
              <w:widowControl w:val="0"/>
              <w:spacing w:after="0"/>
              <w:rPr>
                <w:rFonts w:hint="default"/>
                <w:sz w:val="22"/>
                <w:szCs w:val="22"/>
                <w:lang w:val="en-US" w:eastAsia="zh-CN"/>
              </w:rPr>
            </w:pPr>
          </w:p>
          <w:p>
            <w:pPr>
              <w:widowControl w:val="0"/>
              <w:spacing w:after="0"/>
              <w:rPr>
                <w:rFonts w:hint="default" w:eastAsiaTheme="minorEastAsia"/>
                <w:sz w:val="22"/>
                <w:szCs w:val="22"/>
                <w:lang w:val="en-US" w:eastAsia="zh-CN"/>
              </w:rPr>
            </w:pPr>
            <w:r>
              <w:rPr>
                <w:rFonts w:hint="eastAsia"/>
                <w:sz w:val="22"/>
                <w:szCs w:val="22"/>
                <w:lang w:val="en-US" w:eastAsia="zh-CN"/>
              </w:rPr>
              <w:t xml:space="preserve">In last meeting, RAN1 captures RAN2 agreement in TS 38.213 as </w:t>
            </w:r>
            <w:r>
              <w:rPr>
                <w:rFonts w:hint="default"/>
                <w:sz w:val="22"/>
                <w:szCs w:val="22"/>
                <w:lang w:val="en-US" w:eastAsia="zh-CN"/>
              </w:rPr>
              <w:t>“</w:t>
            </w:r>
            <w:r>
              <w:t xml:space="preserve">For </w:t>
            </w:r>
            <w:r>
              <w:rPr>
                <w:rFonts w:hint="eastAsia"/>
                <w:lang w:eastAsia="zh-CN"/>
              </w:rPr>
              <w:t>initial</w:t>
            </w:r>
            <w:r>
              <w:t xml:space="preserve"> transmission or autonomous retransmission of an initial transport block provided for the PUSCH transmission</w:t>
            </w:r>
            <w:r>
              <w:rPr>
                <w:rFonts w:hint="eastAsia"/>
                <w:lang w:val="en-US" w:eastAsia="zh-CN"/>
              </w:rPr>
              <w:t xml:space="preserve"> as described in clause 18.0 in [19, TS 38.300]</w:t>
            </w:r>
            <w:r>
              <w:t>, the UE encodes the transport block using redundancy version number 0</w:t>
            </w:r>
            <w:r>
              <w:rPr>
                <w:rFonts w:hint="default"/>
                <w:lang w:val="en-US" w:eastAsia="zh-CN"/>
              </w:rPr>
              <w:t>”</w:t>
            </w:r>
            <w:r>
              <w:rPr>
                <w:rFonts w:hint="eastAsia"/>
                <w:lang w:val="en-US" w:eastAsia="zh-CN"/>
              </w:rPr>
              <w:t>. In the draft CR, vivo proposes that the redundancy version determination should be based on clause 6.1.2.3 of 38.214 when repK-RV is provided.</w:t>
            </w:r>
          </w:p>
        </w:tc>
        <w:tc>
          <w:tcPr>
            <w:tcW w:w="1371" w:type="dxa"/>
          </w:tcPr>
          <w:p>
            <w:pPr>
              <w:widowControl w:val="0"/>
              <w:spacing w:after="0"/>
              <w:rPr>
                <w:rFonts w:hint="default"/>
                <w:sz w:val="22"/>
                <w:szCs w:val="22"/>
                <w:lang w:val="en-US" w:eastAsia="zh-CN"/>
              </w:rPr>
            </w:pPr>
            <w:r>
              <w:rPr>
                <w:rFonts w:hint="eastAsia"/>
                <w:sz w:val="22"/>
                <w:szCs w:val="22"/>
                <w:lang w:val="en-US" w:eastAsia="zh-CN"/>
              </w:rPr>
              <w:t>R1-2208624 vivo</w:t>
            </w:r>
          </w:p>
          <w:p>
            <w:pPr>
              <w:widowControl w:val="0"/>
              <w:spacing w:after="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3</w:t>
            </w:r>
          </w:p>
        </w:tc>
        <w:tc>
          <w:tcPr>
            <w:tcW w:w="7563" w:type="dxa"/>
          </w:tcPr>
          <w:p>
            <w:pPr>
              <w:widowControl w:val="0"/>
              <w:spacing w:after="0"/>
              <w:jc w:val="both"/>
              <w:rPr>
                <w:rFonts w:hint="default"/>
                <w:sz w:val="22"/>
                <w:szCs w:val="22"/>
                <w:lang w:val="en-US" w:eastAsia="zh-CN"/>
              </w:rPr>
            </w:pPr>
            <w:r>
              <w:rPr>
                <w:rFonts w:hint="eastAsia"/>
                <w:sz w:val="22"/>
                <w:szCs w:val="22"/>
                <w:lang w:val="en-US" w:eastAsia="zh-CN"/>
              </w:rPr>
              <w:t>Repetitions for CG-SDT</w:t>
            </w:r>
          </w:p>
          <w:p>
            <w:pPr>
              <w:widowControl w:val="0"/>
              <w:spacing w:after="0"/>
              <w:jc w:val="both"/>
              <w:rPr>
                <w:rFonts w:hint="default" w:eastAsiaTheme="minorEastAsia"/>
                <w:sz w:val="22"/>
                <w:szCs w:val="22"/>
                <w:lang w:val="en-US" w:eastAsia="zh-CN"/>
              </w:rPr>
            </w:pPr>
          </w:p>
          <w:p>
            <w:pPr>
              <w:widowControl w:val="0"/>
              <w:spacing w:after="0"/>
              <w:jc w:val="both"/>
              <w:rPr>
                <w:rFonts w:hint="default" w:eastAsiaTheme="minorEastAsia"/>
                <w:sz w:val="22"/>
                <w:szCs w:val="22"/>
                <w:lang w:val="en-US" w:eastAsia="zh-CN"/>
              </w:rPr>
            </w:pPr>
            <w:r>
              <w:rPr>
                <w:rFonts w:hint="default" w:eastAsiaTheme="minorEastAsia"/>
                <w:sz w:val="22"/>
                <w:szCs w:val="22"/>
                <w:lang w:val="en-US" w:eastAsia="zh-CN"/>
              </w:rPr>
              <w:t>In RAN1#110, in LS R1-2205736, RAN2 has the following reply on repetitions:</w:t>
            </w:r>
          </w:p>
          <w:p>
            <w:pPr>
              <w:widowControl w:val="0"/>
              <w:spacing w:after="0"/>
              <w:jc w:val="both"/>
              <w:rPr>
                <w:rFonts w:hint="default" w:eastAsiaTheme="minorEastAsia"/>
                <w:sz w:val="22"/>
                <w:szCs w:val="22"/>
                <w:lang w:val="en-US" w:eastAsia="zh-CN"/>
              </w:rPr>
            </w:pPr>
            <w:r>
              <w:rPr>
                <w:rFonts w:hint="default" w:eastAsiaTheme="minorEastAsia"/>
                <w:sz w:val="22"/>
                <w:szCs w:val="22"/>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p>
          <w:p>
            <w:pPr>
              <w:widowControl w:val="0"/>
              <w:spacing w:after="0"/>
              <w:jc w:val="both"/>
              <w:rPr>
                <w:rFonts w:hint="default" w:eastAsiaTheme="minorEastAsia"/>
                <w:sz w:val="22"/>
                <w:szCs w:val="22"/>
                <w:lang w:val="en-US" w:eastAsia="zh-CN"/>
              </w:rPr>
            </w:pPr>
            <w:r>
              <w:rPr>
                <w:rFonts w:hint="eastAsia"/>
                <w:sz w:val="22"/>
                <w:szCs w:val="22"/>
                <w:lang w:val="en-US" w:eastAsia="zh-CN"/>
              </w:rPr>
              <w:t xml:space="preserve">Therefore, ZTE, Xiaomi and Samsung propose to discuss how to capture </w:t>
            </w:r>
            <w:r>
              <w:rPr>
                <w:rFonts w:hint="default" w:eastAsiaTheme="minorEastAsia"/>
                <w:sz w:val="22"/>
                <w:szCs w:val="22"/>
                <w:lang w:val="en-US" w:eastAsia="zh-CN"/>
              </w:rPr>
              <w:t xml:space="preserve">repetitions </w:t>
            </w:r>
            <w:r>
              <w:rPr>
                <w:rFonts w:hint="eastAsia"/>
                <w:sz w:val="22"/>
                <w:szCs w:val="22"/>
                <w:lang w:val="en-US" w:eastAsia="zh-CN"/>
              </w:rPr>
              <w:t>in RAN1</w:t>
            </w:r>
            <w:r>
              <w:rPr>
                <w:rFonts w:hint="default" w:eastAsiaTheme="minorEastAsia"/>
                <w:sz w:val="22"/>
                <w:szCs w:val="22"/>
                <w:lang w:val="en-US" w:eastAsia="zh-CN"/>
              </w:rPr>
              <w:t xml:space="preserve"> </w:t>
            </w:r>
            <w:r>
              <w:rPr>
                <w:rFonts w:hint="eastAsia"/>
                <w:sz w:val="22"/>
                <w:szCs w:val="22"/>
                <w:lang w:val="en-US" w:eastAsia="zh-CN"/>
              </w:rPr>
              <w:t>spec.</w:t>
            </w:r>
          </w:p>
        </w:tc>
        <w:tc>
          <w:tcPr>
            <w:tcW w:w="1371" w:type="dxa"/>
          </w:tcPr>
          <w:p>
            <w:pPr>
              <w:widowControl w:val="0"/>
              <w:spacing w:after="0"/>
              <w:rPr>
                <w:rFonts w:hint="eastAsia"/>
                <w:sz w:val="22"/>
                <w:szCs w:val="22"/>
                <w:lang w:val="en-US" w:eastAsia="zh-CN"/>
              </w:rPr>
            </w:pPr>
            <w:r>
              <w:rPr>
                <w:rFonts w:hint="eastAsia"/>
                <w:sz w:val="22"/>
                <w:szCs w:val="22"/>
                <w:lang w:eastAsia="zh-CN"/>
              </w:rPr>
              <w:t>R1-</w:t>
            </w:r>
            <w:r>
              <w:rPr>
                <w:rFonts w:hint="eastAsia"/>
                <w:sz w:val="22"/>
                <w:szCs w:val="22"/>
                <w:lang w:val="en-US" w:eastAsia="zh-CN"/>
              </w:rPr>
              <w:t>2208711 ZTE</w:t>
            </w:r>
          </w:p>
          <w:p>
            <w:pPr>
              <w:widowControl w:val="0"/>
              <w:spacing w:after="0"/>
              <w:rPr>
                <w:rFonts w:hint="eastAsia"/>
                <w:sz w:val="22"/>
                <w:szCs w:val="22"/>
                <w:lang w:val="en-US" w:eastAsia="zh-CN"/>
              </w:rPr>
            </w:pPr>
            <w:r>
              <w:rPr>
                <w:rFonts w:hint="eastAsia"/>
                <w:sz w:val="22"/>
                <w:szCs w:val="22"/>
                <w:lang w:val="en-US" w:eastAsia="zh-CN"/>
              </w:rPr>
              <w:t>R1-2209710 Samsung</w:t>
            </w:r>
          </w:p>
          <w:p>
            <w:pPr>
              <w:widowControl w:val="0"/>
              <w:spacing w:after="0"/>
              <w:rPr>
                <w:rFonts w:hint="eastAsia"/>
                <w:sz w:val="22"/>
                <w:szCs w:val="22"/>
                <w:lang w:val="en-US" w:eastAsia="zh-CN"/>
              </w:rPr>
            </w:pPr>
            <w:r>
              <w:rPr>
                <w:rFonts w:hint="eastAsia"/>
                <w:sz w:val="22"/>
                <w:szCs w:val="22"/>
                <w:lang w:val="en-US" w:eastAsia="zh-CN"/>
              </w:rPr>
              <w:t>R1-2209711 Samsung</w:t>
            </w:r>
          </w:p>
          <w:p>
            <w:pPr>
              <w:widowControl w:val="0"/>
              <w:spacing w:after="0"/>
              <w:rPr>
                <w:rFonts w:hint="default"/>
                <w:sz w:val="22"/>
                <w:szCs w:val="22"/>
                <w:lang w:val="en-US" w:eastAsia="zh-CN"/>
              </w:rPr>
            </w:pPr>
            <w:r>
              <w:rPr>
                <w:rFonts w:hint="eastAsia"/>
                <w:sz w:val="22"/>
                <w:szCs w:val="22"/>
                <w:lang w:val="en-US"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4</w:t>
            </w:r>
          </w:p>
        </w:tc>
        <w:tc>
          <w:tcPr>
            <w:tcW w:w="7563" w:type="dxa"/>
          </w:tcPr>
          <w:p>
            <w:pPr>
              <w:widowControl w:val="0"/>
              <w:spacing w:after="0"/>
              <w:rPr>
                <w:rFonts w:hint="eastAsia"/>
                <w:sz w:val="22"/>
                <w:szCs w:val="22"/>
                <w:lang w:val="en-US" w:eastAsia="zh-CN"/>
              </w:rPr>
            </w:pPr>
            <w:r>
              <w:rPr>
                <w:rFonts w:hint="eastAsia"/>
                <w:sz w:val="22"/>
                <w:szCs w:val="22"/>
                <w:lang w:val="en-US" w:eastAsia="zh-CN"/>
              </w:rPr>
              <w:t>Editorial correction on parameter name</w:t>
            </w:r>
          </w:p>
          <w:p>
            <w:pPr>
              <w:widowControl w:val="0"/>
              <w:spacing w:after="0"/>
              <w:rPr>
                <w:rFonts w:hint="eastAsia"/>
                <w:sz w:val="22"/>
                <w:szCs w:val="22"/>
                <w:lang w:val="en-US" w:eastAsia="zh-CN"/>
              </w:rPr>
            </w:pPr>
          </w:p>
          <w:p>
            <w:pPr>
              <w:widowControl w:val="0"/>
              <w:spacing w:after="0"/>
              <w:rPr>
                <w:rFonts w:hint="default"/>
                <w:sz w:val="22"/>
                <w:szCs w:val="22"/>
                <w:lang w:val="en-US" w:eastAsia="zh-CN"/>
              </w:rPr>
            </w:pPr>
            <w:r>
              <w:rPr>
                <w:rFonts w:hint="default"/>
                <w:sz w:val="22"/>
                <w:szCs w:val="22"/>
                <w:lang w:val="en-US" w:eastAsia="zh-CN"/>
              </w:rPr>
              <w:t>Parameter name sdt-SSB-perCG-PUSCH in TS 38.213 in section 19.1 is not aligned with  TS 38.331.</w:t>
            </w:r>
          </w:p>
        </w:tc>
        <w:tc>
          <w:tcPr>
            <w:tcW w:w="1371" w:type="dxa"/>
          </w:tcPr>
          <w:p>
            <w:pPr>
              <w:widowControl w:val="0"/>
              <w:spacing w:after="0"/>
              <w:rPr>
                <w:rFonts w:hint="eastAsia"/>
                <w:sz w:val="22"/>
                <w:szCs w:val="22"/>
                <w:lang w:val="en-US" w:eastAsia="zh-CN"/>
              </w:rPr>
            </w:pPr>
            <w:r>
              <w:rPr>
                <w:rFonts w:hint="eastAsia"/>
                <w:sz w:val="22"/>
                <w:szCs w:val="22"/>
                <w:lang w:eastAsia="zh-CN"/>
              </w:rPr>
              <w:t>R1-</w:t>
            </w:r>
            <w:r>
              <w:rPr>
                <w:rFonts w:hint="eastAsia"/>
                <w:sz w:val="22"/>
                <w:szCs w:val="22"/>
                <w:lang w:val="en-US" w:eastAsia="zh-CN"/>
              </w:rPr>
              <w:t>2208712 ZTE</w:t>
            </w:r>
          </w:p>
          <w:p>
            <w:pPr>
              <w:widowControl w:val="0"/>
              <w:spacing w:after="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5</w:t>
            </w:r>
          </w:p>
        </w:tc>
        <w:tc>
          <w:tcPr>
            <w:tcW w:w="7563" w:type="dxa"/>
          </w:tcPr>
          <w:p>
            <w:pPr>
              <w:widowControl w:val="0"/>
              <w:spacing w:after="0"/>
              <w:rPr>
                <w:rFonts w:hint="default"/>
                <w:sz w:val="22"/>
                <w:szCs w:val="22"/>
                <w:lang w:val="en-US" w:eastAsia="zh-CN"/>
              </w:rPr>
            </w:pPr>
            <w:r>
              <w:rPr>
                <w:rFonts w:hint="eastAsia"/>
                <w:sz w:val="22"/>
                <w:szCs w:val="22"/>
                <w:lang w:val="en-US" w:eastAsia="zh-CN"/>
              </w:rPr>
              <w:t>Power offset of feature combination</w:t>
            </w:r>
          </w:p>
          <w:p>
            <w:pPr>
              <w:widowControl w:val="0"/>
              <w:spacing w:after="0"/>
              <w:rPr>
                <w:rFonts w:hint="default"/>
                <w:sz w:val="22"/>
                <w:szCs w:val="22"/>
                <w:lang w:val="en-US" w:eastAsia="zh-CN"/>
              </w:rPr>
            </w:pPr>
          </w:p>
          <w:p>
            <w:pPr>
              <w:widowControl w:val="0"/>
              <w:spacing w:after="0"/>
              <w:rPr>
                <w:rFonts w:hint="default"/>
                <w:sz w:val="22"/>
                <w:szCs w:val="22"/>
                <w:lang w:val="en-US" w:eastAsia="zh-CN"/>
              </w:rPr>
            </w:pPr>
            <w:r>
              <w:rPr>
                <w:rFonts w:hint="default"/>
                <w:sz w:val="22"/>
                <w:szCs w:val="22"/>
                <w:lang w:val="en-US" w:eastAsia="zh-CN"/>
              </w:rPr>
              <w:t xml:space="preserve">In the feature combination, power offset between Msg3 or MsgA-PUSCH and RACH preamble transmission namely deltaPreamble is introduced. If configured, this parameter overrides msg3-DeltaPreamble or msgA-DeltaPreamble. But in the current spec, this parameter is missing in TS 38.213, then the power determination of Msg3 and MsgA PUSCH in feature combination is incorrect. So </w:t>
            </w:r>
            <w:r>
              <w:rPr>
                <w:rFonts w:hint="eastAsia"/>
                <w:sz w:val="22"/>
                <w:szCs w:val="22"/>
                <w:lang w:val="en-US" w:eastAsia="zh-CN"/>
              </w:rPr>
              <w:t xml:space="preserve">ZTE proposes that </w:t>
            </w:r>
            <w:r>
              <w:rPr>
                <w:rFonts w:hint="default"/>
                <w:sz w:val="22"/>
                <w:szCs w:val="22"/>
                <w:lang w:val="en-US" w:eastAsia="zh-CN"/>
              </w:rPr>
              <w:t xml:space="preserve">parameter deltaPreamble should be captured in section 7.1.1. </w:t>
            </w:r>
          </w:p>
        </w:tc>
        <w:tc>
          <w:tcPr>
            <w:tcW w:w="1371" w:type="dxa"/>
          </w:tcPr>
          <w:p>
            <w:pPr>
              <w:widowControl w:val="0"/>
              <w:spacing w:after="0"/>
              <w:rPr>
                <w:rFonts w:hint="default"/>
                <w:sz w:val="22"/>
                <w:szCs w:val="22"/>
                <w:lang w:val="en-US" w:eastAsia="zh-CN"/>
              </w:rPr>
            </w:pPr>
            <w:r>
              <w:rPr>
                <w:rFonts w:hint="eastAsia"/>
                <w:sz w:val="22"/>
                <w:szCs w:val="22"/>
                <w:lang w:val="en-US" w:eastAsia="zh-CN"/>
              </w:rPr>
              <w:t>R1-2208713 ZTE</w:t>
            </w:r>
          </w:p>
          <w:p>
            <w:pPr>
              <w:widowControl w:val="0"/>
              <w:spacing w:after="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6</w:t>
            </w:r>
          </w:p>
        </w:tc>
        <w:tc>
          <w:tcPr>
            <w:tcW w:w="7563" w:type="dxa"/>
          </w:tcPr>
          <w:p>
            <w:pPr>
              <w:widowControl w:val="0"/>
              <w:spacing w:after="0"/>
              <w:rPr>
                <w:lang w:eastAsia="zh-CN"/>
              </w:rPr>
            </w:pPr>
            <w:r>
              <w:rPr>
                <w:lang w:eastAsia="zh-CN"/>
              </w:rPr>
              <w:t>QCL assumptio</w:t>
            </w:r>
            <w:r>
              <w:rPr>
                <w:rFonts w:hint="eastAsia"/>
                <w:lang w:eastAsia="zh-CN"/>
              </w:rPr>
              <w:t>n</w:t>
            </w:r>
            <w:r>
              <w:rPr>
                <w:lang w:eastAsia="zh-CN"/>
              </w:rPr>
              <w:t xml:space="preserve"> for DL reception during subsequent SDT procedure</w:t>
            </w:r>
          </w:p>
          <w:p>
            <w:pPr>
              <w:widowControl w:val="0"/>
              <w:spacing w:after="0"/>
              <w:rPr>
                <w:lang w:eastAsia="zh-CN"/>
              </w:rPr>
            </w:pPr>
          </w:p>
          <w:p>
            <w:pPr>
              <w:widowControl w:val="0"/>
              <w:spacing w:after="0"/>
              <w:rPr>
                <w:rFonts w:hint="default"/>
                <w:sz w:val="22"/>
                <w:szCs w:val="22"/>
                <w:lang w:val="en-US" w:eastAsia="zh-CN"/>
              </w:rPr>
            </w:pPr>
            <w:r>
              <w:rPr>
                <w:rFonts w:hint="eastAsia"/>
                <w:lang w:val="en-US" w:eastAsia="zh-CN"/>
              </w:rPr>
              <w:t>Xiaomi</w:t>
            </w:r>
            <w:r>
              <w:rPr>
                <w:lang w:eastAsia="zh-CN"/>
              </w:rPr>
              <w:t xml:space="preserve"> propose</w:t>
            </w:r>
            <w:r>
              <w:rPr>
                <w:rFonts w:hint="eastAsia"/>
                <w:lang w:val="en-US" w:eastAsia="zh-CN"/>
              </w:rPr>
              <w:t>s</w:t>
            </w:r>
            <w:r>
              <w:rPr>
                <w:lang w:eastAsia="zh-CN"/>
              </w:rPr>
              <w:t xml:space="preserve"> that the DL beam for </w:t>
            </w:r>
            <w:r>
              <w:rPr>
                <w:rFonts w:hint="eastAsia"/>
                <w:lang w:eastAsia="zh-CN"/>
              </w:rPr>
              <w:t>PDCCH</w:t>
            </w:r>
            <w:r>
              <w:rPr>
                <w:lang w:eastAsia="zh-CN"/>
              </w:rPr>
              <w:t xml:space="preserve"> and PDSCH reception can be changed along with the selected SSB for legacy RACH and the text in clause 19.1</w:t>
            </w:r>
            <w:r>
              <w:rPr>
                <w:rFonts w:hint="eastAsia"/>
                <w:lang w:val="en-US" w:eastAsia="zh-CN"/>
              </w:rPr>
              <w:t xml:space="preserve"> and 19.2</w:t>
            </w:r>
            <w:r>
              <w:rPr>
                <w:lang w:eastAsia="zh-CN"/>
              </w:rPr>
              <w:t xml:space="preserve"> for TS 38.213 can be changed</w:t>
            </w:r>
            <w:r>
              <w:rPr>
                <w:rFonts w:hint="eastAsia"/>
                <w:lang w:val="en-US" w:eastAsia="zh-CN"/>
              </w:rPr>
              <w:t>.</w:t>
            </w:r>
          </w:p>
        </w:tc>
        <w:tc>
          <w:tcPr>
            <w:tcW w:w="1371" w:type="dxa"/>
          </w:tcPr>
          <w:p>
            <w:pPr>
              <w:widowControl w:val="0"/>
              <w:spacing w:after="0"/>
              <w:rPr>
                <w:rFonts w:hint="eastAsia"/>
                <w:sz w:val="22"/>
                <w:szCs w:val="22"/>
                <w:lang w:val="en-US" w:eastAsia="zh-CN"/>
              </w:rPr>
            </w:pPr>
            <w:r>
              <w:rPr>
                <w:rFonts w:hint="eastAsia"/>
                <w:sz w:val="22"/>
                <w:szCs w:val="22"/>
                <w:lang w:val="en-US" w:eastAsia="zh-CN"/>
              </w:rPr>
              <w:t>R1-2209255 Xiaomi</w:t>
            </w:r>
          </w:p>
          <w:p>
            <w:pPr>
              <w:widowControl w:val="0"/>
              <w:spacing w:after="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7</w:t>
            </w:r>
          </w:p>
        </w:tc>
        <w:tc>
          <w:tcPr>
            <w:tcW w:w="7563" w:type="dxa"/>
          </w:tcPr>
          <w:p>
            <w:pPr>
              <w:widowControl w:val="0"/>
              <w:spacing w:after="0"/>
              <w:rPr>
                <w:rFonts w:hint="eastAsia"/>
                <w:sz w:val="22"/>
                <w:szCs w:val="22"/>
                <w:lang w:val="en-US" w:eastAsia="zh-CN"/>
              </w:rPr>
            </w:pPr>
            <w:r>
              <w:rPr>
                <w:rFonts w:hint="eastAsia"/>
                <w:sz w:val="22"/>
                <w:szCs w:val="22"/>
                <w:lang w:val="en-US" w:eastAsia="zh-CN"/>
              </w:rPr>
              <w:t>Collision handling between valid PO and DL resources for HD-FDD UEs</w:t>
            </w:r>
          </w:p>
          <w:p>
            <w:pPr>
              <w:widowControl w:val="0"/>
              <w:spacing w:after="0"/>
              <w:rPr>
                <w:rFonts w:hint="default"/>
                <w:sz w:val="22"/>
                <w:szCs w:val="22"/>
                <w:lang w:val="en-US" w:eastAsia="zh-CN"/>
              </w:rPr>
            </w:pPr>
          </w:p>
          <w:p>
            <w:pPr>
              <w:widowControl w:val="0"/>
              <w:spacing w:after="0"/>
              <w:rPr>
                <w:rFonts w:hint="eastAsia"/>
                <w:sz w:val="22"/>
                <w:szCs w:val="22"/>
                <w:lang w:val="en-US" w:eastAsia="zh-CN"/>
              </w:rPr>
            </w:pPr>
          </w:p>
          <w:p>
            <w:pPr>
              <w:widowControl w:val="0"/>
              <w:spacing w:after="0"/>
              <w:rPr>
                <w:rFonts w:hint="default"/>
                <w:sz w:val="22"/>
                <w:szCs w:val="22"/>
                <w:lang w:val="en-US" w:eastAsia="zh-CN"/>
              </w:rPr>
            </w:pPr>
            <w:r>
              <w:rPr>
                <w:rFonts w:hint="eastAsia"/>
                <w:sz w:val="22"/>
                <w:szCs w:val="22"/>
                <w:lang w:val="en-US" w:eastAsia="zh-CN"/>
              </w:rPr>
              <w:t>For RedCap UE supporting SDT, if valid CG-SDT resource overlaps with DL resource, Xiaomi proposes to discuss the collision handling rule.</w:t>
            </w:r>
          </w:p>
        </w:tc>
        <w:tc>
          <w:tcPr>
            <w:tcW w:w="1371" w:type="dxa"/>
          </w:tcPr>
          <w:p>
            <w:pPr>
              <w:widowControl w:val="0"/>
              <w:spacing w:after="0"/>
              <w:rPr>
                <w:rFonts w:hint="eastAsia"/>
                <w:sz w:val="22"/>
                <w:szCs w:val="22"/>
                <w:lang w:val="en-US" w:eastAsia="zh-CN"/>
              </w:rPr>
            </w:pPr>
            <w:r>
              <w:rPr>
                <w:rFonts w:hint="eastAsia"/>
                <w:sz w:val="22"/>
                <w:szCs w:val="22"/>
                <w:lang w:val="en-US" w:eastAsia="zh-CN"/>
              </w:rPr>
              <w:t>R1-2209255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tcPr>
          <w:p>
            <w:pPr>
              <w:widowControl w:val="0"/>
              <w:spacing w:after="0"/>
              <w:rPr>
                <w:rFonts w:hint="default"/>
                <w:sz w:val="22"/>
                <w:szCs w:val="22"/>
                <w:lang w:val="en-US" w:eastAsia="zh-CN"/>
              </w:rPr>
            </w:pPr>
            <w:r>
              <w:rPr>
                <w:rFonts w:hint="eastAsia"/>
                <w:sz w:val="22"/>
                <w:szCs w:val="22"/>
                <w:lang w:val="en-US" w:eastAsia="zh-CN"/>
              </w:rPr>
              <w:t>8</w:t>
            </w:r>
          </w:p>
        </w:tc>
        <w:tc>
          <w:tcPr>
            <w:tcW w:w="7563" w:type="dxa"/>
          </w:tcPr>
          <w:p>
            <w:pPr>
              <w:widowControl w:val="0"/>
              <w:spacing w:after="0"/>
              <w:rPr>
                <w:rFonts w:hint="eastAsia"/>
                <w:lang w:val="en-US" w:eastAsia="zh-CN"/>
              </w:rPr>
            </w:pPr>
            <w:r>
              <w:rPr>
                <w:rFonts w:hint="eastAsia"/>
                <w:lang w:val="en-US" w:eastAsia="zh-CN"/>
              </w:rPr>
              <w:t>Paging monitoring for RedCap UE in separate BWP</w:t>
            </w:r>
          </w:p>
          <w:p>
            <w:pPr>
              <w:widowControl w:val="0"/>
              <w:spacing w:after="0"/>
              <w:rPr>
                <w:rFonts w:hint="eastAsia"/>
                <w:lang w:val="en-US" w:eastAsia="zh-CN"/>
              </w:rPr>
            </w:pPr>
          </w:p>
          <w:p>
            <w:pPr>
              <w:pStyle w:val="48"/>
              <w:widowControl w:val="0"/>
              <w:spacing w:before="120"/>
              <w:rPr>
                <w:i w:val="0"/>
                <w:iCs/>
                <w:lang w:eastAsia="zh-CN"/>
              </w:rPr>
            </w:pPr>
            <w:r>
              <w:rPr>
                <w:rFonts w:hint="eastAsia"/>
                <w:sz w:val="22"/>
                <w:szCs w:val="22"/>
                <w:lang w:val="en-US" w:eastAsia="zh-CN"/>
              </w:rPr>
              <w:t>Huawei proposes that i</w:t>
            </w:r>
            <w:r>
              <w:rPr>
                <w:i w:val="0"/>
                <w:iCs/>
                <w:lang w:eastAsia="zh-CN"/>
              </w:rPr>
              <w:t>f separate initial BWP does not include CD-SSB and CORESET#0, but is configured for SDT</w:t>
            </w:r>
            <w:r>
              <w:rPr>
                <w:rFonts w:hint="eastAsia"/>
                <w:i w:val="0"/>
                <w:iCs/>
                <w:lang w:eastAsia="zh-CN"/>
              </w:rPr>
              <w:t>,</w:t>
            </w:r>
            <w:r>
              <w:rPr>
                <w:i w:val="0"/>
                <w:iCs/>
                <w:lang w:eastAsia="zh-CN"/>
              </w:rPr>
              <w:t xml:space="preserve"> a UE does not expect to be scheduled on the BWP during paging/SI update indication monitoring procedure and during CG-SDT resource verifying procedure.</w:t>
            </w:r>
          </w:p>
          <w:p>
            <w:pPr>
              <w:pStyle w:val="48"/>
              <w:widowControl w:val="0"/>
              <w:numPr>
                <w:ilvl w:val="0"/>
                <w:numId w:val="0"/>
              </w:numPr>
              <w:spacing w:before="120"/>
              <w:ind w:left="420" w:leftChars="0"/>
              <w:jc w:val="both"/>
              <w:rPr>
                <w:b/>
                <w:i w:val="0"/>
                <w:iCs/>
                <w:lang w:eastAsia="zh-CN"/>
              </w:rPr>
            </w:pPr>
            <w:r>
              <w:rPr>
                <w:i w:val="0"/>
                <w:iCs/>
                <w:lang w:eastAsia="zh-CN"/>
              </w:rPr>
              <w:t>The BWP paging/SI update indication monitoring procedure may include every paging monitoring occasions, SSB acquisition time, the possible retuning time, the time between the paging and the updated SI.</w:t>
            </w:r>
          </w:p>
          <w:p>
            <w:pPr>
              <w:pStyle w:val="48"/>
              <w:widowControl w:val="0"/>
              <w:numPr>
                <w:ilvl w:val="0"/>
                <w:numId w:val="0"/>
              </w:numPr>
              <w:spacing w:before="120"/>
              <w:ind w:left="420" w:leftChars="0"/>
              <w:rPr>
                <w:b/>
                <w:i w:val="0"/>
                <w:iCs/>
                <w:lang w:eastAsia="zh-CN"/>
              </w:rPr>
            </w:pPr>
            <w:r>
              <w:rPr>
                <w:i w:val="0"/>
                <w:iCs/>
                <w:lang w:eastAsia="zh-CN"/>
              </w:rPr>
              <w:t>The CG-SDT resource verifying procedure may include SSB transmission time before every CG resources and the possible retuning time.</w:t>
            </w:r>
          </w:p>
          <w:p>
            <w:pPr>
              <w:widowControl w:val="0"/>
              <w:spacing w:after="0"/>
              <w:rPr>
                <w:rFonts w:hint="default"/>
                <w:sz w:val="22"/>
                <w:szCs w:val="22"/>
                <w:lang w:val="en-US" w:eastAsia="zh-CN"/>
              </w:rPr>
            </w:pPr>
          </w:p>
        </w:tc>
        <w:tc>
          <w:tcPr>
            <w:tcW w:w="1371" w:type="dxa"/>
          </w:tcPr>
          <w:p>
            <w:pPr>
              <w:widowControl w:val="0"/>
              <w:spacing w:after="0"/>
              <w:rPr>
                <w:rFonts w:hint="default"/>
                <w:sz w:val="22"/>
                <w:szCs w:val="22"/>
                <w:lang w:val="en-US" w:eastAsia="zh-CN"/>
              </w:rPr>
            </w:pPr>
            <w:r>
              <w:rPr>
                <w:rFonts w:hint="eastAsia"/>
                <w:sz w:val="22"/>
                <w:szCs w:val="22"/>
                <w:lang w:val="en-US" w:eastAsia="zh-CN"/>
              </w:rPr>
              <w:t>R1-2209831 Huawei</w:t>
            </w:r>
          </w:p>
        </w:tc>
      </w:tr>
    </w:tbl>
    <w:p/>
    <w:p>
      <w:pPr>
        <w:pStyle w:val="131"/>
        <w:spacing w:after="60" w:afterAutospacing="0"/>
        <w:ind w:firstLine="0"/>
        <w:rPr>
          <w:sz w:val="22"/>
          <w:szCs w:val="22"/>
          <w:lang w:val="en-US"/>
        </w:rPr>
      </w:pPr>
      <w:r>
        <w:rPr>
          <w:rFonts w:hint="eastAsia" w:eastAsia="宋体"/>
          <w:sz w:val="22"/>
          <w:szCs w:val="22"/>
          <w:lang w:val="en-US" w:eastAsia="zh-CN"/>
        </w:rPr>
        <w:t xml:space="preserve">To identify the essential issues, please provide your assessment </w:t>
      </w:r>
      <w:r>
        <w:rPr>
          <w:rFonts w:hint="default" w:eastAsia="宋体"/>
          <w:sz w:val="22"/>
          <w:szCs w:val="22"/>
          <w:lang w:val="en-US" w:eastAsia="zh-CN"/>
        </w:rPr>
        <w:t>“</w:t>
      </w:r>
      <w:r>
        <w:rPr>
          <w:rFonts w:hint="eastAsia" w:eastAsia="宋体"/>
          <w:sz w:val="22"/>
          <w:szCs w:val="22"/>
          <w:lang w:val="en-US" w:eastAsia="zh-CN"/>
        </w:rPr>
        <w:t>H/N/E</w:t>
      </w:r>
      <w:r>
        <w:rPr>
          <w:rFonts w:hint="default" w:eastAsia="宋体"/>
          <w:sz w:val="22"/>
          <w:szCs w:val="22"/>
          <w:lang w:val="en-US" w:eastAsia="zh-CN"/>
        </w:rPr>
        <w:t>”</w:t>
      </w:r>
      <w:r>
        <w:rPr>
          <w:rFonts w:hint="eastAsia" w:eastAsia="宋体"/>
          <w:sz w:val="22"/>
          <w:szCs w:val="22"/>
          <w:lang w:val="en-US" w:eastAsia="zh-CN"/>
        </w:rPr>
        <w:t xml:space="preserve"> on these maintenance issues</w:t>
      </w:r>
      <w:r>
        <w:rPr>
          <w:sz w:val="22"/>
          <w:szCs w:val="22"/>
          <w:lang w:val="en-US"/>
        </w:rPr>
        <w:t xml:space="preserve"> </w:t>
      </w:r>
      <w:r>
        <w:rPr>
          <w:rFonts w:hint="eastAsia" w:eastAsia="宋体"/>
          <w:sz w:val="22"/>
          <w:szCs w:val="22"/>
          <w:lang w:val="en-US" w:eastAsia="zh-CN"/>
        </w:rPr>
        <w:t xml:space="preserve">with </w:t>
      </w:r>
      <w:r>
        <w:rPr>
          <w:sz w:val="22"/>
          <w:szCs w:val="22"/>
          <w:lang w:val="en-US"/>
        </w:rPr>
        <w:t>the following classification:</w:t>
      </w:r>
    </w:p>
    <w:p>
      <w:pPr>
        <w:pStyle w:val="131"/>
        <w:numPr>
          <w:ilvl w:val="0"/>
          <w:numId w:val="10"/>
        </w:numPr>
        <w:spacing w:after="60" w:afterAutospacing="0"/>
        <w:rPr>
          <w:sz w:val="22"/>
          <w:szCs w:val="22"/>
          <w:lang w:val="en-US"/>
        </w:rPr>
      </w:pPr>
      <w:r>
        <w:rPr>
          <w:i/>
          <w:sz w:val="22"/>
          <w:szCs w:val="22"/>
          <w:lang w:val="en-US"/>
        </w:rPr>
        <w:t xml:space="preserve">High priority (H): </w:t>
      </w:r>
      <w:r>
        <w:rPr>
          <w:sz w:val="22"/>
          <w:szCs w:val="22"/>
          <w:lang w:val="en-US"/>
        </w:rPr>
        <w:t>high-priority item (essential, pending issues, broken spec components) and proposed editorial changes that either enhance the clarity of the specs or correct mistakes</w:t>
      </w:r>
    </w:p>
    <w:p>
      <w:pPr>
        <w:pStyle w:val="131"/>
        <w:numPr>
          <w:ilvl w:val="0"/>
          <w:numId w:val="10"/>
        </w:numPr>
        <w:spacing w:after="60" w:afterAutospacing="0"/>
        <w:rPr>
          <w:sz w:val="22"/>
          <w:szCs w:val="22"/>
          <w:lang w:val="en-US"/>
        </w:rPr>
      </w:pPr>
      <w:r>
        <w:rPr>
          <w:i/>
          <w:sz w:val="22"/>
          <w:szCs w:val="22"/>
          <w:lang w:val="en-US"/>
        </w:rPr>
        <w:t>Non-essential (N)</w:t>
      </w:r>
      <w:r>
        <w:rPr>
          <w:sz w:val="22"/>
          <w:szCs w:val="22"/>
          <w:lang w:val="en-US"/>
        </w:rPr>
        <w:t xml:space="preserve">: all other purposes such as spec optimization and low priority issues  </w:t>
      </w:r>
    </w:p>
    <w:p>
      <w:pPr>
        <w:pStyle w:val="131"/>
        <w:numPr>
          <w:ilvl w:val="0"/>
          <w:numId w:val="10"/>
        </w:numPr>
        <w:spacing w:after="60" w:afterAutospacing="0"/>
      </w:pPr>
      <w:r>
        <w:rPr>
          <w:i/>
          <w:sz w:val="22"/>
          <w:szCs w:val="22"/>
          <w:lang w:val="en-US"/>
        </w:rPr>
        <w:t>Editorial (E)</w:t>
      </w:r>
      <w:r>
        <w:rPr>
          <w:sz w:val="22"/>
          <w:szCs w:val="22"/>
          <w:lang w:val="en-US"/>
        </w:rPr>
        <w:t>: editorial issues that will be handled as editorial CRs (to be communicated to the editors/chairs)</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995"/>
        <w:gridCol w:w="995"/>
        <w:gridCol w:w="995"/>
        <w:gridCol w:w="995"/>
        <w:gridCol w:w="995"/>
        <w:gridCol w:w="995"/>
        <w:gridCol w:w="99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Pr>
          <w:p>
            <w:pPr>
              <w:widowControl w:val="0"/>
              <w:rPr>
                <w:rFonts w:hint="default"/>
                <w:lang w:val="en-US" w:eastAsia="zh-CN"/>
              </w:rPr>
            </w:pPr>
            <w:r>
              <w:rPr>
                <w:rFonts w:hint="eastAsia"/>
                <w:lang w:val="en-US" w:eastAsia="zh-CN"/>
              </w:rPr>
              <w:t xml:space="preserve">Company </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Issue#1</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Issue#2</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Issue#3</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Issue#4</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Issue#5</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Issue#6</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Issue#7</w:t>
            </w:r>
          </w:p>
        </w:tc>
        <w:tc>
          <w:tcPr>
            <w:tcW w:w="522" w:type="pct"/>
          </w:tcPr>
          <w:p>
            <w:pPr>
              <w:widowControl w:val="0"/>
              <w:rPr>
                <w:rFonts w:hint="default" w:ascii="Times New Roman" w:hAnsi="Times New Roman" w:cs="Times New Roman"/>
                <w:lang w:val="en-US" w:eastAsia="zh-CN"/>
              </w:rPr>
            </w:pPr>
            <w:r>
              <w:rPr>
                <w:rFonts w:hint="eastAsia" w:ascii="Times New Roman" w:hAnsi="Times New Roman" w:cs="Times New Roman"/>
                <w:lang w:val="en-US" w:eastAsia="zh-CN"/>
              </w:rPr>
              <w:t>Issue#8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Pr>
          <w:p>
            <w:pPr>
              <w:widowControl w:val="0"/>
              <w:rPr>
                <w:rFonts w:hint="eastAsia"/>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Pr>
          <w:p>
            <w:pPr>
              <w:widowControl w:val="0"/>
              <w:rPr>
                <w:rFonts w:hint="eastAsia"/>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Pr>
          <w:p>
            <w:pPr>
              <w:widowControl w:val="0"/>
              <w:rPr>
                <w:rFonts w:hint="eastAsia"/>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Pr>
          <w:p>
            <w:pPr>
              <w:widowControl w:val="0"/>
              <w:rPr>
                <w:rFonts w:hint="eastAsia"/>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c>
          <w:tcPr>
            <w:tcW w:w="522" w:type="pct"/>
          </w:tcPr>
          <w:p>
            <w:pPr>
              <w:widowControl w:val="0"/>
              <w:rPr>
                <w:rFonts w:hint="eastAsia" w:ascii="Times New Roman" w:hAnsi="Times New Roman" w:cs="Times New Roman"/>
                <w:lang w:eastAsia="zh-CN"/>
              </w:rPr>
            </w:pPr>
          </w:p>
        </w:tc>
      </w:tr>
    </w:tbl>
    <w:p>
      <w:pPr>
        <w:pStyle w:val="58"/>
        <w:spacing w:after="0"/>
        <w:ind w:left="0"/>
        <w:rPr>
          <w:lang w:eastAsia="zh-CN"/>
        </w:rPr>
      </w:pPr>
    </w:p>
    <w:p/>
    <w:p>
      <w:r>
        <w:t>Any other 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pPr>
          </w:p>
        </w:tc>
      </w:tr>
    </w:tbl>
    <w:p/>
    <w:p/>
    <w:p>
      <w:pPr>
        <w:pStyle w:val="2"/>
      </w:pPr>
      <w:r>
        <w:t>Summary</w:t>
      </w:r>
    </w:p>
    <w:p>
      <w:pPr>
        <w:pStyle w:val="58"/>
        <w:spacing w:after="0"/>
        <w:ind w:left="0"/>
        <w:rPr>
          <w:lang w:eastAsia="zh-CN"/>
        </w:rPr>
      </w:pPr>
      <w:r>
        <w:rPr>
          <w:lang w:eastAsia="zh-CN"/>
        </w:rPr>
        <w:t>The outcome of email discussion will be updated later.</w:t>
      </w:r>
    </w:p>
    <w:p/>
    <w:p/>
    <w:p>
      <w:pPr>
        <w:pStyle w:val="2"/>
      </w:pPr>
      <w:r>
        <w:rPr>
          <w:rFonts w:hint="eastAsia"/>
        </w:rPr>
        <w:t>References</w:t>
      </w:r>
    </w:p>
    <w:p>
      <w:pPr>
        <w:pStyle w:val="58"/>
        <w:numPr>
          <w:ilvl w:val="0"/>
          <w:numId w:val="11"/>
        </w:numPr>
      </w:pPr>
      <w:r>
        <w:fldChar w:fldCharType="begin"/>
      </w:r>
      <w:r>
        <w:instrText xml:space="preserve">HYPERLINK "../../Docs/R1-2208623.zip"</w:instrText>
      </w:r>
      <w:r>
        <w:fldChar w:fldCharType="separate"/>
      </w:r>
      <w:r>
        <w:t>R1-2208623</w:t>
      </w:r>
      <w:r>
        <w:fldChar w:fldCharType="end"/>
      </w:r>
      <w:r>
        <w:tab/>
      </w:r>
      <w:r>
        <w:t>Remaining issues for NR small data transmissions in RRC INACTIVE state</w:t>
      </w:r>
      <w:r>
        <w:tab/>
      </w:r>
      <w:r>
        <w:t>vivo</w:t>
      </w:r>
    </w:p>
    <w:p>
      <w:pPr>
        <w:pStyle w:val="58"/>
        <w:numPr>
          <w:ilvl w:val="0"/>
          <w:numId w:val="11"/>
        </w:numPr>
      </w:pPr>
      <w:r>
        <w:fldChar w:fldCharType="begin"/>
      </w:r>
      <w:r>
        <w:instrText xml:space="preserve">HYPERLINK "../../Docs/R1-2208624.zip"</w:instrText>
      </w:r>
      <w:r>
        <w:fldChar w:fldCharType="separate"/>
      </w:r>
      <w:r>
        <w:t>R1-2208624</w:t>
      </w:r>
      <w:r>
        <w:fldChar w:fldCharType="end"/>
      </w:r>
      <w:r>
        <w:tab/>
      </w:r>
      <w:r>
        <w:t>Corrections of reduncancy version of repeated CG PUSCH for SDT</w:t>
      </w:r>
      <w:r>
        <w:tab/>
      </w:r>
      <w:r>
        <w:t>vivo</w:t>
      </w:r>
    </w:p>
    <w:p>
      <w:pPr>
        <w:pStyle w:val="58"/>
        <w:numPr>
          <w:ilvl w:val="0"/>
          <w:numId w:val="11"/>
        </w:numPr>
      </w:pPr>
      <w:r>
        <w:fldChar w:fldCharType="begin"/>
      </w:r>
      <w:r>
        <w:instrText xml:space="preserve">HYPERLINK "../../Docs/R1-2208711.zip"</w:instrText>
      </w:r>
      <w:r>
        <w:fldChar w:fldCharType="separate"/>
      </w:r>
      <w:r>
        <w:t>R1-2208711</w:t>
      </w:r>
      <w:r>
        <w:fldChar w:fldCharType="end"/>
      </w:r>
      <w:r>
        <w:tab/>
      </w:r>
      <w:r>
        <w:t>Correction on repetitions for CG-SDT</w:t>
      </w:r>
      <w:r>
        <w:tab/>
      </w:r>
      <w:r>
        <w:t>ZTE, Sanechips</w:t>
      </w:r>
    </w:p>
    <w:p>
      <w:pPr>
        <w:pStyle w:val="58"/>
        <w:numPr>
          <w:ilvl w:val="0"/>
          <w:numId w:val="11"/>
        </w:numPr>
      </w:pPr>
      <w:r>
        <w:fldChar w:fldCharType="begin"/>
      </w:r>
      <w:r>
        <w:instrText xml:space="preserve">HYPERLINK "../../Docs/R1-2208712.zip"</w:instrText>
      </w:r>
      <w:r>
        <w:fldChar w:fldCharType="separate"/>
      </w:r>
      <w:r>
        <w:t>R1-2208712</w:t>
      </w:r>
      <w:r>
        <w:fldChar w:fldCharType="end"/>
      </w:r>
      <w:r>
        <w:tab/>
      </w:r>
      <w:r>
        <w:t>Correction on SSB subset for CG-SDT</w:t>
      </w:r>
      <w:r>
        <w:tab/>
      </w:r>
      <w:r>
        <w:t>ZTE, Sanechips</w:t>
      </w:r>
    </w:p>
    <w:p>
      <w:pPr>
        <w:pStyle w:val="58"/>
        <w:numPr>
          <w:ilvl w:val="0"/>
          <w:numId w:val="11"/>
        </w:numPr>
      </w:pPr>
      <w:r>
        <w:fldChar w:fldCharType="begin"/>
      </w:r>
      <w:r>
        <w:instrText xml:space="preserve">HYPERLINK "../../Docs/R1-2208713.zip"</w:instrText>
      </w:r>
      <w:r>
        <w:fldChar w:fldCharType="separate"/>
      </w:r>
      <w:r>
        <w:t>R1-2208</w:t>
      </w:r>
      <w:bookmarkStart w:id="3" w:name="_Hlt115865779"/>
      <w:r>
        <w:t>7</w:t>
      </w:r>
      <w:bookmarkEnd w:id="3"/>
      <w:r>
        <w:t>13</w:t>
      </w:r>
      <w:r>
        <w:fldChar w:fldCharType="end"/>
      </w:r>
      <w:r>
        <w:tab/>
      </w:r>
      <w:r>
        <w:t>Correction on deltapreamble of feature combination</w:t>
      </w:r>
      <w:r>
        <w:tab/>
      </w:r>
      <w:r>
        <w:t>ZTE, Sanechips</w:t>
      </w:r>
    </w:p>
    <w:p>
      <w:pPr>
        <w:pStyle w:val="58"/>
        <w:numPr>
          <w:ilvl w:val="0"/>
          <w:numId w:val="11"/>
        </w:numPr>
      </w:pPr>
      <w:r>
        <w:fldChar w:fldCharType="begin"/>
      </w:r>
      <w:r>
        <w:instrText xml:space="preserve">HYPERLINK "../../Docs/R1-2209710.zip"</w:instrText>
      </w:r>
      <w:r>
        <w:fldChar w:fldCharType="separate"/>
      </w:r>
      <w:r>
        <w:t>R1-2209710</w:t>
      </w:r>
      <w:r>
        <w:fldChar w:fldCharType="end"/>
      </w:r>
      <w:r>
        <w:tab/>
      </w:r>
      <w:r>
        <w:t>Discussion on the repetition aspect for SDT in active state</w:t>
      </w:r>
      <w:r>
        <w:tab/>
      </w:r>
      <w:r>
        <w:t>Samsung</w:t>
      </w:r>
    </w:p>
    <w:p>
      <w:pPr>
        <w:pStyle w:val="58"/>
        <w:numPr>
          <w:ilvl w:val="0"/>
          <w:numId w:val="11"/>
        </w:numPr>
      </w:pPr>
      <w:r>
        <w:fldChar w:fldCharType="begin"/>
      </w:r>
      <w:r>
        <w:instrText xml:space="preserve">HYPERLINK "../../Docs/R1-2209711.zip"</w:instrText>
      </w:r>
      <w:r>
        <w:fldChar w:fldCharType="separate"/>
      </w:r>
      <w:r>
        <w:t>R1-2209711</w:t>
      </w:r>
      <w:r>
        <w:fldChar w:fldCharType="end"/>
      </w:r>
      <w:r>
        <w:tab/>
      </w:r>
      <w:r>
        <w:t>Draft CR for the repetition aspect for SDT in active state</w:t>
      </w:r>
      <w:r>
        <w:tab/>
      </w:r>
      <w:r>
        <w:t>Samsung</w:t>
      </w:r>
    </w:p>
    <w:p>
      <w:pPr>
        <w:pStyle w:val="58"/>
        <w:numPr>
          <w:ilvl w:val="0"/>
          <w:numId w:val="11"/>
        </w:numPr>
      </w:pPr>
      <w:r>
        <w:fldChar w:fldCharType="begin"/>
      </w:r>
      <w:r>
        <w:instrText xml:space="preserve">HYPERLINK "../../Docs/R1-2209255.zip"</w:instrText>
      </w:r>
      <w:r>
        <w:fldChar w:fldCharType="separate"/>
      </w:r>
      <w:r>
        <w:t>R1-2209255</w:t>
      </w:r>
      <w:r>
        <w:fldChar w:fldCharType="end"/>
      </w:r>
      <w:r>
        <w:tab/>
      </w:r>
      <w:r>
        <w:t>Discussion on physical layer aspects of small data transmission</w:t>
      </w:r>
      <w:r>
        <w:tab/>
      </w:r>
      <w:r>
        <w:t>xiaomi</w:t>
      </w:r>
    </w:p>
    <w:p>
      <w:pPr>
        <w:pStyle w:val="58"/>
        <w:numPr>
          <w:ilvl w:val="0"/>
          <w:numId w:val="11"/>
        </w:numPr>
      </w:pPr>
      <w:r>
        <w:fldChar w:fldCharType="begin"/>
      </w:r>
      <w:r>
        <w:instrText xml:space="preserve">HYPERLINK "../../Docs/R1-2209831.zip"</w:instrText>
      </w:r>
      <w:r>
        <w:fldChar w:fldCharType="separate"/>
      </w:r>
      <w:r>
        <w:t>R1-2209831</w:t>
      </w:r>
      <w:r>
        <w:fldChar w:fldCharType="end"/>
      </w:r>
      <w:r>
        <w:tab/>
      </w:r>
      <w:r>
        <w:t>Remaining issues on paging monitoring and measurement during SDT procedure</w:t>
      </w:r>
      <w:r>
        <w:tab/>
      </w:r>
      <w:r>
        <w:t>Huawei, HiSilicon</w:t>
      </w:r>
    </w:p>
    <w:p/>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바탕">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3">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6">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83679F6"/>
    <w:multiLevelType w:val="multilevel"/>
    <w:tmpl w:val="783679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B692CAB"/>
    <w:multiLevelType w:val="multilevel"/>
    <w:tmpl w:val="7B692CAB"/>
    <w:lvl w:ilvl="0" w:tentative="0">
      <w:start w:val="0"/>
      <w:numFmt w:val="bullet"/>
      <w:lvlText w:val="-"/>
      <w:lvlJc w:val="left"/>
      <w:pPr>
        <w:ind w:left="720" w:hanging="360"/>
      </w:pPr>
      <w:rPr>
        <w:rFonts w:hint="default" w:ascii="Times" w:hAnsi="Times" w:eastAsia="바탕"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6"/>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6D97"/>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0F9254B7"/>
    <w:rsid w:val="0F9E7C02"/>
    <w:rsid w:val="10063DF9"/>
    <w:rsid w:val="10707EAF"/>
    <w:rsid w:val="10A3332A"/>
    <w:rsid w:val="113443A3"/>
    <w:rsid w:val="115A429F"/>
    <w:rsid w:val="11E52227"/>
    <w:rsid w:val="12053C95"/>
    <w:rsid w:val="134A37A1"/>
    <w:rsid w:val="134F39AB"/>
    <w:rsid w:val="14773BEF"/>
    <w:rsid w:val="148960EF"/>
    <w:rsid w:val="14F4091D"/>
    <w:rsid w:val="15CC0182"/>
    <w:rsid w:val="16366BFE"/>
    <w:rsid w:val="16B74A82"/>
    <w:rsid w:val="16ED6395"/>
    <w:rsid w:val="172C3DB9"/>
    <w:rsid w:val="173338EB"/>
    <w:rsid w:val="192A4C7C"/>
    <w:rsid w:val="1B2841DB"/>
    <w:rsid w:val="1B3809EA"/>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9147CB"/>
    <w:rsid w:val="30FF1FDF"/>
    <w:rsid w:val="31823271"/>
    <w:rsid w:val="3200273E"/>
    <w:rsid w:val="321A5DA3"/>
    <w:rsid w:val="33965ECA"/>
    <w:rsid w:val="33F2321A"/>
    <w:rsid w:val="35CB2AED"/>
    <w:rsid w:val="36222D91"/>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4EA24433"/>
    <w:rsid w:val="50C53878"/>
    <w:rsid w:val="51066E6C"/>
    <w:rsid w:val="51A25068"/>
    <w:rsid w:val="51D7281A"/>
    <w:rsid w:val="530E463F"/>
    <w:rsid w:val="53756032"/>
    <w:rsid w:val="547B5D00"/>
    <w:rsid w:val="551C7329"/>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6FE33D1"/>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49F16E0"/>
    <w:rsid w:val="754751CB"/>
    <w:rsid w:val="75881504"/>
    <w:rsid w:val="75AE6F11"/>
    <w:rsid w:val="76342546"/>
    <w:rsid w:val="771871D7"/>
    <w:rsid w:val="78F23C5E"/>
    <w:rsid w:val="793167C9"/>
    <w:rsid w:val="796A3FE6"/>
    <w:rsid w:val="7AA01F21"/>
    <w:rsid w:val="7AC4201B"/>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1"/>
    <w:next w:val="1"/>
    <w:link w:val="141"/>
    <w:qFormat/>
    <w:uiPriority w:val="0"/>
    <w:pPr>
      <w:tabs>
        <w:tab w:val="left" w:pos="432"/>
      </w:tabs>
      <w:outlineLvl w:val="1"/>
    </w:pPr>
    <w:rPr>
      <w:sz w:val="24"/>
    </w:rPr>
  </w:style>
  <w:style w:type="paragraph" w:styleId="4">
    <w:name w:val="heading 3"/>
    <w:basedOn w:val="3"/>
    <w:next w:val="1"/>
    <w:link w:val="133"/>
    <w:qFormat/>
    <w:uiPriority w:val="0"/>
    <w:pPr>
      <w:outlineLvl w:val="2"/>
    </w:pPr>
  </w:style>
  <w:style w:type="paragraph" w:styleId="5">
    <w:name w:val="heading 4"/>
    <w:basedOn w:val="4"/>
    <w:next w:val="1"/>
    <w:link w:val="137"/>
    <w:qFormat/>
    <w:uiPriority w:val="0"/>
    <w:p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0"/>
    <w:pPr>
      <w:jc w:val="left"/>
    </w:pPr>
    <w:rPr>
      <w:kern w:val="2"/>
      <w:lang w:val="en-GB"/>
    </w:rPr>
  </w:style>
  <w:style w:type="paragraph" w:styleId="17">
    <w:name w:val="Body Text"/>
    <w:basedOn w:val="1"/>
    <w:link w:val="42"/>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0"/>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locked/>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locked/>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locked/>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99"/>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0"/>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qFormat/>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qFormat/>
    <w:uiPriority w:val="0"/>
  </w:style>
  <w:style w:type="character" w:customStyle="1" w:styleId="140">
    <w:name w:val="标题 1 Char"/>
    <w:basedOn w:val="34"/>
    <w:link w:val="2"/>
    <w:qFormat/>
    <w:uiPriority w:val="0"/>
    <w:rPr>
      <w:rFonts w:eastAsiaTheme="minorEastAsia"/>
      <w:b/>
      <w:bCs/>
      <w:sz w:val="28"/>
      <w:szCs w:val="28"/>
      <w:lang w:eastAsia="en-US"/>
    </w:rPr>
  </w:style>
  <w:style w:type="character" w:customStyle="1" w:styleId="141">
    <w:name w:val="标题 2 Char"/>
    <w:link w:val="3"/>
    <w:qFormat/>
    <w:uiPriority w:val="0"/>
    <w:rPr>
      <w:rFonts w:eastAsiaTheme="minorEastAsia"/>
      <w:b/>
      <w:bCs/>
      <w:sz w:val="24"/>
      <w:szCs w:val="28"/>
      <w:lang w:eastAsia="en-US"/>
    </w:rPr>
  </w:style>
  <w:style w:type="character" w:customStyle="1" w:styleId="142">
    <w:name w:val="标题 5 Char"/>
    <w:link w:val="6"/>
    <w:qFormat/>
    <w:uiPriority w:val="0"/>
    <w:rPr>
      <w:rFonts w:eastAsiaTheme="minorEastAsia"/>
      <w:b/>
      <w:bCs/>
      <w:i/>
      <w:iCs/>
      <w:sz w:val="22"/>
      <w:szCs w:val="26"/>
      <w:lang w:eastAsia="en-US"/>
    </w:rPr>
  </w:style>
  <w:style w:type="character" w:customStyle="1" w:styleId="143">
    <w:name w:val="批注框文本 Char"/>
    <w:link w:val="19"/>
    <w:semiHidden/>
    <w:qFormat/>
    <w:uiPriority w:val="99"/>
    <w:rPr>
      <w:rFonts w:ascii="Tahoma" w:hAnsi="Tahoma" w:cs="Tahoma" w:eastAsiaTheme="minorEastAsia"/>
      <w:sz w:val="16"/>
      <w:szCs w:val="16"/>
      <w:lang w:eastAsia="en-US"/>
    </w:rPr>
  </w:style>
  <w:style w:type="character" w:customStyle="1" w:styleId="144">
    <w:name w:val="标题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locked/>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99"/>
    <w:pPr>
      <w:ind w:firstLine="420" w:firstLineChars="200"/>
    </w:pPr>
  </w:style>
  <w:style w:type="character" w:styleId="178">
    <w:name w:val="Placeholder Text"/>
    <w:basedOn w:val="34"/>
    <w:semiHidden/>
    <w:qFormat/>
    <w:uiPriority w:val="99"/>
    <w:rPr>
      <w:color w:val="808080"/>
    </w:rPr>
  </w:style>
  <w:style w:type="character" w:customStyle="1" w:styleId="179">
    <w:name w:val="B3 Char2"/>
    <w:qFormat/>
    <w:uiPriority w:val="0"/>
    <w:rPr>
      <w:rFonts w:ascii="Times New Roman" w:hAnsi="Times New Roman"/>
      <w:lang w:eastAsia="ja-JP"/>
    </w:rPr>
  </w:style>
  <w:style w:type="paragraph" w:customStyle="1" w:styleId="180">
    <w:name w:val="H6"/>
    <w:basedOn w:val="6"/>
    <w:next w:val="1"/>
    <w:qFormat/>
    <w:uiPriority w:val="0"/>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7BEAB-9907-4138-974A-A87C1F8D23C4}">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5</Pages>
  <Words>1212</Words>
  <Characters>6911</Characters>
  <Lines>57</Lines>
  <Paragraphs>16</Paragraphs>
  <TotalTime>14</TotalTime>
  <ScaleCrop>false</ScaleCrop>
  <LinksUpToDate>false</LinksUpToDate>
  <CharactersWithSpaces>8107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2021-08-13T00:27:00Z</dcterms:created>
  <dc:creator>ZTE-Ziyang</dc:creator>
  <cp:keywords>CTPClassification=CTP_NT</cp:keywords>
  <cp:lastModifiedBy>ZTE - Ziyang</cp:lastModifiedBy>
  <cp:lastPrinted>2007-06-18T05:08:00Z</cp:lastPrinted>
  <dcterms:modified xsi:type="dcterms:W3CDTF">2022-10-10T01:03:20Z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