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4E12518F" w:rsidR="00433158" w:rsidRPr="00432C89" w:rsidRDefault="00433158"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00DA3AF4" w:rsidRPr="00A80D3B">
        <w:rPr>
          <w:rFonts w:ascii="Arial" w:hAnsi="Arial" w:cs="Arial"/>
          <w:b/>
          <w:bCs/>
          <w:sz w:val="28"/>
        </w:rPr>
        <w:t>1</w:t>
      </w:r>
      <w:r w:rsidR="00DA3AF4">
        <w:rPr>
          <w:rFonts w:ascii="Arial" w:hAnsi="Arial" w:cs="Arial"/>
          <w:b/>
          <w:bCs/>
          <w:sz w:val="28"/>
        </w:rPr>
        <w:t>10bis-e</w:t>
      </w:r>
      <w:r w:rsidRPr="00121552">
        <w:rPr>
          <w:rFonts w:ascii="Arial" w:hAnsi="Arial" w:cs="Arial"/>
          <w:b/>
          <w:bCs/>
          <w:sz w:val="28"/>
        </w:rPr>
        <w:t xml:space="preserve"> </w:t>
      </w:r>
      <w:r>
        <w:rPr>
          <w:rFonts w:ascii="Arial" w:hAnsi="Arial" w:cs="Arial"/>
          <w:b/>
          <w:bCs/>
          <w:sz w:val="28"/>
        </w:rPr>
        <w:t xml:space="preserve">                  </w:t>
      </w:r>
      <w:r w:rsidR="00AD67A2">
        <w:rPr>
          <w:rFonts w:ascii="Arial" w:hAnsi="Arial" w:cs="Arial"/>
          <w:b/>
          <w:bCs/>
          <w:sz w:val="28"/>
        </w:rPr>
        <w:t xml:space="preserve">       </w:t>
      </w:r>
      <w:r w:rsidR="00DA3AF4" w:rsidRPr="00DA3AF4">
        <w:rPr>
          <w:rFonts w:ascii="Arial" w:hAnsi="Arial" w:cs="Arial"/>
          <w:b/>
          <w:bCs/>
          <w:sz w:val="28"/>
        </w:rPr>
        <w:t>R1-2208553</w:t>
      </w:r>
    </w:p>
    <w:p w14:paraId="2FC38140" w14:textId="34E2D5E0" w:rsidR="00433158" w:rsidRPr="00DA3AF4" w:rsidRDefault="00DA3AF4" w:rsidP="00DA3AF4">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7A4241A6" w14:textId="77777777" w:rsidR="00433158" w:rsidRPr="00CF123B" w:rsidRDefault="00433158" w:rsidP="00433158">
      <w:pPr>
        <w:pBdr>
          <w:top w:val="single" w:sz="4" w:space="0" w:color="auto"/>
        </w:pBdr>
        <w:rPr>
          <w:b/>
          <w:bCs/>
          <w:sz w:val="16"/>
          <w:szCs w:val="16"/>
          <w:highlight w:val="yellow"/>
        </w:rPr>
      </w:pPr>
    </w:p>
    <w:p w14:paraId="5ADD6F7E" w14:textId="77777777" w:rsidR="00433158" w:rsidRPr="00F0251E" w:rsidRDefault="00433158" w:rsidP="00433158">
      <w:pPr>
        <w:spacing w:after="60"/>
        <w:ind w:left="1555" w:hanging="1555"/>
        <w:rPr>
          <w:rFonts w:ascii="Times New Roman" w:eastAsia="MS PGothic" w:hAnsi="Times New Roman" w:cs="Times New Roman"/>
          <w:b/>
          <w:sz w:val="22"/>
        </w:rPr>
      </w:pPr>
      <w:r w:rsidRPr="00F0251E">
        <w:rPr>
          <w:rFonts w:ascii="Times New Roman" w:hAnsi="Times New Roman" w:cs="Times New Roman"/>
          <w:b/>
          <w:sz w:val="22"/>
        </w:rPr>
        <w:t>Agenda Item:</w:t>
      </w:r>
      <w:r w:rsidRPr="00F0251E">
        <w:rPr>
          <w:rFonts w:ascii="Times New Roman" w:hAnsi="Times New Roman" w:cs="Times New Roman"/>
          <w:b/>
          <w:sz w:val="22"/>
        </w:rPr>
        <w:tab/>
      </w:r>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7777777" w:rsidR="00433158" w:rsidRDefault="00433158" w:rsidP="00433158">
      <w:pPr>
        <w:pStyle w:val="1"/>
        <w:rPr>
          <w:lang w:eastAsia="zh-CN"/>
        </w:rPr>
      </w:pPr>
      <w:r>
        <w:rPr>
          <w:lang w:eastAsia="zh-CN"/>
        </w:rPr>
        <w:t>Introduction</w:t>
      </w:r>
    </w:p>
    <w:p w14:paraId="46A366CC" w14:textId="580564C5" w:rsidR="002B6F30" w:rsidRPr="00100719" w:rsidRDefault="000A29BB" w:rsidP="00DF11DA">
      <w:pPr>
        <w:spacing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Pr>
          <w:rFonts w:ascii="Times New Roman" w:hAnsi="Times New Roman" w:cs="Times New Roman"/>
          <w:sz w:val="22"/>
        </w:rPr>
        <w:t>.</w:t>
      </w:r>
    </w:p>
    <w:p w14:paraId="05AB6DBD" w14:textId="33CD9E0E" w:rsidR="00DD5C23" w:rsidRDefault="003C14E2" w:rsidP="002B352A">
      <w:pPr>
        <w:pStyle w:val="1"/>
        <w:rPr>
          <w:lang w:eastAsia="zh-CN"/>
        </w:rPr>
      </w:pPr>
      <w:r>
        <w:rPr>
          <w:lang w:eastAsia="zh-CN"/>
        </w:rPr>
        <w:t>CLI analysis</w:t>
      </w:r>
    </w:p>
    <w:p w14:paraId="025F5C42" w14:textId="16F037EF" w:rsidR="003C14E2" w:rsidRDefault="003C14E2" w:rsidP="003C14E2">
      <w:pPr>
        <w:spacing w:beforeLines="50" w:before="156"/>
        <w:rPr>
          <w:rFonts w:ascii="Times New Roman" w:hAnsi="Times New Roman" w:cs="Times New Roman"/>
          <w:sz w:val="22"/>
        </w:rPr>
      </w:pPr>
      <w:r>
        <w:rPr>
          <w:rFonts w:ascii="Times New Roman" w:hAnsi="Times New Roman" w:cs="Times New Roman"/>
          <w:sz w:val="22"/>
        </w:rPr>
        <w:t xml:space="preserve">Macro &amp; indoor </w:t>
      </w:r>
      <w:r w:rsidR="009C2E98">
        <w:rPr>
          <w:rFonts w:ascii="Times New Roman" w:hAnsi="Times New Roman" w:cs="Times New Roman"/>
          <w:sz w:val="22"/>
        </w:rPr>
        <w:t>office/</w:t>
      </w:r>
      <w:r>
        <w:rPr>
          <w:rFonts w:ascii="Times New Roman" w:hAnsi="Times New Roman" w:cs="Times New Roman"/>
          <w:sz w:val="22"/>
        </w:rPr>
        <w:t xml:space="preserve">factory scenario focuses on the scenario of indoor </w:t>
      </w:r>
      <w:r w:rsidR="00B32F69">
        <w:rPr>
          <w:rFonts w:ascii="Times New Roman" w:hAnsi="Times New Roman" w:cs="Times New Roman"/>
          <w:sz w:val="22"/>
        </w:rPr>
        <w:t>office/</w:t>
      </w:r>
      <w:r>
        <w:rPr>
          <w:rFonts w:ascii="Times New Roman" w:hAnsi="Times New Roman" w:cs="Times New Roman"/>
          <w:sz w:val="22"/>
        </w:rPr>
        <w:t xml:space="preserve">factory with heavy uplink traffic load while the macro cell deployed outside with heavy downlink traffic. </w:t>
      </w:r>
      <w:r w:rsidRPr="003D71EB">
        <w:rPr>
          <w:rFonts w:ascii="Times New Roman" w:hAnsi="Times New Roman" w:cs="Times New Roman"/>
          <w:sz w:val="22"/>
        </w:rPr>
        <w:t xml:space="preserve">In order to solve the asymmetry of uplink and downlink services, UL dominant TDD configuration </w:t>
      </w:r>
      <w:r>
        <w:rPr>
          <w:rFonts w:ascii="Times New Roman" w:hAnsi="Times New Roman" w:cs="Times New Roman"/>
          <w:sz w:val="22"/>
        </w:rPr>
        <w:t>is</w:t>
      </w:r>
      <w:r w:rsidRPr="003D71EB">
        <w:rPr>
          <w:rFonts w:ascii="Times New Roman" w:hAnsi="Times New Roman" w:cs="Times New Roman"/>
          <w:sz w:val="22"/>
        </w:rPr>
        <w:t xml:space="preserve"> used in factories and DL dominant TDD configuration is reserved in Macro cell</w:t>
      </w:r>
      <w:r w:rsidR="00D244BB">
        <w:rPr>
          <w:rFonts w:ascii="Times New Roman" w:hAnsi="Times New Roman" w:cs="Times New Roman"/>
          <w:sz w:val="22"/>
        </w:rPr>
        <w:t xml:space="preserve"> shown in Figure </w:t>
      </w:r>
      <w:r>
        <w:rPr>
          <w:rFonts w:ascii="Times New Roman" w:hAnsi="Times New Roman" w:cs="Times New Roman"/>
          <w:sz w:val="22"/>
        </w:rPr>
        <w:t>1.</w:t>
      </w:r>
      <w:r w:rsidRPr="00675FE1">
        <w:rPr>
          <w:rFonts w:ascii="Times New Roman" w:hAnsi="Times New Roman" w:cs="Times New Roman"/>
          <w:sz w:val="22"/>
        </w:rPr>
        <w:t xml:space="preserve"> </w:t>
      </w:r>
      <w:r>
        <w:rPr>
          <w:rFonts w:ascii="Times New Roman" w:hAnsi="Times New Roman" w:cs="Times New Roman"/>
          <w:sz w:val="22"/>
        </w:rPr>
        <w:t>Thus, there will be some additional interferences.</w:t>
      </w:r>
    </w:p>
    <w:p w14:paraId="1F63045B" w14:textId="77777777" w:rsidR="003C14E2" w:rsidRPr="00153865" w:rsidRDefault="003C14E2" w:rsidP="003C14E2">
      <w:pPr>
        <w:spacing w:beforeLines="50" w:before="156"/>
        <w:rPr>
          <w:rFonts w:ascii="Times New Roman" w:hAnsi="Times New Roman" w:cs="Times New Roman"/>
          <w:b/>
          <w:sz w:val="22"/>
          <w:u w:val="single"/>
        </w:rPr>
      </w:pPr>
      <w:r w:rsidRPr="00153865">
        <w:rPr>
          <w:rFonts w:ascii="Times New Roman" w:hAnsi="Times New Roman" w:cs="Times New Roman"/>
          <w:b/>
          <w:sz w:val="22"/>
          <w:u w:val="single"/>
        </w:rPr>
        <w:t>Co-located scenarios</w:t>
      </w:r>
    </w:p>
    <w:p w14:paraId="34AAC944" w14:textId="77777777" w:rsidR="003C14E2" w:rsidRDefault="003C14E2" w:rsidP="003C14E2">
      <w:pPr>
        <w:spacing w:beforeLines="50" w:before="156"/>
        <w:rPr>
          <w:rFonts w:ascii="Times New Roman" w:hAnsi="Times New Roman" w:cs="Times New Roman"/>
          <w:sz w:val="22"/>
        </w:rPr>
      </w:pPr>
      <w:r>
        <w:rPr>
          <w:rFonts w:ascii="Times New Roman" w:hAnsi="Times New Roman" w:cs="Times New Roman"/>
          <w:sz w:val="22"/>
        </w:rPr>
        <w:t>For co-located scenarios, s</w:t>
      </w:r>
      <w:r w:rsidRPr="00194442">
        <w:rPr>
          <w:rFonts w:ascii="Times New Roman" w:hAnsi="Times New Roman" w:cs="Times New Roman"/>
          <w:sz w:val="22"/>
        </w:rPr>
        <w:t>ince more UL slots are used in factory, the UL reception of factory gNB suffers severe co-channel interference from DL transmission</w:t>
      </w:r>
      <w:r>
        <w:rPr>
          <w:rFonts w:ascii="Times New Roman" w:hAnsi="Times New Roman" w:cs="Times New Roman"/>
          <w:sz w:val="22"/>
        </w:rPr>
        <w:t xml:space="preserve"> of Macro gNB shown in Figure 1(a). And the UEs in</w:t>
      </w:r>
    </w:p>
    <w:p w14:paraId="16F7F4A5" w14:textId="77777777" w:rsidR="003C14E2" w:rsidRDefault="003C14E2" w:rsidP="003C14E2">
      <w:pPr>
        <w:spacing w:beforeLines="50" w:before="156"/>
        <w:jc w:val="center"/>
        <w:rPr>
          <w:rFonts w:ascii="Times New Roman" w:hAnsi="Times New Roman" w:cs="Times New Roman"/>
          <w:sz w:val="22"/>
        </w:rPr>
      </w:pPr>
      <w:r>
        <w:rPr>
          <w:rFonts w:ascii="Times New Roman" w:hAnsi="Times New Roman" w:cs="Times New Roman"/>
          <w:noProof/>
          <w:sz w:val="22"/>
        </w:rPr>
        <w:drawing>
          <wp:inline distT="0" distB="0" distL="0" distR="0" wp14:anchorId="669C9EBA" wp14:editId="2182234F">
            <wp:extent cx="5132070" cy="1899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32070" cy="1899920"/>
                    </a:xfrm>
                    <a:prstGeom prst="rect">
                      <a:avLst/>
                    </a:prstGeom>
                    <a:noFill/>
                  </pic:spPr>
                </pic:pic>
              </a:graphicData>
            </a:graphic>
          </wp:inline>
        </w:drawing>
      </w:r>
    </w:p>
    <w:p w14:paraId="41712799" w14:textId="77777777" w:rsidR="003C14E2" w:rsidRPr="00765F35" w:rsidRDefault="003C14E2" w:rsidP="003C14E2">
      <w:pPr>
        <w:spacing w:beforeLines="50" w:before="156"/>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1 Macro &amp; indoor factory scenario in co-channel</w:t>
      </w:r>
    </w:p>
    <w:p w14:paraId="2D08E144" w14:textId="10CEE78A" w:rsidR="003C14E2" w:rsidRDefault="003C14E2" w:rsidP="003C14E2">
      <w:pPr>
        <w:spacing w:beforeLines="50" w:before="156"/>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 xml:space="preserve">acro cell suffer CLI from UEs transmitting UL signal in </w:t>
      </w:r>
      <w:r w:rsidR="00EE453E">
        <w:rPr>
          <w:rFonts w:ascii="Times New Roman" w:hAnsi="Times New Roman" w:cs="Times New Roman"/>
          <w:sz w:val="22"/>
        </w:rPr>
        <w:t>office/</w:t>
      </w:r>
      <w:r>
        <w:rPr>
          <w:rFonts w:ascii="Times New Roman" w:hAnsi="Times New Roman" w:cs="Times New Roman"/>
          <w:sz w:val="22"/>
        </w:rPr>
        <w:t>factory while receiving DL data in DL slot shown in Figure 1 (b). Co-channel CLI was evaluated in the scenarios of indoor hotspot, dense urban and urban macro in Rel-15 NR flexible duplex [</w:t>
      </w:r>
      <w:r w:rsidR="00B32FC9">
        <w:rPr>
          <w:rFonts w:ascii="Times New Roman" w:hAnsi="Times New Roman" w:cs="Times New Roman"/>
          <w:sz w:val="22"/>
        </w:rPr>
        <w:t>1</w:t>
      </w:r>
      <w:r>
        <w:rPr>
          <w:rFonts w:ascii="Times New Roman" w:hAnsi="Times New Roman" w:cs="Times New Roman"/>
          <w:sz w:val="22"/>
        </w:rPr>
        <w:t>]. Considering the penetration loss between outdoor and indoor, the impact of co-channel CLI decreases mak</w:t>
      </w:r>
      <w:r>
        <w:rPr>
          <w:rFonts w:ascii="Times New Roman" w:hAnsi="Times New Roman" w:cs="Times New Roman" w:hint="eastAsia"/>
          <w:sz w:val="22"/>
        </w:rPr>
        <w:t>ing</w:t>
      </w:r>
      <w:r>
        <w:rPr>
          <w:rFonts w:ascii="Times New Roman" w:hAnsi="Times New Roman" w:cs="Times New Roman"/>
          <w:sz w:val="22"/>
        </w:rPr>
        <w:t xml:space="preserve"> this HetNet scenario a reasonable scenario for dynamic TDD enhancement.</w:t>
      </w:r>
    </w:p>
    <w:p w14:paraId="48B6A886" w14:textId="77777777" w:rsidR="003C14E2" w:rsidRPr="00235022" w:rsidRDefault="003C14E2" w:rsidP="003C14E2">
      <w:pPr>
        <w:spacing w:beforeLines="50" w:before="156"/>
        <w:rPr>
          <w:rFonts w:ascii="Times New Roman" w:hAnsi="Times New Roman" w:cs="Times New Roman"/>
          <w:b/>
          <w:sz w:val="22"/>
          <w:u w:val="single"/>
        </w:rPr>
      </w:pPr>
      <w:r>
        <w:rPr>
          <w:rFonts w:ascii="Times New Roman" w:hAnsi="Times New Roman" w:cs="Times New Roman"/>
          <w:b/>
          <w:sz w:val="22"/>
          <w:u w:val="single"/>
        </w:rPr>
        <w:t>Adjacent</w:t>
      </w:r>
      <w:r w:rsidRPr="00235022">
        <w:rPr>
          <w:rFonts w:ascii="Times New Roman" w:hAnsi="Times New Roman" w:cs="Times New Roman"/>
          <w:b/>
          <w:sz w:val="22"/>
          <w:u w:val="single"/>
        </w:rPr>
        <w:t xml:space="preserve"> </w:t>
      </w:r>
      <w:r>
        <w:rPr>
          <w:rFonts w:ascii="Times New Roman" w:hAnsi="Times New Roman" w:cs="Times New Roman"/>
          <w:b/>
          <w:sz w:val="22"/>
          <w:u w:val="single"/>
        </w:rPr>
        <w:t xml:space="preserve">channel </w:t>
      </w:r>
      <w:r w:rsidRPr="00235022">
        <w:rPr>
          <w:rFonts w:ascii="Times New Roman" w:hAnsi="Times New Roman" w:cs="Times New Roman"/>
          <w:b/>
          <w:sz w:val="22"/>
          <w:u w:val="single"/>
        </w:rPr>
        <w:t>scenarios</w:t>
      </w:r>
    </w:p>
    <w:p w14:paraId="226BE6B6" w14:textId="77777777" w:rsidR="003C14E2" w:rsidRDefault="003C14E2" w:rsidP="003C14E2">
      <w:pPr>
        <w:spacing w:beforeLines="50" w:before="156"/>
        <w:rPr>
          <w:rFonts w:ascii="Times New Roman" w:hAnsi="Times New Roman" w:cs="Times New Roman"/>
          <w:sz w:val="22"/>
        </w:rPr>
      </w:pPr>
      <w:r>
        <w:rPr>
          <w:rFonts w:ascii="Times New Roman" w:hAnsi="Times New Roman" w:cs="Times New Roman"/>
          <w:sz w:val="22"/>
        </w:rPr>
        <w:lastRenderedPageBreak/>
        <w:t>When the factory is deployed by one operator and the macro cell outside is deployed by another operator in adjacent channel,</w:t>
      </w:r>
      <w:r w:rsidRPr="007B428D">
        <w:rPr>
          <w:rFonts w:ascii="Times New Roman" w:hAnsi="Times New Roman" w:cs="Times New Roman"/>
          <w:sz w:val="22"/>
        </w:rPr>
        <w:t xml:space="preserve"> </w:t>
      </w:r>
      <w:r>
        <w:rPr>
          <w:rFonts w:ascii="Times New Roman" w:hAnsi="Times New Roman" w:cs="Times New Roman"/>
          <w:sz w:val="22"/>
        </w:rPr>
        <w:t xml:space="preserve">this scenarios become an adjacent channel co-existence case shown in Figure 2. </w:t>
      </w:r>
    </w:p>
    <w:p w14:paraId="207E9947" w14:textId="77777777" w:rsidR="003C14E2" w:rsidRPr="00C12396" w:rsidRDefault="003C14E2" w:rsidP="003C14E2">
      <w:pPr>
        <w:rPr>
          <w:rFonts w:ascii="Times New Roman" w:hAnsi="Times New Roman" w:cs="Times New Roman"/>
          <w:sz w:val="22"/>
        </w:rPr>
      </w:pPr>
      <w:r>
        <w:rPr>
          <w:rFonts w:ascii="Times New Roman" w:hAnsi="Times New Roman" w:cs="Times New Roman"/>
          <w:noProof/>
          <w:sz w:val="22"/>
        </w:rPr>
        <w:drawing>
          <wp:inline distT="0" distB="0" distL="0" distR="0" wp14:anchorId="18914A18" wp14:editId="18D43DA2">
            <wp:extent cx="5982559" cy="16247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1314" cy="1627132"/>
                    </a:xfrm>
                    <a:prstGeom prst="rect">
                      <a:avLst/>
                    </a:prstGeom>
                    <a:noFill/>
                  </pic:spPr>
                </pic:pic>
              </a:graphicData>
            </a:graphic>
          </wp:inline>
        </w:drawing>
      </w:r>
    </w:p>
    <w:p w14:paraId="33CB055F" w14:textId="77777777" w:rsidR="003C14E2" w:rsidRPr="002D1082" w:rsidRDefault="003C14E2" w:rsidP="003C14E2">
      <w:pPr>
        <w:spacing w:beforeLines="50" w:before="156"/>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2 Macro &amp; indoor factory scenario in adjacent-channel</w:t>
      </w:r>
    </w:p>
    <w:p w14:paraId="0E99D96B" w14:textId="09DEDF17" w:rsidR="003C14E2" w:rsidRDefault="003C14E2" w:rsidP="003C14E2">
      <w:pPr>
        <w:spacing w:beforeLines="50" w:before="156"/>
        <w:rPr>
          <w:rFonts w:ascii="Times New Roman" w:hAnsi="Times New Roman" w:cs="Times New Roman"/>
          <w:sz w:val="22"/>
        </w:rPr>
      </w:pPr>
      <w:r>
        <w:rPr>
          <w:rFonts w:ascii="Times New Roman" w:hAnsi="Times New Roman" w:cs="Times New Roman"/>
          <w:sz w:val="22"/>
        </w:rPr>
        <w:t xml:space="preserve">With different UL-DL slot configurations, there will be adjacent channel interference from the downlink slot of Macro gNB to the uplink slot of the </w:t>
      </w:r>
      <w:r w:rsidR="00085F35">
        <w:rPr>
          <w:rFonts w:ascii="Times New Roman" w:hAnsi="Times New Roman" w:cs="Times New Roman"/>
          <w:sz w:val="22"/>
        </w:rPr>
        <w:t>office/</w:t>
      </w:r>
      <w:r>
        <w:rPr>
          <w:rFonts w:ascii="Times New Roman" w:hAnsi="Times New Roman" w:cs="Times New Roman"/>
          <w:sz w:val="22"/>
        </w:rPr>
        <w:t xml:space="preserve">factory gNB shown Figure 2 (a). UEs of downlink slot in Macro cell also suffer adjacent channel interference from the uplink slot of </w:t>
      </w:r>
      <w:r w:rsidR="00A729F1">
        <w:rPr>
          <w:rFonts w:ascii="Times New Roman" w:hAnsi="Times New Roman" w:cs="Times New Roman"/>
          <w:sz w:val="22"/>
        </w:rPr>
        <w:t>office/</w:t>
      </w:r>
      <w:r>
        <w:rPr>
          <w:rFonts w:ascii="Times New Roman" w:hAnsi="Times New Roman" w:cs="Times New Roman"/>
          <w:sz w:val="22"/>
        </w:rPr>
        <w:t>factory UEs in Figure 2 (b). CLI in adjacent channel was studied in Rel-16 CLI and RIM, and performance e</w:t>
      </w:r>
      <w:r w:rsidR="00B32FC9">
        <w:rPr>
          <w:rFonts w:ascii="Times New Roman" w:hAnsi="Times New Roman" w:cs="Times New Roman"/>
          <w:sz w:val="22"/>
        </w:rPr>
        <w:t>valuations were given by RAN4 [2</w:t>
      </w:r>
      <w:r>
        <w:rPr>
          <w:rFonts w:ascii="Times New Roman" w:hAnsi="Times New Roman" w:cs="Times New Roman"/>
          <w:sz w:val="22"/>
        </w:rPr>
        <w:t xml:space="preserve">] and UE-to-UE CLI measurements by SRS-RSRP/CLI-RSSI were standardized. </w:t>
      </w:r>
      <w:r w:rsidRPr="00127660">
        <w:rPr>
          <w:rFonts w:ascii="Times New Roman" w:hAnsi="Times New Roman" w:cs="Times New Roman"/>
          <w:sz w:val="22"/>
        </w:rPr>
        <w:t>Further study may be required for CLI handling between the gNBs to enable the dynamic TDD in commercial networks.</w:t>
      </w:r>
    </w:p>
    <w:p w14:paraId="3F36916C" w14:textId="77777777" w:rsidR="003C14E2" w:rsidRPr="009176CE" w:rsidRDefault="003C14E2" w:rsidP="003C14E2">
      <w:pPr>
        <w:spacing w:beforeLines="50" w:before="156"/>
        <w:rPr>
          <w:rFonts w:ascii="Times New Roman" w:hAnsi="Times New Roman" w:cs="Times New Roman"/>
          <w:b/>
          <w:sz w:val="22"/>
          <w:u w:val="single"/>
        </w:rPr>
      </w:pPr>
      <w:r>
        <w:rPr>
          <w:rFonts w:ascii="Times New Roman" w:hAnsi="Times New Roman" w:cs="Times New Roman"/>
          <w:b/>
          <w:sz w:val="22"/>
          <w:u w:val="single"/>
        </w:rPr>
        <w:t xml:space="preserve">Flexible/dynamic TDD </w:t>
      </w:r>
      <w:r w:rsidRPr="00235022">
        <w:rPr>
          <w:rFonts w:ascii="Times New Roman" w:hAnsi="Times New Roman" w:cs="Times New Roman"/>
          <w:b/>
          <w:sz w:val="22"/>
          <w:u w:val="single"/>
        </w:rPr>
        <w:t>co-existence</w:t>
      </w:r>
      <w:r>
        <w:rPr>
          <w:rFonts w:ascii="Times New Roman" w:hAnsi="Times New Roman" w:cs="Times New Roman"/>
          <w:b/>
          <w:sz w:val="22"/>
          <w:u w:val="single"/>
        </w:rPr>
        <w:t xml:space="preserve"> with legacy operation </w:t>
      </w:r>
    </w:p>
    <w:p w14:paraId="2B75B4E0" w14:textId="77777777" w:rsidR="003C14E2" w:rsidRDefault="003C14E2" w:rsidP="003C14E2">
      <w:pPr>
        <w:spacing w:beforeLines="50" w:before="156"/>
        <w:rPr>
          <w:rFonts w:ascii="Times New Roman" w:hAnsi="Times New Roman" w:cs="Times New Roman"/>
          <w:sz w:val="22"/>
        </w:rPr>
      </w:pPr>
      <w:r>
        <w:rPr>
          <w:rFonts w:ascii="Times New Roman" w:hAnsi="Times New Roman" w:cs="Times New Roman"/>
          <w:sz w:val="22"/>
        </w:rPr>
        <w:t xml:space="preserve">According to co-existence case, from the discussion above, we can see there is no impact on the legacy gNB (Macro gNB) in co-channel and adjacent-channel co-existence case. Only impact to legacy UEs (in Macro cell) should be taken in account in co-existence case. </w:t>
      </w:r>
    </w:p>
    <w:p w14:paraId="5DA8CAA4" w14:textId="4FBE2BF9" w:rsidR="003C14E2" w:rsidRDefault="003C14E2" w:rsidP="003C14E2">
      <w:pPr>
        <w:spacing w:beforeLines="50" w:before="156"/>
        <w:rPr>
          <w:rFonts w:ascii="Times New Roman" w:hAnsi="Times New Roman"/>
          <w:b/>
          <w:i/>
          <w:sz w:val="22"/>
        </w:rPr>
      </w:pPr>
      <w:r w:rsidRPr="007B0714">
        <w:rPr>
          <w:rFonts w:ascii="Times New Roman" w:hAnsi="Times New Roman"/>
          <w:b/>
          <w:i/>
          <w:sz w:val="22"/>
        </w:rPr>
        <w:t>Observat</w:t>
      </w:r>
      <w:r>
        <w:rPr>
          <w:rFonts w:ascii="Times New Roman" w:hAnsi="Times New Roman"/>
          <w:b/>
          <w:i/>
          <w:sz w:val="22"/>
        </w:rPr>
        <w:t xml:space="preserve">ion </w:t>
      </w:r>
      <w:r w:rsidR="001035E7">
        <w:rPr>
          <w:rFonts w:ascii="Times New Roman" w:hAnsi="Times New Roman"/>
          <w:b/>
          <w:i/>
          <w:sz w:val="22"/>
        </w:rPr>
        <w:t>1</w:t>
      </w:r>
      <w:r>
        <w:rPr>
          <w:rFonts w:ascii="Times New Roman" w:hAnsi="Times New Roman"/>
          <w:b/>
          <w:i/>
          <w:sz w:val="22"/>
        </w:rPr>
        <w:t>: When the legacy gNB uses DL dominant TDD UL</w:t>
      </w:r>
      <w:r>
        <w:rPr>
          <w:rFonts w:ascii="Times New Roman" w:hAnsi="Times New Roman" w:hint="eastAsia"/>
          <w:b/>
          <w:i/>
          <w:sz w:val="22"/>
        </w:rPr>
        <w:t>-DL</w:t>
      </w:r>
      <w:r>
        <w:rPr>
          <w:rFonts w:ascii="Times New Roman" w:hAnsi="Times New Roman"/>
          <w:b/>
          <w:i/>
          <w:sz w:val="22"/>
        </w:rPr>
        <w:t xml:space="preserve"> configuration and Rel-18 duplex gNB uses UL domina</w:t>
      </w:r>
      <w:r>
        <w:rPr>
          <w:rFonts w:ascii="Times New Roman" w:hAnsi="Times New Roman" w:hint="eastAsia"/>
          <w:b/>
          <w:i/>
          <w:sz w:val="22"/>
        </w:rPr>
        <w:t>nt</w:t>
      </w:r>
      <w:r>
        <w:rPr>
          <w:rFonts w:ascii="Times New Roman" w:hAnsi="Times New Roman"/>
          <w:b/>
          <w:i/>
          <w:sz w:val="22"/>
        </w:rPr>
        <w:t xml:space="preserve"> TDD UL-DL configuration, there is no impact to the legacy gNB, only impact to legacy UE should be considered.</w:t>
      </w:r>
    </w:p>
    <w:p w14:paraId="62727D95" w14:textId="43A6CF0C" w:rsidR="003C14E2" w:rsidRPr="00D244BB" w:rsidRDefault="003C14E2" w:rsidP="00D244BB">
      <w:pPr>
        <w:spacing w:beforeLines="50" w:before="156"/>
        <w:rPr>
          <w:rFonts w:ascii="Times New Roman" w:hAnsi="Times New Roman" w:cs="Times New Roman"/>
          <w:sz w:val="22"/>
        </w:rPr>
      </w:pPr>
      <w:r>
        <w:rPr>
          <w:rFonts w:ascii="Times New Roman" w:hAnsi="Times New Roman"/>
          <w:b/>
          <w:i/>
          <w:sz w:val="22"/>
        </w:rPr>
        <w:t xml:space="preserve">Observation </w:t>
      </w:r>
      <w:r w:rsidR="001035E7">
        <w:rPr>
          <w:rFonts w:ascii="Times New Roman" w:hAnsi="Times New Roman"/>
          <w:b/>
          <w:i/>
          <w:sz w:val="22"/>
        </w:rPr>
        <w:t>2</w:t>
      </w:r>
      <w:r>
        <w:rPr>
          <w:rFonts w:ascii="Times New Roman" w:hAnsi="Times New Roman"/>
          <w:b/>
          <w:i/>
          <w:sz w:val="22"/>
        </w:rPr>
        <w:t>: Interferences in dynamic/flexible TDD scenarios is a subset of that in SBFD scenarios, a unified CLI mechanism for dynamic/flexible TDD and SBFD can be studied.</w:t>
      </w:r>
    </w:p>
    <w:p w14:paraId="2824596F" w14:textId="6421A8D4" w:rsidR="003C14E2" w:rsidRPr="003C14E2" w:rsidRDefault="001035E7" w:rsidP="003C14E2">
      <w:pPr>
        <w:pStyle w:val="1"/>
        <w:rPr>
          <w:lang w:eastAsia="zh-CN"/>
        </w:rPr>
      </w:pPr>
      <w:r>
        <w:rPr>
          <w:lang w:eastAsia="zh-CN"/>
        </w:rPr>
        <w:t>CLI handling</w:t>
      </w:r>
    </w:p>
    <w:tbl>
      <w:tblPr>
        <w:tblStyle w:val="aa"/>
        <w:tblW w:w="0" w:type="auto"/>
        <w:tblLook w:val="04A0" w:firstRow="1" w:lastRow="0" w:firstColumn="1" w:lastColumn="0" w:noHBand="0" w:noVBand="1"/>
      </w:tblPr>
      <w:tblGrid>
        <w:gridCol w:w="9322"/>
      </w:tblGrid>
      <w:tr w:rsidR="00DF11DA" w14:paraId="521066A1" w14:textId="77777777" w:rsidTr="00DF11DA">
        <w:tc>
          <w:tcPr>
            <w:tcW w:w="9322" w:type="dxa"/>
          </w:tcPr>
          <w:p w14:paraId="5A3E1F1B" w14:textId="77777777" w:rsidR="00DF11DA" w:rsidRPr="00F02AFD" w:rsidRDefault="00DF11DA" w:rsidP="00DF11DA">
            <w:pPr>
              <w:pStyle w:val="a3"/>
              <w:suppressAutoHyphens/>
              <w:ind w:firstLineChars="12" w:firstLine="25"/>
              <w:textAlignment w:val="baseline"/>
              <w:rPr>
                <w:rFonts w:eastAsia="Malgun Gothic"/>
                <w:b/>
                <w:bCs/>
                <w:highlight w:val="green"/>
                <w:lang w:eastAsia="ko-KR"/>
              </w:rPr>
            </w:pPr>
            <w:r w:rsidRPr="00735AD5">
              <w:rPr>
                <w:rFonts w:ascii="Times New Roman" w:hAnsi="Times New Roman" w:cs="Times New Roman"/>
                <w:b/>
                <w:bCs/>
                <w:szCs w:val="20"/>
                <w:highlight w:val="green"/>
                <w:lang w:eastAsia="ko-KR"/>
              </w:rPr>
              <w:t>Agreement</w:t>
            </w:r>
          </w:p>
          <w:p w14:paraId="1C3C28E0" w14:textId="77777777" w:rsidR="00DF11DA" w:rsidRPr="00BE39B3" w:rsidRDefault="00DF11DA" w:rsidP="00DF11DA">
            <w:pPr>
              <w:pStyle w:val="a3"/>
              <w:suppressAutoHyphens/>
              <w:textAlignment w:val="baseline"/>
              <w:rPr>
                <w:rFonts w:ascii="Times New Roman" w:eastAsia="Malgun Gothic" w:hAnsi="Times New Roman" w:cs="Times New Roman"/>
                <w:lang w:eastAsia="ko-KR"/>
              </w:rPr>
            </w:pPr>
            <w:r w:rsidRPr="00BE39B3">
              <w:rPr>
                <w:rFonts w:ascii="Times New Roman" w:eastAsia="Malgun Gothic" w:hAnsi="Times New Roman" w:cs="Times New Roman"/>
                <w:lang w:eastAsia="ko-KR"/>
              </w:rPr>
              <w:t>Study the feasibility and potential benefits of gNB-to-gNB co-channel CLI measurement for gNB-to-gNB CLI handling which can be specific for dynamic/flexible TDD and/or common for both SBFD and dynamic/flexible TDD, at least includes:</w:t>
            </w:r>
          </w:p>
          <w:p w14:paraId="4AF8D997" w14:textId="77777777" w:rsidR="00DF11DA" w:rsidRPr="00BE39B3"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BE39B3">
              <w:rPr>
                <w:rFonts w:ascii="Times New Roman" w:eastAsia="Malgun Gothic" w:hAnsi="Times New Roman" w:cs="Times New Roman"/>
                <w:lang w:eastAsia="ko-KR"/>
              </w:rPr>
              <w:t>Measurement resource configuration</w:t>
            </w:r>
          </w:p>
          <w:p w14:paraId="47C042E2" w14:textId="77777777" w:rsidR="00DF11DA" w:rsidRPr="00BE39B3"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BE39B3">
              <w:rPr>
                <w:rFonts w:ascii="Times New Roman" w:eastAsia="Malgun Gothic" w:hAnsi="Times New Roman" w:cs="Times New Roman"/>
                <w:lang w:eastAsia="ko-KR"/>
              </w:rPr>
              <w:t>Measurement details</w:t>
            </w:r>
          </w:p>
          <w:p w14:paraId="35D2A774" w14:textId="77777777" w:rsidR="00DF11DA" w:rsidRPr="00BE39B3"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BE39B3">
              <w:rPr>
                <w:rFonts w:ascii="Times New Roman" w:eastAsia="Malgun Gothic" w:hAnsi="Times New Roman" w:cs="Times New Roman"/>
                <w:lang w:eastAsia="ko-KR"/>
              </w:rPr>
              <w:t>Relevant information exchange</w:t>
            </w:r>
          </w:p>
          <w:p w14:paraId="6D6ECE53" w14:textId="77777777" w:rsidR="00DF11DA" w:rsidRPr="00BE39B3"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BE39B3">
              <w:rPr>
                <w:rFonts w:ascii="Times New Roman" w:eastAsia="Malgun Gothic" w:hAnsi="Times New Roman" w:cs="Times New Roman"/>
                <w:lang w:eastAsia="ko-KR"/>
              </w:rPr>
              <w:t>Usage of measurement</w:t>
            </w:r>
          </w:p>
          <w:p w14:paraId="263620FF" w14:textId="77777777" w:rsidR="00DF11DA" w:rsidRPr="00735AD5" w:rsidRDefault="00DF11DA" w:rsidP="00DF11DA">
            <w:pPr>
              <w:pStyle w:val="a3"/>
              <w:suppressAutoHyphens/>
              <w:ind w:firstLineChars="12" w:firstLine="25"/>
              <w:textAlignment w:val="baseline"/>
              <w:rPr>
                <w:rFonts w:ascii="Times New Roman" w:hAnsi="Times New Roman" w:cs="Times New Roman"/>
                <w:b/>
                <w:bCs/>
                <w:szCs w:val="20"/>
                <w:highlight w:val="green"/>
                <w:lang w:eastAsia="ko-KR"/>
              </w:rPr>
            </w:pPr>
            <w:r w:rsidRPr="00735AD5">
              <w:rPr>
                <w:rFonts w:ascii="Times New Roman" w:hAnsi="Times New Roman" w:cs="Times New Roman"/>
                <w:b/>
                <w:bCs/>
                <w:szCs w:val="20"/>
                <w:highlight w:val="green"/>
                <w:lang w:eastAsia="ko-KR"/>
              </w:rPr>
              <w:t>Agreement</w:t>
            </w:r>
          </w:p>
          <w:p w14:paraId="059CA3AB" w14:textId="77777777" w:rsidR="00DF11DA" w:rsidRPr="00DF11DA" w:rsidRDefault="00DF11DA" w:rsidP="00DF11DA">
            <w:pPr>
              <w:pStyle w:val="a3"/>
              <w:suppressAutoHyphens/>
              <w:textAlignment w:val="baseline"/>
              <w:rPr>
                <w:rFonts w:ascii="Times New Roman" w:eastAsia="Malgun Gothic" w:hAnsi="Times New Roman" w:cs="Times New Roman"/>
                <w:lang w:eastAsia="ko-KR"/>
              </w:rPr>
            </w:pPr>
            <w:r w:rsidRPr="00DF11DA">
              <w:rPr>
                <w:rFonts w:ascii="Times New Roman" w:eastAsia="Malgun Gothic" w:hAnsi="Times New Roman" w:cs="Times New Roman"/>
                <w:lang w:eastAsia="ko-KR"/>
              </w:rPr>
              <w:t xml:space="preserve">Study the feasibility and potential benefit of UE-to-UE co-channel CLI measurement and reporting, which can be specific for dynamic/flexible TDD and/or common for both SBFD and dynamic/flexible TDD, </w:t>
            </w:r>
            <w:r w:rsidRPr="00DF11DA">
              <w:rPr>
                <w:rFonts w:ascii="Times New Roman" w:eastAsia="宋体" w:hAnsi="Times New Roman" w:cs="Times New Roman"/>
              </w:rPr>
              <w:lastRenderedPageBreak/>
              <w:t>at least includes:</w:t>
            </w:r>
          </w:p>
          <w:p w14:paraId="653F801B" w14:textId="77777777" w:rsidR="00DF11DA" w:rsidRPr="00DF11DA"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DF11DA">
              <w:rPr>
                <w:rFonts w:ascii="Times New Roman" w:eastAsia="Malgun Gothic" w:hAnsi="Times New Roman" w:cs="Times New Roman"/>
                <w:lang w:eastAsia="ko-KR"/>
              </w:rPr>
              <w:t>Measurement resource/reporting configuration</w:t>
            </w:r>
          </w:p>
          <w:p w14:paraId="5022735C" w14:textId="77777777" w:rsidR="00DF11DA" w:rsidRPr="00DF11DA"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DF11DA">
              <w:rPr>
                <w:rFonts w:ascii="Times New Roman" w:eastAsia="Malgun Gothic" w:hAnsi="Times New Roman" w:cs="Times New Roman"/>
                <w:lang w:eastAsia="ko-KR"/>
              </w:rPr>
              <w:t>Measurement/reporting details (including UE processing delay)</w:t>
            </w:r>
          </w:p>
          <w:p w14:paraId="54B06B4F" w14:textId="77777777" w:rsidR="00DF11DA" w:rsidRPr="00DF11DA" w:rsidRDefault="00DF11DA" w:rsidP="00DF11DA">
            <w:pPr>
              <w:pStyle w:val="a3"/>
              <w:widowControl/>
              <w:numPr>
                <w:ilvl w:val="0"/>
                <w:numId w:val="21"/>
              </w:numPr>
              <w:suppressAutoHyphens/>
              <w:ind w:firstLineChars="0"/>
              <w:jc w:val="left"/>
              <w:textAlignment w:val="baseline"/>
              <w:rPr>
                <w:rFonts w:ascii="Times New Roman" w:eastAsia="Malgun Gothic" w:hAnsi="Times New Roman" w:cs="Times New Roman"/>
                <w:lang w:eastAsia="ko-KR"/>
              </w:rPr>
            </w:pPr>
            <w:r w:rsidRPr="00DF11DA">
              <w:rPr>
                <w:rFonts w:ascii="Times New Roman" w:eastAsia="Malgun Gothic" w:hAnsi="Times New Roman" w:cs="Times New Roman"/>
                <w:lang w:eastAsia="ko-KR"/>
              </w:rPr>
              <w:t>Relevant information exchange (between gNBs) if needed</w:t>
            </w:r>
          </w:p>
          <w:p w14:paraId="295B06AC" w14:textId="77777777" w:rsidR="00DF11DA" w:rsidRPr="0080229D" w:rsidRDefault="00DF11DA" w:rsidP="00DF11DA">
            <w:pPr>
              <w:pStyle w:val="a3"/>
              <w:widowControl/>
              <w:numPr>
                <w:ilvl w:val="0"/>
                <w:numId w:val="21"/>
              </w:numPr>
              <w:suppressAutoHyphens/>
              <w:ind w:firstLineChars="0"/>
              <w:jc w:val="left"/>
              <w:textAlignment w:val="baseline"/>
              <w:rPr>
                <w:rFonts w:eastAsia="Malgun Gothic"/>
                <w:lang w:eastAsia="ko-KR"/>
              </w:rPr>
            </w:pPr>
            <w:r w:rsidRPr="00DF11DA">
              <w:rPr>
                <w:rFonts w:ascii="Times New Roman" w:eastAsia="Malgun Gothic" w:hAnsi="Times New Roman" w:cs="Times New Roman"/>
                <w:lang w:eastAsia="ko-KR"/>
              </w:rPr>
              <w:t>Usage of measurement at gNB</w:t>
            </w:r>
          </w:p>
          <w:p w14:paraId="31CC75FB" w14:textId="77777777" w:rsidR="0080229D" w:rsidRPr="0080229D" w:rsidRDefault="0080229D" w:rsidP="0080229D">
            <w:pPr>
              <w:rPr>
                <w:rFonts w:ascii="Times New Roman" w:hAnsi="Times New Roman" w:cs="Times New Roman"/>
                <w:b/>
                <w:bCs/>
                <w:szCs w:val="20"/>
                <w:highlight w:val="green"/>
                <w:lang w:eastAsia="ko-KR"/>
              </w:rPr>
            </w:pPr>
            <w:r w:rsidRPr="0080229D">
              <w:rPr>
                <w:rFonts w:ascii="Times New Roman" w:hAnsi="Times New Roman" w:cs="Times New Roman"/>
                <w:b/>
                <w:bCs/>
                <w:szCs w:val="20"/>
                <w:highlight w:val="green"/>
                <w:lang w:eastAsia="ko-KR"/>
              </w:rPr>
              <w:t>Agreement</w:t>
            </w:r>
          </w:p>
          <w:p w14:paraId="0BD6DABB" w14:textId="77777777" w:rsidR="0080229D" w:rsidRPr="0080229D" w:rsidRDefault="0080229D" w:rsidP="0080229D">
            <w:pPr>
              <w:pStyle w:val="a3"/>
              <w:suppressAutoHyphens/>
              <w:textAlignment w:val="baseline"/>
              <w:rPr>
                <w:rFonts w:ascii="Times New Roman" w:eastAsia="Malgun Gothic" w:hAnsi="Times New Roman" w:cs="Times New Roman"/>
                <w:szCs w:val="20"/>
                <w:lang w:eastAsia="ko-KR"/>
              </w:rPr>
            </w:pPr>
            <w:r w:rsidRPr="0080229D">
              <w:rPr>
                <w:rFonts w:ascii="Times New Roman" w:eastAsia="Malgun Gothic" w:hAnsi="Times New Roman" w:cs="Times New Roman"/>
                <w:szCs w:val="20"/>
                <w:lang w:eastAsia="ko-KR"/>
              </w:rPr>
              <w:t>Study the feasibility and potential benefits of coordinated scheduling for time/frequency resources between gNBs for gNB-to-gNB co-channel CLI handling which can be specific for dynamic/flexible TDD and/or common for both SBFD and dynamic/flexible TDD, the study at least includes:</w:t>
            </w:r>
          </w:p>
          <w:p w14:paraId="4C91E26B" w14:textId="77777777" w:rsidR="0080229D" w:rsidRPr="0080229D" w:rsidRDefault="0080229D" w:rsidP="0080229D">
            <w:pPr>
              <w:pStyle w:val="a3"/>
              <w:widowControl/>
              <w:numPr>
                <w:ilvl w:val="0"/>
                <w:numId w:val="21"/>
              </w:numPr>
              <w:suppressAutoHyphens/>
              <w:ind w:firstLineChars="0"/>
              <w:jc w:val="left"/>
              <w:textAlignment w:val="baseline"/>
              <w:rPr>
                <w:rFonts w:ascii="Times New Roman" w:eastAsia="Malgun Gothic" w:hAnsi="Times New Roman" w:cs="Times New Roman"/>
                <w:szCs w:val="20"/>
                <w:lang w:eastAsia="ko-KR"/>
              </w:rPr>
            </w:pPr>
            <w:r w:rsidRPr="0080229D">
              <w:rPr>
                <w:rFonts w:ascii="Times New Roman" w:eastAsia="Malgun Gothic" w:hAnsi="Times New Roman" w:cs="Times New Roman"/>
                <w:szCs w:val="20"/>
                <w:lang w:eastAsia="ko-KR"/>
              </w:rPr>
              <w:t xml:space="preserve">Details of coordinated scheduling for time/frequency resources </w:t>
            </w:r>
          </w:p>
          <w:p w14:paraId="13A7FC57" w14:textId="77777777" w:rsidR="0080229D" w:rsidRPr="0080229D" w:rsidRDefault="0080229D" w:rsidP="0080229D">
            <w:pPr>
              <w:pStyle w:val="a3"/>
              <w:widowControl/>
              <w:numPr>
                <w:ilvl w:val="0"/>
                <w:numId w:val="21"/>
              </w:numPr>
              <w:suppressAutoHyphens/>
              <w:ind w:firstLineChars="0"/>
              <w:jc w:val="left"/>
              <w:textAlignment w:val="baseline"/>
              <w:rPr>
                <w:rFonts w:ascii="Times New Roman" w:eastAsia="Malgun Gothic" w:hAnsi="Times New Roman" w:cs="Times New Roman"/>
                <w:szCs w:val="20"/>
                <w:lang w:eastAsia="ko-KR"/>
              </w:rPr>
            </w:pPr>
            <w:r w:rsidRPr="0080229D">
              <w:rPr>
                <w:rFonts w:ascii="Times New Roman" w:eastAsia="Malgun Gothic" w:hAnsi="Times New Roman" w:cs="Times New Roman"/>
                <w:szCs w:val="20"/>
                <w:lang w:eastAsia="ko-KR"/>
              </w:rPr>
              <w:t>Relevant information exchange</w:t>
            </w:r>
          </w:p>
          <w:p w14:paraId="2E884470" w14:textId="77777777" w:rsidR="0080229D" w:rsidRPr="00EC667F" w:rsidRDefault="0080229D" w:rsidP="0080229D">
            <w:pPr>
              <w:rPr>
                <w:rFonts w:ascii="Times New Roman" w:hAnsi="Times New Roman" w:cs="Times New Roman"/>
                <w:b/>
                <w:bCs/>
                <w:szCs w:val="20"/>
                <w:highlight w:val="green"/>
                <w:lang w:eastAsia="ko-KR"/>
              </w:rPr>
            </w:pPr>
            <w:r w:rsidRPr="00EC667F">
              <w:rPr>
                <w:rFonts w:ascii="Times New Roman" w:hAnsi="Times New Roman" w:cs="Times New Roman"/>
                <w:b/>
                <w:bCs/>
                <w:szCs w:val="20"/>
                <w:highlight w:val="green"/>
                <w:lang w:eastAsia="ko-KR"/>
              </w:rPr>
              <w:t>Agreement</w:t>
            </w:r>
          </w:p>
          <w:p w14:paraId="3CB64452" w14:textId="77777777" w:rsidR="0080229D" w:rsidRPr="00EC667F" w:rsidRDefault="0080229D" w:rsidP="0080229D">
            <w:pPr>
              <w:pStyle w:val="a3"/>
              <w:suppressAutoHyphens/>
              <w:textAlignment w:val="baseline"/>
              <w:rPr>
                <w:rFonts w:ascii="Times New Roman" w:eastAsia="Malgun Gothic" w:hAnsi="Times New Roman" w:cs="Times New Roman"/>
                <w:szCs w:val="20"/>
                <w:lang w:eastAsia="ko-KR"/>
              </w:rPr>
            </w:pPr>
            <w:r w:rsidRPr="00EC667F">
              <w:rPr>
                <w:rFonts w:ascii="Times New Roman" w:eastAsia="Malgun Gothic" w:hAnsi="Times New Roman" w:cs="Times New Roman"/>
                <w:szCs w:val="20"/>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C667F">
              <w:rPr>
                <w:rFonts w:ascii="Times New Roman" w:eastAsia="宋体" w:hAnsi="Times New Roman" w:cs="Times New Roman"/>
                <w:szCs w:val="20"/>
              </w:rPr>
              <w:t>at least includes:</w:t>
            </w:r>
          </w:p>
          <w:p w14:paraId="09822268" w14:textId="77777777" w:rsidR="0080229D" w:rsidRPr="0080229D" w:rsidRDefault="0080229D" w:rsidP="0065735E">
            <w:pPr>
              <w:pStyle w:val="a3"/>
              <w:widowControl/>
              <w:numPr>
                <w:ilvl w:val="0"/>
                <w:numId w:val="21"/>
              </w:numPr>
              <w:suppressAutoHyphens/>
              <w:ind w:firstLineChars="0"/>
              <w:jc w:val="left"/>
              <w:textAlignment w:val="baseline"/>
              <w:rPr>
                <w:rFonts w:eastAsia="Malgun Gothic"/>
                <w:lang w:eastAsia="ko-KR"/>
              </w:rPr>
            </w:pPr>
            <w:r w:rsidRPr="0080229D">
              <w:rPr>
                <w:rFonts w:ascii="Times New Roman" w:eastAsia="Malgun Gothic" w:hAnsi="Times New Roman" w:cs="Times New Roman"/>
                <w:szCs w:val="20"/>
                <w:lang w:eastAsia="ko-KR"/>
              </w:rPr>
              <w:t xml:space="preserve">Details of </w:t>
            </w:r>
            <w:r w:rsidRPr="0080229D">
              <w:rPr>
                <w:rFonts w:ascii="Times New Roman" w:hAnsi="Times New Roman" w:cs="Times New Roman"/>
                <w:szCs w:val="20"/>
              </w:rPr>
              <w:t>c</w:t>
            </w:r>
            <w:r w:rsidRPr="0080229D">
              <w:rPr>
                <w:rFonts w:ascii="Times New Roman" w:eastAsia="Malgun Gothic" w:hAnsi="Times New Roman" w:cs="Times New Roman"/>
                <w:szCs w:val="20"/>
                <w:lang w:eastAsia="ko-KR"/>
              </w:rPr>
              <w:t>oordinated scheduling for time/frequency resources</w:t>
            </w:r>
          </w:p>
          <w:p w14:paraId="59CA086B" w14:textId="0564DD15" w:rsidR="0080229D" w:rsidRPr="0080229D" w:rsidRDefault="0080229D" w:rsidP="0065735E">
            <w:pPr>
              <w:pStyle w:val="a3"/>
              <w:widowControl/>
              <w:numPr>
                <w:ilvl w:val="0"/>
                <w:numId w:val="21"/>
              </w:numPr>
              <w:suppressAutoHyphens/>
              <w:ind w:firstLineChars="0"/>
              <w:jc w:val="left"/>
              <w:textAlignment w:val="baseline"/>
              <w:rPr>
                <w:rFonts w:eastAsia="Malgun Gothic"/>
                <w:lang w:eastAsia="ko-KR"/>
              </w:rPr>
            </w:pPr>
            <w:r w:rsidRPr="0080229D">
              <w:rPr>
                <w:rFonts w:ascii="Times New Roman" w:eastAsia="Malgun Gothic" w:hAnsi="Times New Roman" w:cs="Times New Roman"/>
                <w:szCs w:val="20"/>
                <w:lang w:eastAsia="ko-KR"/>
              </w:rPr>
              <w:t>Relevant information exchange (if needed)</w:t>
            </w:r>
          </w:p>
          <w:p w14:paraId="2152958C" w14:textId="77777777" w:rsidR="002F004B" w:rsidRPr="00CF128C" w:rsidRDefault="002F004B" w:rsidP="002F004B">
            <w:pPr>
              <w:rPr>
                <w:rFonts w:ascii="Times New Roman" w:hAnsi="Times New Roman" w:cs="Times New Roman"/>
                <w:b/>
                <w:bCs/>
                <w:szCs w:val="20"/>
                <w:highlight w:val="green"/>
                <w:lang w:eastAsia="ko-KR"/>
              </w:rPr>
            </w:pPr>
            <w:r w:rsidRPr="00CF128C">
              <w:rPr>
                <w:rFonts w:ascii="Times New Roman" w:hAnsi="Times New Roman" w:cs="Times New Roman"/>
                <w:b/>
                <w:bCs/>
                <w:szCs w:val="20"/>
                <w:highlight w:val="green"/>
                <w:lang w:eastAsia="ko-KR"/>
              </w:rPr>
              <w:t>Agreement</w:t>
            </w:r>
          </w:p>
          <w:p w14:paraId="783FDD92" w14:textId="77777777" w:rsidR="002F004B" w:rsidRPr="00CF128C" w:rsidRDefault="002F004B" w:rsidP="002F004B">
            <w:pPr>
              <w:pStyle w:val="a3"/>
              <w:suppressAutoHyphens/>
              <w:textAlignment w:val="baseline"/>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CF128C">
              <w:rPr>
                <w:rFonts w:ascii="Times New Roman" w:eastAsia="宋体" w:hAnsi="Times New Roman" w:cs="Times New Roman"/>
                <w:szCs w:val="20"/>
              </w:rPr>
              <w:t>at least includes:</w:t>
            </w:r>
          </w:p>
          <w:p w14:paraId="45240F58" w14:textId="77777777" w:rsidR="002F004B" w:rsidRPr="00CF128C" w:rsidRDefault="002F004B" w:rsidP="002F004B">
            <w:pPr>
              <w:pStyle w:val="a3"/>
              <w:widowControl/>
              <w:numPr>
                <w:ilvl w:val="0"/>
                <w:numId w:val="21"/>
              </w:numPr>
              <w:suppressAutoHyphens/>
              <w:ind w:firstLineChars="0"/>
              <w:jc w:val="left"/>
              <w:textAlignment w:val="baseline"/>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 xml:space="preserve">Details for spatial domain coordination </w:t>
            </w:r>
          </w:p>
          <w:p w14:paraId="136D6CA0" w14:textId="77777777" w:rsidR="002F004B" w:rsidRPr="00CF128C" w:rsidRDefault="002F004B" w:rsidP="002F004B">
            <w:pPr>
              <w:pStyle w:val="a3"/>
              <w:widowControl/>
              <w:numPr>
                <w:ilvl w:val="0"/>
                <w:numId w:val="21"/>
              </w:numPr>
              <w:suppressAutoHyphens/>
              <w:ind w:firstLineChars="0"/>
              <w:jc w:val="left"/>
              <w:textAlignment w:val="baseline"/>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Relevant information exchange</w:t>
            </w:r>
          </w:p>
          <w:p w14:paraId="67ECFECE" w14:textId="77777777" w:rsidR="002F004B" w:rsidRPr="00CF128C" w:rsidRDefault="002F004B" w:rsidP="002F004B">
            <w:pPr>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Note1: Study can include method for FR1 and FR2</w:t>
            </w:r>
          </w:p>
          <w:p w14:paraId="09F80606" w14:textId="77777777" w:rsidR="002F004B" w:rsidRPr="00CF128C" w:rsidRDefault="002F004B" w:rsidP="002F004B">
            <w:pPr>
              <w:rPr>
                <w:rFonts w:ascii="Times New Roman" w:hAnsi="Times New Roman" w:cs="Times New Roman"/>
                <w:b/>
                <w:bCs/>
                <w:szCs w:val="20"/>
                <w:highlight w:val="green"/>
                <w:lang w:eastAsia="ko-KR"/>
              </w:rPr>
            </w:pPr>
            <w:r w:rsidRPr="00CF128C">
              <w:rPr>
                <w:rFonts w:ascii="Times New Roman" w:hAnsi="Times New Roman" w:cs="Times New Roman"/>
                <w:b/>
                <w:bCs/>
                <w:szCs w:val="20"/>
                <w:highlight w:val="green"/>
                <w:lang w:eastAsia="ko-KR"/>
              </w:rPr>
              <w:t>Agreement</w:t>
            </w:r>
          </w:p>
          <w:p w14:paraId="0B0BB7D9" w14:textId="77777777" w:rsidR="002F004B" w:rsidRPr="00CF128C" w:rsidRDefault="002F004B" w:rsidP="002F004B">
            <w:pPr>
              <w:pStyle w:val="a3"/>
              <w:suppressAutoHyphens/>
              <w:textAlignment w:val="baseline"/>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CF128C">
              <w:rPr>
                <w:rFonts w:ascii="Times New Roman" w:eastAsia="宋体" w:hAnsi="Times New Roman" w:cs="Times New Roman"/>
                <w:szCs w:val="20"/>
              </w:rPr>
              <w:t>at least includes:</w:t>
            </w:r>
          </w:p>
          <w:p w14:paraId="5B98C4FD" w14:textId="77777777" w:rsidR="002F004B" w:rsidRPr="00CF128C" w:rsidRDefault="002F004B" w:rsidP="002F004B">
            <w:pPr>
              <w:pStyle w:val="a3"/>
              <w:widowControl/>
              <w:numPr>
                <w:ilvl w:val="0"/>
                <w:numId w:val="21"/>
              </w:numPr>
              <w:suppressAutoHyphens/>
              <w:ind w:firstLineChars="0"/>
              <w:jc w:val="left"/>
              <w:textAlignment w:val="baseline"/>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Details for spatial domain coordination by gNB</w:t>
            </w:r>
          </w:p>
          <w:p w14:paraId="0ECA10DA" w14:textId="77777777" w:rsidR="002F004B" w:rsidRPr="00CF128C" w:rsidRDefault="002F004B" w:rsidP="002F004B">
            <w:pPr>
              <w:pStyle w:val="a3"/>
              <w:widowControl/>
              <w:numPr>
                <w:ilvl w:val="0"/>
                <w:numId w:val="21"/>
              </w:numPr>
              <w:suppressAutoHyphens/>
              <w:ind w:firstLineChars="0"/>
              <w:jc w:val="left"/>
              <w:textAlignment w:val="baseline"/>
              <w:rPr>
                <w:rFonts w:ascii="Times New Roman" w:eastAsia="Malgun Gothic" w:hAnsi="Times New Roman" w:cs="Times New Roman"/>
                <w:szCs w:val="20"/>
                <w:lang w:eastAsia="ko-KR"/>
              </w:rPr>
            </w:pPr>
            <w:r w:rsidRPr="00CF128C">
              <w:rPr>
                <w:rFonts w:ascii="Times New Roman" w:eastAsia="Malgun Gothic" w:hAnsi="Times New Roman" w:cs="Times New Roman"/>
                <w:szCs w:val="20"/>
                <w:lang w:eastAsia="ko-KR"/>
              </w:rPr>
              <w:t>Relevant information exchange (if needed)</w:t>
            </w:r>
          </w:p>
          <w:p w14:paraId="2D23D0DD" w14:textId="7A5FA722" w:rsidR="0080229D" w:rsidRPr="0080229D" w:rsidRDefault="002F004B" w:rsidP="0080229D">
            <w:pPr>
              <w:widowControl/>
              <w:suppressAutoHyphens/>
              <w:jc w:val="left"/>
              <w:textAlignment w:val="baseline"/>
              <w:rPr>
                <w:rFonts w:eastAsia="Malgun Gothic"/>
                <w:lang w:eastAsia="ko-KR"/>
              </w:rPr>
            </w:pPr>
            <w:r w:rsidRPr="00CF128C">
              <w:rPr>
                <w:rFonts w:ascii="Times New Roman" w:eastAsia="Malgun Gothic" w:hAnsi="Times New Roman" w:cs="Times New Roman"/>
                <w:szCs w:val="20"/>
                <w:lang w:eastAsia="ko-KR"/>
              </w:rPr>
              <w:t>Note1: Study can include method for FR1 and FR2</w:t>
            </w:r>
          </w:p>
        </w:tc>
      </w:tr>
    </w:tbl>
    <w:p w14:paraId="552E368D" w14:textId="21C861A2" w:rsidR="00C21ACC" w:rsidRDefault="00C21ACC" w:rsidP="00465081">
      <w:pPr>
        <w:pStyle w:val="2"/>
      </w:pPr>
      <w:r w:rsidRPr="00465081">
        <w:rPr>
          <w:rFonts w:hint="eastAsia"/>
        </w:rPr>
        <w:lastRenderedPageBreak/>
        <w:t>C</w:t>
      </w:r>
      <w:r w:rsidR="00465081">
        <w:t xml:space="preserve">LI </w:t>
      </w:r>
      <w:r w:rsidR="003C3E85">
        <w:rPr>
          <w:rFonts w:hint="eastAsia"/>
          <w:lang w:eastAsia="zh-CN"/>
        </w:rPr>
        <w:t>mea</w:t>
      </w:r>
      <w:r w:rsidR="003C3E85">
        <w:t>surement &amp; report</w:t>
      </w:r>
    </w:p>
    <w:p w14:paraId="68EFAB0B" w14:textId="02B5A413" w:rsidR="004739E9" w:rsidRDefault="00D74CCE" w:rsidP="004A48CF">
      <w:pPr>
        <w:spacing w:beforeLines="50" w:before="156"/>
        <w:rPr>
          <w:rFonts w:ascii="Times New Roman" w:hAnsi="Times New Roman" w:cs="Times New Roman"/>
          <w:sz w:val="22"/>
        </w:rPr>
      </w:pPr>
      <w:r>
        <w:rPr>
          <w:rFonts w:ascii="Times New Roman" w:hAnsi="Times New Roman" w:cs="Times New Roman"/>
          <w:sz w:val="22"/>
        </w:rPr>
        <w:t>Cross link interference mitigation schemes based on advanced receiver, coordination, power control, link adaption, sensing and many more were investigated in Rel-15[</w:t>
      </w:r>
      <w:r w:rsidR="00B32FC9">
        <w:rPr>
          <w:rFonts w:ascii="Times New Roman" w:hAnsi="Times New Roman" w:cs="Times New Roman"/>
          <w:sz w:val="22"/>
        </w:rPr>
        <w:t>3</w:t>
      </w:r>
      <w:r>
        <w:rPr>
          <w:rFonts w:ascii="Times New Roman" w:hAnsi="Times New Roman" w:cs="Times New Roman"/>
          <w:sz w:val="22"/>
        </w:rPr>
        <w:t>].</w:t>
      </w:r>
      <w:r w:rsidR="004739E9">
        <w:rPr>
          <w:rFonts w:ascii="Times New Roman" w:hAnsi="Times New Roman" w:cs="Times New Roman"/>
          <w:sz w:val="22"/>
        </w:rPr>
        <w:t xml:space="preserve"> </w:t>
      </w:r>
    </w:p>
    <w:p w14:paraId="4D81AD72" w14:textId="212F7E5C" w:rsidR="00465081" w:rsidRDefault="000842A3" w:rsidP="004A48CF">
      <w:pPr>
        <w:spacing w:beforeLines="50" w:before="156"/>
        <w:rPr>
          <w:rFonts w:ascii="Times New Roman" w:hAnsi="Times New Roman" w:cs="Times New Roman"/>
          <w:sz w:val="22"/>
        </w:rPr>
      </w:pPr>
      <w:r>
        <w:rPr>
          <w:rFonts w:ascii="Times New Roman" w:hAnsi="Times New Roman" w:cs="Times New Roman" w:hint="eastAsia"/>
          <w:sz w:val="22"/>
        </w:rPr>
        <w:t>Firstly,</w:t>
      </w:r>
      <w:r>
        <w:rPr>
          <w:rFonts w:ascii="Times New Roman" w:hAnsi="Times New Roman" w:cs="Times New Roman"/>
          <w:sz w:val="22"/>
        </w:rPr>
        <w:t xml:space="preserve"> </w:t>
      </w:r>
      <w:r w:rsidR="004739E9">
        <w:rPr>
          <w:rFonts w:ascii="Times New Roman" w:hAnsi="Times New Roman" w:cs="Times New Roman"/>
          <w:sz w:val="22"/>
        </w:rPr>
        <w:t xml:space="preserve">gNB-to-gNB </w:t>
      </w:r>
      <w:r w:rsidR="00F14B49">
        <w:rPr>
          <w:rFonts w:ascii="Times New Roman" w:hAnsi="Times New Roman" w:cs="Times New Roman"/>
          <w:sz w:val="22"/>
        </w:rPr>
        <w:t>CLI handling</w:t>
      </w:r>
      <w:r w:rsidR="004739E9">
        <w:rPr>
          <w:rFonts w:ascii="Times New Roman" w:hAnsi="Times New Roman" w:cs="Times New Roman"/>
          <w:sz w:val="22"/>
        </w:rPr>
        <w:t xml:space="preserve"> should be discussed </w:t>
      </w:r>
      <w:r w:rsidR="00CE2FEF">
        <w:rPr>
          <w:rFonts w:ascii="Times New Roman" w:hAnsi="Times New Roman" w:cs="Times New Roman"/>
          <w:sz w:val="22"/>
        </w:rPr>
        <w:t>due to</w:t>
      </w:r>
      <w:r w:rsidR="00760968">
        <w:rPr>
          <w:rFonts w:ascii="Times New Roman" w:hAnsi="Times New Roman" w:cs="Times New Roman"/>
          <w:sz w:val="22"/>
        </w:rPr>
        <w:t xml:space="preserve"> </w:t>
      </w:r>
      <w:r w:rsidR="00EF790F">
        <w:rPr>
          <w:rFonts w:ascii="Times New Roman" w:hAnsi="Times New Roman" w:cs="Times New Roman"/>
          <w:sz w:val="22"/>
        </w:rPr>
        <w:t>lacking of inter-gNB CLI</w:t>
      </w:r>
      <w:r w:rsidR="006B569F">
        <w:rPr>
          <w:rFonts w:ascii="Times New Roman" w:hAnsi="Times New Roman" w:cs="Times New Roman"/>
          <w:sz w:val="22"/>
        </w:rPr>
        <w:t xml:space="preserve"> handling</w:t>
      </w:r>
      <w:r w:rsidR="00EF790F">
        <w:rPr>
          <w:rFonts w:ascii="Times New Roman" w:hAnsi="Times New Roman" w:cs="Times New Roman"/>
          <w:sz w:val="22"/>
        </w:rPr>
        <w:t xml:space="preserve">, </w:t>
      </w:r>
      <w:r w:rsidR="00760968">
        <w:rPr>
          <w:rFonts w:ascii="Times New Roman" w:hAnsi="Times New Roman" w:cs="Times New Roman"/>
          <w:sz w:val="22"/>
        </w:rPr>
        <w:t>the large</w:t>
      </w:r>
      <w:r w:rsidR="00EF790F">
        <w:rPr>
          <w:rFonts w:ascii="Times New Roman" w:hAnsi="Times New Roman" w:cs="Times New Roman"/>
          <w:sz w:val="22"/>
        </w:rPr>
        <w:t>r</w:t>
      </w:r>
      <w:r w:rsidR="00760968">
        <w:rPr>
          <w:rFonts w:ascii="Times New Roman" w:hAnsi="Times New Roman" w:cs="Times New Roman"/>
          <w:sz w:val="22"/>
        </w:rPr>
        <w:t xml:space="preserve"> Tx power</w:t>
      </w:r>
      <w:r w:rsidR="00CE2FEF">
        <w:rPr>
          <w:rFonts w:ascii="Times New Roman" w:hAnsi="Times New Roman" w:cs="Times New Roman"/>
          <w:sz w:val="22"/>
        </w:rPr>
        <w:t xml:space="preserve"> and greater inference</w:t>
      </w:r>
      <w:r w:rsidR="00EF790F">
        <w:rPr>
          <w:rFonts w:ascii="Times New Roman" w:hAnsi="Times New Roman" w:cs="Times New Roman"/>
          <w:sz w:val="22"/>
        </w:rPr>
        <w:t xml:space="preserve"> level</w:t>
      </w:r>
      <w:r w:rsidR="00760968">
        <w:rPr>
          <w:rFonts w:ascii="Times New Roman" w:hAnsi="Times New Roman" w:cs="Times New Roman"/>
          <w:sz w:val="22"/>
        </w:rPr>
        <w:t xml:space="preserve">. </w:t>
      </w:r>
      <w:r w:rsidR="00F14B49">
        <w:rPr>
          <w:rFonts w:ascii="Times New Roman" w:hAnsi="Times New Roman" w:cs="Times New Roman"/>
          <w:sz w:val="22"/>
        </w:rPr>
        <w:t>The prerequisite for such interference suppression mechanism is accurate interference measurement. Suitable RS design and t</w:t>
      </w:r>
      <w:r w:rsidR="00F14B49" w:rsidRPr="00F14B49">
        <w:rPr>
          <w:rFonts w:ascii="Times New Roman" w:hAnsi="Times New Roman" w:cs="Times New Roman"/>
          <w:sz w:val="22"/>
        </w:rPr>
        <w:t>iming alignment between wanted signal and interference</w:t>
      </w:r>
      <w:r w:rsidR="00F14B49">
        <w:rPr>
          <w:rFonts w:ascii="Times New Roman" w:hAnsi="Times New Roman" w:cs="Times New Roman"/>
          <w:sz w:val="22"/>
        </w:rPr>
        <w:t xml:space="preserve"> makes the measurement more accurate. </w:t>
      </w:r>
      <w:r w:rsidR="00E82C46" w:rsidRPr="00EC7AC3">
        <w:rPr>
          <w:rFonts w:ascii="Times New Roman" w:hAnsi="Times New Roman" w:cs="Times New Roman"/>
          <w:sz w:val="22"/>
        </w:rPr>
        <w:t>Regarding inter-</w:t>
      </w:r>
      <w:r w:rsidR="00E82C46" w:rsidRPr="00EC7AC3">
        <w:rPr>
          <w:rFonts w:ascii="Times New Roman" w:hAnsi="Times New Roman" w:cs="Times New Roman" w:hint="eastAsia"/>
          <w:sz w:val="22"/>
        </w:rPr>
        <w:t>g</w:t>
      </w:r>
      <w:r w:rsidR="00E82C46" w:rsidRPr="00EC7AC3">
        <w:rPr>
          <w:rFonts w:ascii="Times New Roman" w:hAnsi="Times New Roman" w:cs="Times New Roman"/>
          <w:sz w:val="22"/>
        </w:rPr>
        <w:t>NB CLI measurement, i</w:t>
      </w:r>
      <w:r w:rsidR="003C3E85">
        <w:rPr>
          <w:rFonts w:ascii="Times New Roman" w:hAnsi="Times New Roman" w:cs="Times New Roman"/>
          <w:sz w:val="22"/>
        </w:rPr>
        <w:t>t is not necessary to introduce</w:t>
      </w:r>
      <w:r w:rsidR="00E82C46" w:rsidRPr="00EC7AC3">
        <w:rPr>
          <w:rFonts w:ascii="Times New Roman" w:hAnsi="Times New Roman" w:cs="Times New Roman"/>
          <w:sz w:val="22"/>
        </w:rPr>
        <w:t xml:space="preserve"> new RS considering the existence of diverse types of NR-RS. Specifically, we can use CSI-RS, SSB or RIM-RS to measure gNB-gNB CLI.</w:t>
      </w:r>
      <w:r w:rsidR="003C3E85" w:rsidRPr="003C3E85">
        <w:rPr>
          <w:rFonts w:ascii="Times New Roman" w:hAnsi="Times New Roman" w:cs="Times New Roman"/>
          <w:sz w:val="22"/>
        </w:rPr>
        <w:t xml:space="preserve"> </w:t>
      </w:r>
      <w:r w:rsidR="003C3E85">
        <w:rPr>
          <w:rFonts w:ascii="Times New Roman" w:hAnsi="Times New Roman" w:cs="Times New Roman"/>
          <w:sz w:val="22"/>
        </w:rPr>
        <w:t>Besides, i</w:t>
      </w:r>
      <w:r w:rsidR="003C3E85">
        <w:rPr>
          <w:rFonts w:ascii="Times New Roman" w:hAnsi="Times New Roman" w:cs="Times New Roman"/>
          <w:sz w:val="22"/>
        </w:rPr>
        <w:t xml:space="preserve">nformation exchange between gNBs by </w:t>
      </w:r>
      <w:r w:rsidR="003C3E85" w:rsidRPr="00F14B49">
        <w:rPr>
          <w:rFonts w:ascii="Times New Roman" w:hAnsi="Times New Roman" w:cs="Times New Roman"/>
          <w:sz w:val="22"/>
        </w:rPr>
        <w:t>so</w:t>
      </w:r>
      <w:r w:rsidR="003C3E85">
        <w:rPr>
          <w:rFonts w:ascii="Times New Roman" w:hAnsi="Times New Roman" w:cs="Times New Roman"/>
          <w:sz w:val="22"/>
        </w:rPr>
        <w:t xml:space="preserve">me enhanced schemes, e.g., OTA </w:t>
      </w:r>
      <w:r w:rsidR="003C3E85" w:rsidRPr="00F14B49">
        <w:rPr>
          <w:rFonts w:ascii="Times New Roman" w:hAnsi="Times New Roman" w:cs="Times New Roman"/>
          <w:sz w:val="22"/>
        </w:rPr>
        <w:t>signaling,</w:t>
      </w:r>
      <w:r w:rsidR="003C3E85">
        <w:rPr>
          <w:rFonts w:ascii="Times New Roman" w:hAnsi="Times New Roman" w:cs="Times New Roman"/>
          <w:sz w:val="22"/>
        </w:rPr>
        <w:t xml:space="preserve"> </w:t>
      </w:r>
      <w:r w:rsidR="003C3E85" w:rsidRPr="00F14B49">
        <w:rPr>
          <w:rFonts w:ascii="Times New Roman" w:hAnsi="Times New Roman" w:cs="Times New Roman"/>
          <w:sz w:val="22"/>
        </w:rPr>
        <w:t xml:space="preserve">should </w:t>
      </w:r>
      <w:r w:rsidR="003C3E85">
        <w:rPr>
          <w:rFonts w:ascii="Times New Roman" w:hAnsi="Times New Roman" w:cs="Times New Roman"/>
          <w:sz w:val="22"/>
        </w:rPr>
        <w:t xml:space="preserve">also </w:t>
      </w:r>
      <w:r w:rsidR="003C3E85" w:rsidRPr="00F14B49">
        <w:rPr>
          <w:rFonts w:ascii="Times New Roman" w:hAnsi="Times New Roman" w:cs="Times New Roman"/>
          <w:sz w:val="22"/>
        </w:rPr>
        <w:t>be considered in NR specification</w:t>
      </w:r>
      <w:r w:rsidR="003C3E85">
        <w:rPr>
          <w:rFonts w:ascii="Times New Roman" w:hAnsi="Times New Roman" w:cs="Times New Roman"/>
          <w:sz w:val="22"/>
        </w:rPr>
        <w:t>.</w:t>
      </w:r>
      <w:r w:rsidR="00E82C46" w:rsidRPr="00EC7AC3">
        <w:rPr>
          <w:rFonts w:ascii="Times New Roman" w:hAnsi="Times New Roman" w:cs="Times New Roman"/>
          <w:sz w:val="22"/>
        </w:rPr>
        <w:t xml:space="preserve"> </w:t>
      </w:r>
    </w:p>
    <w:p w14:paraId="24C8B140" w14:textId="12D96CFE" w:rsidR="00241DED" w:rsidRPr="00545678" w:rsidRDefault="00241DED" w:rsidP="00545678">
      <w:pPr>
        <w:spacing w:beforeLines="50" w:before="156"/>
        <w:rPr>
          <w:rFonts w:ascii="Times New Roman" w:hAnsi="Times New Roman"/>
          <w:b/>
          <w:i/>
          <w:sz w:val="22"/>
        </w:rPr>
      </w:pPr>
      <w:r w:rsidRPr="00545678">
        <w:rPr>
          <w:rFonts w:ascii="Times New Roman" w:hAnsi="Times New Roman"/>
          <w:b/>
          <w:i/>
          <w:sz w:val="22"/>
        </w:rPr>
        <w:t xml:space="preserve">Proposal 1: </w:t>
      </w:r>
      <w:r w:rsidRPr="00545678">
        <w:rPr>
          <w:rFonts w:ascii="Times New Roman" w:hAnsi="Times New Roman" w:hint="eastAsia"/>
          <w:b/>
          <w:i/>
          <w:sz w:val="22"/>
        </w:rPr>
        <w:t>CSI-RS</w:t>
      </w:r>
      <w:r w:rsidRPr="00545678">
        <w:rPr>
          <w:rFonts w:ascii="Times New Roman" w:hAnsi="Times New Roman"/>
          <w:b/>
          <w:i/>
          <w:sz w:val="22"/>
        </w:rPr>
        <w:t>, SSB and RIM-RS can be considered for CLI measurement among gNBs.</w:t>
      </w:r>
    </w:p>
    <w:p w14:paraId="1575C124" w14:textId="77777777" w:rsidR="00ED4ABE" w:rsidRDefault="00E473DC" w:rsidP="00ED4ABE">
      <w:pPr>
        <w:spacing w:beforeLines="50" w:before="156"/>
        <w:rPr>
          <w:rFonts w:ascii="Times New Roman" w:hAnsi="Times New Roman" w:cs="Times New Roman"/>
          <w:sz w:val="22"/>
        </w:rPr>
      </w:pPr>
      <w:r>
        <w:rPr>
          <w:rFonts w:ascii="Times New Roman" w:hAnsi="Times New Roman" w:cs="Times New Roman"/>
          <w:sz w:val="22"/>
        </w:rPr>
        <w:lastRenderedPageBreak/>
        <w:t>Secondly, UE-to-UE CLI measurement can be e</w:t>
      </w:r>
      <w:r w:rsidR="007D53E0">
        <w:rPr>
          <w:rFonts w:ascii="Times New Roman" w:hAnsi="Times New Roman" w:cs="Times New Roman"/>
          <w:sz w:val="22"/>
        </w:rPr>
        <w:t xml:space="preserve">nhanced based on the outcome of discussion in </w:t>
      </w:r>
      <w:r>
        <w:rPr>
          <w:rFonts w:ascii="Times New Roman" w:hAnsi="Times New Roman" w:cs="Times New Roman"/>
          <w:sz w:val="22"/>
        </w:rPr>
        <w:t>Rel-16</w:t>
      </w:r>
      <w:r w:rsidR="007D53E0">
        <w:rPr>
          <w:rFonts w:ascii="Times New Roman" w:hAnsi="Times New Roman" w:cs="Times New Roman"/>
          <w:sz w:val="22"/>
        </w:rPr>
        <w:t>.</w:t>
      </w:r>
      <w:r w:rsidR="002C7EDC">
        <w:rPr>
          <w:rFonts w:ascii="Times New Roman" w:hAnsi="Times New Roman" w:cs="Times New Roman"/>
          <w:sz w:val="22"/>
        </w:rPr>
        <w:t xml:space="preserve"> </w:t>
      </w:r>
      <w:r w:rsidR="00F227C2">
        <w:rPr>
          <w:rFonts w:ascii="Times New Roman" w:hAnsi="Times New Roman" w:cs="Times New Roman" w:hint="eastAsia"/>
          <w:sz w:val="22"/>
        </w:rPr>
        <w:t>F</w:t>
      </w:r>
      <w:r w:rsidR="00F227C2">
        <w:rPr>
          <w:rFonts w:ascii="Times New Roman" w:hAnsi="Times New Roman" w:cs="Times New Roman"/>
          <w:sz w:val="22"/>
        </w:rPr>
        <w:t xml:space="preserve">or UE-UE CLI measurement, legacy CLI report is via high layer signaling which has serious issue on latency. </w:t>
      </w:r>
      <w:r w:rsidR="00086AE5">
        <w:rPr>
          <w:rFonts w:ascii="Times New Roman" w:hAnsi="Times New Roman" w:cs="Times New Roman"/>
          <w:sz w:val="22"/>
        </w:rPr>
        <w:t>L1 based short term CLI measurement and reporting can be considered to adapt</w:t>
      </w:r>
      <w:r>
        <w:rPr>
          <w:rFonts w:ascii="Times New Roman" w:hAnsi="Times New Roman" w:cs="Times New Roman"/>
          <w:sz w:val="22"/>
        </w:rPr>
        <w:t xml:space="preserve"> </w:t>
      </w:r>
      <w:r w:rsidR="00086AE5">
        <w:rPr>
          <w:rFonts w:ascii="Times New Roman" w:hAnsi="Times New Roman" w:cs="Times New Roman"/>
          <w:sz w:val="22"/>
        </w:rPr>
        <w:t>to the dynamic change in TDD configuration</w:t>
      </w:r>
      <w:r w:rsidR="00727560" w:rsidRPr="00E3430C">
        <w:rPr>
          <w:rFonts w:ascii="Times New Roman" w:hAnsi="Times New Roman" w:cs="Times New Roman"/>
          <w:sz w:val="22"/>
        </w:rPr>
        <w:t>.</w:t>
      </w:r>
    </w:p>
    <w:p w14:paraId="3E89C0F8" w14:textId="2D032B79" w:rsidR="00FD2EEC" w:rsidRDefault="006A4D5F" w:rsidP="00ED4ABE">
      <w:pPr>
        <w:spacing w:beforeLines="50" w:before="156"/>
        <w:rPr>
          <w:rFonts w:ascii="Times New Roman" w:hAnsi="Times New Roman" w:cs="Times New Roman"/>
          <w:sz w:val="22"/>
        </w:rPr>
      </w:pPr>
      <w:r>
        <w:rPr>
          <w:rFonts w:ascii="Times New Roman" w:hAnsi="Times New Roman" w:cs="Times New Roman"/>
          <w:sz w:val="22"/>
        </w:rPr>
        <w:t>UE-UE CLI measurement based on SRS was standardized in R</w:t>
      </w:r>
      <w:r w:rsidR="00ED4ABE">
        <w:rPr>
          <w:rFonts w:ascii="Times New Roman" w:hAnsi="Times New Roman" w:cs="Times New Roman"/>
          <w:sz w:val="22"/>
        </w:rPr>
        <w:t>el-</w:t>
      </w:r>
      <w:r>
        <w:rPr>
          <w:rFonts w:ascii="Times New Roman" w:hAnsi="Times New Roman" w:cs="Times New Roman"/>
          <w:sz w:val="22"/>
        </w:rPr>
        <w:t>16 but</w:t>
      </w:r>
      <w:r w:rsidR="004B6FE9">
        <w:rPr>
          <w:rFonts w:ascii="Times New Roman" w:hAnsi="Times New Roman" w:cs="Times New Roman"/>
          <w:sz w:val="22"/>
        </w:rPr>
        <w:t xml:space="preserve"> no</w:t>
      </w:r>
      <w:r>
        <w:rPr>
          <w:rFonts w:ascii="Times New Roman" w:hAnsi="Times New Roman" w:cs="Times New Roman"/>
          <w:sz w:val="22"/>
        </w:rPr>
        <w:t xml:space="preserve"> information exchange about the CLI measurement resource was included.</w:t>
      </w:r>
      <w:r w:rsidR="00212A57">
        <w:rPr>
          <w:rFonts w:ascii="Times New Roman" w:hAnsi="Times New Roman" w:cs="Times New Roman"/>
          <w:sz w:val="22"/>
        </w:rPr>
        <w:t xml:space="preserve"> Pre-configuration of measurement resource can be done </w:t>
      </w:r>
      <w:r w:rsidR="006863A3">
        <w:rPr>
          <w:rFonts w:ascii="Times New Roman" w:hAnsi="Times New Roman" w:cs="Times New Roman"/>
          <w:sz w:val="22"/>
        </w:rPr>
        <w:t>among</w:t>
      </w:r>
      <w:r w:rsidR="00212A57">
        <w:rPr>
          <w:rFonts w:ascii="Times New Roman" w:hAnsi="Times New Roman" w:cs="Times New Roman"/>
          <w:sz w:val="22"/>
        </w:rPr>
        <w:t xml:space="preserve"> gNBs because the UE-UE CLI measurement and report is semi-static and periodical</w:t>
      </w:r>
      <w:r w:rsidR="00B53004">
        <w:rPr>
          <w:rFonts w:ascii="Times New Roman" w:hAnsi="Times New Roman" w:cs="Times New Roman"/>
          <w:sz w:val="22"/>
        </w:rPr>
        <w:t xml:space="preserve"> in R</w:t>
      </w:r>
      <w:r w:rsidR="00ED4ABE">
        <w:rPr>
          <w:rFonts w:ascii="Times New Roman" w:hAnsi="Times New Roman" w:cs="Times New Roman"/>
          <w:sz w:val="22"/>
        </w:rPr>
        <w:t>el-</w:t>
      </w:r>
      <w:r w:rsidR="00B53004">
        <w:rPr>
          <w:rFonts w:ascii="Times New Roman" w:hAnsi="Times New Roman" w:cs="Times New Roman"/>
          <w:sz w:val="22"/>
        </w:rPr>
        <w:t>16.</w:t>
      </w:r>
      <w:r w:rsidR="005E77EE">
        <w:rPr>
          <w:rFonts w:ascii="Times New Roman" w:hAnsi="Times New Roman" w:cs="Times New Roman"/>
          <w:sz w:val="22"/>
        </w:rPr>
        <w:t xml:space="preserve"> To support more dynamic </w:t>
      </w:r>
      <w:r w:rsidR="00E97773">
        <w:rPr>
          <w:rFonts w:ascii="Times New Roman" w:hAnsi="Times New Roman" w:cs="Times New Roman"/>
          <w:sz w:val="22"/>
        </w:rPr>
        <w:t>CLI measurement, certain assistance information such as measurement resource, beam information, needs to be exchange</w:t>
      </w:r>
      <w:r w:rsidR="00ED4ABE">
        <w:rPr>
          <w:rFonts w:ascii="Times New Roman" w:hAnsi="Times New Roman" w:cs="Times New Roman"/>
          <w:sz w:val="22"/>
        </w:rPr>
        <w:t>d</w:t>
      </w:r>
      <w:r w:rsidR="00E97773">
        <w:rPr>
          <w:rFonts w:ascii="Times New Roman" w:hAnsi="Times New Roman" w:cs="Times New Roman"/>
          <w:sz w:val="22"/>
        </w:rPr>
        <w:t xml:space="preserve"> among gNBs.</w:t>
      </w:r>
      <w:r w:rsidR="009C5D14">
        <w:rPr>
          <w:rFonts w:ascii="Times New Roman" w:hAnsi="Times New Roman" w:cs="Times New Roman"/>
          <w:sz w:val="22"/>
        </w:rPr>
        <w:t xml:space="preserve"> Besides, with those information, </w:t>
      </w:r>
      <w:r w:rsidR="00225441">
        <w:rPr>
          <w:rFonts w:ascii="Times New Roman" w:hAnsi="Times New Roman" w:cs="Times New Roman"/>
          <w:sz w:val="22"/>
        </w:rPr>
        <w:t xml:space="preserve">some enhancement to improve the accuracy of </w:t>
      </w:r>
      <w:r w:rsidR="009C5D14">
        <w:rPr>
          <w:rFonts w:ascii="Times New Roman" w:hAnsi="Times New Roman" w:cs="Times New Roman"/>
          <w:sz w:val="22"/>
        </w:rPr>
        <w:t xml:space="preserve">CLI measurement </w:t>
      </w:r>
      <w:r w:rsidR="00225441">
        <w:rPr>
          <w:rFonts w:ascii="Times New Roman" w:hAnsi="Times New Roman" w:cs="Times New Roman"/>
          <w:sz w:val="22"/>
        </w:rPr>
        <w:t xml:space="preserve">result </w:t>
      </w:r>
      <w:r w:rsidR="009C5D14">
        <w:rPr>
          <w:rFonts w:ascii="Times New Roman" w:hAnsi="Times New Roman" w:cs="Times New Roman"/>
          <w:sz w:val="22"/>
        </w:rPr>
        <w:t>can be done</w:t>
      </w:r>
      <w:r w:rsidR="00225441">
        <w:rPr>
          <w:rFonts w:ascii="Times New Roman" w:hAnsi="Times New Roman" w:cs="Times New Roman"/>
          <w:sz w:val="22"/>
        </w:rPr>
        <w:t>.</w:t>
      </w:r>
      <w:r w:rsidR="00550749">
        <w:rPr>
          <w:rFonts w:ascii="Times New Roman" w:hAnsi="Times New Roman" w:cs="Times New Roman"/>
          <w:sz w:val="22"/>
        </w:rPr>
        <w:t xml:space="preserve"> Also, to enable </w:t>
      </w:r>
      <w:r w:rsidR="00550749" w:rsidRPr="00545678">
        <w:rPr>
          <w:rFonts w:ascii="Times New Roman" w:hAnsi="Times New Roman" w:cs="Times New Roman"/>
          <w:sz w:val="22"/>
        </w:rPr>
        <w:t>spatial domain coordination</w:t>
      </w:r>
      <w:r w:rsidR="00264797" w:rsidRPr="00545678">
        <w:rPr>
          <w:rFonts w:ascii="Times New Roman" w:hAnsi="Times New Roman" w:cs="Times New Roman"/>
          <w:sz w:val="22"/>
        </w:rPr>
        <w:t>, beam information, e.g. prefer/non-prefer beam, prefer/non-prefer beam pairs exchange is essential.</w:t>
      </w:r>
      <w:r w:rsidR="00550749">
        <w:rPr>
          <w:rFonts w:ascii="Times New Roman" w:hAnsi="Times New Roman" w:cs="Times New Roman"/>
          <w:sz w:val="22"/>
        </w:rPr>
        <w:t xml:space="preserve"> </w:t>
      </w:r>
    </w:p>
    <w:p w14:paraId="7E304991" w14:textId="6DBA7C99" w:rsidR="00241DED" w:rsidRPr="00545678" w:rsidRDefault="00241DED" w:rsidP="00545678">
      <w:pPr>
        <w:spacing w:beforeLines="50" w:before="156"/>
        <w:rPr>
          <w:rFonts w:ascii="Times New Roman" w:hAnsi="Times New Roman"/>
          <w:b/>
          <w:i/>
          <w:sz w:val="22"/>
        </w:rPr>
      </w:pPr>
      <w:r w:rsidRPr="00545678">
        <w:rPr>
          <w:rFonts w:ascii="Times New Roman" w:hAnsi="Times New Roman"/>
          <w:b/>
          <w:i/>
          <w:sz w:val="22"/>
        </w:rPr>
        <w:t>Proposal</w:t>
      </w:r>
      <w:r w:rsidR="00545678" w:rsidRPr="00545678">
        <w:rPr>
          <w:rFonts w:ascii="Times New Roman" w:hAnsi="Times New Roman"/>
          <w:b/>
          <w:i/>
          <w:sz w:val="22"/>
        </w:rPr>
        <w:t xml:space="preserve"> </w:t>
      </w:r>
      <w:r w:rsidR="00F344E6">
        <w:rPr>
          <w:rFonts w:ascii="Times New Roman" w:hAnsi="Times New Roman"/>
          <w:b/>
          <w:i/>
          <w:sz w:val="22"/>
        </w:rPr>
        <w:t>2</w:t>
      </w:r>
      <w:r w:rsidRPr="00545678">
        <w:rPr>
          <w:rFonts w:ascii="Times New Roman" w:hAnsi="Times New Roman"/>
          <w:b/>
          <w:i/>
          <w:sz w:val="22"/>
        </w:rPr>
        <w:t xml:space="preserve">: </w:t>
      </w:r>
      <w:r w:rsidRPr="00545678">
        <w:rPr>
          <w:rFonts w:ascii="Times New Roman" w:hAnsi="Times New Roman" w:hint="eastAsia"/>
          <w:b/>
          <w:i/>
          <w:sz w:val="22"/>
        </w:rPr>
        <w:t>Laye</w:t>
      </w:r>
      <w:r w:rsidRPr="00545678">
        <w:rPr>
          <w:rFonts w:ascii="Times New Roman" w:hAnsi="Times New Roman"/>
          <w:b/>
          <w:i/>
          <w:sz w:val="22"/>
        </w:rPr>
        <w:t>r-1 CLI report should be supported for UE-UE CLI management.</w:t>
      </w:r>
    </w:p>
    <w:p w14:paraId="39F31128" w14:textId="2249C934" w:rsidR="0049129D" w:rsidRPr="00545678" w:rsidRDefault="00FD2EEC" w:rsidP="00545678">
      <w:pPr>
        <w:spacing w:beforeLines="50" w:before="156"/>
        <w:rPr>
          <w:rFonts w:ascii="Times New Roman" w:hAnsi="Times New Roman"/>
          <w:b/>
          <w:i/>
          <w:sz w:val="22"/>
        </w:rPr>
      </w:pPr>
      <w:r w:rsidRPr="00545678">
        <w:rPr>
          <w:rFonts w:ascii="Times New Roman" w:hAnsi="Times New Roman"/>
          <w:b/>
          <w:i/>
          <w:sz w:val="22"/>
        </w:rPr>
        <w:t>Proposal</w:t>
      </w:r>
      <w:r w:rsidR="00545678" w:rsidRPr="00545678">
        <w:rPr>
          <w:rFonts w:ascii="Times New Roman" w:hAnsi="Times New Roman"/>
          <w:b/>
          <w:i/>
          <w:sz w:val="22"/>
        </w:rPr>
        <w:t xml:space="preserve"> </w:t>
      </w:r>
      <w:r w:rsidR="00F344E6">
        <w:rPr>
          <w:rFonts w:ascii="Times New Roman" w:hAnsi="Times New Roman"/>
          <w:b/>
          <w:i/>
          <w:sz w:val="22"/>
        </w:rPr>
        <w:t>3</w:t>
      </w:r>
      <w:r w:rsidRPr="00545678">
        <w:rPr>
          <w:rFonts w:ascii="Times New Roman" w:hAnsi="Times New Roman"/>
          <w:b/>
          <w:i/>
          <w:sz w:val="22"/>
        </w:rPr>
        <w:t>: CLI measurement resource configuration and beam information should be exchanged among gNBs.</w:t>
      </w:r>
    </w:p>
    <w:p w14:paraId="7EF66889" w14:textId="77777777" w:rsidR="0049129D" w:rsidRDefault="0049129D" w:rsidP="0049129D">
      <w:pPr>
        <w:pStyle w:val="2"/>
      </w:pPr>
      <w:r>
        <w:rPr>
          <w:rFonts w:hint="eastAsia"/>
          <w:lang w:eastAsia="zh-CN"/>
        </w:rPr>
        <w:t>TA</w:t>
      </w:r>
      <w:r>
        <w:t xml:space="preserve"> enhancement</w:t>
      </w:r>
    </w:p>
    <w:p w14:paraId="4E154CE6" w14:textId="7F32571D" w:rsidR="0049129D" w:rsidRPr="003D04D8" w:rsidRDefault="00241DED" w:rsidP="0049129D">
      <w:pPr>
        <w:widowControl/>
        <w:spacing w:after="180"/>
        <w:rPr>
          <w:rFonts w:ascii="Times New Roman" w:hAnsi="Times New Roman" w:cs="Times New Roman"/>
          <w:kern w:val="0"/>
          <w:sz w:val="22"/>
          <w:lang w:val="en-GB"/>
        </w:rPr>
      </w:pPr>
      <w:r>
        <w:rPr>
          <w:rFonts w:ascii="Times New Roman" w:hAnsi="Times New Roman" w:cs="Times New Roman"/>
          <w:kern w:val="0"/>
          <w:sz w:val="22"/>
          <w:lang w:val="en-GB"/>
        </w:rPr>
        <w:t>As shown in F</w:t>
      </w:r>
      <w:r w:rsidR="0049129D" w:rsidRPr="003D04D8">
        <w:rPr>
          <w:rFonts w:ascii="Times New Roman" w:hAnsi="Times New Roman" w:cs="Times New Roman"/>
          <w:kern w:val="0"/>
          <w:sz w:val="22"/>
          <w:lang w:val="en-GB"/>
        </w:rPr>
        <w:t>igure</w:t>
      </w:r>
      <w:r w:rsidR="00D244BB">
        <w:rPr>
          <w:rFonts w:ascii="Times New Roman" w:hAnsi="Times New Roman" w:cs="Times New Roman"/>
          <w:kern w:val="0"/>
          <w:sz w:val="22"/>
          <w:lang w:val="en-GB"/>
        </w:rPr>
        <w:t xml:space="preserve"> </w:t>
      </w:r>
      <w:r>
        <w:rPr>
          <w:rFonts w:ascii="Times New Roman" w:hAnsi="Times New Roman" w:cs="Times New Roman"/>
          <w:kern w:val="0"/>
          <w:sz w:val="22"/>
          <w:lang w:val="en-GB"/>
        </w:rPr>
        <w:t>3</w:t>
      </w:r>
      <w:r w:rsidR="0049129D" w:rsidRPr="003D04D8">
        <w:rPr>
          <w:rFonts w:ascii="Times New Roman" w:hAnsi="Times New Roman" w:cs="Times New Roman"/>
          <w:kern w:val="0"/>
          <w:sz w:val="22"/>
          <w:lang w:val="en-GB"/>
        </w:rPr>
        <w:t xml:space="preserve">, </w:t>
      </w:r>
      <w:r w:rsidR="0049129D">
        <w:rPr>
          <w:rFonts w:ascii="Times New Roman" w:hAnsi="Times New Roman" w:cs="Times New Roman" w:hint="eastAsia"/>
          <w:kern w:val="0"/>
          <w:sz w:val="22"/>
          <w:lang w:val="en-GB"/>
        </w:rPr>
        <w:t>UE</w:t>
      </w:r>
      <w:r w:rsidR="0049129D">
        <w:rPr>
          <w:rFonts w:ascii="Times New Roman" w:hAnsi="Times New Roman" w:cs="Times New Roman"/>
          <w:kern w:val="0"/>
          <w:sz w:val="22"/>
          <w:lang w:val="en-GB"/>
        </w:rPr>
        <w:t>2 transmits signal for CLI measurement while UE1 receives the downlink signal from gNB1. T</w:t>
      </w:r>
      <w:r w:rsidR="0049129D" w:rsidRPr="003D04D8">
        <w:rPr>
          <w:rFonts w:ascii="Times New Roman" w:hAnsi="Times New Roman" w:cs="Times New Roman"/>
          <w:kern w:val="0"/>
          <w:sz w:val="22"/>
          <w:lang w:val="en-GB"/>
        </w:rPr>
        <w:t xml:space="preserve">he uplink transmission of UE2 will interfere with the downlink reception of UE1 when different slot configurations are configured in </w:t>
      </w:r>
      <w:r w:rsidR="0049129D">
        <w:rPr>
          <w:rFonts w:ascii="Times New Roman" w:hAnsi="Times New Roman" w:cs="Times New Roman"/>
          <w:kern w:val="0"/>
          <w:sz w:val="22"/>
          <w:lang w:val="en-GB"/>
        </w:rPr>
        <w:t xml:space="preserve">the </w:t>
      </w:r>
      <w:r w:rsidR="0049129D" w:rsidRPr="003D04D8">
        <w:rPr>
          <w:rFonts w:ascii="Times New Roman" w:hAnsi="Times New Roman" w:cs="Times New Roman"/>
          <w:kern w:val="0"/>
          <w:sz w:val="22"/>
          <w:lang w:val="en-GB"/>
        </w:rPr>
        <w:t>two neighbour cells.</w:t>
      </w:r>
    </w:p>
    <w:p w14:paraId="2233FA95" w14:textId="77777777" w:rsidR="0049129D" w:rsidRDefault="0049129D" w:rsidP="0049129D">
      <w:pPr>
        <w:spacing w:after="180"/>
        <w:rPr>
          <w:rFonts w:ascii="Times New Roman" w:hAnsi="Times New Roman" w:cs="Times New Roman"/>
          <w:kern w:val="0"/>
          <w:sz w:val="22"/>
          <w:lang w:val="en-GB"/>
        </w:rPr>
      </w:pPr>
      <w:r>
        <w:rPr>
          <w:rFonts w:ascii="Times New Roman" w:hAnsi="Times New Roman" w:cs="Times New Roman" w:hint="eastAsia"/>
          <w:kern w:val="0"/>
          <w:sz w:val="22"/>
          <w:lang w:val="en-GB"/>
        </w:rPr>
        <w:t>Assum</w:t>
      </w:r>
      <w:r>
        <w:rPr>
          <w:rFonts w:ascii="Times New Roman" w:hAnsi="Times New Roman" w:cs="Times New Roman"/>
          <w:kern w:val="0"/>
          <w:sz w:val="22"/>
          <w:lang w:val="en-GB"/>
        </w:rPr>
        <w:t>ing that t</w:t>
      </w:r>
      <w:r w:rsidRPr="003D04D8">
        <w:rPr>
          <w:rFonts w:ascii="Times New Roman" w:hAnsi="Times New Roman" w:cs="Times New Roman"/>
          <w:kern w:val="0"/>
          <w:sz w:val="22"/>
          <w:lang w:val="en-GB"/>
        </w:rPr>
        <w:t xml:space="preserve">he </w:t>
      </w:r>
      <w:r>
        <w:rPr>
          <w:rFonts w:ascii="Times New Roman" w:hAnsi="Times New Roman" w:cs="Times New Roman"/>
          <w:kern w:val="0"/>
          <w:sz w:val="22"/>
          <w:lang w:val="en-GB"/>
        </w:rPr>
        <w:t>downlink</w:t>
      </w:r>
      <w:r w:rsidRPr="003D04D8">
        <w:rPr>
          <w:rFonts w:ascii="Times New Roman" w:hAnsi="Times New Roman" w:cs="Times New Roman"/>
          <w:kern w:val="0"/>
          <w:sz w:val="22"/>
          <w:lang w:val="en-GB"/>
        </w:rPr>
        <w:t xml:space="preserve"> transmission of gNB1 and the </w:t>
      </w:r>
      <w:r>
        <w:rPr>
          <w:rFonts w:ascii="Times New Roman" w:hAnsi="Times New Roman" w:cs="Times New Roman"/>
          <w:kern w:val="0"/>
          <w:sz w:val="22"/>
          <w:lang w:val="en-GB"/>
        </w:rPr>
        <w:t>uplink</w:t>
      </w:r>
      <w:r w:rsidRPr="003D04D8">
        <w:rPr>
          <w:rFonts w:ascii="Times New Roman" w:hAnsi="Times New Roman" w:cs="Times New Roman"/>
          <w:kern w:val="0"/>
          <w:sz w:val="22"/>
          <w:lang w:val="en-GB"/>
        </w:rPr>
        <w:t xml:space="preserve"> reception of gNB</w:t>
      </w:r>
      <w:r w:rsidRPr="003D04D8">
        <w:rPr>
          <w:rFonts w:ascii="Times New Roman" w:hAnsi="Times New Roman" w:cs="Times New Roman" w:hint="eastAsia"/>
          <w:kern w:val="0"/>
          <w:sz w:val="22"/>
          <w:lang w:val="en-GB"/>
        </w:rPr>
        <w:t>2</w:t>
      </w:r>
      <w:r w:rsidRPr="003D04D8">
        <w:rPr>
          <w:rFonts w:ascii="Times New Roman" w:hAnsi="Times New Roman" w:cs="Times New Roman"/>
          <w:kern w:val="0"/>
          <w:sz w:val="22"/>
          <w:lang w:val="en-GB"/>
        </w:rPr>
        <w:t xml:space="preserve"> are aligned at T</w:t>
      </w:r>
      <w:r w:rsidRPr="00985E58">
        <w:rPr>
          <w:rFonts w:ascii="Times New Roman" w:hAnsi="Times New Roman" w:cs="Times New Roman"/>
          <w:kern w:val="0"/>
          <w:sz w:val="22"/>
          <w:vertAlign w:val="subscript"/>
          <w:lang w:val="en-GB"/>
        </w:rPr>
        <w:t>0</w:t>
      </w:r>
      <w:r>
        <w:rPr>
          <w:rFonts w:ascii="Times New Roman" w:hAnsi="Times New Roman" w:cs="Times New Roman"/>
          <w:kern w:val="0"/>
          <w:sz w:val="22"/>
          <w:lang w:val="en-GB"/>
        </w:rPr>
        <w:t>, and T</w:t>
      </w:r>
      <w:r w:rsidRPr="00985E58">
        <w:rPr>
          <w:rFonts w:ascii="Times New Roman" w:hAnsi="Times New Roman" w:cs="Times New Roman"/>
          <w:kern w:val="0"/>
          <w:sz w:val="22"/>
          <w:vertAlign w:val="subscript"/>
          <w:lang w:val="en-GB"/>
        </w:rPr>
        <w:t>-1</w:t>
      </w:r>
      <w:r>
        <w:rPr>
          <w:rFonts w:ascii="Times New Roman" w:hAnsi="Times New Roman" w:cs="Times New Roman"/>
          <w:kern w:val="0"/>
          <w:sz w:val="22"/>
          <w:lang w:val="en-GB"/>
        </w:rPr>
        <w:t xml:space="preserve"> </w:t>
      </w:r>
      <w:r w:rsidRPr="00985E58">
        <w:rPr>
          <w:rFonts w:ascii="Times New Roman" w:hAnsi="Times New Roman" w:cs="Times New Roman" w:hint="eastAsia"/>
          <w:kern w:val="0"/>
          <w:sz w:val="22"/>
          <w:lang w:val="en-GB"/>
        </w:rPr>
        <w:t>represent the</w:t>
      </w:r>
      <w:r w:rsidRPr="00985E58">
        <w:rPr>
          <w:rFonts w:ascii="Times New Roman" w:hAnsi="Times New Roman" w:cs="Times New Roman"/>
          <w:kern w:val="0"/>
          <w:sz w:val="22"/>
          <w:lang w:val="en-GB"/>
        </w:rPr>
        <w:t xml:space="preserve"> UL timing at UE2.</w:t>
      </w:r>
      <w:r>
        <w:rPr>
          <w:rFonts w:ascii="Times New Roman" w:hAnsi="Times New Roman" w:cs="Times New Roman" w:hint="eastAsia"/>
          <w:kern w:val="0"/>
          <w:sz w:val="22"/>
          <w:lang w:val="en-GB"/>
        </w:rPr>
        <w:t xml:space="preserve"> </w:t>
      </w:r>
      <w:r w:rsidRPr="003D04D8">
        <w:rPr>
          <w:rFonts w:ascii="Times New Roman" w:hAnsi="Times New Roman" w:cs="Times New Roman"/>
          <w:kern w:val="0"/>
          <w:sz w:val="22"/>
          <w:lang w:val="en-GB"/>
        </w:rPr>
        <w:t>UE1 receives the downlink signal transmitted by gNB1 at T</w:t>
      </w:r>
      <w:r w:rsidRPr="00985E58">
        <w:rPr>
          <w:rFonts w:ascii="Times New Roman" w:hAnsi="Times New Roman" w:cs="Times New Roman"/>
          <w:kern w:val="0"/>
          <w:sz w:val="22"/>
          <w:vertAlign w:val="subscript"/>
          <w:lang w:val="en-GB"/>
        </w:rPr>
        <w:t>1</w:t>
      </w:r>
      <w:r w:rsidRPr="003D04D8">
        <w:rPr>
          <w:rFonts w:ascii="Times New Roman" w:hAnsi="Times New Roman" w:cs="Times New Roman"/>
          <w:kern w:val="0"/>
          <w:sz w:val="22"/>
          <w:lang w:val="en-GB"/>
        </w:rPr>
        <w:t xml:space="preserve">, while </w:t>
      </w:r>
      <w:r>
        <w:rPr>
          <w:rFonts w:ascii="Times New Roman" w:hAnsi="Times New Roman" w:cs="Times New Roman"/>
          <w:sz w:val="22"/>
        </w:rPr>
        <w:t>SRS reception</w:t>
      </w:r>
      <w:r w:rsidRPr="00983D86">
        <w:rPr>
          <w:rFonts w:ascii="Times New Roman" w:hAnsi="Times New Roman" w:cs="Times New Roman" w:hint="eastAsia"/>
          <w:sz w:val="22"/>
        </w:rPr>
        <w:t xml:space="preserve"> </w:t>
      </w:r>
      <w:r>
        <w:rPr>
          <w:rFonts w:ascii="Times New Roman" w:hAnsi="Times New Roman" w:cs="Times New Roman"/>
          <w:sz w:val="22"/>
        </w:rPr>
        <w:t>t</w:t>
      </w:r>
      <w:r w:rsidRPr="00983D86">
        <w:rPr>
          <w:rFonts w:ascii="Times New Roman" w:hAnsi="Times New Roman" w:cs="Times New Roman" w:hint="eastAsia"/>
          <w:sz w:val="22"/>
        </w:rPr>
        <w:t>iming at UE1</w:t>
      </w:r>
      <w:r>
        <w:rPr>
          <w:rFonts w:ascii="Times New Roman" w:hAnsi="Times New Roman" w:cs="Times New Roman"/>
          <w:sz w:val="22"/>
        </w:rPr>
        <w:t xml:space="preserve"> </w:t>
      </w:r>
      <w:r w:rsidRPr="00983D86">
        <w:rPr>
          <w:rFonts w:ascii="Times New Roman" w:hAnsi="Times New Roman" w:cs="Times New Roman"/>
          <w:sz w:val="22"/>
        </w:rPr>
        <w:t>earlier than T</w:t>
      </w:r>
      <w:r w:rsidRPr="00985E58">
        <w:rPr>
          <w:rFonts w:ascii="Times New Roman" w:hAnsi="Times New Roman" w:cs="Times New Roman"/>
          <w:sz w:val="22"/>
          <w:vertAlign w:val="subscript"/>
        </w:rPr>
        <w:t>1</w:t>
      </w:r>
      <w:r>
        <w:rPr>
          <w:rFonts w:ascii="Times New Roman" w:hAnsi="Times New Roman" w:cs="Times New Roman"/>
          <w:sz w:val="22"/>
        </w:rPr>
        <w:t xml:space="preserve">. When UE1 and UE2 are far away from gNB and close to each other, it cannot be guaranteed that </w:t>
      </w:r>
      <w:r w:rsidRPr="003D04D8">
        <w:rPr>
          <w:rFonts w:ascii="Times New Roman" w:hAnsi="Times New Roman" w:cs="Times New Roman"/>
          <w:kern w:val="0"/>
          <w:sz w:val="22"/>
          <w:lang w:val="en-GB"/>
        </w:rPr>
        <w:t>the SRS fall within the window that the UE1 normally receives downlink signals, and UE-to-UE CLI measurement cannot be performed accurately.</w:t>
      </w:r>
      <w:r>
        <w:rPr>
          <w:rFonts w:ascii="Times New Roman" w:hAnsi="Times New Roman" w:cs="Times New Roman"/>
          <w:sz w:val="22"/>
        </w:rPr>
        <w:t>The</w:t>
      </w:r>
      <w:r w:rsidRPr="003D04D8">
        <w:rPr>
          <w:rFonts w:ascii="Times New Roman" w:hAnsi="Times New Roman" w:cs="Times New Roman"/>
          <w:kern w:val="0"/>
          <w:sz w:val="22"/>
          <w:lang w:val="en-GB"/>
        </w:rPr>
        <w:t xml:space="preserve"> time </w:t>
      </w:r>
      <w:r w:rsidRPr="003D04D8">
        <w:rPr>
          <w:rFonts w:ascii="Times New Roman" w:hAnsi="Times New Roman" w:cs="Times New Roman" w:hint="eastAsia"/>
          <w:kern w:val="0"/>
          <w:sz w:val="22"/>
          <w:lang w:val="en-GB"/>
        </w:rPr>
        <w:t>offset</w:t>
      </w:r>
      <w:r w:rsidRPr="003D04D8">
        <w:rPr>
          <w:rFonts w:ascii="Times New Roman" w:hAnsi="Times New Roman" w:cs="Times New Roman"/>
          <w:kern w:val="0"/>
          <w:sz w:val="22"/>
          <w:lang w:val="en-GB"/>
        </w:rPr>
        <w:t xml:space="preserve"> between the reception of the reference signal and the normal downlink reception will beyond the range of the cyclic prefix. </w:t>
      </w:r>
      <w:r>
        <w:rPr>
          <w:rFonts w:ascii="Times New Roman" w:hAnsi="Times New Roman" w:cs="Times New Roman"/>
          <w:sz w:val="22"/>
        </w:rPr>
        <w:t>Moreover</w:t>
      </w:r>
      <w:r w:rsidRPr="00983D86">
        <w:rPr>
          <w:rFonts w:ascii="Times New Roman" w:hAnsi="Times New Roman" w:cs="Times New Roman"/>
          <w:sz w:val="22"/>
        </w:rPr>
        <w:t xml:space="preserve">, UE1 cannot </w:t>
      </w:r>
      <w:r w:rsidRPr="007631DB">
        <w:rPr>
          <w:rFonts w:ascii="Times New Roman" w:hAnsi="Times New Roman" w:cs="Times New Roman"/>
          <w:sz w:val="22"/>
        </w:rPr>
        <w:t>accurately</w:t>
      </w:r>
      <w:r w:rsidRPr="00983D86">
        <w:rPr>
          <w:rFonts w:ascii="Times New Roman" w:hAnsi="Times New Roman" w:cs="Times New Roman"/>
          <w:kern w:val="0"/>
          <w:sz w:val="22"/>
          <w:lang w:val="en-GB"/>
        </w:rPr>
        <w:t xml:space="preserve"> derive the</w:t>
      </w:r>
      <w:r w:rsidRPr="00983D86">
        <w:rPr>
          <w:rFonts w:ascii="Times New Roman" w:hAnsi="Times New Roman" w:cs="Times New Roman"/>
          <w:sz w:val="22"/>
        </w:rPr>
        <w:t xml:space="preserve"> reception tim</w:t>
      </w:r>
      <w:r>
        <w:rPr>
          <w:rFonts w:ascii="Times New Roman" w:hAnsi="Times New Roman" w:cs="Times New Roman"/>
          <w:sz w:val="22"/>
        </w:rPr>
        <w:t>ing</w:t>
      </w:r>
      <w:r w:rsidRPr="00983D86">
        <w:rPr>
          <w:rFonts w:ascii="Times New Roman" w:hAnsi="Times New Roman" w:cs="Times New Roman"/>
          <w:sz w:val="22"/>
        </w:rPr>
        <w:t xml:space="preserve"> of the reference signal</w:t>
      </w:r>
      <w:r>
        <w:rPr>
          <w:rFonts w:ascii="Times New Roman" w:hAnsi="Times New Roman" w:cs="Times New Roman"/>
          <w:sz w:val="22"/>
        </w:rPr>
        <w:t xml:space="preserve">. </w:t>
      </w:r>
      <w:r w:rsidRPr="007631DB">
        <w:rPr>
          <w:rFonts w:ascii="Times New Roman" w:hAnsi="Times New Roman" w:cs="Times New Roman"/>
          <w:sz w:val="22"/>
        </w:rPr>
        <w:t>Therefore, the TA of UE2 needs to be adjusted</w:t>
      </w:r>
      <w:r>
        <w:rPr>
          <w:rFonts w:ascii="Times New Roman" w:hAnsi="Times New Roman" w:cs="Times New Roman"/>
          <w:sz w:val="22"/>
        </w:rPr>
        <w:t xml:space="preserve"> </w:t>
      </w:r>
      <w:r>
        <w:rPr>
          <w:rFonts w:ascii="Times New Roman" w:hAnsi="Times New Roman" w:cs="Times New Roman" w:hint="eastAsia"/>
          <w:sz w:val="22"/>
        </w:rPr>
        <w:t>s</w:t>
      </w:r>
      <w:r>
        <w:rPr>
          <w:rFonts w:ascii="Times New Roman" w:hAnsi="Times New Roman" w:cs="Times New Roman"/>
          <w:sz w:val="22"/>
        </w:rPr>
        <w:t xml:space="preserve">o that </w:t>
      </w:r>
      <w:r w:rsidRPr="009B0064">
        <w:rPr>
          <w:rFonts w:ascii="Times New Roman" w:hAnsi="Times New Roman" w:cs="Times New Roman"/>
          <w:sz w:val="22"/>
        </w:rPr>
        <w:t>UE1 can measure the CLI</w:t>
      </w:r>
      <w:r>
        <w:rPr>
          <w:rFonts w:ascii="Times New Roman" w:hAnsi="Times New Roman" w:cs="Times New Roman"/>
          <w:sz w:val="22"/>
        </w:rPr>
        <w:t xml:space="preserve"> while receiving downlink signal at the same time</w:t>
      </w:r>
      <w:r w:rsidRPr="009B0064">
        <w:rPr>
          <w:rFonts w:ascii="Times New Roman" w:hAnsi="Times New Roman" w:cs="Times New Roman"/>
          <w:kern w:val="0"/>
          <w:sz w:val="22"/>
          <w:lang w:val="en-GB"/>
        </w:rPr>
        <w:t xml:space="preserve">. </w:t>
      </w:r>
      <w:r>
        <w:rPr>
          <w:rFonts w:ascii="Times New Roman" w:hAnsi="Times New Roman" w:cs="Times New Roman"/>
          <w:sz w:val="22"/>
        </w:rPr>
        <w:t>O</w:t>
      </w:r>
      <w:r w:rsidRPr="007631DB">
        <w:rPr>
          <w:rFonts w:ascii="Times New Roman" w:hAnsi="Times New Roman" w:cs="Times New Roman"/>
          <w:sz w:val="22"/>
        </w:rPr>
        <w:t>therwise, UE1 cannot properly estimate the interference caused by UE2's uplink transmission</w:t>
      </w:r>
      <w:r>
        <w:rPr>
          <w:rFonts w:ascii="Times New Roman" w:hAnsi="Times New Roman" w:cs="Times New Roman"/>
          <w:sz w:val="22"/>
        </w:rPr>
        <w:t>.</w:t>
      </w:r>
    </w:p>
    <w:p w14:paraId="3F20F69A" w14:textId="77777777" w:rsidR="0049129D" w:rsidRDefault="0049129D" w:rsidP="0049129D">
      <w:pPr>
        <w:spacing w:after="180"/>
        <w:jc w:val="center"/>
        <w:rPr>
          <w:rFonts w:ascii="Times New Roman" w:hAnsi="Times New Roman" w:cs="Times New Roman"/>
          <w:sz w:val="22"/>
        </w:rPr>
      </w:pPr>
      <w:r>
        <w:rPr>
          <w:noProof/>
        </w:rPr>
        <w:drawing>
          <wp:inline distT="0" distB="0" distL="0" distR="0" wp14:anchorId="2384624C" wp14:editId="5E2681BC">
            <wp:extent cx="3050481" cy="214554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7793" cy="2178823"/>
                    </a:xfrm>
                    <a:prstGeom prst="rect">
                      <a:avLst/>
                    </a:prstGeom>
                  </pic:spPr>
                </pic:pic>
              </a:graphicData>
            </a:graphic>
          </wp:inline>
        </w:drawing>
      </w:r>
    </w:p>
    <w:p w14:paraId="6EA14EEE" w14:textId="626AE297" w:rsidR="0049129D" w:rsidRPr="007013D8" w:rsidRDefault="0049129D" w:rsidP="0049129D">
      <w:pPr>
        <w:widowControl/>
        <w:overflowPunct w:val="0"/>
        <w:autoSpaceDE w:val="0"/>
        <w:autoSpaceDN w:val="0"/>
        <w:adjustRightInd w:val="0"/>
        <w:spacing w:after="180"/>
        <w:jc w:val="center"/>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Figure </w:t>
      </w:r>
      <w:r w:rsidR="00D244BB">
        <w:rPr>
          <w:rFonts w:ascii="Times New Roman" w:eastAsia="宋体" w:hAnsi="Times New Roman" w:cs="Times New Roman" w:hint="eastAsia"/>
          <w:b/>
          <w:bCs/>
          <w:kern w:val="0"/>
          <w:sz w:val="20"/>
          <w:szCs w:val="20"/>
        </w:rPr>
        <w:t>3</w:t>
      </w:r>
      <w:r w:rsidRPr="007013D8">
        <w:t xml:space="preserve"> </w:t>
      </w:r>
      <w:r>
        <w:rPr>
          <w:rFonts w:ascii="Times New Roman" w:eastAsia="宋体" w:hAnsi="Times New Roman" w:cs="Times New Roman"/>
          <w:b/>
          <w:bCs/>
          <w:kern w:val="0"/>
          <w:sz w:val="20"/>
          <w:szCs w:val="20"/>
        </w:rPr>
        <w:t>U</w:t>
      </w:r>
      <w:r w:rsidRPr="007013D8">
        <w:rPr>
          <w:rFonts w:ascii="Times New Roman" w:eastAsia="宋体" w:hAnsi="Times New Roman" w:cs="Times New Roman"/>
          <w:b/>
          <w:bCs/>
          <w:kern w:val="0"/>
          <w:sz w:val="20"/>
          <w:szCs w:val="20"/>
        </w:rPr>
        <w:t>naligned</w:t>
      </w:r>
      <w:r w:rsidRPr="007013D8">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t</w:t>
      </w:r>
      <w:r w:rsidRPr="007013D8">
        <w:rPr>
          <w:rFonts w:ascii="Times New Roman" w:eastAsia="宋体" w:hAnsi="Times New Roman" w:cs="Times New Roman" w:hint="eastAsia"/>
          <w:b/>
          <w:bCs/>
          <w:kern w:val="0"/>
          <w:sz w:val="20"/>
          <w:szCs w:val="20"/>
        </w:rPr>
        <w:t xml:space="preserve">iming </w:t>
      </w:r>
      <w:r>
        <w:rPr>
          <w:rFonts w:ascii="Times New Roman" w:eastAsia="宋体" w:hAnsi="Times New Roman" w:cs="Times New Roman"/>
          <w:b/>
          <w:bCs/>
          <w:kern w:val="0"/>
          <w:sz w:val="20"/>
          <w:szCs w:val="20"/>
        </w:rPr>
        <w:t>between</w:t>
      </w:r>
      <w:r w:rsidRPr="007013D8">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DL and S</w:t>
      </w:r>
      <w:r>
        <w:rPr>
          <w:rFonts w:ascii="Times New Roman" w:eastAsia="宋体" w:hAnsi="Times New Roman" w:cs="Times New Roman" w:hint="eastAsia"/>
          <w:b/>
          <w:bCs/>
          <w:kern w:val="0"/>
          <w:sz w:val="20"/>
          <w:szCs w:val="20"/>
        </w:rPr>
        <w:t xml:space="preserve">RS </w:t>
      </w:r>
      <w:r>
        <w:rPr>
          <w:rFonts w:ascii="Times New Roman" w:eastAsia="宋体" w:hAnsi="Times New Roman" w:cs="Times New Roman"/>
          <w:b/>
          <w:bCs/>
          <w:kern w:val="0"/>
          <w:sz w:val="20"/>
          <w:szCs w:val="20"/>
        </w:rPr>
        <w:t>reception</w:t>
      </w:r>
    </w:p>
    <w:p w14:paraId="56F0D219" w14:textId="7736B119" w:rsidR="0049129D" w:rsidRPr="00545678" w:rsidRDefault="0049129D" w:rsidP="00545678">
      <w:pPr>
        <w:spacing w:beforeLines="50" w:before="156"/>
        <w:rPr>
          <w:rFonts w:ascii="Times New Roman" w:hAnsi="Times New Roman"/>
          <w:b/>
          <w:i/>
          <w:sz w:val="22"/>
        </w:rPr>
      </w:pPr>
      <w:r w:rsidRPr="00545678">
        <w:rPr>
          <w:rFonts w:ascii="Times New Roman" w:hAnsi="Times New Roman" w:hint="eastAsia"/>
          <w:b/>
          <w:i/>
          <w:sz w:val="22"/>
        </w:rPr>
        <w:lastRenderedPageBreak/>
        <w:t>O</w:t>
      </w:r>
      <w:r w:rsidR="00EC7AC3" w:rsidRPr="00545678">
        <w:rPr>
          <w:rFonts w:ascii="Times New Roman" w:hAnsi="Times New Roman"/>
          <w:b/>
          <w:i/>
          <w:sz w:val="22"/>
        </w:rPr>
        <w:t>bservation 3</w:t>
      </w:r>
      <w:r w:rsidRPr="00545678">
        <w:rPr>
          <w:rFonts w:ascii="Times New Roman" w:hAnsi="Times New Roman"/>
          <w:b/>
          <w:i/>
          <w:sz w:val="22"/>
        </w:rPr>
        <w:t xml:space="preserve">: The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6FB8E70A" w14:textId="5C0CB6DB" w:rsidR="0049129D" w:rsidRPr="00545678" w:rsidRDefault="00EC7AC3"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F344E6">
        <w:rPr>
          <w:rFonts w:ascii="Times New Roman" w:hAnsi="Times New Roman"/>
          <w:b/>
          <w:i/>
          <w:sz w:val="22"/>
        </w:rPr>
        <w:t>4</w:t>
      </w:r>
      <w:r w:rsidR="0049129D" w:rsidRPr="00545678">
        <w:rPr>
          <w:rFonts w:ascii="Times New Roman" w:hAnsi="Times New Roman"/>
          <w:b/>
          <w:i/>
          <w:sz w:val="22"/>
        </w:rPr>
        <w:t>: In UE-UE CLI measurement, the TA adjustment of aggressor UE should be studied.</w:t>
      </w:r>
    </w:p>
    <w:p w14:paraId="41899F0C" w14:textId="77777777" w:rsidR="0049129D" w:rsidRPr="0049129D" w:rsidRDefault="0049129D" w:rsidP="00BF35B4">
      <w:pPr>
        <w:rPr>
          <w:rFonts w:ascii="Times New Roman" w:hAnsi="Times New Roman" w:cs="Times New Roman"/>
          <w:sz w:val="22"/>
        </w:rPr>
      </w:pPr>
    </w:p>
    <w:p w14:paraId="7053395D" w14:textId="77777777" w:rsidR="00CC2ACF" w:rsidRPr="000B6397" w:rsidRDefault="00CC2ACF" w:rsidP="00CC2ACF">
      <w:pPr>
        <w:pStyle w:val="1"/>
        <w:tabs>
          <w:tab w:val="num" w:pos="432"/>
        </w:tabs>
      </w:pPr>
      <w:r w:rsidRPr="000B6397">
        <w:t>Conclusion</w:t>
      </w:r>
    </w:p>
    <w:p w14:paraId="3978F027" w14:textId="7A2010E4"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for dynamic/flexible TDD enhancement in macro</w:t>
      </w:r>
      <w:r w:rsidR="001F698E">
        <w:rPr>
          <w:rFonts w:ascii="Times New Roman" w:hAnsi="Times New Roman" w:cs="Times New Roman"/>
          <w:sz w:val="22"/>
        </w:rPr>
        <w:t xml:space="preserve"> &amp;</w:t>
      </w:r>
      <w:r w:rsidR="00FE6639" w:rsidRPr="00DB543E">
        <w:rPr>
          <w:rFonts w:ascii="Times New Roman" w:hAnsi="Times New Roman" w:cs="Times New Roman"/>
          <w:sz w:val="22"/>
        </w:rPr>
        <w:t xml:space="preserve"> indoor scenarios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722B24E7" w14:textId="77777777" w:rsidR="00EC7AC3" w:rsidRDefault="00EC7AC3" w:rsidP="00EC7AC3">
      <w:pPr>
        <w:spacing w:beforeLines="50" w:before="156"/>
        <w:rPr>
          <w:rFonts w:ascii="Times New Roman" w:hAnsi="Times New Roman"/>
          <w:b/>
          <w:i/>
          <w:sz w:val="22"/>
        </w:rPr>
      </w:pPr>
      <w:r w:rsidRPr="007B0714">
        <w:rPr>
          <w:rFonts w:ascii="Times New Roman" w:hAnsi="Times New Roman"/>
          <w:b/>
          <w:i/>
          <w:sz w:val="22"/>
        </w:rPr>
        <w:t>Observat</w:t>
      </w:r>
      <w:r>
        <w:rPr>
          <w:rFonts w:ascii="Times New Roman" w:hAnsi="Times New Roman"/>
          <w:b/>
          <w:i/>
          <w:sz w:val="22"/>
        </w:rPr>
        <w:t>ion 1: When the legacy gNB uses DL dominant TDD UL</w:t>
      </w:r>
      <w:r>
        <w:rPr>
          <w:rFonts w:ascii="Times New Roman" w:hAnsi="Times New Roman" w:hint="eastAsia"/>
          <w:b/>
          <w:i/>
          <w:sz w:val="22"/>
        </w:rPr>
        <w:t>-DL</w:t>
      </w:r>
      <w:r>
        <w:rPr>
          <w:rFonts w:ascii="Times New Roman" w:hAnsi="Times New Roman"/>
          <w:b/>
          <w:i/>
          <w:sz w:val="22"/>
        </w:rPr>
        <w:t xml:space="preserve"> configuration and Rel-18 duplex gNB uses UL domina</w:t>
      </w:r>
      <w:r>
        <w:rPr>
          <w:rFonts w:ascii="Times New Roman" w:hAnsi="Times New Roman" w:hint="eastAsia"/>
          <w:b/>
          <w:i/>
          <w:sz w:val="22"/>
        </w:rPr>
        <w:t>nt</w:t>
      </w:r>
      <w:r>
        <w:rPr>
          <w:rFonts w:ascii="Times New Roman" w:hAnsi="Times New Roman"/>
          <w:b/>
          <w:i/>
          <w:sz w:val="22"/>
        </w:rPr>
        <w:t xml:space="preserve"> TDD UL-DL configuration, there is no impact to the legacy gNB, only impact to legacy UE should be considered.</w:t>
      </w:r>
    </w:p>
    <w:p w14:paraId="6B234D89" w14:textId="7C981A05" w:rsidR="00EC7AC3" w:rsidRDefault="00EC7AC3" w:rsidP="00EC7AC3">
      <w:pPr>
        <w:spacing w:beforeLines="50" w:before="156"/>
        <w:rPr>
          <w:rFonts w:ascii="Times New Roman" w:hAnsi="Times New Roman" w:cs="Times New Roman"/>
          <w:sz w:val="22"/>
        </w:rPr>
      </w:pPr>
      <w:r>
        <w:rPr>
          <w:rFonts w:ascii="Times New Roman" w:hAnsi="Times New Roman"/>
          <w:b/>
          <w:i/>
          <w:sz w:val="22"/>
        </w:rPr>
        <w:t>Observation 2: Interferences in dynamic/flexible TDD scenarios is a subset of that in SBFD scenarios, a unified CLI mechanism for dynamic/flexible TDD and SBFD can be studied.</w:t>
      </w:r>
    </w:p>
    <w:p w14:paraId="10A1B1BA" w14:textId="77777777" w:rsidR="00EC7AC3" w:rsidRDefault="00EC7AC3" w:rsidP="00EC7AC3">
      <w:pPr>
        <w:rPr>
          <w:rFonts w:ascii="Times New Roman" w:hAnsi="Times New Roman" w:cs="Times New Roman"/>
          <w:b/>
          <w:i/>
          <w:sz w:val="22"/>
        </w:rPr>
      </w:pPr>
      <w:r>
        <w:rPr>
          <w:rFonts w:ascii="Times New Roman" w:hAnsi="Times New Roman" w:cs="Times New Roman" w:hint="eastAsia"/>
          <w:b/>
          <w:i/>
          <w:sz w:val="22"/>
        </w:rPr>
        <w:t>O</w:t>
      </w:r>
      <w:r>
        <w:rPr>
          <w:rFonts w:ascii="Times New Roman" w:hAnsi="Times New Roman" w:cs="Times New Roman"/>
          <w:b/>
          <w:i/>
          <w:sz w:val="22"/>
        </w:rPr>
        <w:t xml:space="preserve">bservation 3: The </w:t>
      </w:r>
      <w:r w:rsidRPr="007013D8">
        <w:rPr>
          <w:rFonts w:ascii="Times New Roman" w:hAnsi="Times New Roman" w:cs="Times New Roman"/>
          <w:b/>
          <w:i/>
          <w:sz w:val="22"/>
        </w:rPr>
        <w:t>UE-to-UE CLI measurement cannot be performed accurately</w:t>
      </w:r>
      <w:r w:rsidRPr="00005AF8">
        <w:rPr>
          <w:rFonts w:ascii="Times New Roman" w:hAnsi="Times New Roman" w:cs="Times New Roman"/>
          <w:b/>
          <w:i/>
          <w:sz w:val="22"/>
        </w:rPr>
        <w:t xml:space="preserve"> </w:t>
      </w:r>
      <w:r>
        <w:rPr>
          <w:rFonts w:ascii="Times New Roman" w:hAnsi="Times New Roman" w:cs="Times New Roman"/>
          <w:b/>
          <w:i/>
          <w:sz w:val="22"/>
        </w:rPr>
        <w:t xml:space="preserve">because of the timing issue of </w:t>
      </w:r>
      <w:r w:rsidRPr="007013D8">
        <w:rPr>
          <w:rFonts w:ascii="Times New Roman" w:hAnsi="Times New Roman" w:cs="Times New Roman" w:hint="eastAsia"/>
          <w:b/>
          <w:i/>
          <w:sz w:val="22"/>
        </w:rPr>
        <w:t>measurement RS</w:t>
      </w:r>
      <w:r>
        <w:rPr>
          <w:rFonts w:ascii="Times New Roman" w:hAnsi="Times New Roman" w:cs="Times New Roman"/>
          <w:b/>
          <w:i/>
          <w:sz w:val="22"/>
        </w:rPr>
        <w:t>.</w:t>
      </w:r>
    </w:p>
    <w:p w14:paraId="5A38E5AF" w14:textId="77777777" w:rsidR="0063246D" w:rsidRPr="00545678" w:rsidRDefault="0063246D" w:rsidP="0063246D">
      <w:pPr>
        <w:spacing w:beforeLines="50" w:before="156"/>
        <w:rPr>
          <w:rFonts w:ascii="Times New Roman" w:hAnsi="Times New Roman"/>
          <w:b/>
          <w:i/>
          <w:sz w:val="22"/>
        </w:rPr>
      </w:pPr>
      <w:r w:rsidRPr="00545678">
        <w:rPr>
          <w:rFonts w:ascii="Times New Roman" w:hAnsi="Times New Roman"/>
          <w:b/>
          <w:i/>
          <w:sz w:val="22"/>
        </w:rPr>
        <w:t xml:space="preserve">Proposal 1: </w:t>
      </w:r>
      <w:r w:rsidRPr="00545678">
        <w:rPr>
          <w:rFonts w:ascii="Times New Roman" w:hAnsi="Times New Roman" w:hint="eastAsia"/>
          <w:b/>
          <w:i/>
          <w:sz w:val="22"/>
        </w:rPr>
        <w:t>CSI-RS</w:t>
      </w:r>
      <w:r w:rsidRPr="00545678">
        <w:rPr>
          <w:rFonts w:ascii="Times New Roman" w:hAnsi="Times New Roman"/>
          <w:b/>
          <w:i/>
          <w:sz w:val="22"/>
        </w:rPr>
        <w:t>, SSB and RIM-RS can be considered for CLI measurement among gNBs.</w:t>
      </w:r>
    </w:p>
    <w:p w14:paraId="446983B4" w14:textId="77777777" w:rsidR="0063246D" w:rsidRPr="00545678" w:rsidRDefault="0063246D" w:rsidP="0063246D">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w:t>
      </w:r>
      <w:r w:rsidRPr="00545678">
        <w:rPr>
          <w:rFonts w:ascii="Times New Roman" w:hAnsi="Times New Roman"/>
          <w:b/>
          <w:i/>
          <w:sz w:val="22"/>
        </w:rPr>
        <w:t xml:space="preserve">: </w:t>
      </w:r>
      <w:r w:rsidRPr="00545678">
        <w:rPr>
          <w:rFonts w:ascii="Times New Roman" w:hAnsi="Times New Roman" w:hint="eastAsia"/>
          <w:b/>
          <w:i/>
          <w:sz w:val="22"/>
        </w:rPr>
        <w:t>Laye</w:t>
      </w:r>
      <w:r w:rsidRPr="00545678">
        <w:rPr>
          <w:rFonts w:ascii="Times New Roman" w:hAnsi="Times New Roman"/>
          <w:b/>
          <w:i/>
          <w:sz w:val="22"/>
        </w:rPr>
        <w:t>r-1 CLI report should be supported for UE-UE CLI management.</w:t>
      </w:r>
    </w:p>
    <w:p w14:paraId="582E37F7" w14:textId="1EEE7A1E" w:rsidR="00EC7AC3" w:rsidRPr="0063246D" w:rsidRDefault="0063246D" w:rsidP="0063246D">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3</w:t>
      </w:r>
      <w:r w:rsidRPr="00545678">
        <w:rPr>
          <w:rFonts w:ascii="Times New Roman" w:hAnsi="Times New Roman"/>
          <w:b/>
          <w:i/>
          <w:sz w:val="22"/>
        </w:rPr>
        <w:t>: CLI measurement resource configuration and beam information should be exchanged among gNBs.</w:t>
      </w:r>
    </w:p>
    <w:p w14:paraId="41A6D1BD" w14:textId="77777777" w:rsidR="0063246D" w:rsidRPr="00545678" w:rsidRDefault="0063246D" w:rsidP="0063246D">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4</w:t>
      </w:r>
      <w:r w:rsidRPr="00545678">
        <w:rPr>
          <w:rFonts w:ascii="Times New Roman" w:hAnsi="Times New Roman"/>
          <w:b/>
          <w:i/>
          <w:sz w:val="22"/>
        </w:rPr>
        <w:t>: In UE-UE CLI measurement, the TA adjustment of aggressor UE should be studied.</w:t>
      </w:r>
    </w:p>
    <w:p w14:paraId="3B34EB85" w14:textId="77777777" w:rsidR="00BC7984" w:rsidRPr="0063246D" w:rsidRDefault="00BC7984" w:rsidP="004A48CF">
      <w:pPr>
        <w:spacing w:beforeLines="50" w:before="156"/>
        <w:rPr>
          <w:rFonts w:ascii="Times New Roman" w:hAnsi="Times New Roman" w:cs="Times New Roman"/>
          <w:sz w:val="22"/>
        </w:rPr>
      </w:pPr>
      <w:bookmarkStart w:id="2" w:name="_GoBack"/>
      <w:bookmarkEnd w:id="2"/>
    </w:p>
    <w:p w14:paraId="75E13FD9" w14:textId="77777777" w:rsidR="00CC2ACF" w:rsidRDefault="00CC2ACF" w:rsidP="00CC2ACF">
      <w:pPr>
        <w:pStyle w:val="1"/>
        <w:numPr>
          <w:ilvl w:val="0"/>
          <w:numId w:val="0"/>
        </w:numPr>
      </w:pPr>
      <w:r w:rsidRPr="000B6397">
        <w:t>References</w:t>
      </w:r>
    </w:p>
    <w:p w14:paraId="59DB8E4C" w14:textId="77777777" w:rsidR="00B32FC9" w:rsidRDefault="00B32FC9" w:rsidP="00B32FC9">
      <w:pPr>
        <w:pStyle w:val="a3"/>
        <w:numPr>
          <w:ilvl w:val="0"/>
          <w:numId w:val="10"/>
        </w:numPr>
        <w:ind w:firstLineChars="0"/>
        <w:rPr>
          <w:rFonts w:ascii="Times New Roman" w:hAnsi="Times New Roman" w:cs="Times New Roman"/>
          <w:sz w:val="22"/>
        </w:rPr>
      </w:pPr>
      <w:r w:rsidRPr="00367C53">
        <w:rPr>
          <w:rFonts w:ascii="Times New Roman" w:hAnsi="Times New Roman" w:cs="Times New Roman"/>
          <w:sz w:val="22"/>
        </w:rPr>
        <w:t>TR 38.802-e30, Study on New Radio Access Technology Physical Layer Aspects</w:t>
      </w:r>
    </w:p>
    <w:p w14:paraId="2C283753" w14:textId="77777777" w:rsidR="00B32FC9" w:rsidRPr="00525FFC" w:rsidRDefault="00B32FC9" w:rsidP="00B32FC9">
      <w:pPr>
        <w:pStyle w:val="a3"/>
        <w:numPr>
          <w:ilvl w:val="0"/>
          <w:numId w:val="10"/>
        </w:numPr>
        <w:ind w:firstLineChars="0"/>
        <w:rPr>
          <w:rFonts w:ascii="Times New Roman" w:hAnsi="Times New Roman" w:cs="Times New Roman"/>
          <w:sz w:val="22"/>
        </w:rPr>
      </w:pPr>
      <w:r>
        <w:rPr>
          <w:rFonts w:ascii="Times New Roman" w:hAnsi="Times New Roman" w:cs="Times New Roman"/>
          <w:sz w:val="22"/>
        </w:rPr>
        <w:t>TR 38.828-g10, Cross Link Interference (CLI) handling and Remote Interference Management (RIM) for NR</w:t>
      </w:r>
    </w:p>
    <w:p w14:paraId="5D5B5AD8" w14:textId="2FA2A870" w:rsidR="0025211E" w:rsidRPr="00660F4E" w:rsidRDefault="00965CB6"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sectPr w:rsidR="0025211E" w:rsidRPr="00660F4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9D907" w14:textId="77777777" w:rsidR="000E6968" w:rsidRDefault="000E6968" w:rsidP="00681E80">
      <w:r>
        <w:separator/>
      </w:r>
    </w:p>
  </w:endnote>
  <w:endnote w:type="continuationSeparator" w:id="0">
    <w:p w14:paraId="4CF198AE" w14:textId="77777777" w:rsidR="000E6968" w:rsidRDefault="000E6968"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09357" w14:textId="77777777" w:rsidR="000E6968" w:rsidRDefault="000E6968" w:rsidP="00681E80">
      <w:r>
        <w:separator/>
      </w:r>
    </w:p>
  </w:footnote>
  <w:footnote w:type="continuationSeparator" w:id="0">
    <w:p w14:paraId="6E76CC21" w14:textId="77777777" w:rsidR="000E6968" w:rsidRDefault="000E6968"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2"/>
  </w:num>
  <w:num w:numId="10">
    <w:abstractNumId w:val="1"/>
  </w:num>
  <w:num w:numId="11">
    <w:abstractNumId w:val="3"/>
  </w:num>
  <w:num w:numId="12">
    <w:abstractNumId w:val="2"/>
  </w:num>
  <w:num w:numId="13">
    <w:abstractNumId w:val="5"/>
  </w:num>
  <w:num w:numId="14">
    <w:abstractNumId w:val="11"/>
  </w:num>
  <w:num w:numId="15">
    <w:abstractNumId w:val="6"/>
  </w:num>
  <w:num w:numId="16">
    <w:abstractNumId w:val="4"/>
  </w:num>
  <w:num w:numId="17">
    <w:abstractNumId w:val="10"/>
  </w:num>
  <w:num w:numId="18">
    <w:abstractNumId w:val="10"/>
  </w:num>
  <w:num w:numId="19">
    <w:abstractNumId w:val="8"/>
  </w:num>
  <w:num w:numId="20">
    <w:abstractNumId w:val="9"/>
  </w:num>
  <w:num w:numId="21">
    <w:abstractNumId w:val="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1556F"/>
    <w:rsid w:val="00037006"/>
    <w:rsid w:val="00042C85"/>
    <w:rsid w:val="00043157"/>
    <w:rsid w:val="00063442"/>
    <w:rsid w:val="00074913"/>
    <w:rsid w:val="000776B8"/>
    <w:rsid w:val="000842A3"/>
    <w:rsid w:val="00085867"/>
    <w:rsid w:val="00085F35"/>
    <w:rsid w:val="00086AE5"/>
    <w:rsid w:val="000A281D"/>
    <w:rsid w:val="000A29BB"/>
    <w:rsid w:val="000A2B60"/>
    <w:rsid w:val="000A37C1"/>
    <w:rsid w:val="000A631A"/>
    <w:rsid w:val="000B00F2"/>
    <w:rsid w:val="000B09E2"/>
    <w:rsid w:val="000B20B5"/>
    <w:rsid w:val="000C1380"/>
    <w:rsid w:val="000C789B"/>
    <w:rsid w:val="000D2845"/>
    <w:rsid w:val="000D42EB"/>
    <w:rsid w:val="000E1340"/>
    <w:rsid w:val="000E5FAC"/>
    <w:rsid w:val="000E6968"/>
    <w:rsid w:val="000F17AC"/>
    <w:rsid w:val="000F57A3"/>
    <w:rsid w:val="00100719"/>
    <w:rsid w:val="001035E7"/>
    <w:rsid w:val="001073E6"/>
    <w:rsid w:val="001123F2"/>
    <w:rsid w:val="00124E79"/>
    <w:rsid w:val="00127660"/>
    <w:rsid w:val="00127B61"/>
    <w:rsid w:val="00131F94"/>
    <w:rsid w:val="00152777"/>
    <w:rsid w:val="00153865"/>
    <w:rsid w:val="00161DB0"/>
    <w:rsid w:val="00170477"/>
    <w:rsid w:val="001719CB"/>
    <w:rsid w:val="001725D2"/>
    <w:rsid w:val="001730AB"/>
    <w:rsid w:val="00173AEB"/>
    <w:rsid w:val="00174041"/>
    <w:rsid w:val="00186A88"/>
    <w:rsid w:val="0019090F"/>
    <w:rsid w:val="00194442"/>
    <w:rsid w:val="001A4871"/>
    <w:rsid w:val="001B039E"/>
    <w:rsid w:val="001B3D86"/>
    <w:rsid w:val="001C2850"/>
    <w:rsid w:val="001D1A0E"/>
    <w:rsid w:val="001F698E"/>
    <w:rsid w:val="00202179"/>
    <w:rsid w:val="002035B8"/>
    <w:rsid w:val="00203E84"/>
    <w:rsid w:val="00212A57"/>
    <w:rsid w:val="00212FB8"/>
    <w:rsid w:val="0022016C"/>
    <w:rsid w:val="00221C54"/>
    <w:rsid w:val="00221E6C"/>
    <w:rsid w:val="00225441"/>
    <w:rsid w:val="0022766F"/>
    <w:rsid w:val="00227C0E"/>
    <w:rsid w:val="00241DED"/>
    <w:rsid w:val="0025211E"/>
    <w:rsid w:val="002521C6"/>
    <w:rsid w:val="00260DAF"/>
    <w:rsid w:val="00262802"/>
    <w:rsid w:val="00264773"/>
    <w:rsid w:val="00264797"/>
    <w:rsid w:val="002652B3"/>
    <w:rsid w:val="00267FC6"/>
    <w:rsid w:val="00270475"/>
    <w:rsid w:val="0027173C"/>
    <w:rsid w:val="00273483"/>
    <w:rsid w:val="002754D8"/>
    <w:rsid w:val="0028271F"/>
    <w:rsid w:val="00293349"/>
    <w:rsid w:val="00293AF1"/>
    <w:rsid w:val="002967B8"/>
    <w:rsid w:val="002A0674"/>
    <w:rsid w:val="002A5635"/>
    <w:rsid w:val="002B093D"/>
    <w:rsid w:val="002B352A"/>
    <w:rsid w:val="002B6F30"/>
    <w:rsid w:val="002C0BDA"/>
    <w:rsid w:val="002C60BD"/>
    <w:rsid w:val="002C7EDC"/>
    <w:rsid w:val="002D1082"/>
    <w:rsid w:val="002D4850"/>
    <w:rsid w:val="002D60D2"/>
    <w:rsid w:val="002E5B9B"/>
    <w:rsid w:val="002E60C0"/>
    <w:rsid w:val="002F004B"/>
    <w:rsid w:val="00303DA5"/>
    <w:rsid w:val="003166F7"/>
    <w:rsid w:val="00316CDB"/>
    <w:rsid w:val="003206B0"/>
    <w:rsid w:val="003215D2"/>
    <w:rsid w:val="0032555B"/>
    <w:rsid w:val="00325701"/>
    <w:rsid w:val="00332A82"/>
    <w:rsid w:val="003333D5"/>
    <w:rsid w:val="003370B6"/>
    <w:rsid w:val="00340229"/>
    <w:rsid w:val="00341D98"/>
    <w:rsid w:val="00350379"/>
    <w:rsid w:val="003545D6"/>
    <w:rsid w:val="0035481A"/>
    <w:rsid w:val="0035737E"/>
    <w:rsid w:val="00366C4C"/>
    <w:rsid w:val="00367699"/>
    <w:rsid w:val="00367732"/>
    <w:rsid w:val="00367C53"/>
    <w:rsid w:val="00374512"/>
    <w:rsid w:val="00381AF0"/>
    <w:rsid w:val="003853BD"/>
    <w:rsid w:val="00392F04"/>
    <w:rsid w:val="003A0612"/>
    <w:rsid w:val="003A576B"/>
    <w:rsid w:val="003C14E2"/>
    <w:rsid w:val="003C22E1"/>
    <w:rsid w:val="003C3009"/>
    <w:rsid w:val="003C3E85"/>
    <w:rsid w:val="003D007C"/>
    <w:rsid w:val="003D71EB"/>
    <w:rsid w:val="003E574E"/>
    <w:rsid w:val="00403AD2"/>
    <w:rsid w:val="0040441C"/>
    <w:rsid w:val="00406E21"/>
    <w:rsid w:val="004102DF"/>
    <w:rsid w:val="00413BA9"/>
    <w:rsid w:val="00417B0A"/>
    <w:rsid w:val="00430DAA"/>
    <w:rsid w:val="004322B8"/>
    <w:rsid w:val="00433158"/>
    <w:rsid w:val="00433956"/>
    <w:rsid w:val="004358ED"/>
    <w:rsid w:val="00441A8F"/>
    <w:rsid w:val="004466FE"/>
    <w:rsid w:val="00457FB3"/>
    <w:rsid w:val="00460C72"/>
    <w:rsid w:val="00464E36"/>
    <w:rsid w:val="00465081"/>
    <w:rsid w:val="00467A98"/>
    <w:rsid w:val="004739E9"/>
    <w:rsid w:val="0047693A"/>
    <w:rsid w:val="00485890"/>
    <w:rsid w:val="004870C9"/>
    <w:rsid w:val="0049129D"/>
    <w:rsid w:val="0049306D"/>
    <w:rsid w:val="0049451B"/>
    <w:rsid w:val="004A48CF"/>
    <w:rsid w:val="004B1AAC"/>
    <w:rsid w:val="004B43D7"/>
    <w:rsid w:val="004B6FE9"/>
    <w:rsid w:val="004C60F8"/>
    <w:rsid w:val="004C787D"/>
    <w:rsid w:val="004C7D70"/>
    <w:rsid w:val="004D47F1"/>
    <w:rsid w:val="004E12F4"/>
    <w:rsid w:val="004F3649"/>
    <w:rsid w:val="004F65B7"/>
    <w:rsid w:val="00504FDA"/>
    <w:rsid w:val="00514352"/>
    <w:rsid w:val="00517904"/>
    <w:rsid w:val="00517C97"/>
    <w:rsid w:val="005200D1"/>
    <w:rsid w:val="0052476F"/>
    <w:rsid w:val="00525FFC"/>
    <w:rsid w:val="00526715"/>
    <w:rsid w:val="00533AE2"/>
    <w:rsid w:val="00536A52"/>
    <w:rsid w:val="00545678"/>
    <w:rsid w:val="0054669D"/>
    <w:rsid w:val="00546760"/>
    <w:rsid w:val="00546BAC"/>
    <w:rsid w:val="00550749"/>
    <w:rsid w:val="0055550E"/>
    <w:rsid w:val="0056690F"/>
    <w:rsid w:val="005772E2"/>
    <w:rsid w:val="00585147"/>
    <w:rsid w:val="00591BE3"/>
    <w:rsid w:val="005A6527"/>
    <w:rsid w:val="005A756C"/>
    <w:rsid w:val="005B50C2"/>
    <w:rsid w:val="005C27EB"/>
    <w:rsid w:val="005C425E"/>
    <w:rsid w:val="005D6BBC"/>
    <w:rsid w:val="005E2991"/>
    <w:rsid w:val="005E77EE"/>
    <w:rsid w:val="005F3D91"/>
    <w:rsid w:val="005F5784"/>
    <w:rsid w:val="00603EF6"/>
    <w:rsid w:val="006126CF"/>
    <w:rsid w:val="00614624"/>
    <w:rsid w:val="00620844"/>
    <w:rsid w:val="00621B42"/>
    <w:rsid w:val="00624BF4"/>
    <w:rsid w:val="00625DD5"/>
    <w:rsid w:val="00632336"/>
    <w:rsid w:val="0063246D"/>
    <w:rsid w:val="006324B1"/>
    <w:rsid w:val="006516B8"/>
    <w:rsid w:val="00652689"/>
    <w:rsid w:val="00660109"/>
    <w:rsid w:val="00660F4E"/>
    <w:rsid w:val="00660F83"/>
    <w:rsid w:val="006624C2"/>
    <w:rsid w:val="006725E6"/>
    <w:rsid w:val="00675FE1"/>
    <w:rsid w:val="00681E80"/>
    <w:rsid w:val="0068542E"/>
    <w:rsid w:val="006863A3"/>
    <w:rsid w:val="00693A91"/>
    <w:rsid w:val="006A1C05"/>
    <w:rsid w:val="006A4D5F"/>
    <w:rsid w:val="006A6137"/>
    <w:rsid w:val="006B23E3"/>
    <w:rsid w:val="006B569F"/>
    <w:rsid w:val="006B7BA5"/>
    <w:rsid w:val="006C7F97"/>
    <w:rsid w:val="006D5F9D"/>
    <w:rsid w:val="006D614C"/>
    <w:rsid w:val="006E7474"/>
    <w:rsid w:val="006F0F6B"/>
    <w:rsid w:val="00705828"/>
    <w:rsid w:val="007118AA"/>
    <w:rsid w:val="0071229D"/>
    <w:rsid w:val="00715E4B"/>
    <w:rsid w:val="0072188E"/>
    <w:rsid w:val="00727096"/>
    <w:rsid w:val="00727560"/>
    <w:rsid w:val="00735AD5"/>
    <w:rsid w:val="007404A1"/>
    <w:rsid w:val="007445A6"/>
    <w:rsid w:val="007537F2"/>
    <w:rsid w:val="00760369"/>
    <w:rsid w:val="00760968"/>
    <w:rsid w:val="007648E0"/>
    <w:rsid w:val="00765F35"/>
    <w:rsid w:val="00766E54"/>
    <w:rsid w:val="007710A4"/>
    <w:rsid w:val="00776EDD"/>
    <w:rsid w:val="0077729A"/>
    <w:rsid w:val="00785570"/>
    <w:rsid w:val="00785E01"/>
    <w:rsid w:val="007A0564"/>
    <w:rsid w:val="007A5535"/>
    <w:rsid w:val="007A6AAE"/>
    <w:rsid w:val="007B428D"/>
    <w:rsid w:val="007B4EC4"/>
    <w:rsid w:val="007C627B"/>
    <w:rsid w:val="007C74EA"/>
    <w:rsid w:val="007D0180"/>
    <w:rsid w:val="007D0BB3"/>
    <w:rsid w:val="007D53E0"/>
    <w:rsid w:val="007E2A4D"/>
    <w:rsid w:val="007F20C8"/>
    <w:rsid w:val="007F6D42"/>
    <w:rsid w:val="0080229D"/>
    <w:rsid w:val="008073BC"/>
    <w:rsid w:val="00811B44"/>
    <w:rsid w:val="00817D41"/>
    <w:rsid w:val="0082341B"/>
    <w:rsid w:val="0085310D"/>
    <w:rsid w:val="00854FAE"/>
    <w:rsid w:val="00855EBF"/>
    <w:rsid w:val="00860C68"/>
    <w:rsid w:val="0086616D"/>
    <w:rsid w:val="00866617"/>
    <w:rsid w:val="00875406"/>
    <w:rsid w:val="008A237E"/>
    <w:rsid w:val="008A2BEB"/>
    <w:rsid w:val="008D2489"/>
    <w:rsid w:val="008E4139"/>
    <w:rsid w:val="008F188B"/>
    <w:rsid w:val="008F603D"/>
    <w:rsid w:val="00913100"/>
    <w:rsid w:val="00915E41"/>
    <w:rsid w:val="009176CE"/>
    <w:rsid w:val="00923D36"/>
    <w:rsid w:val="00927A5A"/>
    <w:rsid w:val="009322BD"/>
    <w:rsid w:val="00936CBC"/>
    <w:rsid w:val="0094237F"/>
    <w:rsid w:val="00956121"/>
    <w:rsid w:val="00965C8B"/>
    <w:rsid w:val="00965CB6"/>
    <w:rsid w:val="00984780"/>
    <w:rsid w:val="00985F1A"/>
    <w:rsid w:val="00986121"/>
    <w:rsid w:val="00993BBF"/>
    <w:rsid w:val="0099680E"/>
    <w:rsid w:val="0099719E"/>
    <w:rsid w:val="00997B50"/>
    <w:rsid w:val="009C1E45"/>
    <w:rsid w:val="009C2E98"/>
    <w:rsid w:val="009C5D14"/>
    <w:rsid w:val="009E22C0"/>
    <w:rsid w:val="009F4889"/>
    <w:rsid w:val="00A00B0D"/>
    <w:rsid w:val="00A0107E"/>
    <w:rsid w:val="00A05B0A"/>
    <w:rsid w:val="00A07BD6"/>
    <w:rsid w:val="00A15066"/>
    <w:rsid w:val="00A158DF"/>
    <w:rsid w:val="00A41886"/>
    <w:rsid w:val="00A424D7"/>
    <w:rsid w:val="00A4475D"/>
    <w:rsid w:val="00A4620E"/>
    <w:rsid w:val="00A5032E"/>
    <w:rsid w:val="00A51275"/>
    <w:rsid w:val="00A52787"/>
    <w:rsid w:val="00A7058D"/>
    <w:rsid w:val="00A729F1"/>
    <w:rsid w:val="00A93BAB"/>
    <w:rsid w:val="00AA4057"/>
    <w:rsid w:val="00AA50BD"/>
    <w:rsid w:val="00AA74E5"/>
    <w:rsid w:val="00AB0BE2"/>
    <w:rsid w:val="00AB4B7C"/>
    <w:rsid w:val="00AC53EF"/>
    <w:rsid w:val="00AC542F"/>
    <w:rsid w:val="00AD58C6"/>
    <w:rsid w:val="00AD67A2"/>
    <w:rsid w:val="00AE7F54"/>
    <w:rsid w:val="00AF1C1B"/>
    <w:rsid w:val="00AF2804"/>
    <w:rsid w:val="00B01CF8"/>
    <w:rsid w:val="00B04FF7"/>
    <w:rsid w:val="00B110B6"/>
    <w:rsid w:val="00B13054"/>
    <w:rsid w:val="00B142A8"/>
    <w:rsid w:val="00B32F69"/>
    <w:rsid w:val="00B32FC9"/>
    <w:rsid w:val="00B34A7E"/>
    <w:rsid w:val="00B51E5B"/>
    <w:rsid w:val="00B53004"/>
    <w:rsid w:val="00B569DB"/>
    <w:rsid w:val="00B8045D"/>
    <w:rsid w:val="00B8434C"/>
    <w:rsid w:val="00B87B58"/>
    <w:rsid w:val="00BC406E"/>
    <w:rsid w:val="00BC7984"/>
    <w:rsid w:val="00BD17CB"/>
    <w:rsid w:val="00BD2F83"/>
    <w:rsid w:val="00BD663F"/>
    <w:rsid w:val="00BD786E"/>
    <w:rsid w:val="00BE39B3"/>
    <w:rsid w:val="00BF35B4"/>
    <w:rsid w:val="00BF6CD0"/>
    <w:rsid w:val="00C02919"/>
    <w:rsid w:val="00C02EF1"/>
    <w:rsid w:val="00C0478A"/>
    <w:rsid w:val="00C04D26"/>
    <w:rsid w:val="00C05186"/>
    <w:rsid w:val="00C12396"/>
    <w:rsid w:val="00C17D81"/>
    <w:rsid w:val="00C21ACC"/>
    <w:rsid w:val="00C31A7F"/>
    <w:rsid w:val="00C33051"/>
    <w:rsid w:val="00C33F38"/>
    <w:rsid w:val="00C34B22"/>
    <w:rsid w:val="00C35171"/>
    <w:rsid w:val="00C64D0E"/>
    <w:rsid w:val="00C6504D"/>
    <w:rsid w:val="00C70964"/>
    <w:rsid w:val="00C70CF7"/>
    <w:rsid w:val="00C73BC8"/>
    <w:rsid w:val="00C755A8"/>
    <w:rsid w:val="00C91AF5"/>
    <w:rsid w:val="00C922E0"/>
    <w:rsid w:val="00C9508C"/>
    <w:rsid w:val="00CA4E03"/>
    <w:rsid w:val="00CA7D7E"/>
    <w:rsid w:val="00CB6445"/>
    <w:rsid w:val="00CB65BE"/>
    <w:rsid w:val="00CC2ACF"/>
    <w:rsid w:val="00CC75BD"/>
    <w:rsid w:val="00CD4123"/>
    <w:rsid w:val="00CE1AE8"/>
    <w:rsid w:val="00CE2FEF"/>
    <w:rsid w:val="00CE3817"/>
    <w:rsid w:val="00CE483C"/>
    <w:rsid w:val="00CE5286"/>
    <w:rsid w:val="00CF08A6"/>
    <w:rsid w:val="00CF128C"/>
    <w:rsid w:val="00CF3AA7"/>
    <w:rsid w:val="00CF5C80"/>
    <w:rsid w:val="00D07B62"/>
    <w:rsid w:val="00D1743E"/>
    <w:rsid w:val="00D17D88"/>
    <w:rsid w:val="00D2033E"/>
    <w:rsid w:val="00D244BB"/>
    <w:rsid w:val="00D45FAF"/>
    <w:rsid w:val="00D47089"/>
    <w:rsid w:val="00D47197"/>
    <w:rsid w:val="00D51A5D"/>
    <w:rsid w:val="00D530CC"/>
    <w:rsid w:val="00D53206"/>
    <w:rsid w:val="00D56F65"/>
    <w:rsid w:val="00D578F6"/>
    <w:rsid w:val="00D74CCE"/>
    <w:rsid w:val="00D81694"/>
    <w:rsid w:val="00D84687"/>
    <w:rsid w:val="00D85806"/>
    <w:rsid w:val="00DA3AF4"/>
    <w:rsid w:val="00DA595A"/>
    <w:rsid w:val="00DB2219"/>
    <w:rsid w:val="00DB325E"/>
    <w:rsid w:val="00DB543E"/>
    <w:rsid w:val="00DC4EAC"/>
    <w:rsid w:val="00DC7437"/>
    <w:rsid w:val="00DD0E34"/>
    <w:rsid w:val="00DD5C23"/>
    <w:rsid w:val="00DE070D"/>
    <w:rsid w:val="00DE1256"/>
    <w:rsid w:val="00DE3BA6"/>
    <w:rsid w:val="00DF11DA"/>
    <w:rsid w:val="00DF50D5"/>
    <w:rsid w:val="00E104FF"/>
    <w:rsid w:val="00E25CE7"/>
    <w:rsid w:val="00E269F7"/>
    <w:rsid w:val="00E26E0A"/>
    <w:rsid w:val="00E3430C"/>
    <w:rsid w:val="00E36806"/>
    <w:rsid w:val="00E401A7"/>
    <w:rsid w:val="00E4263C"/>
    <w:rsid w:val="00E473DC"/>
    <w:rsid w:val="00E5419B"/>
    <w:rsid w:val="00E56605"/>
    <w:rsid w:val="00E72B77"/>
    <w:rsid w:val="00E7588E"/>
    <w:rsid w:val="00E82C46"/>
    <w:rsid w:val="00E836F7"/>
    <w:rsid w:val="00E84AB1"/>
    <w:rsid w:val="00E90727"/>
    <w:rsid w:val="00E92ADE"/>
    <w:rsid w:val="00E97773"/>
    <w:rsid w:val="00EA459B"/>
    <w:rsid w:val="00EC2A2D"/>
    <w:rsid w:val="00EC498B"/>
    <w:rsid w:val="00EC667F"/>
    <w:rsid w:val="00EC7AC3"/>
    <w:rsid w:val="00ED2682"/>
    <w:rsid w:val="00ED43B6"/>
    <w:rsid w:val="00ED4ABE"/>
    <w:rsid w:val="00ED5739"/>
    <w:rsid w:val="00EE453E"/>
    <w:rsid w:val="00EF0DDC"/>
    <w:rsid w:val="00EF543A"/>
    <w:rsid w:val="00EF790F"/>
    <w:rsid w:val="00F018B7"/>
    <w:rsid w:val="00F0251E"/>
    <w:rsid w:val="00F12DD1"/>
    <w:rsid w:val="00F13282"/>
    <w:rsid w:val="00F14B49"/>
    <w:rsid w:val="00F15C29"/>
    <w:rsid w:val="00F227C2"/>
    <w:rsid w:val="00F27641"/>
    <w:rsid w:val="00F344E6"/>
    <w:rsid w:val="00F34814"/>
    <w:rsid w:val="00F3742D"/>
    <w:rsid w:val="00F645CD"/>
    <w:rsid w:val="00F8090B"/>
    <w:rsid w:val="00F81C35"/>
    <w:rsid w:val="00F909DA"/>
    <w:rsid w:val="00F91B92"/>
    <w:rsid w:val="00F9429C"/>
    <w:rsid w:val="00F96166"/>
    <w:rsid w:val="00F964A9"/>
    <w:rsid w:val="00FB66E7"/>
    <w:rsid w:val="00FC0EE5"/>
    <w:rsid w:val="00FC115B"/>
    <w:rsid w:val="00FC7567"/>
    <w:rsid w:val="00FD2ACE"/>
    <w:rsid w:val="00FD2EEC"/>
    <w:rsid w:val="00FE18D8"/>
    <w:rsid w:val="00FE6639"/>
    <w:rsid w:val="00FF0D60"/>
    <w:rsid w:val="00FF5AF8"/>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5</Pages>
  <Words>1579</Words>
  <Characters>9005</Characters>
  <Application>Microsoft Office Word</Application>
  <DocSecurity>0</DocSecurity>
  <Lines>75</Lines>
  <Paragraphs>21</Paragraphs>
  <ScaleCrop>false</ScaleCrop>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张萌 (Pierre Zhang)</cp:lastModifiedBy>
  <cp:revision>20</cp:revision>
  <dcterms:created xsi:type="dcterms:W3CDTF">2022-09-28T15:59:00Z</dcterms:created>
  <dcterms:modified xsi:type="dcterms:W3CDTF">2022-09-30T03:32:00Z</dcterms:modified>
</cp:coreProperties>
</file>