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310722" w:rsidRDefault="00F3458E" w:rsidP="0060654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310722">
        <w:rPr>
          <w:b/>
          <w:kern w:val="2"/>
          <w:lang w:eastAsia="zh-CN"/>
        </w:rPr>
        <w:t>N WG1 #</w:t>
      </w:r>
      <w:r w:rsidR="002F5937">
        <w:rPr>
          <w:b/>
          <w:kern w:val="2"/>
          <w:lang w:eastAsia="zh-CN"/>
        </w:rPr>
        <w:t xml:space="preserve"> 110</w:t>
      </w:r>
      <w:r w:rsidR="001B2D0A">
        <w:rPr>
          <w:b/>
          <w:kern w:val="2"/>
          <w:lang w:eastAsia="zh-CN"/>
        </w:rPr>
        <w:t>bis</w:t>
      </w:r>
      <w:r w:rsidR="002F5937">
        <w:rPr>
          <w:b/>
          <w:kern w:val="2"/>
          <w:lang w:eastAsia="zh-CN"/>
        </w:rPr>
        <w:t>-</w:t>
      </w:r>
      <w:r w:rsidR="003B21B4">
        <w:rPr>
          <w:b/>
          <w:kern w:val="2"/>
          <w:lang w:eastAsia="zh-CN"/>
        </w:rPr>
        <w:t>e</w:t>
      </w:r>
      <w:r w:rsidR="00310722">
        <w:rPr>
          <w:b/>
          <w:kern w:val="2"/>
          <w:lang w:eastAsia="zh-CN"/>
        </w:rPr>
        <w:t xml:space="preserve"> meeting</w:t>
      </w:r>
      <w:r w:rsidR="003B21B4">
        <w:rPr>
          <w:b/>
          <w:kern w:val="2"/>
          <w:lang w:eastAsia="zh-CN"/>
        </w:rPr>
        <w:tab/>
      </w:r>
      <w:r w:rsidR="0060654D">
        <w:rPr>
          <w:b/>
          <w:kern w:val="2"/>
          <w:lang w:eastAsia="zh-CN"/>
        </w:rPr>
        <w:t xml:space="preserve">                                   </w:t>
      </w:r>
      <w:r w:rsidR="001B2D0A">
        <w:rPr>
          <w:b/>
          <w:kern w:val="2"/>
          <w:lang w:eastAsia="zh-CN"/>
        </w:rPr>
        <w:t xml:space="preserve">                         </w:t>
      </w:r>
      <w:r w:rsidR="0060654D">
        <w:rPr>
          <w:b/>
          <w:kern w:val="2"/>
          <w:lang w:eastAsia="zh-CN"/>
        </w:rPr>
        <w:t xml:space="preserve">           </w:t>
      </w:r>
      <w:r w:rsidR="001B2D0A" w:rsidRPr="001B2D0A">
        <w:rPr>
          <w:b/>
          <w:kern w:val="2"/>
          <w:lang w:eastAsia="zh-CN"/>
        </w:rPr>
        <w:t>R1-2208403</w:t>
      </w:r>
    </w:p>
    <w:p w:rsidR="00FF425C" w:rsidRDefault="001B2D0A">
      <w:pPr>
        <w:jc w:val="left"/>
        <w:rPr>
          <w:b/>
          <w:kern w:val="2"/>
          <w:lang w:eastAsia="zh-CN"/>
        </w:rPr>
      </w:pPr>
      <w:r>
        <w:rPr>
          <w:b/>
          <w:kern w:val="2"/>
          <w:lang w:eastAsia="zh-CN"/>
        </w:rPr>
        <w:t>Oct</w:t>
      </w:r>
      <w:r w:rsidR="002F5937">
        <w:rPr>
          <w:b/>
          <w:kern w:val="2"/>
          <w:lang w:eastAsia="zh-CN"/>
        </w:rPr>
        <w:t xml:space="preserve"> </w:t>
      </w:r>
      <w:r>
        <w:rPr>
          <w:b/>
          <w:kern w:val="2"/>
          <w:lang w:eastAsia="zh-CN"/>
        </w:rPr>
        <w:t>10</w:t>
      </w:r>
      <w:r w:rsidRPr="001B2D0A">
        <w:rPr>
          <w:b/>
          <w:kern w:val="2"/>
          <w:vertAlign w:val="superscript"/>
          <w:lang w:eastAsia="zh-CN"/>
        </w:rPr>
        <w:t>th</w:t>
      </w:r>
      <w:r w:rsidR="002F5937">
        <w:rPr>
          <w:b/>
          <w:kern w:val="2"/>
          <w:lang w:eastAsia="zh-CN"/>
        </w:rPr>
        <w:t xml:space="preserve"> </w:t>
      </w:r>
      <w:r>
        <w:rPr>
          <w:b/>
          <w:kern w:val="2"/>
          <w:lang w:eastAsia="zh-CN"/>
        </w:rPr>
        <w:t>– Oct 19</w:t>
      </w:r>
      <w:r w:rsidR="002F5937" w:rsidRPr="002F5937">
        <w:rPr>
          <w:b/>
          <w:kern w:val="2"/>
          <w:vertAlign w:val="superscript"/>
          <w:lang w:eastAsia="zh-CN"/>
        </w:rPr>
        <w:t>th</w:t>
      </w:r>
      <w:r w:rsidR="00F3458E">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3B21B4">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Discussion on subband non-overlapping full duplex</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FF425C" w:rsidRPr="009103C5" w:rsidRDefault="001B2D0A" w:rsidP="003570AA">
      <w:pPr>
        <w:spacing w:afterLines="50"/>
        <w:rPr>
          <w:lang w:eastAsia="zh-CN"/>
        </w:rPr>
      </w:pPr>
      <w:r>
        <w:rPr>
          <w:lang w:eastAsia="zh-CN"/>
        </w:rPr>
        <w:t>In 3GPP TSG RAN1 # 110</w:t>
      </w:r>
      <w:r w:rsidR="003B21B4">
        <w:rPr>
          <w:lang w:eastAsia="zh-CN"/>
        </w:rPr>
        <w:t xml:space="preserve">-e meeting, </w:t>
      </w:r>
      <w:r w:rsidR="00656EF8">
        <w:rPr>
          <w:lang w:eastAsia="zh-CN"/>
        </w:rPr>
        <w:t>a number of</w:t>
      </w:r>
      <w:r w:rsidR="0036097C">
        <w:rPr>
          <w:lang w:eastAsia="zh-CN"/>
        </w:rPr>
        <w:t xml:space="preserve"> issues such as </w:t>
      </w:r>
      <w:r w:rsidR="003B21B4">
        <w:rPr>
          <w:lang w:eastAsia="zh-CN"/>
        </w:rPr>
        <w:t>the</w:t>
      </w:r>
      <w:r w:rsidR="00104D14">
        <w:rPr>
          <w:lang w:eastAsia="zh-CN"/>
        </w:rPr>
        <w:t xml:space="preserve"> semi static configuration of subband</w:t>
      </w:r>
      <w:r w:rsidR="00613A98">
        <w:rPr>
          <w:lang w:eastAsia="zh-CN"/>
        </w:rPr>
        <w:t>s</w:t>
      </w:r>
      <w:r w:rsidR="00104D14">
        <w:rPr>
          <w:lang w:eastAsia="zh-CN"/>
        </w:rPr>
        <w:t xml:space="preserve"> location</w:t>
      </w:r>
      <w:r w:rsidR="004F748E">
        <w:rPr>
          <w:lang w:eastAsia="zh-CN"/>
        </w:rPr>
        <w:t>,</w:t>
      </w:r>
      <w:r w:rsidR="00104D14">
        <w:rPr>
          <w:lang w:eastAsia="zh-CN"/>
        </w:rPr>
        <w:t xml:space="preserve"> </w:t>
      </w:r>
      <w:r w:rsidR="003570AA">
        <w:rPr>
          <w:lang w:eastAsia="zh-CN"/>
        </w:rPr>
        <w:t xml:space="preserve">and </w:t>
      </w:r>
      <w:r w:rsidR="009103C5">
        <w:rPr>
          <w:lang w:eastAsia="zh-CN"/>
        </w:rPr>
        <w:t xml:space="preserve">the </w:t>
      </w:r>
      <w:r w:rsidR="00104D14">
        <w:rPr>
          <w:lang w:eastAsia="zh-CN"/>
        </w:rPr>
        <w:t>same frequency resource</w:t>
      </w:r>
      <w:r w:rsidR="003570AA">
        <w:rPr>
          <w:lang w:eastAsia="zh-CN"/>
        </w:rPr>
        <w:t>s across different SBFD symbols were agreed [</w:t>
      </w:r>
      <w:r w:rsidR="003B21B4">
        <w:rPr>
          <w:lang w:eastAsia="zh-CN"/>
        </w:rPr>
        <w:t xml:space="preserve">1]. </w:t>
      </w:r>
      <w:r w:rsidR="00F3458E">
        <w:t>In this contribution</w:t>
      </w:r>
      <w:r w:rsidR="003B21B4">
        <w:t xml:space="preserve">, we </w:t>
      </w:r>
      <w:r w:rsidR="003B21B4" w:rsidRPr="00CC7C88">
        <w:t xml:space="preserve">provide our </w:t>
      </w:r>
      <w:r w:rsidR="009F657C">
        <w:t>views</w:t>
      </w:r>
      <w:r w:rsidR="003B21B4">
        <w:t xml:space="preserve"> </w:t>
      </w:r>
      <w:r w:rsidR="00CC7C88">
        <w:t xml:space="preserve">on </w:t>
      </w:r>
      <w:r w:rsidR="00CC7C88" w:rsidRPr="00CC7C88">
        <w:t>the</w:t>
      </w:r>
      <w:r w:rsidR="00CC7C88" w:rsidRPr="00CC7C88">
        <w:rPr>
          <w:lang w:eastAsia="ko-KR"/>
        </w:rPr>
        <w:t xml:space="preserve"> remaining issue</w:t>
      </w:r>
      <w:r w:rsidR="00870C98">
        <w:rPr>
          <w:lang w:eastAsia="ko-KR"/>
        </w:rPr>
        <w:t>s</w:t>
      </w:r>
      <w:r w:rsidR="00CC7C88" w:rsidRPr="00CC7C88">
        <w:rPr>
          <w:lang w:eastAsia="ko-KR"/>
        </w:rPr>
        <w:t xml:space="preserve"> of SBFD operation</w:t>
      </w:r>
      <w:r w:rsidR="00735504">
        <w:rPr>
          <w:lang w:eastAsia="ko-KR"/>
        </w:rPr>
        <w:t xml:space="preserve">, </w:t>
      </w:r>
      <w:r w:rsidR="00870C98" w:rsidRPr="009103C5">
        <w:rPr>
          <w:lang w:eastAsia="ko-KR"/>
        </w:rPr>
        <w:t>i.e</w:t>
      </w:r>
      <w:r w:rsidR="00613A98" w:rsidRPr="009103C5">
        <w:rPr>
          <w:lang w:eastAsia="ko-KR"/>
        </w:rPr>
        <w:t>.</w:t>
      </w:r>
      <w:r w:rsidR="009103C5" w:rsidRPr="009103C5">
        <w:rPr>
          <w:lang w:eastAsia="ko-KR"/>
        </w:rPr>
        <w:t xml:space="preserve"> the configuration/</w:t>
      </w:r>
      <w:r w:rsidR="00735504" w:rsidRPr="009103C5">
        <w:rPr>
          <w:lang w:eastAsia="ko-KR"/>
        </w:rPr>
        <w:t xml:space="preserve">indication of </w:t>
      </w:r>
      <w:r w:rsidR="009103C5" w:rsidRPr="009103C5">
        <w:rPr>
          <w:lang w:eastAsia="ko-KR"/>
        </w:rPr>
        <w:t xml:space="preserve">time/frequency resources of a </w:t>
      </w:r>
      <w:r w:rsidR="00735504" w:rsidRPr="009103C5">
        <w:rPr>
          <w:lang w:eastAsia="ko-KR"/>
        </w:rPr>
        <w:t>sub-bands to the UE,</w:t>
      </w:r>
      <w:r w:rsidR="009103C5" w:rsidRPr="009103C5">
        <w:rPr>
          <w:lang w:eastAsia="ko-KR"/>
        </w:rPr>
        <w:t xml:space="preserve"> the allocation of time/frequency resources to the DL/UL sub-band</w:t>
      </w:r>
      <w:r w:rsidR="00656EF8">
        <w:rPr>
          <w:lang w:eastAsia="ko-KR"/>
        </w:rPr>
        <w:t>s</w:t>
      </w:r>
      <w:r w:rsidR="009103C5" w:rsidRPr="009103C5">
        <w:rPr>
          <w:lang w:eastAsia="ko-KR"/>
        </w:rPr>
        <w:t xml:space="preserve">, and </w:t>
      </w:r>
      <w:r w:rsidR="00870C98" w:rsidRPr="009103C5">
        <w:rPr>
          <w:lang w:eastAsia="ko-KR"/>
        </w:rPr>
        <w:t>the</w:t>
      </w:r>
      <w:r w:rsidR="00735504" w:rsidRPr="009103C5">
        <w:rPr>
          <w:lang w:eastAsia="ko-KR"/>
        </w:rPr>
        <w:t xml:space="preserve"> interference management in SBFD operation. </w:t>
      </w:r>
      <w:r w:rsidR="00CC7C88" w:rsidRPr="009103C5">
        <w:rPr>
          <w:lang w:eastAsia="ko-KR"/>
        </w:rPr>
        <w:t xml:space="preserve"> </w:t>
      </w:r>
    </w:p>
    <w:p w:rsidR="00613A98" w:rsidRDefault="00613A98">
      <w:pPr>
        <w:pStyle w:val="Heading1"/>
        <w:rPr>
          <w:lang w:eastAsia="zh-CN"/>
        </w:rPr>
      </w:pPr>
      <w:r>
        <w:rPr>
          <w:lang w:eastAsia="zh-CN"/>
        </w:rPr>
        <w:t xml:space="preserve">Sub-bands location Indication </w:t>
      </w:r>
    </w:p>
    <w:p w:rsidR="00613A98" w:rsidRDefault="00613A98" w:rsidP="00613A98">
      <w:pPr>
        <w:pStyle w:val="Heading2"/>
        <w:rPr>
          <w:lang w:eastAsia="zh-CN"/>
        </w:rPr>
      </w:pPr>
      <w:r>
        <w:rPr>
          <w:lang w:eastAsia="zh-CN"/>
        </w:rPr>
        <w:t xml:space="preserve">Whether to inform </w:t>
      </w:r>
      <w:r w:rsidR="00656EF8">
        <w:rPr>
          <w:lang w:eastAsia="zh-CN"/>
        </w:rPr>
        <w:t xml:space="preserve">the </w:t>
      </w:r>
      <w:r>
        <w:rPr>
          <w:lang w:eastAsia="zh-CN"/>
        </w:rPr>
        <w:t xml:space="preserve">subband location </w:t>
      </w:r>
    </w:p>
    <w:p w:rsidR="00613A98" w:rsidRDefault="00613A98" w:rsidP="00613A98">
      <w:pPr>
        <w:rPr>
          <w:lang w:eastAsia="zh-CN"/>
        </w:rPr>
      </w:pPr>
      <w:r>
        <w:rPr>
          <w:lang w:eastAsia="zh-CN"/>
        </w:rPr>
        <w:t xml:space="preserve">Regarding the subband locations indication to the UE the following agreement with </w:t>
      </w:r>
      <w:r w:rsidR="00EE55FD" w:rsidRPr="00613A98">
        <w:rPr>
          <w:lang w:eastAsia="zh-CN"/>
        </w:rPr>
        <w:t>pri</w:t>
      </w:r>
      <w:r w:rsidR="00EE55FD">
        <w:rPr>
          <w:lang w:eastAsia="zh-CN"/>
        </w:rPr>
        <w:t xml:space="preserve">oritizing the alt4, </w:t>
      </w:r>
      <w:r>
        <w:rPr>
          <w:lang w:eastAsia="zh-CN"/>
        </w:rPr>
        <w:t>was agreed in RAN1#110 meeting</w:t>
      </w:r>
      <w:r w:rsidR="00EE55FD">
        <w:rPr>
          <w:lang w:eastAsia="zh-CN"/>
        </w:rPr>
        <w:t xml:space="preserve"> as given below</w:t>
      </w:r>
      <w:r>
        <w:rPr>
          <w:lang w:eastAsia="zh-CN"/>
        </w:rPr>
        <w:t xml:space="preserve">. </w:t>
      </w:r>
    </w:p>
    <w:tbl>
      <w:tblPr>
        <w:tblStyle w:val="TableGrid"/>
        <w:tblW w:w="0" w:type="auto"/>
        <w:tblLook w:val="04A0" w:firstRow="1" w:lastRow="0" w:firstColumn="1" w:lastColumn="0" w:noHBand="0" w:noVBand="1"/>
      </w:tblPr>
      <w:tblGrid>
        <w:gridCol w:w="9307"/>
      </w:tblGrid>
      <w:tr w:rsidR="00613A98" w:rsidTr="00613A98">
        <w:tc>
          <w:tcPr>
            <w:tcW w:w="9307" w:type="dxa"/>
          </w:tcPr>
          <w:p w:rsidR="00613A98" w:rsidRPr="00FA3065" w:rsidRDefault="00613A98" w:rsidP="00613A98">
            <w:pPr>
              <w:rPr>
                <w:rFonts w:eastAsia="Malgun Gothic"/>
                <w:b/>
                <w:highlight w:val="green"/>
                <w:lang w:eastAsia="zh-CN"/>
              </w:rPr>
            </w:pPr>
            <w:r w:rsidRPr="00FA3065">
              <w:rPr>
                <w:rFonts w:eastAsia="Malgun Gothic"/>
                <w:b/>
                <w:highlight w:val="green"/>
                <w:lang w:eastAsia="zh-CN"/>
              </w:rPr>
              <w:t>Agreement</w:t>
            </w:r>
          </w:p>
          <w:p w:rsidR="00613A98" w:rsidRPr="00613A98" w:rsidRDefault="00613A98" w:rsidP="00613A98">
            <w:pPr>
              <w:rPr>
                <w:lang w:eastAsia="zh-CN"/>
              </w:rPr>
            </w:pPr>
            <w:r w:rsidRPr="00613A98">
              <w:rPr>
                <w:lang w:eastAsia="zh-CN"/>
              </w:rPr>
              <w:t>Study the following alternatives</w:t>
            </w:r>
            <w:r w:rsidRPr="00FC36B4">
              <w:rPr>
                <w:lang w:eastAsia="zh-CN"/>
              </w:rPr>
              <w:t xml:space="preserve"> </w:t>
            </w:r>
            <w:r w:rsidRPr="00613A98">
              <w:rPr>
                <w:lang w:eastAsia="zh-CN"/>
              </w:rPr>
              <w:t>with Alt 4 prioritized</w:t>
            </w:r>
            <w:r w:rsidRPr="00613A98">
              <w:rPr>
                <w:rFonts w:hint="eastAsia"/>
                <w:lang w:eastAsia="zh-CN"/>
              </w:rPr>
              <w:t>,</w:t>
            </w:r>
            <w:r w:rsidRPr="00613A98">
              <w:rPr>
                <w:lang w:eastAsia="zh-CN"/>
              </w:rPr>
              <w:t xml:space="preserve"> for SBFD operation at least for RRC_CONNECTED state.</w:t>
            </w:r>
          </w:p>
          <w:p w:rsidR="00613A98" w:rsidRPr="00613A98" w:rsidRDefault="00613A98" w:rsidP="00613A98">
            <w:pPr>
              <w:pStyle w:val="ListParagraph"/>
              <w:numPr>
                <w:ilvl w:val="0"/>
                <w:numId w:val="30"/>
              </w:numPr>
              <w:jc w:val="both"/>
              <w:rPr>
                <w:rFonts w:ascii="Times New Roman" w:hAnsi="Times New Roman"/>
                <w:sz w:val="22"/>
                <w:szCs w:val="22"/>
                <w:lang w:eastAsia="zh-CN"/>
              </w:rPr>
            </w:pPr>
            <w:r w:rsidRPr="00613A98">
              <w:rPr>
                <w:rFonts w:ascii="Times New Roman" w:hAnsi="Times New Roman"/>
                <w:sz w:val="22"/>
                <w:szCs w:val="22"/>
                <w:lang w:eastAsia="zh-CN"/>
              </w:rPr>
              <w:t>SBFD operation Alt 1:</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Time and frequency locations of subbands for SBFD operation are not known to UEs. </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UE behaviors follow existing specifications without introducing new UE behaviors for SBFD operation at gNB side.</w:t>
            </w:r>
          </w:p>
          <w:p w:rsidR="00613A98" w:rsidRPr="00613A98" w:rsidRDefault="00613A98" w:rsidP="00613A98">
            <w:pPr>
              <w:pStyle w:val="ListParagraph"/>
              <w:numPr>
                <w:ilvl w:val="0"/>
                <w:numId w:val="30"/>
              </w:numPr>
              <w:jc w:val="both"/>
              <w:rPr>
                <w:rFonts w:ascii="Times New Roman" w:hAnsi="Times New Roman"/>
                <w:sz w:val="22"/>
                <w:szCs w:val="22"/>
                <w:lang w:eastAsia="zh-CN"/>
              </w:rPr>
            </w:pPr>
            <w:r w:rsidRPr="00613A98">
              <w:rPr>
                <w:rFonts w:ascii="Times New Roman" w:hAnsi="Times New Roman"/>
                <w:sz w:val="22"/>
                <w:szCs w:val="22"/>
                <w:lang w:eastAsia="zh-CN"/>
              </w:rPr>
              <w:t>SBFD operation Alt 2:</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Time and frequency locations of subbands for SBFD operation are not known to UEs. </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UE behaviors for non-SBFD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follow existing specifications.</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hint="eastAsia"/>
                <w:sz w:val="22"/>
                <w:szCs w:val="22"/>
                <w:lang w:eastAsia="zh-CN"/>
              </w:rPr>
              <w:t>From RAN1 perspective,</w:t>
            </w:r>
            <w:r w:rsidRPr="00613A98">
              <w:rPr>
                <w:rFonts w:ascii="Times New Roman" w:hAnsi="Times New Roman"/>
                <w:sz w:val="22"/>
                <w:szCs w:val="22"/>
                <w:lang w:eastAsia="zh-CN"/>
              </w:rPr>
              <w:t xml:space="preserve"> </w:t>
            </w:r>
            <w:r w:rsidRPr="00613A98">
              <w:rPr>
                <w:rFonts w:ascii="Times New Roman" w:hAnsi="Times New Roman" w:hint="eastAsia"/>
                <w:sz w:val="22"/>
                <w:szCs w:val="22"/>
                <w:lang w:eastAsia="zh-CN"/>
              </w:rPr>
              <w:t>n</w:t>
            </w:r>
            <w:r w:rsidRPr="00613A98">
              <w:rPr>
                <w:rFonts w:ascii="Times New Roman" w:hAnsi="Times New Roman"/>
                <w:sz w:val="22"/>
                <w:szCs w:val="22"/>
                <w:lang w:eastAsia="zh-CN"/>
              </w:rPr>
              <w:t xml:space="preserve">ew UE behaviors </w:t>
            </w:r>
            <w:r w:rsidRPr="00613A98">
              <w:rPr>
                <w:rFonts w:ascii="Times New Roman" w:hAnsi="Times New Roman" w:hint="eastAsia"/>
                <w:sz w:val="22"/>
                <w:szCs w:val="22"/>
                <w:lang w:eastAsia="zh-CN"/>
              </w:rPr>
              <w:t xml:space="preserve">can be </w:t>
            </w:r>
            <w:r w:rsidRPr="00613A98">
              <w:rPr>
                <w:rFonts w:ascii="Times New Roman" w:hAnsi="Times New Roman"/>
                <w:sz w:val="22"/>
                <w:szCs w:val="22"/>
                <w:lang w:eastAsia="zh-CN"/>
              </w:rPr>
              <w:t>introduced for SBFD a</w:t>
            </w:r>
            <w:r w:rsidRPr="00613A98">
              <w:rPr>
                <w:rFonts w:ascii="Times New Roman" w:hAnsi="Times New Roman" w:hint="eastAsia"/>
                <w:sz w:val="22"/>
                <w:szCs w:val="22"/>
                <w:lang w:eastAsia="zh-CN"/>
              </w:rPr>
              <w:t>ware</w:t>
            </w:r>
            <w:r w:rsidRPr="00613A98">
              <w:rPr>
                <w:rFonts w:ascii="Times New Roman" w:hAnsi="Times New Roman"/>
                <w:sz w:val="22"/>
                <w:szCs w:val="22"/>
                <w:lang w:eastAsia="zh-CN"/>
              </w:rPr>
              <w:t xml:space="preserve"> UEs</w:t>
            </w:r>
          </w:p>
          <w:p w:rsidR="00613A98" w:rsidRPr="00613A98" w:rsidRDefault="00613A98" w:rsidP="00613A98">
            <w:pPr>
              <w:pStyle w:val="ListParagraph"/>
              <w:numPr>
                <w:ilvl w:val="0"/>
                <w:numId w:val="30"/>
              </w:numPr>
              <w:jc w:val="both"/>
              <w:rPr>
                <w:rFonts w:ascii="Times New Roman" w:hAnsi="Times New Roman"/>
                <w:sz w:val="22"/>
                <w:szCs w:val="22"/>
                <w:lang w:eastAsia="zh-CN"/>
              </w:rPr>
            </w:pPr>
            <w:r w:rsidRPr="00613A98">
              <w:rPr>
                <w:rFonts w:ascii="Times New Roman" w:hAnsi="Times New Roman"/>
                <w:sz w:val="22"/>
                <w:szCs w:val="22"/>
                <w:lang w:eastAsia="zh-CN"/>
              </w:rPr>
              <w:t>SBFD operation Alt 3:</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Only time location of subbands for SBFD operation is known to 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UE behaviors for non-SBFD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follow existing specifications.</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hint="eastAsia"/>
                <w:sz w:val="22"/>
                <w:szCs w:val="22"/>
                <w:lang w:eastAsia="zh-CN"/>
              </w:rPr>
              <w:t>From RAN1 perspective,</w:t>
            </w:r>
            <w:r w:rsidRPr="00613A98">
              <w:rPr>
                <w:rFonts w:ascii="Times New Roman" w:hAnsi="Times New Roman"/>
                <w:sz w:val="22"/>
                <w:szCs w:val="22"/>
                <w:lang w:eastAsia="zh-CN"/>
              </w:rPr>
              <w:t xml:space="preserve"> </w:t>
            </w:r>
            <w:r w:rsidRPr="00613A98">
              <w:rPr>
                <w:rFonts w:ascii="Times New Roman" w:hAnsi="Times New Roman" w:hint="eastAsia"/>
                <w:sz w:val="22"/>
                <w:szCs w:val="22"/>
                <w:lang w:eastAsia="zh-CN"/>
              </w:rPr>
              <w:t>n</w:t>
            </w:r>
            <w:r w:rsidRPr="00613A98">
              <w:rPr>
                <w:rFonts w:ascii="Times New Roman" w:hAnsi="Times New Roman"/>
                <w:sz w:val="22"/>
                <w:szCs w:val="22"/>
                <w:lang w:eastAsia="zh-CN"/>
              </w:rPr>
              <w:t xml:space="preserve">ew UE behaviors </w:t>
            </w:r>
            <w:r w:rsidRPr="00613A98">
              <w:rPr>
                <w:rFonts w:ascii="Times New Roman" w:hAnsi="Times New Roman" w:hint="eastAsia"/>
                <w:sz w:val="22"/>
                <w:szCs w:val="22"/>
                <w:lang w:eastAsia="zh-CN"/>
              </w:rPr>
              <w:t xml:space="preserve">can be </w:t>
            </w:r>
            <w:r w:rsidRPr="00613A98">
              <w:rPr>
                <w:rFonts w:ascii="Times New Roman" w:hAnsi="Times New Roman"/>
                <w:sz w:val="22"/>
                <w:szCs w:val="22"/>
                <w:lang w:eastAsia="zh-CN"/>
              </w:rPr>
              <w:t xml:space="preserve">introduced for 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based on the time location of subbands for SBFD operation </w:t>
            </w:r>
          </w:p>
          <w:p w:rsidR="00613A98" w:rsidRPr="00613A98" w:rsidRDefault="00613A98" w:rsidP="00613A98">
            <w:pPr>
              <w:pStyle w:val="ListParagraph"/>
              <w:numPr>
                <w:ilvl w:val="0"/>
                <w:numId w:val="30"/>
              </w:numPr>
              <w:jc w:val="both"/>
              <w:rPr>
                <w:rFonts w:ascii="Times New Roman" w:hAnsi="Times New Roman"/>
                <w:sz w:val="22"/>
                <w:szCs w:val="22"/>
                <w:lang w:eastAsia="zh-CN"/>
              </w:rPr>
            </w:pPr>
            <w:r w:rsidRPr="00613A98">
              <w:rPr>
                <w:rFonts w:ascii="Times New Roman" w:hAnsi="Times New Roman"/>
                <w:sz w:val="22"/>
                <w:szCs w:val="22"/>
                <w:lang w:eastAsia="zh-CN"/>
              </w:rPr>
              <w:t>SBFD operation Alt 4:</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Both time and frequency locations of subbands for SBFD operation are known to 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sz w:val="22"/>
                <w:szCs w:val="22"/>
                <w:lang w:eastAsia="zh-CN"/>
              </w:rPr>
              <w:t xml:space="preserve">UE behaviors for non-SBFD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follow existing specifications.</w:t>
            </w:r>
          </w:p>
          <w:p w:rsidR="00613A98" w:rsidRPr="00613A98" w:rsidRDefault="00613A98" w:rsidP="00613A98">
            <w:pPr>
              <w:pStyle w:val="ListParagraph"/>
              <w:numPr>
                <w:ilvl w:val="1"/>
                <w:numId w:val="30"/>
              </w:numPr>
              <w:jc w:val="both"/>
              <w:rPr>
                <w:rFonts w:ascii="Times New Roman" w:hAnsi="Times New Roman"/>
                <w:sz w:val="22"/>
                <w:szCs w:val="22"/>
                <w:lang w:eastAsia="zh-CN"/>
              </w:rPr>
            </w:pPr>
            <w:r w:rsidRPr="00613A98">
              <w:rPr>
                <w:rFonts w:ascii="Times New Roman" w:hAnsi="Times New Roman" w:hint="eastAsia"/>
                <w:sz w:val="22"/>
                <w:szCs w:val="22"/>
                <w:lang w:eastAsia="zh-CN"/>
              </w:rPr>
              <w:t>From RAN1 perspective,</w:t>
            </w:r>
            <w:r w:rsidRPr="00613A98">
              <w:rPr>
                <w:rFonts w:ascii="Times New Roman" w:hAnsi="Times New Roman"/>
                <w:sz w:val="22"/>
                <w:szCs w:val="22"/>
                <w:lang w:eastAsia="zh-CN"/>
              </w:rPr>
              <w:t xml:space="preserve"> </w:t>
            </w:r>
            <w:r w:rsidRPr="00613A98">
              <w:rPr>
                <w:rFonts w:ascii="Times New Roman" w:hAnsi="Times New Roman" w:hint="eastAsia"/>
                <w:sz w:val="22"/>
                <w:szCs w:val="22"/>
                <w:lang w:eastAsia="zh-CN"/>
              </w:rPr>
              <w:t>n</w:t>
            </w:r>
            <w:r w:rsidRPr="00613A98">
              <w:rPr>
                <w:rFonts w:ascii="Times New Roman" w:hAnsi="Times New Roman"/>
                <w:sz w:val="22"/>
                <w:szCs w:val="22"/>
                <w:lang w:eastAsia="zh-CN"/>
              </w:rPr>
              <w:t xml:space="preserve">ew UE behaviors </w:t>
            </w:r>
            <w:r w:rsidRPr="00613A98">
              <w:rPr>
                <w:rFonts w:ascii="Times New Roman" w:hAnsi="Times New Roman" w:hint="eastAsia"/>
                <w:sz w:val="22"/>
                <w:szCs w:val="22"/>
                <w:lang w:eastAsia="zh-CN"/>
              </w:rPr>
              <w:t xml:space="preserve">can be </w:t>
            </w:r>
            <w:r w:rsidRPr="00613A98">
              <w:rPr>
                <w:rFonts w:ascii="Times New Roman" w:hAnsi="Times New Roman"/>
                <w:sz w:val="22"/>
                <w:szCs w:val="22"/>
                <w:lang w:eastAsia="zh-CN"/>
              </w:rPr>
              <w:t xml:space="preserve">introduced for SBFD </w:t>
            </w:r>
            <w:r w:rsidRPr="00613A98">
              <w:rPr>
                <w:rFonts w:ascii="Times New Roman" w:hAnsi="Times New Roman" w:hint="eastAsia"/>
                <w:sz w:val="22"/>
                <w:szCs w:val="22"/>
                <w:lang w:eastAsia="zh-CN"/>
              </w:rPr>
              <w:t>aware</w:t>
            </w:r>
            <w:r w:rsidRPr="00613A98">
              <w:rPr>
                <w:rFonts w:ascii="Times New Roman" w:hAnsi="Times New Roman"/>
                <w:sz w:val="22"/>
                <w:szCs w:val="22"/>
                <w:lang w:eastAsia="zh-CN"/>
              </w:rPr>
              <w:t xml:space="preserve"> UEs based on the time and frequency locations of subbands for SBFD operation.</w:t>
            </w:r>
          </w:p>
          <w:p w:rsidR="00613A98" w:rsidRDefault="00613A98" w:rsidP="00613A98">
            <w:pPr>
              <w:rPr>
                <w:lang w:eastAsia="zh-CN"/>
              </w:rPr>
            </w:pPr>
            <w:r>
              <w:rPr>
                <w:lang w:eastAsia="zh-CN"/>
              </w:rPr>
              <w:t>UE capability discussion is held in work item phase.</w:t>
            </w:r>
          </w:p>
          <w:p w:rsidR="00613A98" w:rsidRDefault="00613A98" w:rsidP="00613A98">
            <w:pPr>
              <w:rPr>
                <w:lang w:eastAsia="zh-CN"/>
              </w:rPr>
            </w:pPr>
          </w:p>
        </w:tc>
      </w:tr>
    </w:tbl>
    <w:p w:rsidR="00613A98" w:rsidRDefault="00613A98" w:rsidP="00613A98">
      <w:pPr>
        <w:rPr>
          <w:lang w:eastAsia="zh-CN"/>
        </w:rPr>
      </w:pPr>
    </w:p>
    <w:p w:rsidR="00613A98" w:rsidRDefault="00656EF8" w:rsidP="00613A98">
      <w:pPr>
        <w:rPr>
          <w:lang w:eastAsia="zh-CN"/>
        </w:rPr>
      </w:pPr>
      <w:r>
        <w:rPr>
          <w:lang w:eastAsia="zh-CN"/>
        </w:rPr>
        <w:t>In alt1 and alt2, t</w:t>
      </w:r>
      <w:r w:rsidR="00EE55FD">
        <w:rPr>
          <w:lang w:eastAsia="zh-CN"/>
        </w:rPr>
        <w:t xml:space="preserve">he time and frequency locations of subbands for SBFD operation are not know to UEs, therefore, </w:t>
      </w:r>
      <w:r w:rsidR="0057189E">
        <w:rPr>
          <w:lang w:eastAsia="zh-CN"/>
        </w:rPr>
        <w:t xml:space="preserve">alt1 and alt2 </w:t>
      </w:r>
      <w:r w:rsidR="00EE7046">
        <w:rPr>
          <w:lang w:eastAsia="zh-CN"/>
        </w:rPr>
        <w:t>are only feasible for</w:t>
      </w:r>
      <w:r w:rsidR="0057189E">
        <w:rPr>
          <w:lang w:eastAsia="zh-CN"/>
        </w:rPr>
        <w:t xml:space="preserve"> flexible slots/symbols and they may not be </w:t>
      </w:r>
      <w:r w:rsidR="00EE55FD">
        <w:rPr>
          <w:lang w:eastAsia="zh-CN"/>
        </w:rPr>
        <w:t xml:space="preserve">a </w:t>
      </w:r>
      <w:r w:rsidR="0057189E">
        <w:rPr>
          <w:lang w:eastAsia="zh-CN"/>
        </w:rPr>
        <w:t>feasible</w:t>
      </w:r>
      <w:r w:rsidR="00EE55FD">
        <w:rPr>
          <w:lang w:eastAsia="zh-CN"/>
        </w:rPr>
        <w:t xml:space="preserve"> option</w:t>
      </w:r>
      <w:r w:rsidR="0057189E">
        <w:rPr>
          <w:lang w:eastAsia="zh-CN"/>
        </w:rPr>
        <w:t xml:space="preserve"> </w:t>
      </w:r>
      <w:r w:rsidR="00EE55FD">
        <w:rPr>
          <w:lang w:eastAsia="zh-CN"/>
        </w:rPr>
        <w:t>for</w:t>
      </w:r>
      <w:r w:rsidR="0057189E">
        <w:rPr>
          <w:lang w:eastAsia="zh-CN"/>
        </w:rPr>
        <w:t xml:space="preserve"> UL subbands in DL slots</w:t>
      </w:r>
      <w:r w:rsidR="00AA19A6">
        <w:rPr>
          <w:lang w:eastAsia="zh-CN"/>
        </w:rPr>
        <w:t xml:space="preserve">. </w:t>
      </w:r>
      <w:r w:rsidR="00975E86">
        <w:rPr>
          <w:lang w:eastAsia="zh-CN"/>
        </w:rPr>
        <w:t xml:space="preserve">Moreover, in alt1 and alt2 since both the time and frequency locations are not know to the UE, thus </w:t>
      </w:r>
      <w:r>
        <w:rPr>
          <w:lang w:eastAsia="zh-CN"/>
        </w:rPr>
        <w:t xml:space="preserve">the </w:t>
      </w:r>
      <w:r w:rsidR="00975E86">
        <w:rPr>
          <w:lang w:eastAsia="zh-CN"/>
        </w:rPr>
        <w:t xml:space="preserve">UE </w:t>
      </w:r>
      <w:r w:rsidR="00EE7046">
        <w:rPr>
          <w:lang w:eastAsia="zh-CN"/>
        </w:rPr>
        <w:t xml:space="preserve">may </w:t>
      </w:r>
      <w:r w:rsidR="00975E86">
        <w:rPr>
          <w:lang w:eastAsia="zh-CN"/>
        </w:rPr>
        <w:t>perform</w:t>
      </w:r>
      <w:r w:rsidR="00EE7046">
        <w:rPr>
          <w:lang w:eastAsia="zh-CN"/>
        </w:rPr>
        <w:t>s</w:t>
      </w:r>
      <w:r w:rsidR="00975E86">
        <w:rPr>
          <w:lang w:eastAsia="zh-CN"/>
        </w:rPr>
        <w:t xml:space="preserve"> blind detection for DL and UL transmission</w:t>
      </w:r>
      <w:r w:rsidR="00EE55FD">
        <w:rPr>
          <w:lang w:eastAsia="zh-CN"/>
        </w:rPr>
        <w:t xml:space="preserve">, which may </w:t>
      </w:r>
      <w:r w:rsidR="00EE55FD">
        <w:rPr>
          <w:lang w:eastAsia="zh-CN"/>
        </w:rPr>
        <w:lastRenderedPageBreak/>
        <w:t>increase the UE power consumption and complexity</w:t>
      </w:r>
      <w:r w:rsidR="00975E86">
        <w:rPr>
          <w:lang w:eastAsia="zh-CN"/>
        </w:rPr>
        <w:t xml:space="preserve">. </w:t>
      </w:r>
      <w:r w:rsidR="00EE55FD">
        <w:rPr>
          <w:lang w:eastAsia="zh-CN"/>
        </w:rPr>
        <w:t>In Alt3</w:t>
      </w:r>
      <w:r w:rsidR="00AA19A6">
        <w:rPr>
          <w:lang w:eastAsia="zh-CN"/>
        </w:rPr>
        <w:t xml:space="preserve">, since the </w:t>
      </w:r>
      <w:r w:rsidR="00DD2A2C">
        <w:rPr>
          <w:lang w:eastAsia="zh-CN"/>
        </w:rPr>
        <w:t>frequency</w:t>
      </w:r>
      <w:r w:rsidR="00AA19A6">
        <w:rPr>
          <w:lang w:eastAsia="zh-CN"/>
        </w:rPr>
        <w:t xml:space="preserve"> location of subbands are not know to the UE, thus the scheduling adaptation for UE to UE CLI mitigation cannot be achieved. In alt4, since the time and frequency location of sub-bands are </w:t>
      </w:r>
      <w:r w:rsidR="00DD2A2C">
        <w:rPr>
          <w:lang w:eastAsia="zh-CN"/>
        </w:rPr>
        <w:t>known</w:t>
      </w:r>
      <w:r w:rsidR="00AA19A6">
        <w:rPr>
          <w:lang w:eastAsia="zh-CN"/>
        </w:rPr>
        <w:t xml:space="preserve"> to the UE</w:t>
      </w:r>
      <w:r w:rsidR="00EE55FD">
        <w:rPr>
          <w:lang w:eastAsia="zh-CN"/>
        </w:rPr>
        <w:t>,</w:t>
      </w:r>
      <w:r w:rsidR="00AA19A6">
        <w:rPr>
          <w:lang w:eastAsia="zh-CN"/>
        </w:rPr>
        <w:t xml:space="preserve"> therefore the UE </w:t>
      </w:r>
      <w:r w:rsidR="002C6B15">
        <w:rPr>
          <w:lang w:eastAsia="zh-CN"/>
        </w:rPr>
        <w:t>may avoid</w:t>
      </w:r>
      <w:r w:rsidR="00EE7046">
        <w:rPr>
          <w:lang w:eastAsia="zh-CN"/>
        </w:rPr>
        <w:t xml:space="preserve"> the</w:t>
      </w:r>
      <w:r w:rsidR="002C6B15">
        <w:rPr>
          <w:lang w:eastAsia="zh-CN"/>
        </w:rPr>
        <w:t xml:space="preserve"> </w:t>
      </w:r>
      <w:r w:rsidR="00AA19A6">
        <w:rPr>
          <w:lang w:eastAsia="zh-CN"/>
        </w:rPr>
        <w:t>blind</w:t>
      </w:r>
      <w:r w:rsidR="002C6B15">
        <w:rPr>
          <w:lang w:eastAsia="zh-CN"/>
        </w:rPr>
        <w:t xml:space="preserve"> detection for UL and DL transmission</w:t>
      </w:r>
      <w:r w:rsidR="00EE7046">
        <w:rPr>
          <w:lang w:eastAsia="zh-CN"/>
        </w:rPr>
        <w:t>, and the UE can perform</w:t>
      </w:r>
      <w:r w:rsidR="00AA19A6">
        <w:rPr>
          <w:lang w:eastAsia="zh-CN"/>
        </w:rPr>
        <w:t xml:space="preserve"> </w:t>
      </w:r>
      <w:r w:rsidR="00EE7046">
        <w:rPr>
          <w:lang w:eastAsia="zh-CN"/>
        </w:rPr>
        <w:t xml:space="preserve">the </w:t>
      </w:r>
      <w:r w:rsidR="00AA19A6">
        <w:rPr>
          <w:lang w:eastAsia="zh-CN"/>
        </w:rPr>
        <w:t xml:space="preserve">scheduling </w:t>
      </w:r>
      <w:r w:rsidR="00DD2A2C">
        <w:rPr>
          <w:lang w:eastAsia="zh-CN"/>
        </w:rPr>
        <w:t>adaptation</w:t>
      </w:r>
      <w:r w:rsidR="00AA19A6">
        <w:rPr>
          <w:lang w:eastAsia="zh-CN"/>
        </w:rPr>
        <w:t xml:space="preserve"> for CLI mitigation. For th</w:t>
      </w:r>
      <w:r w:rsidR="00EE7046">
        <w:rPr>
          <w:lang w:eastAsia="zh-CN"/>
        </w:rPr>
        <w:t>ose</w:t>
      </w:r>
      <w:r w:rsidR="00AA19A6">
        <w:rPr>
          <w:lang w:eastAsia="zh-CN"/>
        </w:rPr>
        <w:t xml:space="preserve"> reason</w:t>
      </w:r>
      <w:r w:rsidR="00EE7046">
        <w:rPr>
          <w:lang w:eastAsia="zh-CN"/>
        </w:rPr>
        <w:t>s</w:t>
      </w:r>
      <w:r w:rsidR="00AA19A6">
        <w:rPr>
          <w:lang w:eastAsia="zh-CN"/>
        </w:rPr>
        <w:t xml:space="preserve"> we support only alt4</w:t>
      </w:r>
      <w:r w:rsidR="002C6B15">
        <w:rPr>
          <w:lang w:eastAsia="zh-CN"/>
        </w:rPr>
        <w:t xml:space="preserve">. </w:t>
      </w:r>
      <w:r w:rsidR="00AA19A6">
        <w:rPr>
          <w:lang w:eastAsia="zh-CN"/>
        </w:rPr>
        <w:t xml:space="preserve"> </w:t>
      </w:r>
    </w:p>
    <w:p w:rsidR="00613A98" w:rsidRPr="00613A98" w:rsidRDefault="00613A98" w:rsidP="00613A98">
      <w:pPr>
        <w:rPr>
          <w:b/>
          <w:lang w:eastAsia="zh-CN"/>
        </w:rPr>
      </w:pPr>
      <w:r w:rsidRPr="00613A98">
        <w:rPr>
          <w:b/>
          <w:lang w:eastAsia="zh-CN"/>
        </w:rPr>
        <w:t>Proposal</w:t>
      </w:r>
      <w:r>
        <w:rPr>
          <w:b/>
          <w:lang w:eastAsia="zh-CN"/>
        </w:rPr>
        <w:t xml:space="preserve"> </w:t>
      </w:r>
      <w:r w:rsidRPr="00613A98">
        <w:rPr>
          <w:b/>
          <w:lang w:eastAsia="zh-CN"/>
        </w:rPr>
        <w:t>1: Support Alt4 for subband</w:t>
      </w:r>
      <w:r w:rsidR="00DD2A2C">
        <w:rPr>
          <w:b/>
          <w:lang w:eastAsia="zh-CN"/>
        </w:rPr>
        <w:t>s</w:t>
      </w:r>
      <w:r w:rsidRPr="00613A98">
        <w:rPr>
          <w:b/>
          <w:lang w:eastAsia="zh-CN"/>
        </w:rPr>
        <w:t xml:space="preserve"> location indication to the SBFD aware UE. </w:t>
      </w:r>
    </w:p>
    <w:p w:rsidR="00DD2A2C" w:rsidRDefault="00DD2A2C" w:rsidP="00DD2A2C">
      <w:pPr>
        <w:pStyle w:val="Heading2"/>
        <w:rPr>
          <w:lang w:eastAsia="zh-CN"/>
        </w:rPr>
      </w:pPr>
      <w:r>
        <w:rPr>
          <w:lang w:eastAsia="zh-CN"/>
        </w:rPr>
        <w:t>Semi static,</w:t>
      </w:r>
      <w:r w:rsidR="003139AD">
        <w:rPr>
          <w:lang w:eastAsia="zh-CN"/>
        </w:rPr>
        <w:t xml:space="preserve"> and dynamic subband I</w:t>
      </w:r>
      <w:r>
        <w:rPr>
          <w:lang w:eastAsia="zh-CN"/>
        </w:rPr>
        <w:t>ndication</w:t>
      </w:r>
      <w:r w:rsidR="003139AD">
        <w:rPr>
          <w:lang w:eastAsia="zh-CN"/>
        </w:rPr>
        <w:t xml:space="preserve">/Configuration </w:t>
      </w:r>
      <w:r>
        <w:rPr>
          <w:lang w:eastAsia="zh-CN"/>
        </w:rPr>
        <w:t xml:space="preserve"> </w:t>
      </w:r>
    </w:p>
    <w:p w:rsidR="00DD2A2C" w:rsidRPr="00E56515" w:rsidRDefault="00DD2A2C" w:rsidP="00E56515">
      <w:pPr>
        <w:rPr>
          <w:lang w:eastAsia="zh-CN"/>
        </w:rPr>
      </w:pPr>
      <w:r w:rsidRPr="00DD2A2C">
        <w:rPr>
          <w:shd w:val="clear" w:color="auto" w:fill="FFFFFF"/>
        </w:rPr>
        <w:t>Reg</w:t>
      </w:r>
      <w:r>
        <w:rPr>
          <w:shd w:val="clear" w:color="auto" w:fill="FFFFFF"/>
        </w:rPr>
        <w:t>arding the semi static sub-band</w:t>
      </w:r>
      <w:r w:rsidR="003139AD">
        <w:rPr>
          <w:shd w:val="clear" w:color="auto" w:fill="FFFFFF"/>
        </w:rPr>
        <w:t xml:space="preserve"> configuration</w:t>
      </w:r>
      <w:r w:rsidR="00AB1FFA">
        <w:rPr>
          <w:shd w:val="clear" w:color="auto" w:fill="FFFFFF"/>
        </w:rPr>
        <w:t xml:space="preserve"> the following agreement was reached</w:t>
      </w:r>
      <w:r>
        <w:rPr>
          <w:shd w:val="clear" w:color="auto" w:fill="FFFFFF"/>
        </w:rPr>
        <w:t xml:space="preserve"> in </w:t>
      </w:r>
      <w:r w:rsidR="006A63D1">
        <w:rPr>
          <w:shd w:val="clear" w:color="auto" w:fill="FFFFFF"/>
        </w:rPr>
        <w:t>3GPP RAN1</w:t>
      </w:r>
      <w:r w:rsidR="00AB1FFA">
        <w:rPr>
          <w:shd w:val="clear" w:color="auto" w:fill="FFFFFF"/>
        </w:rPr>
        <w:t xml:space="preserve">#110 meeting. </w:t>
      </w:r>
      <w:r w:rsidR="00E56515">
        <w:rPr>
          <w:lang w:eastAsia="zh-CN"/>
        </w:rPr>
        <w:t xml:space="preserve">However, the discussion for dynamic subbands configuration was not concluded in 3GPP RAN1#110 meeting.  In this section we provide our views on </w:t>
      </w:r>
      <w:r w:rsidR="00656EF8">
        <w:rPr>
          <w:lang w:eastAsia="zh-CN"/>
        </w:rPr>
        <w:t xml:space="preserve">the </w:t>
      </w:r>
      <w:r w:rsidR="00E56515">
        <w:rPr>
          <w:lang w:eastAsia="zh-CN"/>
        </w:rPr>
        <w:t xml:space="preserve">semi static and dynamic subbands indication. </w:t>
      </w:r>
    </w:p>
    <w:tbl>
      <w:tblPr>
        <w:tblStyle w:val="TableGrid"/>
        <w:tblW w:w="0" w:type="auto"/>
        <w:tblLook w:val="04A0" w:firstRow="1" w:lastRow="0" w:firstColumn="1" w:lastColumn="0" w:noHBand="0" w:noVBand="1"/>
      </w:tblPr>
      <w:tblGrid>
        <w:gridCol w:w="9307"/>
      </w:tblGrid>
      <w:tr w:rsidR="00DD2A2C" w:rsidTr="00DD2A2C">
        <w:tc>
          <w:tcPr>
            <w:tcW w:w="9307" w:type="dxa"/>
          </w:tcPr>
          <w:p w:rsidR="00DD2A2C" w:rsidRPr="00FA3065" w:rsidRDefault="00DD2A2C" w:rsidP="00DD2A2C">
            <w:pPr>
              <w:rPr>
                <w:rFonts w:eastAsia="Malgun Gothic"/>
                <w:b/>
                <w:highlight w:val="green"/>
                <w:lang w:eastAsia="zh-CN"/>
              </w:rPr>
            </w:pPr>
            <w:r w:rsidRPr="00FA3065">
              <w:rPr>
                <w:rFonts w:eastAsia="Malgun Gothic"/>
                <w:b/>
                <w:highlight w:val="green"/>
                <w:lang w:eastAsia="zh-CN"/>
              </w:rPr>
              <w:t>Agreement</w:t>
            </w:r>
          </w:p>
          <w:p w:rsidR="00DD2A2C" w:rsidRPr="00DD2A2C" w:rsidRDefault="00DD2A2C" w:rsidP="00DD2A2C">
            <w:pPr>
              <w:rPr>
                <w:rFonts w:eastAsia="Malgun Gothic"/>
                <w:lang w:eastAsia="zh-CN"/>
              </w:rPr>
            </w:pPr>
            <w:r w:rsidRPr="00953752">
              <w:rPr>
                <w:rFonts w:eastAsia="Malgun Gothic"/>
                <w:lang w:eastAsia="zh-CN"/>
              </w:rPr>
              <w:t>For indication of subband locations for SBFD operation, study semi-static configuration of subband</w:t>
            </w:r>
            <w:r w:rsidRPr="00953752">
              <w:rPr>
                <w:rFonts w:eastAsia="Malgun Gothic" w:hint="eastAsia"/>
                <w:lang w:eastAsia="zh-CN"/>
              </w:rPr>
              <w:t xml:space="preserve"> time and frequency</w:t>
            </w:r>
            <w:r w:rsidRPr="00953752">
              <w:rPr>
                <w:rFonts w:eastAsia="Malgun Gothic"/>
                <w:lang w:eastAsia="zh-CN"/>
              </w:rPr>
              <w:t xml:space="preserve"> location as baseline.</w:t>
            </w:r>
          </w:p>
        </w:tc>
      </w:tr>
    </w:tbl>
    <w:p w:rsidR="00AB1FFA" w:rsidRDefault="00AB1FFA" w:rsidP="00AB1FFA">
      <w:pPr>
        <w:rPr>
          <w:lang w:eastAsia="zh-CN"/>
        </w:rPr>
      </w:pPr>
    </w:p>
    <w:p w:rsidR="00AB1FFA" w:rsidRPr="00AB1FFA" w:rsidRDefault="003139AD" w:rsidP="003139AD">
      <w:pPr>
        <w:pStyle w:val="Heading4"/>
        <w:numPr>
          <w:ilvl w:val="0"/>
          <w:numId w:val="0"/>
        </w:numPr>
        <w:ind w:left="720"/>
      </w:pPr>
      <w:r>
        <w:t xml:space="preserve">2.2.1 </w:t>
      </w:r>
      <w:r w:rsidR="00AB1FFA" w:rsidRPr="00AB1FFA">
        <w:t xml:space="preserve">Semi static Configuration </w:t>
      </w:r>
    </w:p>
    <w:p w:rsidR="00AB1FFA" w:rsidRDefault="003139AD" w:rsidP="00AB1FFA">
      <w:r>
        <w:t>For semi static configuration of subband</w:t>
      </w:r>
      <w:r w:rsidR="00975E86">
        <w:t>s,</w:t>
      </w:r>
      <w:r>
        <w:t xml:space="preserve"> </w:t>
      </w:r>
      <w:r w:rsidR="00975E86">
        <w:t>r</w:t>
      </w:r>
      <w:r w:rsidR="00AB1FFA">
        <w:t xml:space="preserve">e-using the semi-static configuration of the current specification may requires an explicit indication of the time frequency resources of an opposite direction’s sub-bands in </w:t>
      </w:r>
      <w:r w:rsidR="00AB1FFA" w:rsidRPr="002B0799">
        <w:rPr>
          <w:i/>
        </w:rPr>
        <w:t xml:space="preserve">TDD-UL-DL-ConfigCommon </w:t>
      </w:r>
      <w:r w:rsidR="00AB1FFA" w:rsidRPr="002B0799">
        <w:t xml:space="preserve">or </w:t>
      </w:r>
      <w:r w:rsidR="00AB1FFA" w:rsidRPr="002B0799">
        <w:rPr>
          <w:i/>
        </w:rPr>
        <w:t>TDD-UL-DL-ConfigDedicated</w:t>
      </w:r>
      <w:r w:rsidR="00AB1FFA" w:rsidRPr="002B0799">
        <w:t>.</w:t>
      </w:r>
      <w:r w:rsidR="00AB1FFA">
        <w:t xml:space="preserve"> In other words, the IE for UL sub-band in DL or flexible slots/symbols </w:t>
      </w:r>
      <w:r w:rsidR="00AB1FFA" w:rsidRPr="005C4BDD">
        <w:t xml:space="preserve">may needs to include an explicit configuration </w:t>
      </w:r>
      <w:r w:rsidR="00AB1FFA">
        <w:t>of, the DL slots/symbols</w:t>
      </w:r>
      <w:r w:rsidR="00AB1FFA" w:rsidRPr="005C4BDD">
        <w:t xml:space="preserve"> where the frequency resources of the UL sub-bands can be allocated</w:t>
      </w:r>
      <w:r w:rsidR="00AB1FFA">
        <w:t xml:space="preserve">, the number and starting of UL RBs such as </w:t>
      </w:r>
      <w:r w:rsidR="00AB1FFA" w:rsidRPr="006D4021">
        <w:rPr>
          <w:i/>
        </w:rPr>
        <w:t>startingofUplinkRBs</w:t>
      </w:r>
      <w:r w:rsidR="00AB1FFA">
        <w:t xml:space="preserve">, </w:t>
      </w:r>
      <w:r w:rsidR="00CE09CA">
        <w:t xml:space="preserve">and starting of </w:t>
      </w:r>
      <w:r w:rsidR="00AB1FFA" w:rsidRPr="006D4021">
        <w:rPr>
          <w:i/>
        </w:rPr>
        <w:t>NRofUplinkRBs</w:t>
      </w:r>
      <w:r w:rsidR="00AB1FFA" w:rsidRPr="002B0799">
        <w:t>.</w:t>
      </w:r>
      <w:r w:rsidR="00AB1FFA">
        <w:t xml:space="preserve"> </w:t>
      </w:r>
    </w:p>
    <w:p w:rsidR="00CE09CA" w:rsidRDefault="00AB1FFA" w:rsidP="00AB1FFA">
      <w:r>
        <w:t>Similarly, th</w:t>
      </w:r>
      <w:r w:rsidR="00975E86">
        <w:t>e IE for DL sub-band in UL or flexile slots</w:t>
      </w:r>
      <w:r>
        <w:t xml:space="preserve"> may needs to include an explicit configuration of, the UL slots/symbols where the frequency resources of DL sub-bands can be allocated in UL slots, the number and starting of DL </w:t>
      </w:r>
      <w:r w:rsidR="00CE09CA">
        <w:t>RBs such</w:t>
      </w:r>
      <w:r>
        <w:t xml:space="preserve"> as </w:t>
      </w:r>
      <w:r w:rsidRPr="006D4021">
        <w:rPr>
          <w:i/>
        </w:rPr>
        <w:t>startingof</w:t>
      </w:r>
      <w:r>
        <w:rPr>
          <w:i/>
        </w:rPr>
        <w:t>Downlink</w:t>
      </w:r>
      <w:r w:rsidRPr="006D4021">
        <w:rPr>
          <w:i/>
        </w:rPr>
        <w:t>RBs</w:t>
      </w:r>
      <w:r>
        <w:t xml:space="preserve">, </w:t>
      </w:r>
      <w:r w:rsidRPr="006D4021">
        <w:rPr>
          <w:i/>
        </w:rPr>
        <w:t>NRof</w:t>
      </w:r>
      <w:r>
        <w:rPr>
          <w:i/>
        </w:rPr>
        <w:t>Downlink</w:t>
      </w:r>
      <w:r w:rsidRPr="006D4021">
        <w:rPr>
          <w:i/>
        </w:rPr>
        <w:t>RBs</w:t>
      </w:r>
      <w:bookmarkStart w:id="2" w:name="_GoBack"/>
      <w:bookmarkEnd w:id="2"/>
      <w:r w:rsidR="00CE09CA">
        <w:t xml:space="preserve">. </w:t>
      </w:r>
    </w:p>
    <w:p w:rsidR="00AB1FFA" w:rsidRDefault="00CE09CA" w:rsidP="00AB1FFA">
      <w:r>
        <w:t>In addition, by explicit</w:t>
      </w:r>
      <w:r w:rsidR="006B74B8">
        <w:t xml:space="preserve"> indication of UL and DL subband RBs</w:t>
      </w:r>
      <w:r>
        <w:t>, the UE can</w:t>
      </w:r>
      <w:r w:rsidR="002E7753">
        <w:t xml:space="preserve"> </w:t>
      </w:r>
      <w:r>
        <w:t xml:space="preserve">derive the </w:t>
      </w:r>
      <w:r w:rsidR="006B74B8">
        <w:t>RBs (</w:t>
      </w:r>
      <w:r>
        <w:t>frequency resources</w:t>
      </w:r>
      <w:r w:rsidR="006B74B8">
        <w:t>)</w:t>
      </w:r>
      <w:r>
        <w:t xml:space="preserve"> of guard band</w:t>
      </w:r>
      <w:r w:rsidR="002E7753">
        <w:t xml:space="preserve"> implicitly</w:t>
      </w:r>
      <w:r>
        <w:t xml:space="preserve">. </w:t>
      </w:r>
    </w:p>
    <w:p w:rsidR="00AB1FFA" w:rsidRDefault="00AB1FFA" w:rsidP="00AB1FFA">
      <w:pPr>
        <w:rPr>
          <w:b/>
          <w:i/>
        </w:rPr>
      </w:pPr>
      <w:r w:rsidRPr="002B0799">
        <w:rPr>
          <w:b/>
          <w:i/>
        </w:rPr>
        <w:t>Observation</w:t>
      </w:r>
      <w:r w:rsidR="00E56515">
        <w:rPr>
          <w:b/>
          <w:i/>
        </w:rPr>
        <w:t xml:space="preserve"> 1</w:t>
      </w:r>
      <w:r w:rsidRPr="002B0799">
        <w:rPr>
          <w:b/>
          <w:i/>
        </w:rPr>
        <w:t xml:space="preserve">: Re-using the existing configuration of conventional TDD </w:t>
      </w:r>
      <w:r>
        <w:rPr>
          <w:b/>
          <w:i/>
        </w:rPr>
        <w:t xml:space="preserve">for SBFD configuration may requires; </w:t>
      </w:r>
    </w:p>
    <w:p w:rsidR="00AB1FFA" w:rsidRPr="005508C1" w:rsidRDefault="00AB1FFA" w:rsidP="00AB1FFA">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To include an explicit configuration of NRofUplinkRBs,</w:t>
      </w:r>
      <w:r w:rsidR="00975E86">
        <w:rPr>
          <w:rFonts w:ascii="Times New Roman" w:hAnsi="Times New Roman"/>
          <w:b/>
          <w:i/>
          <w:sz w:val="22"/>
          <w:szCs w:val="22"/>
        </w:rPr>
        <w:t xml:space="preserve"> and</w:t>
      </w:r>
      <w:r w:rsidRPr="005508C1">
        <w:rPr>
          <w:rFonts w:ascii="Times New Roman" w:hAnsi="Times New Roman"/>
          <w:b/>
          <w:i/>
          <w:sz w:val="22"/>
          <w:szCs w:val="22"/>
        </w:rPr>
        <w:t xml:space="preserve"> startingofUplinkRBs for UL sub-band in DL or flexible slots/symbols. </w:t>
      </w:r>
    </w:p>
    <w:p w:rsidR="00AB1FFA" w:rsidRDefault="00AB1FFA" w:rsidP="00AB1FFA">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To include an explicit configuration of NRofDownlinkRBs</w:t>
      </w:r>
      <w:r w:rsidR="00975E86">
        <w:rPr>
          <w:rFonts w:ascii="Times New Roman" w:hAnsi="Times New Roman"/>
          <w:b/>
          <w:i/>
          <w:sz w:val="22"/>
          <w:szCs w:val="22"/>
        </w:rPr>
        <w:t xml:space="preserve">, and startingofDownlinkRBs </w:t>
      </w:r>
      <w:r w:rsidRPr="005508C1">
        <w:rPr>
          <w:rFonts w:ascii="Times New Roman" w:hAnsi="Times New Roman"/>
          <w:b/>
          <w:i/>
          <w:sz w:val="22"/>
          <w:szCs w:val="22"/>
        </w:rPr>
        <w:t xml:space="preserve">for DL sub-band in UL or flexible slots/symbols. </w:t>
      </w:r>
    </w:p>
    <w:p w:rsidR="003139AD" w:rsidRPr="00AB1FFA" w:rsidRDefault="003139AD" w:rsidP="003139AD">
      <w:pPr>
        <w:pStyle w:val="ListParagraph"/>
        <w:ind w:left="720" w:firstLine="0"/>
        <w:rPr>
          <w:rFonts w:ascii="Times New Roman" w:hAnsi="Times New Roman"/>
          <w:b/>
          <w:i/>
          <w:sz w:val="22"/>
          <w:szCs w:val="22"/>
        </w:rPr>
      </w:pPr>
    </w:p>
    <w:p w:rsidR="00AB1FFA" w:rsidRPr="003139AD" w:rsidRDefault="003139AD" w:rsidP="003139AD">
      <w:pPr>
        <w:pStyle w:val="Heading4"/>
        <w:numPr>
          <w:ilvl w:val="0"/>
          <w:numId w:val="0"/>
        </w:numPr>
        <w:tabs>
          <w:tab w:val="clear" w:pos="864"/>
        </w:tabs>
        <w:ind w:left="720"/>
      </w:pPr>
      <w:r>
        <w:t xml:space="preserve">2.2.2 </w:t>
      </w:r>
      <w:r w:rsidR="00AB1FFA" w:rsidRPr="003139AD">
        <w:t>Static Configuration and dynamic indication and activation de-activation of sub-bands</w:t>
      </w:r>
    </w:p>
    <w:p w:rsidR="00AB1FFA" w:rsidRPr="00FD1B33" w:rsidRDefault="00AB1FFA" w:rsidP="00AB1FFA">
      <w:pPr>
        <w:rPr>
          <w:shd w:val="clear" w:color="auto" w:fill="FFFFFF"/>
          <w:lang w:val="fi-FI"/>
        </w:rPr>
      </w:pPr>
      <w:r>
        <w:rPr>
          <w:shd w:val="clear" w:color="auto" w:fill="FFFFFF"/>
        </w:rPr>
        <w:t xml:space="preserve">Re-using the existing conventional TDD configuration for SBFD operation may increase the higher layer signaling, and the gNB complexity in handling of collision between SSB and UL sub-bands transmission or PRACH occasion and DL sub-band transmission at the same time slots/symbols. In order to solve these issues, </w:t>
      </w:r>
      <w:r w:rsidRPr="00585F8C">
        <w:rPr>
          <w:lang w:val="fi-FI"/>
        </w:rPr>
        <w:t>a</w:t>
      </w:r>
      <w:r>
        <w:rPr>
          <w:lang w:val="fi-FI"/>
        </w:rPr>
        <w:t xml:space="preserve">n alternative method of SBFD configuration to </w:t>
      </w:r>
      <w:r>
        <w:rPr>
          <w:lang w:eastAsia="ko-KR"/>
        </w:rPr>
        <w:t xml:space="preserve">inform one or more UEs about </w:t>
      </w:r>
      <w:r w:rsidRPr="00585F8C">
        <w:rPr>
          <w:lang w:eastAsia="ko-KR"/>
        </w:rPr>
        <w:t>the time and/or frequ</w:t>
      </w:r>
      <w:r>
        <w:rPr>
          <w:lang w:eastAsia="ko-KR"/>
        </w:rPr>
        <w:t>ency location of sub-</w:t>
      </w:r>
      <w:r w:rsidRPr="00585F8C">
        <w:rPr>
          <w:lang w:eastAsia="ko-KR"/>
        </w:rPr>
        <w:t>bands</w:t>
      </w:r>
      <w:r>
        <w:rPr>
          <w:lang w:eastAsia="ko-KR"/>
        </w:rPr>
        <w:t xml:space="preserve"> can be define</w:t>
      </w:r>
      <w:r>
        <w:rPr>
          <w:lang w:val="fi-FI"/>
        </w:rPr>
        <w:t>. In this method, the</w:t>
      </w:r>
      <w:r w:rsidRPr="00585F8C">
        <w:rPr>
          <w:lang w:val="fi-FI"/>
        </w:rPr>
        <w:t xml:space="preserve"> </w:t>
      </w:r>
      <w:r>
        <w:rPr>
          <w:lang w:val="fi-FI"/>
        </w:rPr>
        <w:t xml:space="preserve">network/gNB would use higher </w:t>
      </w:r>
      <w:r w:rsidRPr="00585F8C">
        <w:rPr>
          <w:lang w:val="fi-FI"/>
        </w:rPr>
        <w:t>layer</w:t>
      </w:r>
      <w:r>
        <w:rPr>
          <w:lang w:val="fi-FI"/>
        </w:rPr>
        <w:t xml:space="preserve"> RRC static configuration to configure the time/frequency </w:t>
      </w:r>
      <w:r w:rsidRPr="00585F8C">
        <w:rPr>
          <w:lang w:val="fi-FI"/>
        </w:rPr>
        <w:t>location</w:t>
      </w:r>
      <w:r>
        <w:rPr>
          <w:lang w:val="fi-FI"/>
        </w:rPr>
        <w:t xml:space="preserve"> and bandwidths</w:t>
      </w:r>
      <w:r w:rsidRPr="00585F8C">
        <w:rPr>
          <w:lang w:val="fi-FI"/>
        </w:rPr>
        <w:t xml:space="preserve"> of </w:t>
      </w:r>
      <w:r>
        <w:rPr>
          <w:lang w:val="fi-FI"/>
        </w:rPr>
        <w:t xml:space="preserve">a pool or numbers of </w:t>
      </w:r>
      <w:r w:rsidRPr="00585F8C">
        <w:rPr>
          <w:lang w:val="fi-FI"/>
        </w:rPr>
        <w:t>sub-band</w:t>
      </w:r>
      <w:r>
        <w:rPr>
          <w:lang w:val="fi-FI"/>
        </w:rPr>
        <w:t>s</w:t>
      </w:r>
      <w:r w:rsidRPr="00585F8C">
        <w:rPr>
          <w:lang w:val="fi-FI"/>
        </w:rPr>
        <w:t xml:space="preserve"> </w:t>
      </w:r>
      <w:r>
        <w:rPr>
          <w:lang w:val="fi-FI"/>
        </w:rPr>
        <w:t>to all SBFD UEs in a cell, and the network/gNB would further use phsycial layer signaling i.e. DCI or MAC layer signaling i.e. MAC CE to indicate the DL/UL sub-bands, and activate/de-activate the DL/</w:t>
      </w:r>
      <w:r w:rsidRPr="002F6300">
        <w:rPr>
          <w:lang w:val="fi-FI"/>
        </w:rPr>
        <w:t xml:space="preserve">UL sub-bands to one or more UEs in a cell. </w:t>
      </w:r>
      <w:r>
        <w:rPr>
          <w:lang w:val="fi-FI"/>
        </w:rPr>
        <w:t xml:space="preserve">This configuraion and indcation </w:t>
      </w:r>
      <w:r w:rsidRPr="002F6300">
        <w:rPr>
          <w:lang w:val="fi-FI"/>
        </w:rPr>
        <w:t xml:space="preserve">method </w:t>
      </w:r>
      <w:r>
        <w:rPr>
          <w:lang w:val="fi-FI"/>
        </w:rPr>
        <w:t xml:space="preserve">may </w:t>
      </w:r>
      <w:r w:rsidRPr="002F6300">
        <w:rPr>
          <w:lang w:val="fi-FI"/>
        </w:rPr>
        <w:t xml:space="preserve">simplify the higher layer configuration for SBFD operation, reduce the higher layer signaling overhead, and make the SBFD </w:t>
      </w:r>
      <w:r>
        <w:rPr>
          <w:lang w:val="fi-FI"/>
        </w:rPr>
        <w:t xml:space="preserve">operation </w:t>
      </w:r>
      <w:r w:rsidRPr="002F6300">
        <w:rPr>
          <w:lang w:val="fi-FI"/>
        </w:rPr>
        <w:t>more flexible</w:t>
      </w:r>
      <w:r>
        <w:rPr>
          <w:lang w:val="fi-FI"/>
        </w:rPr>
        <w:t xml:space="preserve"> especially in handling the collision of SSB and UL sub-band tranmission at the same time slots/symbols</w:t>
      </w:r>
      <w:r w:rsidRPr="002F6300">
        <w:rPr>
          <w:lang w:val="fi-FI"/>
        </w:rPr>
        <w:t>.</w:t>
      </w:r>
      <w:r>
        <w:rPr>
          <w:lang w:val="fi-FI"/>
        </w:rPr>
        <w:t xml:space="preserve"> </w:t>
      </w:r>
    </w:p>
    <w:p w:rsidR="00AB1FFA" w:rsidRDefault="00AB1FFA" w:rsidP="00AB1FFA">
      <w:pPr>
        <w:rPr>
          <w:b/>
          <w:i/>
          <w:lang w:val="fi-FI"/>
        </w:rPr>
      </w:pPr>
      <w:r w:rsidRPr="00183A5C">
        <w:rPr>
          <w:b/>
          <w:i/>
          <w:lang w:val="fi-FI"/>
        </w:rPr>
        <w:t>Observation</w:t>
      </w:r>
      <w:r w:rsidR="00E56515">
        <w:rPr>
          <w:b/>
          <w:i/>
          <w:lang w:val="fi-FI"/>
        </w:rPr>
        <w:t xml:space="preserve"> 2</w:t>
      </w:r>
      <w:r w:rsidRPr="00183A5C">
        <w:rPr>
          <w:b/>
          <w:i/>
          <w:lang w:val="fi-FI"/>
        </w:rPr>
        <w:t>: Re-using the existing conventional TDD configuration for SBFD</w:t>
      </w:r>
      <w:r>
        <w:rPr>
          <w:b/>
          <w:i/>
          <w:lang w:val="fi-FI"/>
        </w:rPr>
        <w:t xml:space="preserve"> </w:t>
      </w:r>
      <w:r w:rsidRPr="00183A5C">
        <w:rPr>
          <w:b/>
          <w:i/>
          <w:lang w:val="fi-FI"/>
        </w:rPr>
        <w:t xml:space="preserve">operation may </w:t>
      </w:r>
      <w:r>
        <w:rPr>
          <w:b/>
          <w:i/>
          <w:lang w:val="fi-FI"/>
        </w:rPr>
        <w:t xml:space="preserve">encounter the following issues </w:t>
      </w:r>
    </w:p>
    <w:p w:rsidR="00AB1FFA" w:rsidRPr="00183A5C" w:rsidRDefault="00AB1FFA" w:rsidP="00AB1FFA">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 xml:space="preserve">Increas the higher layer singlaings </w:t>
      </w:r>
    </w:p>
    <w:p w:rsidR="00AB1FFA" w:rsidRDefault="00AB1FFA" w:rsidP="00AB1FFA">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Increase the gNB complexity in handling of collisin btween SSB and UL sub-band tranmission</w:t>
      </w:r>
    </w:p>
    <w:p w:rsidR="00AB1FFA" w:rsidRDefault="00E56515" w:rsidP="00AB1FFA">
      <w:pPr>
        <w:rPr>
          <w:b/>
          <w:i/>
          <w:lang w:val="fi-FI"/>
        </w:rPr>
      </w:pPr>
      <w:r>
        <w:rPr>
          <w:b/>
          <w:i/>
          <w:lang w:val="fi-FI"/>
        </w:rPr>
        <w:t>Observation 3</w:t>
      </w:r>
      <w:r w:rsidR="00AB1FFA">
        <w:rPr>
          <w:b/>
          <w:i/>
          <w:lang w:val="fi-FI"/>
        </w:rPr>
        <w:t xml:space="preserve">: Static configuration and dynamic indication and activation/de-activation of DL/UL sub-bands to the UE may </w:t>
      </w:r>
    </w:p>
    <w:p w:rsidR="00AB1FFA" w:rsidRPr="00F30B9F" w:rsidRDefault="00AB1FFA" w:rsidP="00AB1FFA">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Reduce the higher layer signlaing </w:t>
      </w:r>
    </w:p>
    <w:p w:rsidR="00AB1FFA" w:rsidRDefault="00AB1FFA" w:rsidP="00AB1FFA">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Increase the flexibility of gNB to handle the collision of SSB and UL sub-band trasnmission </w:t>
      </w:r>
    </w:p>
    <w:p w:rsidR="00AB1FFA" w:rsidRPr="00F30B9F" w:rsidRDefault="00AB1FFA" w:rsidP="00C3321F">
      <w:pPr>
        <w:pStyle w:val="ListParagraph"/>
        <w:ind w:left="720" w:firstLine="0"/>
        <w:rPr>
          <w:rFonts w:ascii="Times New Roman" w:hAnsi="Times New Roman"/>
          <w:b/>
          <w:i/>
          <w:sz w:val="22"/>
          <w:szCs w:val="22"/>
          <w:lang w:val="fi-FI"/>
        </w:rPr>
      </w:pPr>
    </w:p>
    <w:p w:rsidR="00AB1FFA" w:rsidRPr="00E56515" w:rsidRDefault="00AB1FFA" w:rsidP="00613A98">
      <w:pPr>
        <w:rPr>
          <w:b/>
        </w:rPr>
      </w:pPr>
      <w:r w:rsidRPr="001905BB">
        <w:rPr>
          <w:b/>
        </w:rPr>
        <w:t>P</w:t>
      </w:r>
      <w:r w:rsidR="00E56515">
        <w:rPr>
          <w:b/>
        </w:rPr>
        <w:t>roposal 2</w:t>
      </w:r>
      <w:r>
        <w:rPr>
          <w:b/>
        </w:rPr>
        <w:t>: study an alternative method of SBFD configuration, where RRC static configuration can be used to configure a pool of</w:t>
      </w:r>
      <w:r w:rsidRPr="001905BB">
        <w:rPr>
          <w:b/>
        </w:rPr>
        <w:t xml:space="preserve"> sub-bands</w:t>
      </w:r>
      <w:r>
        <w:rPr>
          <w:b/>
        </w:rPr>
        <w:t xml:space="preserve"> to all the SBFD capable UEs in a cell</w:t>
      </w:r>
      <w:r w:rsidRPr="001905BB">
        <w:rPr>
          <w:b/>
        </w:rPr>
        <w:t xml:space="preserve"> and</w:t>
      </w:r>
      <w:r>
        <w:rPr>
          <w:b/>
        </w:rPr>
        <w:t xml:space="preserve"> DCI or MAC CE can be used to indicate </w:t>
      </w:r>
      <w:r w:rsidRPr="001905BB">
        <w:rPr>
          <w:b/>
        </w:rPr>
        <w:t>and</w:t>
      </w:r>
      <w:r>
        <w:rPr>
          <w:b/>
        </w:rPr>
        <w:t xml:space="preserve"> activate/de-activate the DL/UL sub-bands to one or more UEs in a cell</w:t>
      </w:r>
      <w:r w:rsidRPr="001905BB">
        <w:rPr>
          <w:b/>
        </w:rPr>
        <w:t xml:space="preserve">. </w:t>
      </w:r>
    </w:p>
    <w:p w:rsidR="00AB1FFA" w:rsidRPr="00613A98" w:rsidRDefault="00AB1FFA" w:rsidP="00613A98">
      <w:pPr>
        <w:rPr>
          <w:lang w:eastAsia="zh-CN"/>
        </w:rPr>
      </w:pPr>
    </w:p>
    <w:p w:rsidR="00265624" w:rsidRDefault="00265624" w:rsidP="00864483">
      <w:pPr>
        <w:pStyle w:val="Heading2"/>
      </w:pPr>
      <w:r>
        <w:t>Bandwidth</w:t>
      </w:r>
      <w:r w:rsidR="0014357D">
        <w:t xml:space="preserve"> and number</w:t>
      </w:r>
      <w:r w:rsidR="00DC40EC">
        <w:t>s</w:t>
      </w:r>
      <w:r>
        <w:t xml:space="preserve"> of sub-bands </w:t>
      </w:r>
    </w:p>
    <w:p w:rsidR="00735504" w:rsidRDefault="00735504" w:rsidP="00CB29F4">
      <w:r w:rsidRPr="0076679C">
        <w:t xml:space="preserve">The </w:t>
      </w:r>
      <w:r>
        <w:t xml:space="preserve">bandwidth of a sub-band </w:t>
      </w:r>
      <w:r w:rsidR="004173F2">
        <w:t>may depend</w:t>
      </w:r>
      <w:r w:rsidR="00870C98">
        <w:t>s</w:t>
      </w:r>
      <w:r>
        <w:t xml:space="preserve"> on several physical resources of the current NR specification, such as the channel bandwidth of a TDD band for each sub carrier spacing (SCS) in which</w:t>
      </w:r>
      <w:r w:rsidR="00D01DDD">
        <w:t xml:space="preserve"> the sub-bands are located</w:t>
      </w:r>
      <w:r>
        <w:t>,</w:t>
      </w:r>
      <w:r w:rsidR="00D01DDD">
        <w:t xml:space="preserve"> the</w:t>
      </w:r>
      <w:r>
        <w:t xml:space="preserve"> number of sub-bands in a TDD band, </w:t>
      </w:r>
      <w:r w:rsidR="00D01DDD">
        <w:t xml:space="preserve">the </w:t>
      </w:r>
      <w:r>
        <w:t xml:space="preserve">bandwidth of Guard bands </w:t>
      </w:r>
      <w:r w:rsidR="00DC40EC">
        <w:t xml:space="preserve">between the </w:t>
      </w:r>
      <w:r>
        <w:t>sub-band</w:t>
      </w:r>
      <w:r w:rsidR="00DC40EC">
        <w:t>s</w:t>
      </w:r>
      <w:r>
        <w:t xml:space="preserve">, and the number of guard bands. </w:t>
      </w:r>
      <w:r w:rsidR="00845542">
        <w:t xml:space="preserve">Taking </w:t>
      </w:r>
      <w:r w:rsidR="00870C98">
        <w:t xml:space="preserve">all the aforementioned parameters </w:t>
      </w:r>
      <w:r w:rsidR="00845542">
        <w:t xml:space="preserve">into account, </w:t>
      </w:r>
      <w:r w:rsidR="003B7D39">
        <w:t>it may</w:t>
      </w:r>
      <w:r w:rsidR="00F9482A">
        <w:t xml:space="preserve"> be more feasible</w:t>
      </w:r>
      <w:r w:rsidR="003B7D39">
        <w:t xml:space="preserve"> to consider </w:t>
      </w:r>
      <w:r w:rsidR="00845542">
        <w:t xml:space="preserve">a </w:t>
      </w:r>
      <w:r>
        <w:t>configurable bandwidth</w:t>
      </w:r>
      <w:r w:rsidR="00E4318A">
        <w:t xml:space="preserve"> for</w:t>
      </w:r>
      <w:r w:rsidR="00F9482A">
        <w:t xml:space="preserve"> a sub-band</w:t>
      </w:r>
      <w:r w:rsidR="004158D1">
        <w:t xml:space="preserve"> which can be calculated according to</w:t>
      </w:r>
      <w:r w:rsidR="00870C98">
        <w:t xml:space="preserve"> the following equation</w:t>
      </w:r>
      <w:r w:rsidR="0077543A">
        <w:t xml:space="preserve">. </w:t>
      </w:r>
    </w:p>
    <w:p w:rsidR="00845542" w:rsidRPr="004368DC" w:rsidRDefault="00845542" w:rsidP="004158D1">
      <w:pPr>
        <w:jc w:val="center"/>
      </w:pPr>
      <m:oMath>
        <m:r>
          <w:rPr>
            <w:rFonts w:ascii="Cambria Math" w:hAnsi="Cambria Math"/>
          </w:rPr>
          <m:t>SubBand</m:t>
        </m:r>
        <m:d>
          <m:dPr>
            <m:ctrlPr>
              <w:rPr>
                <w:rFonts w:ascii="Cambria Math" w:hAnsi="Cambria Math"/>
                <w:i/>
              </w:rPr>
            </m:ctrlPr>
          </m:dPr>
          <m:e>
            <m:r>
              <w:rPr>
                <w:rFonts w:ascii="Cambria Math" w:hAnsi="Cambria Math"/>
              </w:rPr>
              <m:t>BW</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 xml:space="preserve"> TDD Channel BW –(k× GB(subband))</m:t>
                    </m:r>
                  </m:e>
                </m:d>
              </m:num>
              <m:den>
                <m:r>
                  <w:rPr>
                    <w:rFonts w:ascii="Cambria Math" w:hAnsi="Cambria Math"/>
                  </w:rPr>
                  <m:t>n</m:t>
                </m:r>
              </m:den>
            </m:f>
          </m:e>
        </m:d>
      </m:oMath>
      <w:r w:rsidR="004158D1">
        <w:t xml:space="preserve">            </w:t>
      </w:r>
    </w:p>
    <w:p w:rsidR="00845542" w:rsidRPr="004368DC" w:rsidRDefault="00845542" w:rsidP="00845542">
      <w:r w:rsidRPr="004368DC">
        <w:t xml:space="preserve">Where </w:t>
      </w:r>
    </w:p>
    <w:p w:rsidR="00845542" w:rsidRDefault="00845542" w:rsidP="00845542">
      <m:oMath>
        <m:r>
          <w:rPr>
            <w:rFonts w:ascii="Cambria Math" w:hAnsi="Cambria Math"/>
          </w:rPr>
          <m:t>TDD</m:t>
        </m:r>
        <m:r>
          <m:rPr>
            <m:sty m:val="p"/>
          </m:rPr>
          <w:rPr>
            <w:rFonts w:ascii="Cambria Math" w:hAnsi="Cambria Math"/>
          </w:rPr>
          <m:t xml:space="preserve"> </m:t>
        </m:r>
        <m:r>
          <w:rPr>
            <w:rFonts w:ascii="Cambria Math" w:hAnsi="Cambria Math"/>
          </w:rPr>
          <m:t>Channel</m:t>
        </m:r>
        <m:r>
          <m:rPr>
            <m:sty m:val="p"/>
          </m:rPr>
          <w:rPr>
            <w:rFonts w:ascii="Cambria Math" w:hAnsi="Cambria Math"/>
          </w:rPr>
          <m:t xml:space="preserve"> </m:t>
        </m:r>
        <m:r>
          <w:rPr>
            <w:rFonts w:ascii="Cambria Math" w:hAnsi="Cambria Math"/>
          </w:rPr>
          <m:t>BW</m:t>
        </m:r>
      </m:oMath>
      <w:r w:rsidRPr="004368DC">
        <w:t xml:space="preserve"> is the NR TDD band channels Bandwidth in which sub-bands are configured, as define in [TS 38.104 clause 5.3.5 Table [5.3.5-1]] for each SCS in FR1 and FR2</w:t>
      </w:r>
    </w:p>
    <w:p w:rsidR="00845542" w:rsidRDefault="00845542" w:rsidP="00845542">
      <m:oMath>
        <m:r>
          <w:rPr>
            <w:rFonts w:ascii="Cambria Math" w:hAnsi="Cambria Math"/>
          </w:rPr>
          <m:t>K</m:t>
        </m:r>
      </m:oMath>
      <w:r>
        <w:t xml:space="preserve"> is the numbers of Guard bands </w:t>
      </w:r>
    </w:p>
    <w:p w:rsidR="00845542" w:rsidRDefault="00845542" w:rsidP="00845542">
      <m:oMath>
        <m:r>
          <w:rPr>
            <w:rFonts w:ascii="Cambria Math" w:hAnsi="Cambria Math"/>
          </w:rPr>
          <m:t>GB</m:t>
        </m:r>
        <m:r>
          <m:rPr>
            <m:sty m:val="p"/>
          </m:rPr>
          <w:rPr>
            <w:rFonts w:ascii="Cambria Math" w:hAnsi="Cambria Math"/>
          </w:rPr>
          <m:t xml:space="preserve"> (</m:t>
        </m:r>
        <m:r>
          <w:rPr>
            <w:rFonts w:ascii="Cambria Math" w:hAnsi="Cambria Math"/>
          </w:rPr>
          <m:t>subband</m:t>
        </m:r>
        <m:r>
          <m:rPr>
            <m:sty m:val="p"/>
          </m:rPr>
          <w:rPr>
            <w:rFonts w:ascii="Cambria Math" w:hAnsi="Cambria Math"/>
          </w:rPr>
          <m:t>)</m:t>
        </m:r>
      </m:oMath>
      <w:r w:rsidR="00870C98">
        <w:t xml:space="preserve"> </w:t>
      </w:r>
      <w:r w:rsidR="00843507">
        <w:t>Represents</w:t>
      </w:r>
      <w:r>
        <w:t xml:space="preserve"> the bandwidth of Guard bands defined for sub-bands</w:t>
      </w:r>
    </w:p>
    <w:p w:rsidR="00845542" w:rsidRDefault="00845542" w:rsidP="00CB29F4">
      <m:oMath>
        <m:r>
          <w:rPr>
            <w:rFonts w:ascii="Cambria Math" w:hAnsi="Cambria Math"/>
          </w:rPr>
          <m:t>n</m:t>
        </m:r>
      </m:oMath>
      <w:r w:rsidR="00870C98">
        <w:t xml:space="preserve"> i</w:t>
      </w:r>
      <w:r w:rsidRPr="003C4955">
        <w:t xml:space="preserve">s the total number of sub-bands in a conventional TDD bands </w:t>
      </w:r>
    </w:p>
    <w:p w:rsidR="00735504" w:rsidRDefault="0014357D" w:rsidP="00735504">
      <w:r w:rsidRPr="0014357D">
        <w:t xml:space="preserve">Regarding the number of sub-bands in a TDD </w:t>
      </w:r>
      <w:r w:rsidR="000A4292" w:rsidRPr="0014357D">
        <w:t>band,</w:t>
      </w:r>
      <w:r w:rsidRPr="0014357D">
        <w:t xml:space="preserve"> </w:t>
      </w:r>
      <w:r w:rsidR="00735504">
        <w:t>a configurable number</w:t>
      </w:r>
      <w:r w:rsidR="00F9482A">
        <w:t>s</w:t>
      </w:r>
      <w:r w:rsidR="00735504">
        <w:t xml:space="preserve"> of sub-band</w:t>
      </w:r>
      <w:r w:rsidR="00F9482A">
        <w:t>s</w:t>
      </w:r>
      <w:r>
        <w:t xml:space="preserve"> </w:t>
      </w:r>
      <w:r w:rsidR="00CB29F4">
        <w:t xml:space="preserve">with a defined </w:t>
      </w:r>
      <w:r w:rsidR="00735504">
        <w:t>minimum and maximum</w:t>
      </w:r>
      <w:r w:rsidR="00870C98">
        <w:t xml:space="preserve"> number’s</w:t>
      </w:r>
      <w:r w:rsidR="00735504">
        <w:t xml:space="preserve"> range of sub-bands in a TDD band</w:t>
      </w:r>
      <w:r w:rsidR="00870C98">
        <w:t xml:space="preserve"> can be consider</w:t>
      </w:r>
      <w:r w:rsidR="00735504">
        <w:t xml:space="preserve">. </w:t>
      </w:r>
      <w:r w:rsidR="00735504" w:rsidRPr="004368DC">
        <w:t xml:space="preserve">For minimum </w:t>
      </w:r>
      <w:r w:rsidR="00CB29F4">
        <w:t>number</w:t>
      </w:r>
      <w:r w:rsidR="00591688">
        <w:t xml:space="preserve"> of</w:t>
      </w:r>
      <w:r w:rsidR="00CB29F4">
        <w:t xml:space="preserve"> </w:t>
      </w:r>
      <w:r w:rsidR="00735504" w:rsidRPr="004368DC">
        <w:t xml:space="preserve">sub-bands </w:t>
      </w:r>
      <w:r w:rsidR="00F9482A">
        <w:t>with</w:t>
      </w:r>
      <w:r w:rsidR="00CB29F4">
        <w:t xml:space="preserve">in a TDD band, </w:t>
      </w:r>
      <w:r w:rsidR="00735504" w:rsidRPr="004368DC">
        <w:t xml:space="preserve">it is a matter of common understanding </w:t>
      </w:r>
      <w:r w:rsidRPr="004368DC">
        <w:t>that,</w:t>
      </w:r>
      <w:r w:rsidR="00735504" w:rsidRPr="004368DC">
        <w:t xml:space="preserve"> at-least 2 s</w:t>
      </w:r>
      <w:r w:rsidR="00870C98">
        <w:t>ub-bands are necessary to consider</w:t>
      </w:r>
      <w:r w:rsidR="00735504">
        <w:t>, where one of the sub-band in DL, UL or flexible slot</w:t>
      </w:r>
      <w:r w:rsidR="00591688">
        <w:t>s/symbols</w:t>
      </w:r>
      <w:r w:rsidR="00735504">
        <w:t xml:space="preserve"> can be </w:t>
      </w:r>
      <w:r w:rsidR="00591688">
        <w:t xml:space="preserve">used </w:t>
      </w:r>
      <w:r w:rsidR="00735504">
        <w:t>in opposite transmission direction. For maximum number of a sub-band</w:t>
      </w:r>
      <w:r w:rsidR="00591688">
        <w:t xml:space="preserve"> within a TDD band</w:t>
      </w:r>
      <w:r w:rsidR="00735504">
        <w:t xml:space="preserve">, </w:t>
      </w:r>
      <w:r w:rsidR="006B3A29">
        <w:t xml:space="preserve">a maximum limit </w:t>
      </w:r>
      <w:r w:rsidR="00870C98">
        <w:t xml:space="preserve">of </w:t>
      </w:r>
      <w:r w:rsidR="00A45EE4">
        <w:t>3 sub-bands within a TDD band can be considered</w:t>
      </w:r>
      <w:r w:rsidR="006B3A29">
        <w:t xml:space="preserve">. </w:t>
      </w:r>
      <w:r w:rsidR="00591688">
        <w:t xml:space="preserve"> </w:t>
      </w:r>
    </w:p>
    <w:p w:rsidR="00495F26" w:rsidRDefault="00CB29F4" w:rsidP="00735504">
      <w:pPr>
        <w:rPr>
          <w:b/>
        </w:rPr>
      </w:pPr>
      <w:r w:rsidRPr="00CB29F4">
        <w:rPr>
          <w:b/>
        </w:rPr>
        <w:t>Proposal</w:t>
      </w:r>
      <w:r w:rsidR="00E56515">
        <w:rPr>
          <w:b/>
        </w:rPr>
        <w:t xml:space="preserve"> 3</w:t>
      </w:r>
      <w:r w:rsidRPr="00CB29F4">
        <w:rPr>
          <w:b/>
        </w:rPr>
        <w:t xml:space="preserve">: </w:t>
      </w:r>
      <w:r w:rsidR="00E35F53">
        <w:rPr>
          <w:b/>
        </w:rPr>
        <w:t>Consider</w:t>
      </w:r>
      <w:r w:rsidR="003B7D39">
        <w:rPr>
          <w:b/>
        </w:rPr>
        <w:t xml:space="preserve"> a </w:t>
      </w:r>
      <w:r w:rsidRPr="00CB29F4">
        <w:rPr>
          <w:b/>
        </w:rPr>
        <w:t xml:space="preserve">configurable bandwidth </w:t>
      </w:r>
      <w:r w:rsidR="00495F26">
        <w:rPr>
          <w:b/>
        </w:rPr>
        <w:t xml:space="preserve">of DL and UL sub-bands. </w:t>
      </w:r>
    </w:p>
    <w:p w:rsidR="00735504" w:rsidRPr="00CB29F4" w:rsidRDefault="00E56515" w:rsidP="00735504">
      <w:pPr>
        <w:rPr>
          <w:b/>
        </w:rPr>
      </w:pPr>
      <w:r>
        <w:rPr>
          <w:b/>
        </w:rPr>
        <w:t>Proposal 4</w:t>
      </w:r>
      <w:r w:rsidR="00495F26">
        <w:rPr>
          <w:b/>
        </w:rPr>
        <w:t xml:space="preserve">: </w:t>
      </w:r>
      <w:r w:rsidR="007628D8">
        <w:rPr>
          <w:b/>
        </w:rPr>
        <w:t>Consider a minimum numbers of subbands as 2 and a maximum numbers of</w:t>
      </w:r>
      <w:r w:rsidR="00656EF8">
        <w:rPr>
          <w:b/>
        </w:rPr>
        <w:t xml:space="preserve"> </w:t>
      </w:r>
      <w:r w:rsidR="007628D8">
        <w:rPr>
          <w:b/>
        </w:rPr>
        <w:t>subbands</w:t>
      </w:r>
      <w:r w:rsidR="00656EF8">
        <w:rPr>
          <w:b/>
        </w:rPr>
        <w:t xml:space="preserve"> as 3,</w:t>
      </w:r>
      <w:r w:rsidR="007628D8">
        <w:rPr>
          <w:b/>
        </w:rPr>
        <w:t xml:space="preserve"> </w:t>
      </w:r>
      <w:r w:rsidR="00CB29F4" w:rsidRPr="00CB29F4">
        <w:rPr>
          <w:b/>
        </w:rPr>
        <w:t xml:space="preserve">within a TDD </w:t>
      </w:r>
      <w:r w:rsidR="00736076" w:rsidRPr="00CB29F4">
        <w:rPr>
          <w:b/>
        </w:rPr>
        <w:t>band</w:t>
      </w:r>
      <w:r w:rsidR="00736076">
        <w:rPr>
          <w:b/>
        </w:rPr>
        <w:t xml:space="preserve">. </w:t>
      </w:r>
    </w:p>
    <w:p w:rsidR="00864483" w:rsidRDefault="00265624" w:rsidP="00864483">
      <w:pPr>
        <w:pStyle w:val="Heading2"/>
      </w:pPr>
      <w:r>
        <w:t>Allocation of time/frequency resources to DL/UL sub-bands</w:t>
      </w:r>
      <w:r w:rsidR="00864483">
        <w:t xml:space="preserve"> </w:t>
      </w:r>
    </w:p>
    <w:p w:rsidR="00735504" w:rsidRDefault="000A4292" w:rsidP="00735504">
      <w:r>
        <w:t xml:space="preserve">Regarding </w:t>
      </w:r>
      <w:r w:rsidR="00870522">
        <w:t xml:space="preserve">the </w:t>
      </w:r>
      <w:r>
        <w:t>frequency resources allocations to the DL/UL sub-bands</w:t>
      </w:r>
      <w:r w:rsidR="001905BB">
        <w:t xml:space="preserve">, </w:t>
      </w:r>
      <w:r w:rsidR="00870522">
        <w:t>there are two possible options. In option 1, the</w:t>
      </w:r>
      <w:r>
        <w:t xml:space="preserve"> inner part of the carrier</w:t>
      </w:r>
      <w:r w:rsidR="00782CEF">
        <w:t>s</w:t>
      </w:r>
      <w:r w:rsidR="00AD418B">
        <w:t xml:space="preserve"> of a TDD</w:t>
      </w:r>
      <w:r>
        <w:t xml:space="preserve"> </w:t>
      </w:r>
      <w:r w:rsidR="00CF1EEA">
        <w:t xml:space="preserve">can be allocated </w:t>
      </w:r>
      <w:r>
        <w:t xml:space="preserve">for an opposite </w:t>
      </w:r>
      <w:r w:rsidR="00AD418B">
        <w:t>direction sub-band</w:t>
      </w:r>
      <w:r w:rsidR="00870522">
        <w:t xml:space="preserve">. </w:t>
      </w:r>
      <w:r>
        <w:t>For instance</w:t>
      </w:r>
      <w:r w:rsidR="00E7694C">
        <w:t>, the</w:t>
      </w:r>
      <w:r w:rsidR="00735504">
        <w:t xml:space="preserve"> frequency location of an </w:t>
      </w:r>
      <w:r w:rsidR="00735504" w:rsidRPr="004368DC">
        <w:t>UL sub-band in DL slots/</w:t>
      </w:r>
      <w:r w:rsidR="00735504">
        <w:t xml:space="preserve">symbols </w:t>
      </w:r>
      <w:r w:rsidR="00AD418B">
        <w:t xml:space="preserve">may </w:t>
      </w:r>
      <w:r w:rsidR="001905BB">
        <w:t xml:space="preserve">located </w:t>
      </w:r>
      <w:r w:rsidR="00735504">
        <w:t>in the inner part of carriers or the inner RBs between the two DL sub-bands</w:t>
      </w:r>
      <w:r w:rsidR="00870522">
        <w:t>,</w:t>
      </w:r>
      <w:r w:rsidR="00E7694C">
        <w:t xml:space="preserve"> </w:t>
      </w:r>
      <w:r w:rsidR="00782CEF">
        <w:t>as shown in Figure 1</w:t>
      </w:r>
      <w:r w:rsidR="00AD418B">
        <w:t xml:space="preserve">. Option 1, </w:t>
      </w:r>
      <w:r w:rsidR="00E7694C">
        <w:t xml:space="preserve">have the advantage </w:t>
      </w:r>
      <w:r w:rsidR="00735504">
        <w:t xml:space="preserve">to avoid the CLI from the adjacent </w:t>
      </w:r>
      <w:r w:rsidR="001905BB">
        <w:t>gNBs, which</w:t>
      </w:r>
      <w:r w:rsidR="00735504">
        <w:t xml:space="preserve"> are using the same TDD bands </w:t>
      </w:r>
      <w:r w:rsidR="009C4788">
        <w:t>in different direction</w:t>
      </w:r>
      <w:r w:rsidR="00AD418B">
        <w:t>.</w:t>
      </w:r>
      <w:r w:rsidR="00A419CF">
        <w:t xml:space="preserve"> However</w:t>
      </w:r>
      <w:r w:rsidR="00AD418B">
        <w:t>, option</w:t>
      </w:r>
      <w:r w:rsidR="009C4788">
        <w:t xml:space="preserve"> 1</w:t>
      </w:r>
      <w:r w:rsidR="00E7694C">
        <w:t xml:space="preserve"> require</w:t>
      </w:r>
      <w:r w:rsidR="00870522">
        <w:t>s</w:t>
      </w:r>
      <w:r w:rsidR="00E7694C">
        <w:t xml:space="preserve"> at</w:t>
      </w:r>
      <w:r w:rsidR="00735504">
        <w:t xml:space="preserve"> least three sub-bands and two guard bands in order to allocate the inner sub-band for UL direction</w:t>
      </w:r>
      <w:r w:rsidR="00AD418B">
        <w:t xml:space="preserve"> in DL slots</w:t>
      </w:r>
      <w:r w:rsidR="00735504">
        <w:t>.</w:t>
      </w:r>
      <w:r w:rsidR="00782CEF">
        <w:t xml:space="preserve"> Furthermore, </w:t>
      </w:r>
      <w:r w:rsidR="00870522">
        <w:t xml:space="preserve">option 1 </w:t>
      </w:r>
      <w:r w:rsidR="001905BB">
        <w:t xml:space="preserve">may also increase the gNB </w:t>
      </w:r>
      <w:r w:rsidR="00782CEF">
        <w:t>self-interference</w:t>
      </w:r>
      <w:r w:rsidR="001905BB">
        <w:t xml:space="preserve"> as explained in section 4.1.</w:t>
      </w:r>
    </w:p>
    <w:p w:rsidR="00870522" w:rsidRDefault="00870522" w:rsidP="00870522">
      <w:r>
        <w:t xml:space="preserve">In option 2, </w:t>
      </w:r>
      <w:r w:rsidR="00120982">
        <w:t>t</w:t>
      </w:r>
      <w:r w:rsidR="000A4292">
        <w:t>he frequency location of an UL sub-band</w:t>
      </w:r>
      <w:r>
        <w:t>s</w:t>
      </w:r>
      <w:r w:rsidR="000A4292">
        <w:t xml:space="preserve"> in DL slots/symbols</w:t>
      </w:r>
      <w:r w:rsidR="009C4788">
        <w:t xml:space="preserve"> </w:t>
      </w:r>
      <w:r w:rsidR="00A419CF">
        <w:t xml:space="preserve">are </w:t>
      </w:r>
      <w:r w:rsidR="00AD418B">
        <w:t xml:space="preserve">located </w:t>
      </w:r>
      <w:r w:rsidR="000A4292">
        <w:t>in the edge RBs or the outer carrier of a TDD band</w:t>
      </w:r>
      <w:r w:rsidR="00AA57A7">
        <w:t>, as shown in Figure 2a and 2b</w:t>
      </w:r>
      <w:r w:rsidR="000A4292">
        <w:t>.</w:t>
      </w:r>
      <w:r w:rsidR="00AA57A7">
        <w:t xml:space="preserve"> In </w:t>
      </w:r>
      <w:r w:rsidR="000A4292">
        <w:t>option 2</w:t>
      </w:r>
      <w:r w:rsidR="00AA57A7">
        <w:t>,</w:t>
      </w:r>
      <w:r w:rsidR="000A4292">
        <w:t xml:space="preserve"> it is also possible to consider only two sub-bands in a TDD band</w:t>
      </w:r>
      <w:r>
        <w:t xml:space="preserve"> as shown in Figure 3a and 3b</w:t>
      </w:r>
      <w:r w:rsidR="000A4292">
        <w:t xml:space="preserve">. </w:t>
      </w:r>
      <w:r w:rsidR="009C4788">
        <w:t xml:space="preserve">Option </w:t>
      </w:r>
      <w:r w:rsidRPr="004368DC">
        <w:t xml:space="preserve">2 </w:t>
      </w:r>
      <w:r w:rsidR="009C4788">
        <w:t>have the advantage over option 1,</w:t>
      </w:r>
      <w:r w:rsidR="00AD418B">
        <w:t xml:space="preserve"> in terms of gNB </w:t>
      </w:r>
      <w:r w:rsidR="000E62E2">
        <w:t xml:space="preserve">flexibility </w:t>
      </w:r>
      <w:r w:rsidR="000E62E2" w:rsidRPr="004368DC">
        <w:t>to</w:t>
      </w:r>
      <w:r w:rsidR="000E62E2">
        <w:t xml:space="preserve"> </w:t>
      </w:r>
      <w:r w:rsidRPr="004368DC">
        <w:t xml:space="preserve">define </w:t>
      </w:r>
      <w:r w:rsidR="000E62E2">
        <w:t xml:space="preserve">a flexible </w:t>
      </w:r>
      <w:r w:rsidRPr="004368DC">
        <w:t>number</w:t>
      </w:r>
      <w:r w:rsidR="000E62E2">
        <w:t>s of sub-bands, e.g</w:t>
      </w:r>
      <w:r w:rsidRPr="004368DC">
        <w:t>. either two</w:t>
      </w:r>
      <w:r w:rsidR="000E62E2">
        <w:t xml:space="preserve"> sub-bands</w:t>
      </w:r>
      <w:r w:rsidRPr="004368DC">
        <w:t xml:space="preserve"> or three</w:t>
      </w:r>
      <w:r w:rsidR="000E62E2">
        <w:t xml:space="preserve"> sub-bands</w:t>
      </w:r>
      <w:r w:rsidRPr="004368DC">
        <w:t xml:space="preserve">. In </w:t>
      </w:r>
      <w:r w:rsidR="00AA57A7" w:rsidRPr="004368DC">
        <w:t>addition,</w:t>
      </w:r>
      <w:r w:rsidRPr="004368DC">
        <w:t xml:space="preserve"> in option 2, o</w:t>
      </w:r>
      <w:r w:rsidR="009C4788">
        <w:t>nly one guard band is required</w:t>
      </w:r>
      <w:r w:rsidRPr="004368DC">
        <w:t xml:space="preserve"> to separate the UL </w:t>
      </w:r>
      <w:r w:rsidR="009C4788">
        <w:t>sub-band</w:t>
      </w:r>
      <w:r w:rsidRPr="004368DC">
        <w:t xml:space="preserve"> from</w:t>
      </w:r>
      <w:r w:rsidR="009C4788">
        <w:t xml:space="preserve"> the</w:t>
      </w:r>
      <w:r w:rsidRPr="004368DC">
        <w:t xml:space="preserve"> DL sub-bands, and thus it can efficiently utilize the frequency resources</w:t>
      </w:r>
      <w:r>
        <w:t xml:space="preserve">. </w:t>
      </w:r>
      <w:r w:rsidR="00AA57A7">
        <w:t>Furthermore</w:t>
      </w:r>
      <w:r w:rsidR="009C4788">
        <w:t>,</w:t>
      </w:r>
      <w:r w:rsidR="00AA57A7">
        <w:t xml:space="preserve"> option 2, may also reduce the gNB </w:t>
      </w:r>
      <w:r w:rsidR="00CF1EEA">
        <w:t>self-interference</w:t>
      </w:r>
      <w:r w:rsidR="00AA57A7">
        <w:t xml:space="preserve"> as explained in section 4.1. </w:t>
      </w:r>
    </w:p>
    <w:p w:rsidR="00735504" w:rsidRDefault="00735504" w:rsidP="00735504"/>
    <w:p w:rsidR="00735504" w:rsidRDefault="00CD6D73" w:rsidP="00735504">
      <w:pPr>
        <w:keepNext/>
        <w:jc w:val="center"/>
      </w:pPr>
      <w:r>
        <w:object w:dxaOrig="4780" w:dyaOrig="2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22.5pt" o:ole="">
            <v:imagedata r:id="rId9" o:title=""/>
          </v:shape>
          <o:OLEObject Type="Embed" ProgID="Visio.Drawing.15" ShapeID="_x0000_i1025" DrawAspect="Content" ObjectID="_1726057054" r:id="rId10"/>
        </w:object>
      </w:r>
    </w:p>
    <w:p w:rsidR="00735504" w:rsidRDefault="00735504" w:rsidP="00CD6D73">
      <w:pPr>
        <w:pStyle w:val="Caption"/>
      </w:pPr>
      <w:r>
        <w:t xml:space="preserve">Figure </w:t>
      </w:r>
      <w:r w:rsidR="00BA0034">
        <w:fldChar w:fldCharType="begin"/>
      </w:r>
      <w:r w:rsidR="00BA0034">
        <w:instrText xml:space="preserve"> SEQ Figure \* ARABIC </w:instrText>
      </w:r>
      <w:r w:rsidR="00BA0034">
        <w:fldChar w:fldCharType="separate"/>
      </w:r>
      <w:r>
        <w:rPr>
          <w:noProof/>
        </w:rPr>
        <w:t>1</w:t>
      </w:r>
      <w:r w:rsidR="00BA0034">
        <w:rPr>
          <w:noProof/>
        </w:rPr>
        <w:fldChar w:fldCharType="end"/>
      </w:r>
      <w:r>
        <w:t xml:space="preserve"> UL sub-band in the inner RBs of the DL slots/symbols</w:t>
      </w:r>
    </w:p>
    <w:p w:rsidR="00735504" w:rsidRDefault="00CD6D73" w:rsidP="000733B1">
      <w:pPr>
        <w:keepNext/>
        <w:jc w:val="left"/>
      </w:pPr>
      <w:r>
        <w:object w:dxaOrig="4990" w:dyaOrig="2880">
          <v:shape id="_x0000_i1026" type="#_x0000_t75" style="width:209pt;height:120.5pt" o:ole="">
            <v:imagedata r:id="rId11" o:title=""/>
          </v:shape>
          <o:OLEObject Type="Embed" ProgID="Visio.Drawing.15" ShapeID="_x0000_i1026" DrawAspect="Content" ObjectID="_1726057055" r:id="rId12"/>
        </w:object>
      </w:r>
      <w:r w:rsidRPr="00CD6D73">
        <w:rPr>
          <w:sz w:val="16"/>
          <w:szCs w:val="16"/>
        </w:rPr>
        <w:object w:dxaOrig="4930" w:dyaOrig="2850">
          <v:shape id="_x0000_i1027" type="#_x0000_t75" style="width:211pt;height:122pt" o:ole="">
            <v:imagedata r:id="rId13" o:title=""/>
          </v:shape>
          <o:OLEObject Type="Embed" ProgID="Visio.Drawing.15" ShapeID="_x0000_i1027" DrawAspect="Content" ObjectID="_1726057056" r:id="rId14"/>
        </w:object>
      </w:r>
    </w:p>
    <w:p w:rsidR="00735504" w:rsidRDefault="00735504" w:rsidP="00CD6D73">
      <w:pPr>
        <w:pStyle w:val="Caption"/>
        <w:jc w:val="left"/>
      </w:pPr>
      <w:r>
        <w:t xml:space="preserve">Figure </w:t>
      </w:r>
      <w:r w:rsidR="00BA0034">
        <w:fldChar w:fldCharType="begin"/>
      </w:r>
      <w:r w:rsidR="00BA0034">
        <w:instrText xml:space="preserve"> SEQ Figure \* ARABIC </w:instrText>
      </w:r>
      <w:r w:rsidR="00BA0034">
        <w:fldChar w:fldCharType="separate"/>
      </w:r>
      <w:r>
        <w:rPr>
          <w:noProof/>
        </w:rPr>
        <w:t>2</w:t>
      </w:r>
      <w:r w:rsidR="00BA0034">
        <w:rPr>
          <w:noProof/>
        </w:rPr>
        <w:fldChar w:fldCharType="end"/>
      </w:r>
      <w:r w:rsidR="002024C7">
        <w:t>a</w:t>
      </w:r>
      <w:r>
        <w:t xml:space="preserve"> UL sub-bands in the </w:t>
      </w:r>
      <w:r w:rsidR="00A419CF">
        <w:t xml:space="preserve">upper edge RBs     </w:t>
      </w:r>
      <w:r w:rsidR="003B5198">
        <w:t xml:space="preserve">            Figure </w:t>
      </w:r>
      <w:r w:rsidR="00FB40A1">
        <w:t>2b</w:t>
      </w:r>
      <w:r w:rsidR="003B5198">
        <w:t xml:space="preserve"> UL sub-b</w:t>
      </w:r>
      <w:r w:rsidR="00A419CF">
        <w:t>ands in the lower edge RBs</w:t>
      </w:r>
      <w:r w:rsidR="003B5198">
        <w:t xml:space="preserve">               </w:t>
      </w:r>
      <w:r w:rsidR="00A419CF">
        <w:t xml:space="preserve">                           </w:t>
      </w:r>
    </w:p>
    <w:p w:rsidR="00735504" w:rsidRDefault="00CD6D73" w:rsidP="000733B1">
      <w:pPr>
        <w:keepNext/>
        <w:jc w:val="left"/>
      </w:pPr>
      <w:r>
        <w:object w:dxaOrig="4990" w:dyaOrig="2880">
          <v:shape id="_x0000_i1028" type="#_x0000_t75" style="width:209pt;height:120pt" o:ole="">
            <v:imagedata r:id="rId15" o:title=""/>
          </v:shape>
          <o:OLEObject Type="Embed" ProgID="Visio.Drawing.15" ShapeID="_x0000_i1028" DrawAspect="Content" ObjectID="_1726057057" r:id="rId16"/>
        </w:object>
      </w:r>
      <w:r>
        <w:object w:dxaOrig="4990" w:dyaOrig="2930">
          <v:shape id="_x0000_i1029" type="#_x0000_t75" style="width:210.5pt;height:123.5pt" o:ole="">
            <v:imagedata r:id="rId17" o:title=""/>
          </v:shape>
          <o:OLEObject Type="Embed" ProgID="Visio.Drawing.15" ShapeID="_x0000_i1029" DrawAspect="Content" ObjectID="_1726057058" r:id="rId18"/>
        </w:object>
      </w:r>
    </w:p>
    <w:p w:rsidR="00735504" w:rsidRDefault="00735504" w:rsidP="000733B1">
      <w:pPr>
        <w:pStyle w:val="Caption"/>
        <w:jc w:val="both"/>
      </w:pPr>
      <w:r>
        <w:t xml:space="preserve">Figure </w:t>
      </w:r>
      <w:r w:rsidR="00FB40A1">
        <w:t>3a</w:t>
      </w:r>
      <w:r>
        <w:t xml:space="preserve"> Two sub-bands with </w:t>
      </w:r>
      <w:r w:rsidR="007A3232">
        <w:t xml:space="preserve">one UL sub-band          </w:t>
      </w:r>
      <w:r w:rsidR="000733B1">
        <w:t xml:space="preserve">Figure </w:t>
      </w:r>
      <w:r w:rsidR="00FB40A1">
        <w:t>3b</w:t>
      </w:r>
      <w:r w:rsidR="000733B1">
        <w:t xml:space="preserve"> </w:t>
      </w:r>
      <w:r w:rsidR="007A3232">
        <w:t xml:space="preserve">Two sub-bands with one UL </w:t>
      </w:r>
      <w:r w:rsidR="000733B1">
        <w:t>sub-</w:t>
      </w:r>
      <w:r w:rsidR="007A3232">
        <w:t>band</w:t>
      </w:r>
      <w:r w:rsidR="000733B1">
        <w:t xml:space="preserve">                                           </w:t>
      </w:r>
    </w:p>
    <w:p w:rsidR="00120982" w:rsidRDefault="00120982" w:rsidP="00120982">
      <w:pPr>
        <w:keepNext/>
        <w:jc w:val="center"/>
      </w:pPr>
    </w:p>
    <w:p w:rsidR="00AC3396" w:rsidRDefault="00E56515" w:rsidP="00120982">
      <w:pPr>
        <w:keepNext/>
        <w:jc w:val="left"/>
        <w:rPr>
          <w:b/>
          <w:i/>
        </w:rPr>
      </w:pPr>
      <w:r>
        <w:rPr>
          <w:b/>
          <w:i/>
        </w:rPr>
        <w:t>Observation 4</w:t>
      </w:r>
      <w:r w:rsidR="00120982" w:rsidRPr="00120982">
        <w:rPr>
          <w:b/>
          <w:i/>
        </w:rPr>
        <w:t>: Allocation of frequency resources</w:t>
      </w:r>
      <w:r w:rsidR="00AC3396">
        <w:rPr>
          <w:b/>
          <w:i/>
        </w:rPr>
        <w:t xml:space="preserve"> to a sub-band</w:t>
      </w:r>
      <w:r w:rsidR="00120982" w:rsidRPr="00120982">
        <w:rPr>
          <w:b/>
          <w:i/>
        </w:rPr>
        <w:t xml:space="preserve"> in the inner RBs</w:t>
      </w:r>
      <w:r w:rsidR="00AC3396">
        <w:rPr>
          <w:b/>
          <w:i/>
        </w:rPr>
        <w:t xml:space="preserve"> or inner carrier of a TDD band</w:t>
      </w:r>
      <w:r w:rsidR="00E3373D">
        <w:rPr>
          <w:b/>
          <w:i/>
        </w:rPr>
        <w:t xml:space="preserve"> may</w:t>
      </w:r>
      <w:r w:rsidR="005D6E61">
        <w:rPr>
          <w:b/>
          <w:i/>
        </w:rPr>
        <w:t>;</w:t>
      </w:r>
    </w:p>
    <w:p w:rsidR="00AC3396" w:rsidRPr="00AC3396" w:rsidRDefault="00AC3396" w:rsidP="00AC3396">
      <w:pPr>
        <w:pStyle w:val="ListParagraph"/>
        <w:keepNext/>
        <w:numPr>
          <w:ilvl w:val="0"/>
          <w:numId w:val="19"/>
        </w:numPr>
        <w:rPr>
          <w:rFonts w:ascii="Times New Roman" w:hAnsi="Times New Roman"/>
          <w:b/>
          <w:i/>
          <w:sz w:val="22"/>
          <w:szCs w:val="22"/>
        </w:rPr>
      </w:pPr>
      <w:r w:rsidRPr="00AC3396">
        <w:rPr>
          <w:rFonts w:ascii="Times New Roman" w:hAnsi="Times New Roman"/>
          <w:b/>
          <w:i/>
          <w:sz w:val="22"/>
          <w:szCs w:val="22"/>
        </w:rPr>
        <w:t>R</w:t>
      </w:r>
      <w:r w:rsidR="00AA57A7" w:rsidRPr="00AC3396">
        <w:rPr>
          <w:rFonts w:ascii="Times New Roman" w:hAnsi="Times New Roman"/>
          <w:b/>
          <w:i/>
          <w:sz w:val="22"/>
          <w:szCs w:val="22"/>
        </w:rPr>
        <w:t>educe</w:t>
      </w:r>
      <w:r w:rsidR="00E3373D">
        <w:rPr>
          <w:rFonts w:ascii="Times New Roman" w:hAnsi="Times New Roman"/>
          <w:b/>
          <w:i/>
          <w:sz w:val="22"/>
          <w:szCs w:val="22"/>
        </w:rPr>
        <w:t>s</w:t>
      </w:r>
      <w:r w:rsidR="00AA57A7" w:rsidRPr="00AC3396">
        <w:rPr>
          <w:rFonts w:ascii="Times New Roman" w:hAnsi="Times New Roman"/>
          <w:b/>
          <w:i/>
          <w:sz w:val="22"/>
          <w:szCs w:val="22"/>
        </w:rPr>
        <w:t xml:space="preserve"> the interference from the adjacent</w:t>
      </w:r>
      <w:r w:rsidR="005D6E61">
        <w:rPr>
          <w:rFonts w:ascii="Times New Roman" w:hAnsi="Times New Roman"/>
          <w:b/>
          <w:i/>
          <w:sz w:val="22"/>
          <w:szCs w:val="22"/>
        </w:rPr>
        <w:t xml:space="preserve"> gNB but it may increase the gNB self-interference </w:t>
      </w:r>
    </w:p>
    <w:p w:rsidR="00AC3396" w:rsidRPr="00AC3396" w:rsidRDefault="008F0C91" w:rsidP="00AC3396">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00AC3396" w:rsidRPr="00AC3396">
        <w:rPr>
          <w:rFonts w:ascii="Times New Roman" w:hAnsi="Times New Roman"/>
          <w:b/>
          <w:i/>
          <w:sz w:val="22"/>
          <w:szCs w:val="22"/>
        </w:rPr>
        <w:t xml:space="preserve"> at least three sub-bands within a TDD band</w:t>
      </w:r>
    </w:p>
    <w:p w:rsidR="00120982" w:rsidRDefault="008F0C91" w:rsidP="00AC3396">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Requires </w:t>
      </w:r>
      <w:r w:rsidR="00AC3396" w:rsidRPr="00AC3396">
        <w:rPr>
          <w:rFonts w:ascii="Times New Roman" w:hAnsi="Times New Roman"/>
          <w:b/>
          <w:i/>
          <w:sz w:val="22"/>
          <w:szCs w:val="22"/>
        </w:rPr>
        <w:t xml:space="preserve">two guard bands to separate the opposite direction sub-bands. </w:t>
      </w:r>
      <w:r w:rsidR="00120982" w:rsidRPr="00AC3396">
        <w:rPr>
          <w:rFonts w:ascii="Times New Roman" w:hAnsi="Times New Roman"/>
          <w:b/>
          <w:i/>
          <w:sz w:val="22"/>
          <w:szCs w:val="22"/>
        </w:rPr>
        <w:t xml:space="preserve"> </w:t>
      </w:r>
    </w:p>
    <w:p w:rsidR="00AC3396" w:rsidRPr="00AC3396" w:rsidRDefault="00AC3396" w:rsidP="005D6E61">
      <w:pPr>
        <w:pStyle w:val="ListParagraph"/>
        <w:keepNext/>
        <w:ind w:left="720" w:firstLine="0"/>
        <w:rPr>
          <w:rFonts w:ascii="Times New Roman" w:hAnsi="Times New Roman"/>
          <w:b/>
          <w:i/>
          <w:sz w:val="22"/>
          <w:szCs w:val="22"/>
        </w:rPr>
      </w:pPr>
    </w:p>
    <w:p w:rsidR="00AC3396" w:rsidRDefault="009C4788" w:rsidP="009C4788">
      <w:pPr>
        <w:keepNext/>
        <w:jc w:val="left"/>
        <w:rPr>
          <w:b/>
          <w:i/>
        </w:rPr>
      </w:pPr>
      <w:r w:rsidRPr="00120982">
        <w:rPr>
          <w:b/>
          <w:i/>
        </w:rPr>
        <w:t xml:space="preserve">Observation </w:t>
      </w:r>
      <w:r w:rsidR="00E56515">
        <w:rPr>
          <w:b/>
          <w:i/>
        </w:rPr>
        <w:t>5</w:t>
      </w:r>
      <w:r w:rsidRPr="00120982">
        <w:rPr>
          <w:b/>
          <w:i/>
        </w:rPr>
        <w:t xml:space="preserve">: Allocation of frequency resources </w:t>
      </w:r>
      <w:r w:rsidR="00AC3396">
        <w:rPr>
          <w:b/>
          <w:i/>
        </w:rPr>
        <w:t xml:space="preserve">to a sub-band </w:t>
      </w:r>
      <w:r w:rsidRPr="00120982">
        <w:rPr>
          <w:b/>
          <w:i/>
        </w:rPr>
        <w:t xml:space="preserve">in the </w:t>
      </w:r>
      <w:r>
        <w:rPr>
          <w:b/>
          <w:i/>
        </w:rPr>
        <w:t>outer</w:t>
      </w:r>
      <w:r w:rsidRPr="00120982">
        <w:rPr>
          <w:b/>
          <w:i/>
        </w:rPr>
        <w:t xml:space="preserve"> RBs or </w:t>
      </w:r>
      <w:r>
        <w:rPr>
          <w:b/>
          <w:i/>
        </w:rPr>
        <w:t xml:space="preserve">outer </w:t>
      </w:r>
      <w:r w:rsidRPr="00120982">
        <w:rPr>
          <w:b/>
          <w:i/>
        </w:rPr>
        <w:t xml:space="preserve">carrier of a TDD band </w:t>
      </w:r>
      <w:r w:rsidR="00E3373D">
        <w:rPr>
          <w:b/>
          <w:i/>
        </w:rPr>
        <w:t>may</w:t>
      </w:r>
      <w:r w:rsidR="008F0C91">
        <w:rPr>
          <w:b/>
          <w:i/>
        </w:rPr>
        <w:t>;</w:t>
      </w:r>
    </w:p>
    <w:p w:rsidR="00AC3396" w:rsidRPr="005D6E61" w:rsidRDefault="00E3373D"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Increase </w:t>
      </w:r>
      <w:r w:rsidR="00AC3396" w:rsidRPr="005D6E61">
        <w:rPr>
          <w:rFonts w:ascii="Times New Roman" w:hAnsi="Times New Roman"/>
          <w:b/>
          <w:i/>
          <w:sz w:val="22"/>
          <w:szCs w:val="22"/>
        </w:rPr>
        <w:t>the interference from the adjacent gNB</w:t>
      </w:r>
      <w:r w:rsidR="00D95805">
        <w:rPr>
          <w:rFonts w:ascii="Times New Roman" w:hAnsi="Times New Roman"/>
          <w:b/>
          <w:i/>
          <w:sz w:val="22"/>
          <w:szCs w:val="22"/>
        </w:rPr>
        <w:t xml:space="preserve"> but </w:t>
      </w:r>
      <w:r w:rsidR="005D6E61" w:rsidRPr="005D6E61">
        <w:rPr>
          <w:rFonts w:ascii="Times New Roman" w:hAnsi="Times New Roman"/>
          <w:b/>
          <w:i/>
          <w:sz w:val="22"/>
          <w:szCs w:val="22"/>
        </w:rPr>
        <w:t xml:space="preserve">reduces the gNB self-interference </w:t>
      </w:r>
    </w:p>
    <w:p w:rsidR="00AC3396" w:rsidRPr="005D6E61" w:rsidRDefault="0072040B"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Defines</w:t>
      </w:r>
      <w:r w:rsidR="00D95805">
        <w:rPr>
          <w:rFonts w:ascii="Times New Roman" w:hAnsi="Times New Roman"/>
          <w:b/>
          <w:i/>
          <w:sz w:val="22"/>
          <w:szCs w:val="22"/>
        </w:rPr>
        <w:t xml:space="preserve"> flexible number</w:t>
      </w:r>
      <w:r w:rsidR="008F0C91">
        <w:rPr>
          <w:rFonts w:ascii="Times New Roman" w:hAnsi="Times New Roman"/>
          <w:b/>
          <w:i/>
          <w:sz w:val="22"/>
          <w:szCs w:val="22"/>
        </w:rPr>
        <w:t>s</w:t>
      </w:r>
      <w:r w:rsidR="00D95805">
        <w:rPr>
          <w:rFonts w:ascii="Times New Roman" w:hAnsi="Times New Roman"/>
          <w:b/>
          <w:i/>
          <w:sz w:val="22"/>
          <w:szCs w:val="22"/>
        </w:rPr>
        <w:t xml:space="preserve"> of sub-band</w:t>
      </w:r>
      <w:r w:rsidR="008F0C91">
        <w:rPr>
          <w:rFonts w:ascii="Times New Roman" w:hAnsi="Times New Roman"/>
          <w:b/>
          <w:i/>
          <w:sz w:val="22"/>
          <w:szCs w:val="22"/>
        </w:rPr>
        <w:t>s</w:t>
      </w:r>
      <w:r w:rsidR="00D95805">
        <w:rPr>
          <w:rFonts w:ascii="Times New Roman" w:hAnsi="Times New Roman"/>
          <w:b/>
          <w:i/>
          <w:sz w:val="22"/>
          <w:szCs w:val="22"/>
        </w:rPr>
        <w:t xml:space="preserve"> e.g. either two sub-bands or three sub-bands </w:t>
      </w:r>
    </w:p>
    <w:p w:rsidR="00AC3396" w:rsidRDefault="0072040B" w:rsidP="005D6E61">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00AC3396" w:rsidRPr="005D6E61">
        <w:rPr>
          <w:rFonts w:ascii="Times New Roman" w:hAnsi="Times New Roman"/>
          <w:b/>
          <w:i/>
          <w:sz w:val="22"/>
          <w:szCs w:val="22"/>
        </w:rPr>
        <w:t xml:space="preserve"> only one guard band. </w:t>
      </w:r>
    </w:p>
    <w:p w:rsidR="00D95805" w:rsidRPr="00D95805" w:rsidRDefault="00D95805" w:rsidP="00D95805">
      <w:pPr>
        <w:keepNext/>
        <w:ind w:left="360"/>
        <w:rPr>
          <w:b/>
          <w:i/>
        </w:rPr>
      </w:pPr>
    </w:p>
    <w:p w:rsidR="00735504" w:rsidRPr="00843507" w:rsidRDefault="009C4788" w:rsidP="00735504">
      <w:pPr>
        <w:rPr>
          <w:b/>
        </w:rPr>
      </w:pPr>
      <w:r w:rsidRPr="009C4788">
        <w:rPr>
          <w:b/>
        </w:rPr>
        <w:t>Proposal</w:t>
      </w:r>
      <w:r w:rsidR="00E56515">
        <w:rPr>
          <w:b/>
        </w:rPr>
        <w:t xml:space="preserve"> 5</w:t>
      </w:r>
      <w:r w:rsidRPr="009C4788">
        <w:rPr>
          <w:b/>
        </w:rPr>
        <w:t>: It is up to the gNB implementation whether to select the inner carrier</w:t>
      </w:r>
      <w:r>
        <w:rPr>
          <w:b/>
        </w:rPr>
        <w:t xml:space="preserve">s or outer carriers </w:t>
      </w:r>
      <w:r w:rsidR="0025257B">
        <w:rPr>
          <w:b/>
        </w:rPr>
        <w:t xml:space="preserve">of a TDD band </w:t>
      </w:r>
      <w:r w:rsidRPr="009C4788">
        <w:rPr>
          <w:b/>
        </w:rPr>
        <w:t>for a</w:t>
      </w:r>
      <w:r>
        <w:rPr>
          <w:b/>
        </w:rPr>
        <w:t>n opposite direction</w:t>
      </w:r>
      <w:r w:rsidRPr="009C4788">
        <w:rPr>
          <w:b/>
        </w:rPr>
        <w:t xml:space="preserve"> sub-band</w:t>
      </w:r>
      <w:r w:rsidR="00495F26">
        <w:rPr>
          <w:b/>
        </w:rPr>
        <w:t>s</w:t>
      </w:r>
      <w:r>
        <w:rPr>
          <w:b/>
        </w:rPr>
        <w:t xml:space="preserve"> in DL, UL or flexible slots</w:t>
      </w:r>
      <w:r w:rsidRPr="009C4788">
        <w:rPr>
          <w:b/>
        </w:rPr>
        <w:t xml:space="preserve">. </w:t>
      </w:r>
    </w:p>
    <w:p w:rsidR="00525E29" w:rsidRDefault="00525E29" w:rsidP="00525E29">
      <w:pPr>
        <w:pStyle w:val="Heading1"/>
        <w:tabs>
          <w:tab w:val="clear" w:pos="432"/>
        </w:tabs>
        <w:rPr>
          <w:lang w:eastAsia="zh-CN"/>
        </w:rPr>
      </w:pPr>
      <w:r>
        <w:rPr>
          <w:lang w:eastAsia="zh-CN"/>
        </w:rPr>
        <w:t>Interference management in</w:t>
      </w:r>
      <w:r w:rsidR="004D382B">
        <w:rPr>
          <w:lang w:eastAsia="zh-CN"/>
        </w:rPr>
        <w:t xml:space="preserve"> SBFD operation</w:t>
      </w:r>
    </w:p>
    <w:p w:rsidR="00A80540" w:rsidRDefault="00A80540" w:rsidP="00A80540">
      <w:pPr>
        <w:pStyle w:val="Heading2"/>
        <w:rPr>
          <w:lang w:eastAsia="zh-CN"/>
        </w:rPr>
      </w:pPr>
      <w:r>
        <w:rPr>
          <w:lang w:eastAsia="zh-CN"/>
        </w:rPr>
        <w:t xml:space="preserve">gNB self-Interference </w:t>
      </w:r>
    </w:p>
    <w:p w:rsidR="006B460C" w:rsidRPr="00214657" w:rsidRDefault="003D6DB7" w:rsidP="006B460C">
      <w:pPr>
        <w:rPr>
          <w:bCs/>
          <w:iCs/>
        </w:rPr>
      </w:pPr>
      <w:r>
        <w:t>For gNB self-interference h</w:t>
      </w:r>
      <w:r w:rsidR="00FF1BD8">
        <w:t xml:space="preserve">andling, </w:t>
      </w:r>
      <w:r w:rsidR="006B460C" w:rsidRPr="00CE1893">
        <w:rPr>
          <w:bCs/>
          <w:iCs/>
        </w:rPr>
        <w:t xml:space="preserve">solutions based on the sub-band carrier or RBs configuration </w:t>
      </w:r>
      <w:r w:rsidR="00C60CE8">
        <w:rPr>
          <w:bCs/>
          <w:iCs/>
        </w:rPr>
        <w:t>can be studied</w:t>
      </w:r>
      <w:r w:rsidR="006B460C" w:rsidRPr="00CE1893">
        <w:rPr>
          <w:bCs/>
          <w:iCs/>
        </w:rPr>
        <w:t>.</w:t>
      </w:r>
      <w:r w:rsidR="006B460C">
        <w:rPr>
          <w:bCs/>
          <w:iCs/>
        </w:rPr>
        <w:t xml:space="preserve"> </w:t>
      </w:r>
      <w:r w:rsidR="00C60CE8">
        <w:rPr>
          <w:bCs/>
          <w:iCs/>
        </w:rPr>
        <w:t>For instance</w:t>
      </w:r>
      <w:r w:rsidR="006B460C">
        <w:rPr>
          <w:bCs/>
          <w:iCs/>
        </w:rPr>
        <w:t xml:space="preserve">, </w:t>
      </w:r>
      <w:r w:rsidR="00C60CE8">
        <w:rPr>
          <w:bCs/>
          <w:iCs/>
        </w:rPr>
        <w:t xml:space="preserve">when </w:t>
      </w:r>
      <w:r w:rsidR="006B460C">
        <w:rPr>
          <w:bCs/>
          <w:iCs/>
        </w:rPr>
        <w:t>an UL sub-band in DL slots configured in such a way that the UL sub-band located in the inner RBs of a TDD band</w:t>
      </w:r>
      <w:r w:rsidR="00FF1BD8">
        <w:rPr>
          <w:bCs/>
          <w:iCs/>
        </w:rPr>
        <w:t xml:space="preserve"> as shown in Figure 4</w:t>
      </w:r>
      <w:r w:rsidR="007C4296">
        <w:rPr>
          <w:bCs/>
          <w:iCs/>
        </w:rPr>
        <w:t>. I</w:t>
      </w:r>
      <w:r w:rsidR="00214657">
        <w:rPr>
          <w:bCs/>
          <w:iCs/>
        </w:rPr>
        <w:t xml:space="preserve">t </w:t>
      </w:r>
      <w:r w:rsidR="006B460C">
        <w:rPr>
          <w:bCs/>
          <w:iCs/>
        </w:rPr>
        <w:t xml:space="preserve">will create </w:t>
      </w:r>
      <w:r w:rsidR="00006E5A">
        <w:rPr>
          <w:bCs/>
          <w:iCs/>
        </w:rPr>
        <w:t xml:space="preserve">double fold </w:t>
      </w:r>
      <w:r w:rsidR="006B460C">
        <w:rPr>
          <w:bCs/>
          <w:iCs/>
        </w:rPr>
        <w:t>gNB self-interference</w:t>
      </w:r>
      <w:r w:rsidR="007C4296">
        <w:rPr>
          <w:bCs/>
          <w:iCs/>
        </w:rPr>
        <w:t xml:space="preserve">; </w:t>
      </w:r>
      <w:r w:rsidR="006B460C">
        <w:rPr>
          <w:bCs/>
          <w:iCs/>
        </w:rPr>
        <w:t xml:space="preserve">the interference </w:t>
      </w:r>
      <w:r w:rsidR="00006E5A">
        <w:rPr>
          <w:bCs/>
          <w:iCs/>
        </w:rPr>
        <w:t xml:space="preserve">of </w:t>
      </w:r>
      <w:r w:rsidR="006B460C">
        <w:rPr>
          <w:bCs/>
          <w:iCs/>
        </w:rPr>
        <w:t>the upper RBs</w:t>
      </w:r>
      <w:r w:rsidR="00FF1BD8">
        <w:rPr>
          <w:bCs/>
          <w:iCs/>
        </w:rPr>
        <w:t xml:space="preserve"> of DL sub-band</w:t>
      </w:r>
      <w:r w:rsidR="006B460C">
        <w:rPr>
          <w:bCs/>
          <w:iCs/>
        </w:rPr>
        <w:t xml:space="preserve"> to the inner RBs</w:t>
      </w:r>
      <w:r w:rsidR="00FF1BD8">
        <w:rPr>
          <w:bCs/>
          <w:iCs/>
        </w:rPr>
        <w:t xml:space="preserve"> of the UL sub-band</w:t>
      </w:r>
      <w:r w:rsidR="006B460C">
        <w:rPr>
          <w:bCs/>
          <w:iCs/>
        </w:rPr>
        <w:t xml:space="preserve"> (self-interference 1), and the interference of the lower RBs</w:t>
      </w:r>
      <w:r w:rsidR="00FF1BD8">
        <w:rPr>
          <w:bCs/>
          <w:iCs/>
        </w:rPr>
        <w:t xml:space="preserve"> of DL sub-band</w:t>
      </w:r>
      <w:r w:rsidR="006B460C">
        <w:rPr>
          <w:bCs/>
          <w:iCs/>
        </w:rPr>
        <w:t xml:space="preserve"> to the inner RBs</w:t>
      </w:r>
      <w:r w:rsidR="00FF1BD8">
        <w:rPr>
          <w:bCs/>
          <w:iCs/>
        </w:rPr>
        <w:t xml:space="preserve"> of the UL sub-band</w:t>
      </w:r>
      <w:r w:rsidR="006B460C">
        <w:rPr>
          <w:bCs/>
          <w:iCs/>
        </w:rPr>
        <w:t xml:space="preserve"> (self-interference 2) as shown in the Figure</w:t>
      </w:r>
      <w:r w:rsidR="007C4296">
        <w:rPr>
          <w:bCs/>
          <w:iCs/>
        </w:rPr>
        <w:t xml:space="preserve"> 4</w:t>
      </w:r>
      <w:r w:rsidR="006B460C">
        <w:rPr>
          <w:bCs/>
          <w:iCs/>
        </w:rPr>
        <w:t xml:space="preserve">. </w:t>
      </w:r>
    </w:p>
    <w:p w:rsidR="006B460C" w:rsidRDefault="00964983" w:rsidP="006B460C">
      <w:pPr>
        <w:keepNext/>
        <w:jc w:val="center"/>
      </w:pPr>
      <w:r>
        <w:object w:dxaOrig="4161" w:dyaOrig="3000">
          <v:shape id="_x0000_i1030" type="#_x0000_t75" style="width:246.5pt;height:178pt" o:ole="">
            <v:imagedata r:id="rId19" o:title=""/>
          </v:shape>
          <o:OLEObject Type="Embed" ProgID="Visio.Drawing.15" ShapeID="_x0000_i1030" DrawAspect="Content" ObjectID="_1726057059" r:id="rId20"/>
        </w:object>
      </w:r>
    </w:p>
    <w:p w:rsidR="006B460C" w:rsidRDefault="006B460C" w:rsidP="006B460C">
      <w:pPr>
        <w:pStyle w:val="Caption"/>
      </w:pPr>
      <w:r>
        <w:t xml:space="preserve">Figure </w:t>
      </w:r>
      <w:r w:rsidR="00C60CE8">
        <w:t>4</w:t>
      </w:r>
      <w:r>
        <w:t xml:space="preserve"> gNB Self Interference</w:t>
      </w:r>
    </w:p>
    <w:p w:rsidR="006F08B2" w:rsidRPr="006F08B2" w:rsidRDefault="006F08B2" w:rsidP="006F08B2">
      <w:pPr>
        <w:rPr>
          <w:b/>
          <w:i/>
        </w:rPr>
      </w:pPr>
      <w:r w:rsidRPr="00FC0142">
        <w:rPr>
          <w:b/>
          <w:i/>
        </w:rPr>
        <w:t>Observation</w:t>
      </w:r>
      <w:r w:rsidR="00E56515">
        <w:rPr>
          <w:b/>
          <w:i/>
        </w:rPr>
        <w:t xml:space="preserve"> 6</w:t>
      </w:r>
      <w:r w:rsidRPr="00FC0142">
        <w:rPr>
          <w:b/>
          <w:i/>
        </w:rPr>
        <w:t>: The UL sub-bands in DL or flexibl</w:t>
      </w:r>
      <w:r>
        <w:rPr>
          <w:b/>
          <w:i/>
        </w:rPr>
        <w:t>e slots/symbols in the inner</w:t>
      </w:r>
      <w:r w:rsidR="00924AF7">
        <w:rPr>
          <w:b/>
          <w:i/>
        </w:rPr>
        <w:t xml:space="preserve"> carriers or inner RBs of a TDD band</w:t>
      </w:r>
      <w:r w:rsidRPr="00FC0142">
        <w:rPr>
          <w:b/>
          <w:i/>
        </w:rPr>
        <w:t xml:space="preserve"> may </w:t>
      </w:r>
      <w:r>
        <w:rPr>
          <w:b/>
          <w:i/>
        </w:rPr>
        <w:t xml:space="preserve">create </w:t>
      </w:r>
      <w:r w:rsidR="00006E5A">
        <w:rPr>
          <w:b/>
          <w:i/>
        </w:rPr>
        <w:t xml:space="preserve">double fold </w:t>
      </w:r>
      <w:r w:rsidRPr="00FC0142">
        <w:rPr>
          <w:b/>
          <w:i/>
        </w:rPr>
        <w:t>gNB self-interference</w:t>
      </w:r>
      <w:r>
        <w:rPr>
          <w:b/>
          <w:i/>
        </w:rPr>
        <w:t xml:space="preserve">. </w:t>
      </w:r>
    </w:p>
    <w:p w:rsidR="007C4296" w:rsidRDefault="00FF1BD8" w:rsidP="007C4296">
      <w:r>
        <w:t xml:space="preserve">This </w:t>
      </w:r>
      <w:r w:rsidR="00006E5A">
        <w:t xml:space="preserve">double fold </w:t>
      </w:r>
      <w:r>
        <w:t xml:space="preserve">gNB </w:t>
      </w:r>
      <w:r w:rsidR="00924AF7">
        <w:t>self-interference can be reduce</w:t>
      </w:r>
      <w:r>
        <w:t xml:space="preserve"> by </w:t>
      </w:r>
      <w:r w:rsidR="00A81752">
        <w:t xml:space="preserve">configuring </w:t>
      </w:r>
      <w:r w:rsidR="006B460C">
        <w:t xml:space="preserve">the edge carriers or </w:t>
      </w:r>
      <w:r>
        <w:t xml:space="preserve">outer </w:t>
      </w:r>
      <w:r w:rsidR="006B460C">
        <w:t>RBs</w:t>
      </w:r>
      <w:r>
        <w:t xml:space="preserve"> for an opposite direction </w:t>
      </w:r>
      <w:r w:rsidR="00A81752">
        <w:t>sub-band</w:t>
      </w:r>
      <w:r w:rsidR="006B460C">
        <w:t>. For instance, the configuration of UL sub-band in DL slots in the lower RBs</w:t>
      </w:r>
      <w:r w:rsidR="00C60CE8">
        <w:t xml:space="preserve"> or upper RBs</w:t>
      </w:r>
      <w:r w:rsidR="006F08B2">
        <w:t xml:space="preserve"> may reduce the </w:t>
      </w:r>
      <w:r w:rsidR="00B11F2F">
        <w:t xml:space="preserve">double fold </w:t>
      </w:r>
      <w:r w:rsidR="006F08B2">
        <w:t>gNB self-interference to</w:t>
      </w:r>
      <w:r w:rsidR="006B460C">
        <w:t xml:space="preserve"> </w:t>
      </w:r>
      <w:r w:rsidR="00B11F2F">
        <w:t xml:space="preserve">one fold </w:t>
      </w:r>
      <w:r w:rsidR="006F08B2">
        <w:t>gNB self-</w:t>
      </w:r>
      <w:r w:rsidR="006B460C">
        <w:t>interference (</w:t>
      </w:r>
      <w:r w:rsidR="007C4296">
        <w:t>self-interference</w:t>
      </w:r>
      <w:r w:rsidR="006B460C">
        <w:t xml:space="preserve"> 1) as shown in the F</w:t>
      </w:r>
      <w:r w:rsidR="00C60CE8">
        <w:t>igure 5a and 5b</w:t>
      </w:r>
      <w:r w:rsidR="006B460C">
        <w:t xml:space="preserve">. </w:t>
      </w:r>
      <w:r w:rsidR="007C4296">
        <w:t xml:space="preserve">Furthermore, decreasing the number of sub-bands within a TDD band may also help in reducing the effect of gNB self-interference. </w:t>
      </w:r>
    </w:p>
    <w:p w:rsidR="006B460C" w:rsidRDefault="006B460C" w:rsidP="006B460C"/>
    <w:p w:rsidR="006B460C" w:rsidRDefault="00964983" w:rsidP="006B460C">
      <w:pPr>
        <w:keepNext/>
        <w:jc w:val="center"/>
      </w:pPr>
      <w:r>
        <w:object w:dxaOrig="2540" w:dyaOrig="1690">
          <v:shape id="_x0000_i1031" type="#_x0000_t75" style="width:226.5pt;height:151pt" o:ole="">
            <v:imagedata r:id="rId21" o:title=""/>
          </v:shape>
          <o:OLEObject Type="Embed" ProgID="Visio.Drawing.15" ShapeID="_x0000_i1031" DrawAspect="Content" ObjectID="_1726057060" r:id="rId22"/>
        </w:object>
      </w:r>
      <w:r>
        <w:object w:dxaOrig="2540" w:dyaOrig="1700">
          <v:shape id="_x0000_i1032" type="#_x0000_t75" style="width:221pt;height:148pt" o:ole="">
            <v:imagedata r:id="rId23" o:title=""/>
          </v:shape>
          <o:OLEObject Type="Embed" ProgID="Visio.Drawing.15" ShapeID="_x0000_i1032" DrawAspect="Content" ObjectID="_1726057061" r:id="rId24"/>
        </w:object>
      </w:r>
    </w:p>
    <w:p w:rsidR="005151C3" w:rsidRDefault="006B460C" w:rsidP="008B3FA3">
      <w:pPr>
        <w:pStyle w:val="Caption"/>
        <w:jc w:val="left"/>
      </w:pPr>
      <w:r>
        <w:t xml:space="preserve">Figure </w:t>
      </w:r>
      <w:r w:rsidR="008B3FA3">
        <w:t>5a</w:t>
      </w:r>
      <w:r>
        <w:t xml:space="preserve"> </w:t>
      </w:r>
      <w:r w:rsidR="005151C3">
        <w:t>Sub-bands configuration in upper RBs</w:t>
      </w:r>
      <w:r w:rsidR="008B3FA3">
        <w:t xml:space="preserve">                   Figure </w:t>
      </w:r>
      <w:r w:rsidR="005151C3">
        <w:t>5b S</w:t>
      </w:r>
      <w:r w:rsidR="008B3FA3">
        <w:t>ub-band</w:t>
      </w:r>
      <w:r w:rsidR="005151C3">
        <w:t>s</w:t>
      </w:r>
      <w:r w:rsidR="008B3FA3">
        <w:t xml:space="preserve"> configuration in </w:t>
      </w:r>
      <w:r w:rsidR="005151C3">
        <w:t>Lower</w:t>
      </w:r>
      <w:r w:rsidR="008B3FA3">
        <w:t xml:space="preserve"> RBs         </w:t>
      </w:r>
    </w:p>
    <w:p w:rsidR="006B460C" w:rsidRDefault="008B3FA3" w:rsidP="008B3FA3">
      <w:pPr>
        <w:pStyle w:val="Caption"/>
        <w:jc w:val="left"/>
      </w:pPr>
      <w:r>
        <w:t xml:space="preserve">            </w:t>
      </w:r>
    </w:p>
    <w:p w:rsidR="007C4296" w:rsidRPr="00FC0142" w:rsidRDefault="007C4296" w:rsidP="006B460C">
      <w:pPr>
        <w:rPr>
          <w:b/>
          <w:i/>
        </w:rPr>
      </w:pPr>
      <w:r w:rsidRPr="00FC0142">
        <w:rPr>
          <w:b/>
          <w:i/>
        </w:rPr>
        <w:t>Observation</w:t>
      </w:r>
      <w:r w:rsidR="00E56515">
        <w:rPr>
          <w:b/>
          <w:i/>
        </w:rPr>
        <w:t xml:space="preserve"> 7</w:t>
      </w:r>
      <w:r w:rsidRPr="00FC0142">
        <w:rPr>
          <w:b/>
          <w:i/>
        </w:rPr>
        <w:t xml:space="preserve">: The UL sub-bands in DL or flexible slots/symbols in the edge RBs may reduce the gNB </w:t>
      </w:r>
      <w:r w:rsidR="00FC0142" w:rsidRPr="00FC0142">
        <w:rPr>
          <w:b/>
          <w:i/>
        </w:rPr>
        <w:t>self-interference</w:t>
      </w:r>
      <w:r w:rsidRPr="00FC0142">
        <w:rPr>
          <w:b/>
          <w:i/>
        </w:rPr>
        <w:t xml:space="preserve">. </w:t>
      </w:r>
    </w:p>
    <w:p w:rsidR="006B460C" w:rsidRPr="009A1507" w:rsidRDefault="007C4296" w:rsidP="006B460C">
      <w:pPr>
        <w:rPr>
          <w:b/>
          <w:i/>
        </w:rPr>
      </w:pPr>
      <w:r w:rsidRPr="00FC0142">
        <w:rPr>
          <w:b/>
          <w:i/>
        </w:rPr>
        <w:t>Observation</w:t>
      </w:r>
      <w:r w:rsidR="00E56515">
        <w:rPr>
          <w:b/>
          <w:i/>
        </w:rPr>
        <w:t xml:space="preserve"> 8</w:t>
      </w:r>
      <w:r w:rsidRPr="00FC0142">
        <w:rPr>
          <w:b/>
          <w:i/>
        </w:rPr>
        <w:t xml:space="preserve">: Less number of sub-bands </w:t>
      </w:r>
      <w:r w:rsidR="00FC0142" w:rsidRPr="00FC0142">
        <w:rPr>
          <w:b/>
          <w:i/>
        </w:rPr>
        <w:t xml:space="preserve">within a TDD band may </w:t>
      </w:r>
      <w:r w:rsidRPr="00FC0142">
        <w:rPr>
          <w:b/>
          <w:i/>
        </w:rPr>
        <w:t>reduce the gNB self-interference.</w:t>
      </w:r>
    </w:p>
    <w:p w:rsidR="009A1507" w:rsidRDefault="00B70197" w:rsidP="009A1507">
      <w:pPr>
        <w:pStyle w:val="Heading2"/>
        <w:rPr>
          <w:lang w:eastAsia="zh-CN"/>
        </w:rPr>
      </w:pPr>
      <w:r>
        <w:rPr>
          <w:lang w:eastAsia="zh-CN"/>
        </w:rPr>
        <w:t xml:space="preserve">Co-channel </w:t>
      </w:r>
      <w:r w:rsidR="00A80540">
        <w:rPr>
          <w:lang w:eastAsia="zh-CN"/>
        </w:rPr>
        <w:t xml:space="preserve">Intra sub-bands interference </w:t>
      </w:r>
      <w:r w:rsidR="009A1507">
        <w:rPr>
          <w:lang w:eastAsia="zh-CN"/>
        </w:rPr>
        <w:t>management</w:t>
      </w:r>
    </w:p>
    <w:p w:rsidR="006B460C" w:rsidRDefault="00B70197" w:rsidP="006B460C">
      <w:pPr>
        <w:rPr>
          <w:bCs/>
        </w:rPr>
      </w:pPr>
      <w:r>
        <w:rPr>
          <w:bCs/>
        </w:rPr>
        <w:t>gNB to gNB c</w:t>
      </w:r>
      <w:r w:rsidR="006B460C" w:rsidRPr="00B27ED3">
        <w:rPr>
          <w:bCs/>
        </w:rPr>
        <w:t>o-cha</w:t>
      </w:r>
      <w:r w:rsidR="006B460C">
        <w:rPr>
          <w:bCs/>
        </w:rPr>
        <w:t>nnel intra</w:t>
      </w:r>
      <w:r w:rsidR="006B460C" w:rsidRPr="00B27ED3">
        <w:rPr>
          <w:bCs/>
        </w:rPr>
        <w:t xml:space="preserve"> sub-band</w:t>
      </w:r>
      <w:r w:rsidR="006B460C">
        <w:rPr>
          <w:bCs/>
        </w:rPr>
        <w:t xml:space="preserve"> interference</w:t>
      </w:r>
      <w:r w:rsidR="005151C3">
        <w:rPr>
          <w:bCs/>
        </w:rPr>
        <w:t xml:space="preserve"> may</w:t>
      </w:r>
      <w:r w:rsidR="008218B9">
        <w:rPr>
          <w:bCs/>
        </w:rPr>
        <w:t xml:space="preserve"> exists when </w:t>
      </w:r>
      <w:r w:rsidR="007524ED">
        <w:rPr>
          <w:bCs/>
        </w:rPr>
        <w:t xml:space="preserve">the neighbor’s gNBs configured with different </w:t>
      </w:r>
      <w:r w:rsidR="006B460C">
        <w:rPr>
          <w:bCs/>
        </w:rPr>
        <w:t>sub-</w:t>
      </w:r>
      <w:r w:rsidR="006B460C" w:rsidRPr="00B27ED3">
        <w:rPr>
          <w:bCs/>
        </w:rPr>
        <w:t>band</w:t>
      </w:r>
      <w:r w:rsidR="006B460C">
        <w:rPr>
          <w:bCs/>
        </w:rPr>
        <w:t xml:space="preserve">s parameters </w:t>
      </w:r>
      <w:r w:rsidR="007524ED">
        <w:rPr>
          <w:bCs/>
        </w:rPr>
        <w:t>as explained below</w:t>
      </w:r>
      <w:r w:rsidR="006B460C">
        <w:rPr>
          <w:bCs/>
        </w:rPr>
        <w:t xml:space="preserve">: </w:t>
      </w:r>
    </w:p>
    <w:p w:rsidR="007524ED" w:rsidRDefault="007524ED"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Allocating d</w:t>
      </w:r>
      <w:r w:rsidR="006B460C" w:rsidRPr="007524ED">
        <w:rPr>
          <w:rFonts w:ascii="Times New Roman" w:hAnsi="Times New Roman"/>
          <w:bCs/>
          <w:sz w:val="22"/>
          <w:szCs w:val="22"/>
        </w:rPr>
        <w:t xml:space="preserve">ifferent bandwidth of UL to </w:t>
      </w:r>
      <w:r w:rsidR="008146EA">
        <w:rPr>
          <w:rFonts w:ascii="Times New Roman" w:hAnsi="Times New Roman"/>
          <w:bCs/>
          <w:sz w:val="22"/>
          <w:szCs w:val="22"/>
        </w:rPr>
        <w:t xml:space="preserve">UL and DL to DL sub-bands between </w:t>
      </w:r>
      <w:r w:rsidR="00E82104" w:rsidRPr="007524ED">
        <w:rPr>
          <w:rFonts w:ascii="Times New Roman" w:hAnsi="Times New Roman"/>
          <w:bCs/>
          <w:sz w:val="22"/>
          <w:szCs w:val="22"/>
        </w:rPr>
        <w:t xml:space="preserve">the </w:t>
      </w:r>
      <w:r w:rsidR="008218B9" w:rsidRPr="007524ED">
        <w:rPr>
          <w:rFonts w:ascii="Times New Roman" w:hAnsi="Times New Roman"/>
          <w:bCs/>
          <w:sz w:val="22"/>
          <w:szCs w:val="22"/>
        </w:rPr>
        <w:t>neighbor</w:t>
      </w:r>
      <w:r w:rsidR="006B460C" w:rsidRPr="007524ED">
        <w:rPr>
          <w:rFonts w:ascii="Times New Roman" w:hAnsi="Times New Roman"/>
          <w:bCs/>
          <w:sz w:val="22"/>
          <w:szCs w:val="22"/>
        </w:rPr>
        <w:t xml:space="preserve"> gNBs</w:t>
      </w:r>
      <w:r>
        <w:rPr>
          <w:rFonts w:ascii="Times New Roman" w:hAnsi="Times New Roman"/>
          <w:bCs/>
          <w:sz w:val="22"/>
          <w:szCs w:val="22"/>
        </w:rPr>
        <w:t xml:space="preserve"> as shown in Figure 6a</w:t>
      </w:r>
      <w:r w:rsidR="00432796" w:rsidRPr="007524ED">
        <w:rPr>
          <w:rFonts w:ascii="Times New Roman" w:hAnsi="Times New Roman"/>
          <w:bCs/>
          <w:sz w:val="22"/>
          <w:szCs w:val="22"/>
        </w:rPr>
        <w:t xml:space="preserve">. </w:t>
      </w:r>
      <w:r>
        <w:rPr>
          <w:rFonts w:ascii="Times New Roman" w:hAnsi="Times New Roman"/>
          <w:bCs/>
          <w:sz w:val="22"/>
          <w:szCs w:val="22"/>
        </w:rPr>
        <w:t>I</w:t>
      </w:r>
      <w:r w:rsidR="00890B1C">
        <w:rPr>
          <w:rFonts w:ascii="Times New Roman" w:hAnsi="Times New Roman"/>
          <w:bCs/>
          <w:sz w:val="22"/>
          <w:szCs w:val="22"/>
        </w:rPr>
        <w:t xml:space="preserve">n this case, the same set of </w:t>
      </w:r>
      <w:r>
        <w:rPr>
          <w:rFonts w:ascii="Times New Roman" w:hAnsi="Times New Roman"/>
          <w:bCs/>
          <w:sz w:val="22"/>
          <w:szCs w:val="22"/>
        </w:rPr>
        <w:t xml:space="preserve">RBs of DL sub-band at gNB1 may create intra sub-band interference to </w:t>
      </w:r>
      <w:r w:rsidR="00890B1C">
        <w:rPr>
          <w:rFonts w:ascii="Times New Roman" w:hAnsi="Times New Roman"/>
          <w:bCs/>
          <w:sz w:val="22"/>
          <w:szCs w:val="22"/>
        </w:rPr>
        <w:t xml:space="preserve">the same set of RBs of the UL sub-band at gNB2. </w:t>
      </w:r>
    </w:p>
    <w:p w:rsidR="00432796" w:rsidRPr="007524ED" w:rsidRDefault="006B460C" w:rsidP="0060665B">
      <w:pPr>
        <w:pStyle w:val="ListParagraph"/>
        <w:numPr>
          <w:ilvl w:val="0"/>
          <w:numId w:val="13"/>
        </w:numPr>
        <w:spacing w:after="200" w:line="276" w:lineRule="auto"/>
        <w:contextualSpacing/>
        <w:rPr>
          <w:rFonts w:ascii="Times New Roman" w:hAnsi="Times New Roman"/>
          <w:bCs/>
          <w:sz w:val="22"/>
          <w:szCs w:val="22"/>
        </w:rPr>
      </w:pPr>
      <w:r w:rsidRPr="007524ED">
        <w:rPr>
          <w:rFonts w:ascii="Times New Roman" w:hAnsi="Times New Roman"/>
          <w:bCs/>
          <w:sz w:val="22"/>
          <w:szCs w:val="22"/>
        </w:rPr>
        <w:t>Allocati</w:t>
      </w:r>
      <w:r w:rsidR="00326194">
        <w:rPr>
          <w:rFonts w:ascii="Times New Roman" w:hAnsi="Times New Roman"/>
          <w:bCs/>
          <w:sz w:val="22"/>
          <w:szCs w:val="22"/>
        </w:rPr>
        <w:t>ng</w:t>
      </w:r>
      <w:r w:rsidRPr="007524ED">
        <w:rPr>
          <w:rFonts w:ascii="Times New Roman" w:hAnsi="Times New Roman"/>
          <w:bCs/>
          <w:sz w:val="22"/>
          <w:szCs w:val="22"/>
        </w:rPr>
        <w:t xml:space="preserve"> dissimilar sub-bands</w:t>
      </w:r>
      <w:r w:rsidR="008146EA">
        <w:rPr>
          <w:rFonts w:ascii="Times New Roman" w:hAnsi="Times New Roman"/>
          <w:bCs/>
          <w:sz w:val="22"/>
          <w:szCs w:val="22"/>
        </w:rPr>
        <w:t xml:space="preserve"> to UL and DL transmission between</w:t>
      </w:r>
      <w:r w:rsidR="00326194">
        <w:rPr>
          <w:rFonts w:ascii="Times New Roman" w:hAnsi="Times New Roman"/>
          <w:bCs/>
          <w:sz w:val="22"/>
          <w:szCs w:val="22"/>
        </w:rPr>
        <w:t xml:space="preserve"> the</w:t>
      </w:r>
      <w:r w:rsidRPr="007524ED">
        <w:rPr>
          <w:rFonts w:ascii="Times New Roman" w:hAnsi="Times New Roman"/>
          <w:bCs/>
          <w:sz w:val="22"/>
          <w:szCs w:val="22"/>
        </w:rPr>
        <w:t xml:space="preserve"> </w:t>
      </w:r>
      <w:r w:rsidR="005151C3" w:rsidRPr="007524ED">
        <w:rPr>
          <w:rFonts w:ascii="Times New Roman" w:hAnsi="Times New Roman"/>
          <w:bCs/>
          <w:sz w:val="22"/>
          <w:szCs w:val="22"/>
        </w:rPr>
        <w:t>neighbor</w:t>
      </w:r>
      <w:r w:rsidRPr="007524ED">
        <w:rPr>
          <w:rFonts w:ascii="Times New Roman" w:hAnsi="Times New Roman"/>
          <w:bCs/>
          <w:sz w:val="22"/>
          <w:szCs w:val="22"/>
        </w:rPr>
        <w:t xml:space="preserve"> gNBs</w:t>
      </w:r>
      <w:r w:rsidR="00890B1C">
        <w:rPr>
          <w:rFonts w:ascii="Times New Roman" w:hAnsi="Times New Roman"/>
          <w:bCs/>
          <w:sz w:val="22"/>
          <w:szCs w:val="22"/>
        </w:rPr>
        <w:t xml:space="preserve"> as shown in Figure 6b</w:t>
      </w:r>
      <w:r w:rsidR="00432796" w:rsidRPr="007524ED">
        <w:rPr>
          <w:rFonts w:ascii="Times New Roman" w:hAnsi="Times New Roman"/>
          <w:bCs/>
          <w:sz w:val="22"/>
          <w:szCs w:val="22"/>
        </w:rPr>
        <w:t>.</w:t>
      </w:r>
      <w:r w:rsidR="00890B1C">
        <w:rPr>
          <w:rFonts w:ascii="Times New Roman" w:hAnsi="Times New Roman"/>
          <w:bCs/>
          <w:sz w:val="22"/>
          <w:szCs w:val="22"/>
        </w:rPr>
        <w:t xml:space="preserve"> In this case, the DL sub-band#2 at gNB1 and DL sub-band#1 at gNB2 may creat</w:t>
      </w:r>
      <w:r w:rsidR="00326194">
        <w:rPr>
          <w:rFonts w:ascii="Times New Roman" w:hAnsi="Times New Roman"/>
          <w:bCs/>
          <w:sz w:val="22"/>
          <w:szCs w:val="22"/>
        </w:rPr>
        <w:t>e intra sub-band interference to the</w:t>
      </w:r>
      <w:r w:rsidR="00890B1C">
        <w:rPr>
          <w:rFonts w:ascii="Times New Roman" w:hAnsi="Times New Roman"/>
          <w:bCs/>
          <w:sz w:val="22"/>
          <w:szCs w:val="22"/>
        </w:rPr>
        <w:t xml:space="preserve"> UL sub-band#2 at gNB2 and UL sub-band#1 at gNB1 respectively. </w:t>
      </w:r>
    </w:p>
    <w:p w:rsidR="005151C3" w:rsidRPr="005151C3" w:rsidRDefault="006B460C" w:rsidP="00432796">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Allocation of dissimilar quantity of sub-bands to UL and DL transmi</w:t>
      </w:r>
      <w:r w:rsidR="008146EA">
        <w:rPr>
          <w:rFonts w:ascii="Times New Roman" w:hAnsi="Times New Roman"/>
          <w:bCs/>
          <w:sz w:val="22"/>
          <w:szCs w:val="22"/>
        </w:rPr>
        <w:t>ssion between</w:t>
      </w:r>
      <w:r w:rsidRPr="005151C3">
        <w:rPr>
          <w:rFonts w:ascii="Times New Roman" w:hAnsi="Times New Roman"/>
          <w:bCs/>
          <w:sz w:val="22"/>
          <w:szCs w:val="22"/>
        </w:rPr>
        <w:t xml:space="preserve"> </w:t>
      </w:r>
      <w:r w:rsidR="008218B9"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7a</w:t>
      </w:r>
      <w:r w:rsidR="00432796" w:rsidRPr="005151C3">
        <w:rPr>
          <w:rFonts w:ascii="Times New Roman" w:hAnsi="Times New Roman"/>
          <w:bCs/>
          <w:sz w:val="22"/>
          <w:szCs w:val="22"/>
        </w:rPr>
        <w:t xml:space="preserve">. </w:t>
      </w:r>
      <w:r w:rsidR="00890B1C">
        <w:rPr>
          <w:rFonts w:ascii="Times New Roman" w:hAnsi="Times New Roman"/>
          <w:bCs/>
          <w:sz w:val="22"/>
          <w:szCs w:val="22"/>
        </w:rPr>
        <w:t xml:space="preserve">In this case, the DL sub-band#2 at gNB1 may create intra sub-band interference to the UL sub-band#2 at gNB2. </w:t>
      </w:r>
    </w:p>
    <w:p w:rsidR="006B460C" w:rsidRPr="005151C3" w:rsidRDefault="006B460C" w:rsidP="006B460C">
      <w:pPr>
        <w:pStyle w:val="ListParagraph"/>
        <w:numPr>
          <w:ilvl w:val="0"/>
          <w:numId w:val="13"/>
        </w:numPr>
        <w:spacing w:after="200" w:line="276" w:lineRule="auto"/>
        <w:contextualSpacing/>
        <w:rPr>
          <w:rFonts w:ascii="Times New Roman" w:hAnsi="Times New Roman"/>
          <w:bCs/>
          <w:sz w:val="22"/>
          <w:szCs w:val="22"/>
        </w:rPr>
      </w:pPr>
      <w:r w:rsidRPr="005151C3">
        <w:rPr>
          <w:rFonts w:ascii="Times New Roman" w:hAnsi="Times New Roman"/>
          <w:bCs/>
          <w:sz w:val="22"/>
          <w:szCs w:val="22"/>
        </w:rPr>
        <w:t>Configuration of diffe</w:t>
      </w:r>
      <w:r w:rsidR="008146EA">
        <w:rPr>
          <w:rFonts w:ascii="Times New Roman" w:hAnsi="Times New Roman"/>
          <w:bCs/>
          <w:sz w:val="22"/>
          <w:szCs w:val="22"/>
        </w:rPr>
        <w:t xml:space="preserve">rent numbers of sub-bands between </w:t>
      </w:r>
      <w:r w:rsidR="005151C3" w:rsidRPr="005151C3">
        <w:rPr>
          <w:rFonts w:ascii="Times New Roman" w:hAnsi="Times New Roman"/>
          <w:bCs/>
          <w:sz w:val="22"/>
          <w:szCs w:val="22"/>
        </w:rPr>
        <w:t>neighbor</w:t>
      </w:r>
      <w:r w:rsidRPr="005151C3">
        <w:rPr>
          <w:rFonts w:ascii="Times New Roman" w:hAnsi="Times New Roman"/>
          <w:bCs/>
          <w:sz w:val="22"/>
          <w:szCs w:val="22"/>
        </w:rPr>
        <w:t xml:space="preserve"> gNBs</w:t>
      </w:r>
      <w:r w:rsidR="00890B1C">
        <w:rPr>
          <w:rFonts w:ascii="Times New Roman" w:hAnsi="Times New Roman"/>
          <w:bCs/>
          <w:sz w:val="22"/>
          <w:szCs w:val="22"/>
        </w:rPr>
        <w:t xml:space="preserve"> as shown in Figure 7b</w:t>
      </w:r>
      <w:r w:rsidR="00432796" w:rsidRPr="005151C3">
        <w:rPr>
          <w:rFonts w:ascii="Times New Roman" w:hAnsi="Times New Roman"/>
          <w:bCs/>
          <w:sz w:val="22"/>
          <w:szCs w:val="22"/>
        </w:rPr>
        <w:t>.</w:t>
      </w:r>
      <w:r w:rsidR="00890B1C">
        <w:rPr>
          <w:rFonts w:ascii="Times New Roman" w:hAnsi="Times New Roman"/>
          <w:bCs/>
          <w:sz w:val="22"/>
          <w:szCs w:val="22"/>
        </w:rPr>
        <w:t>In this case</w:t>
      </w:r>
      <w:r w:rsidR="00705F2D">
        <w:rPr>
          <w:rFonts w:ascii="Times New Roman" w:hAnsi="Times New Roman"/>
          <w:bCs/>
          <w:sz w:val="22"/>
          <w:szCs w:val="22"/>
        </w:rPr>
        <w:t xml:space="preserve">, </w:t>
      </w:r>
      <w:r w:rsidR="00890B1C">
        <w:rPr>
          <w:rFonts w:ascii="Times New Roman" w:hAnsi="Times New Roman"/>
          <w:bCs/>
          <w:sz w:val="22"/>
          <w:szCs w:val="22"/>
        </w:rPr>
        <w:t xml:space="preserve">a similar set of RBs of DL sub-band#2 at gNB1 may create intra sub-band interference to the </w:t>
      </w:r>
      <w:r w:rsidR="008146EA">
        <w:rPr>
          <w:rFonts w:ascii="Times New Roman" w:hAnsi="Times New Roman"/>
          <w:bCs/>
          <w:sz w:val="22"/>
          <w:szCs w:val="22"/>
        </w:rPr>
        <w:t>similar set</w:t>
      </w:r>
      <w:r w:rsidR="00326194">
        <w:rPr>
          <w:rFonts w:ascii="Times New Roman" w:hAnsi="Times New Roman"/>
          <w:bCs/>
          <w:sz w:val="22"/>
          <w:szCs w:val="22"/>
        </w:rPr>
        <w:t xml:space="preserve"> of RBs of UL sub-band#1 at gNB2</w:t>
      </w:r>
      <w:r w:rsidR="008146EA">
        <w:rPr>
          <w:rFonts w:ascii="Times New Roman" w:hAnsi="Times New Roman"/>
          <w:bCs/>
          <w:sz w:val="22"/>
          <w:szCs w:val="22"/>
        </w:rPr>
        <w:t xml:space="preserve">. </w:t>
      </w:r>
    </w:p>
    <w:p w:rsidR="006B460C" w:rsidRDefault="002B1981" w:rsidP="002B1981">
      <w:pPr>
        <w:keepNext/>
        <w:jc w:val="left"/>
      </w:pPr>
      <w:r>
        <w:object w:dxaOrig="4240" w:dyaOrig="2020">
          <v:shape id="_x0000_i1033" type="#_x0000_t75" style="width:205pt;height:97.5pt" o:ole="">
            <v:imagedata r:id="rId25" o:title=""/>
          </v:shape>
          <o:OLEObject Type="Embed" ProgID="Visio.Drawing.15" ShapeID="_x0000_i1033" DrawAspect="Content" ObjectID="_1726057062" r:id="rId26"/>
        </w:object>
      </w:r>
      <w:r w:rsidR="00165B87">
        <w:object w:dxaOrig="4340" w:dyaOrig="1730">
          <v:shape id="_x0000_i1034" type="#_x0000_t75" style="width:255.5pt;height:102.5pt" o:ole="">
            <v:imagedata r:id="rId27" o:title=""/>
          </v:shape>
          <o:OLEObject Type="Embed" ProgID="Visio.Drawing.15" ShapeID="_x0000_i1034" DrawAspect="Content" ObjectID="_1726057063" r:id="rId28"/>
        </w:object>
      </w:r>
    </w:p>
    <w:p w:rsidR="006B460C" w:rsidRDefault="006B460C" w:rsidP="005151C3">
      <w:pPr>
        <w:pStyle w:val="Caption"/>
        <w:jc w:val="left"/>
      </w:pPr>
      <w:r>
        <w:t xml:space="preserve">Figure </w:t>
      </w:r>
      <w:r w:rsidR="00BA0034">
        <w:fldChar w:fldCharType="begin"/>
      </w:r>
      <w:r w:rsidR="00BA0034">
        <w:instrText xml:space="preserve"> SEQ Figure \* ARABIC </w:instrText>
      </w:r>
      <w:r w:rsidR="00BA0034">
        <w:fldChar w:fldCharType="separate"/>
      </w:r>
      <w:r>
        <w:rPr>
          <w:noProof/>
        </w:rPr>
        <w:t>6</w:t>
      </w:r>
      <w:r w:rsidR="00BA0034">
        <w:rPr>
          <w:noProof/>
        </w:rPr>
        <w:fldChar w:fldCharType="end"/>
      </w:r>
      <w:r w:rsidR="00E82104">
        <w:t>a</w:t>
      </w:r>
      <w:r>
        <w:t xml:space="preserve"> different bandwidth</w:t>
      </w:r>
      <w:r w:rsidR="005151C3">
        <w:t xml:space="preserve"> scenario                                            </w:t>
      </w:r>
      <w:r>
        <w:t xml:space="preserve">Figure </w:t>
      </w:r>
      <w:r w:rsidR="00705F2D">
        <w:t>6b</w:t>
      </w:r>
      <w:r>
        <w:t xml:space="preserve"> dissimilar sub-band</w:t>
      </w:r>
      <w:r w:rsidR="005151C3">
        <w:t xml:space="preserve">s scenario </w:t>
      </w:r>
    </w:p>
    <w:p w:rsidR="006B460C" w:rsidRPr="00537B71" w:rsidRDefault="006B460C" w:rsidP="006B460C">
      <w:pPr>
        <w:rPr>
          <w:b/>
        </w:rPr>
      </w:pPr>
    </w:p>
    <w:p w:rsidR="006B460C" w:rsidRDefault="00C7235E" w:rsidP="00165B87">
      <w:pPr>
        <w:keepNext/>
        <w:jc w:val="left"/>
      </w:pPr>
      <w:r>
        <w:object w:dxaOrig="4440" w:dyaOrig="1810">
          <v:shape id="_x0000_i1035" type="#_x0000_t75" style="width:3in;height:87.5pt" o:ole="">
            <v:imagedata r:id="rId29" o:title=""/>
          </v:shape>
          <o:OLEObject Type="Embed" ProgID="Visio.Drawing.15" ShapeID="_x0000_i1035" DrawAspect="Content" ObjectID="_1726057064" r:id="rId30"/>
        </w:object>
      </w:r>
      <w:r w:rsidR="00432796">
        <w:object w:dxaOrig="4530" w:dyaOrig="1710">
          <v:shape id="_x0000_i1036" type="#_x0000_t75" style="width:244.5pt;height:92pt" o:ole="">
            <v:imagedata r:id="rId31" o:title=""/>
          </v:shape>
          <o:OLEObject Type="Embed" ProgID="Visio.Drawing.15" ShapeID="_x0000_i1036" DrawAspect="Content" ObjectID="_1726057065" r:id="rId32"/>
        </w:object>
      </w:r>
    </w:p>
    <w:p w:rsidR="006B460C" w:rsidRDefault="006B460C" w:rsidP="005151C3">
      <w:pPr>
        <w:pStyle w:val="Caption"/>
        <w:jc w:val="left"/>
      </w:pPr>
      <w:r>
        <w:t xml:space="preserve">Figure </w:t>
      </w:r>
      <w:r w:rsidR="00705F2D">
        <w:t>7a</w:t>
      </w:r>
      <w:r>
        <w:t xml:space="preserve"> different </w:t>
      </w:r>
      <w:r w:rsidRPr="00E52BA3">
        <w:t>sub-band</w:t>
      </w:r>
      <w:r>
        <w:t>s allocation</w:t>
      </w:r>
      <w:r w:rsidR="005151C3">
        <w:t xml:space="preserve"> scenario            </w:t>
      </w:r>
      <w:r>
        <w:t xml:space="preserve">Figure </w:t>
      </w:r>
      <w:r w:rsidR="00705F2D">
        <w:t>7b</w:t>
      </w:r>
      <w:r>
        <w:t xml:space="preserve"> </w:t>
      </w:r>
      <w:r w:rsidR="005151C3">
        <w:t xml:space="preserve">different </w:t>
      </w:r>
      <w:r w:rsidRPr="00C82F98">
        <w:t>sub-band</w:t>
      </w:r>
      <w:r w:rsidR="005151C3">
        <w:t>s</w:t>
      </w:r>
      <w:r w:rsidRPr="00C82F98">
        <w:t xml:space="preserve"> </w:t>
      </w:r>
      <w:r w:rsidR="005151C3">
        <w:t>number scenario</w:t>
      </w:r>
    </w:p>
    <w:p w:rsidR="008146EA" w:rsidRDefault="00A73C7E" w:rsidP="006B460C">
      <w:r>
        <w:t>In the same way</w:t>
      </w:r>
      <w:r w:rsidR="008146EA">
        <w:t xml:space="preserve">, the aforementioned scenarios may also create UE to UE co-channel intra sub-band interference. </w:t>
      </w:r>
    </w:p>
    <w:p w:rsidR="008146EA" w:rsidRDefault="008146EA" w:rsidP="008146EA">
      <w:r>
        <w:t>In our view,</w:t>
      </w:r>
      <w:r w:rsidR="004E2BCA">
        <w:t xml:space="preserve"> the</w:t>
      </w:r>
      <w:r>
        <w:t xml:space="preserve"> gNB to gNB and UE to UE co-channel intra sub-band interference can be avoided</w:t>
      </w:r>
      <w:r w:rsidR="004E2BCA">
        <w:t xml:space="preserve">. For this purpose, </w:t>
      </w:r>
      <w:r>
        <w:t xml:space="preserve">the </w:t>
      </w:r>
      <w:r w:rsidR="004E2BCA">
        <w:t>neighbor</w:t>
      </w:r>
      <w:r>
        <w:t xml:space="preserve"> gNBs</w:t>
      </w:r>
      <w:r w:rsidR="00974E52">
        <w:t xml:space="preserve"> may need to</w:t>
      </w:r>
      <w:r>
        <w:t xml:space="preserve"> exchange </w:t>
      </w:r>
      <w:r w:rsidR="004E2BCA" w:rsidRPr="00CE1893">
        <w:t>SBFD assistanc</w:t>
      </w:r>
      <w:r w:rsidR="004E2BCA">
        <w:t>e information among each other, such as</w:t>
      </w:r>
      <w:r w:rsidR="004E2BCA" w:rsidRPr="00CE1893">
        <w:t xml:space="preserve"> the bandwidth of sub-band,</w:t>
      </w:r>
      <w:r w:rsidR="004E2BCA">
        <w:t xml:space="preserve"> the</w:t>
      </w:r>
      <w:r w:rsidR="004E2BCA" w:rsidRPr="00CE1893">
        <w:t xml:space="preserve"> number of</w:t>
      </w:r>
      <w:r w:rsidR="004E2BCA">
        <w:t xml:space="preserve"> configured</w:t>
      </w:r>
      <w:r w:rsidR="004E2BCA" w:rsidRPr="00CE1893">
        <w:t xml:space="preserve"> sub-bands, </w:t>
      </w:r>
      <w:r w:rsidR="004E2BCA">
        <w:t xml:space="preserve">the </w:t>
      </w:r>
      <w:r w:rsidR="004E2BCA" w:rsidRPr="00CE1893">
        <w:t>allocation of sub-band to UL/DL transmission etc. Based on</w:t>
      </w:r>
      <w:r w:rsidR="004E2BCA">
        <w:t xml:space="preserve"> the information exchange, the neighbor gNBs can adopt the </w:t>
      </w:r>
      <w:r w:rsidR="00974E52">
        <w:t xml:space="preserve">following </w:t>
      </w:r>
      <w:r w:rsidR="004E2BCA">
        <w:t>solutions points to avoid the intra sub-band interference.</w:t>
      </w:r>
    </w:p>
    <w:p w:rsidR="006B460C" w:rsidRPr="004E2BCA" w:rsidRDefault="006B460C" w:rsidP="008146EA">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Keep the same bandwidth of UL to UL and DL to DL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Assign alike sub-bands to UL and DL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Pr="004E2BCA"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Allocate similar quantity of sub-bands to DL and UL transmission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6B460C" w:rsidRDefault="006B460C" w:rsidP="006B460C">
      <w:pPr>
        <w:pStyle w:val="ListParagraph"/>
        <w:numPr>
          <w:ilvl w:val="0"/>
          <w:numId w:val="12"/>
        </w:numPr>
        <w:spacing w:after="200" w:line="276" w:lineRule="auto"/>
        <w:contextualSpacing/>
        <w:rPr>
          <w:rFonts w:ascii="Times New Roman" w:hAnsi="Times New Roman"/>
          <w:sz w:val="22"/>
          <w:szCs w:val="22"/>
        </w:rPr>
      </w:pPr>
      <w:r w:rsidRPr="004E2BCA">
        <w:rPr>
          <w:rFonts w:ascii="Times New Roman" w:hAnsi="Times New Roman"/>
          <w:sz w:val="22"/>
          <w:szCs w:val="22"/>
        </w:rPr>
        <w:t xml:space="preserve">Configure similar numbers of sub-bands among the </w:t>
      </w:r>
      <w:r w:rsidR="00705F2D" w:rsidRPr="004E2BCA">
        <w:rPr>
          <w:rFonts w:ascii="Times New Roman" w:hAnsi="Times New Roman"/>
          <w:sz w:val="22"/>
          <w:szCs w:val="22"/>
        </w:rPr>
        <w:t>neighbor</w:t>
      </w:r>
      <w:r w:rsidRPr="004E2BCA">
        <w:rPr>
          <w:rFonts w:ascii="Times New Roman" w:hAnsi="Times New Roman"/>
          <w:sz w:val="22"/>
          <w:szCs w:val="22"/>
        </w:rPr>
        <w:t xml:space="preserve"> gNBs </w:t>
      </w:r>
    </w:p>
    <w:p w:rsidR="00491861" w:rsidRPr="00491861" w:rsidRDefault="00491861" w:rsidP="00491861">
      <w:pPr>
        <w:spacing w:after="200" w:line="276" w:lineRule="auto"/>
        <w:ind w:left="360"/>
        <w:contextualSpacing/>
      </w:pPr>
    </w:p>
    <w:p w:rsidR="006B460C" w:rsidRPr="004E2BCA" w:rsidRDefault="004E2BCA" w:rsidP="006B460C">
      <w:pPr>
        <w:rPr>
          <w:b/>
          <w:i/>
        </w:rPr>
      </w:pPr>
      <w:r w:rsidRPr="004E2BCA">
        <w:rPr>
          <w:b/>
          <w:i/>
        </w:rPr>
        <w:t>Observation</w:t>
      </w:r>
      <w:r w:rsidR="00E56515">
        <w:rPr>
          <w:b/>
          <w:i/>
        </w:rPr>
        <w:t xml:space="preserve"> 9</w:t>
      </w:r>
      <w:r w:rsidRPr="004E2BCA">
        <w:rPr>
          <w:b/>
          <w:i/>
        </w:rPr>
        <w:t xml:space="preserve">: </w:t>
      </w:r>
      <w:r w:rsidR="00B70197">
        <w:rPr>
          <w:b/>
          <w:i/>
        </w:rPr>
        <w:t>The following scenarios may create gNB to gNB and UE to UE c</w:t>
      </w:r>
      <w:r w:rsidRPr="004E2BCA">
        <w:rPr>
          <w:b/>
          <w:i/>
        </w:rPr>
        <w:t>o-chan</w:t>
      </w:r>
      <w:r w:rsidR="00B70197">
        <w:rPr>
          <w:b/>
          <w:i/>
        </w:rPr>
        <w:t>nel intra sub-band interference;</w:t>
      </w:r>
    </w:p>
    <w:p w:rsidR="004E2BCA" w:rsidRPr="004E2BCA" w:rsidRDefault="004E2BCA" w:rsidP="004E2BCA">
      <w:pPr>
        <w:pStyle w:val="ListParagraph"/>
        <w:numPr>
          <w:ilvl w:val="0"/>
          <w:numId w:val="17"/>
        </w:numPr>
        <w:rPr>
          <w:rFonts w:ascii="Times New Roman" w:hAnsi="Times New Roman"/>
          <w:b/>
          <w:bCs/>
          <w:i/>
          <w:sz w:val="22"/>
          <w:szCs w:val="22"/>
        </w:rPr>
      </w:pPr>
      <w:r w:rsidRPr="004E2BCA">
        <w:rPr>
          <w:rFonts w:ascii="Times New Roman" w:hAnsi="Times New Roman"/>
          <w:b/>
          <w:bCs/>
          <w:i/>
          <w:sz w:val="22"/>
          <w:szCs w:val="22"/>
        </w:rPr>
        <w:t xml:space="preserve">Allocating different bandwidth to the UL to UL and DL to DL sub-bands among </w:t>
      </w:r>
      <w:r w:rsidR="009117DC" w:rsidRPr="004E2BCA">
        <w:rPr>
          <w:rFonts w:ascii="Times New Roman" w:hAnsi="Times New Roman"/>
          <w:b/>
          <w:bCs/>
          <w:i/>
          <w:sz w:val="22"/>
          <w:szCs w:val="22"/>
        </w:rPr>
        <w:t>nei</w:t>
      </w:r>
      <w:r w:rsidR="009117DC">
        <w:rPr>
          <w:rFonts w:ascii="Times New Roman" w:hAnsi="Times New Roman"/>
          <w:b/>
          <w:bCs/>
          <w:i/>
          <w:sz w:val="22"/>
          <w:szCs w:val="22"/>
        </w:rPr>
        <w:t>ghbor</w:t>
      </w:r>
      <w:r w:rsidRPr="004E2BCA">
        <w:rPr>
          <w:rFonts w:ascii="Times New Roman" w:hAnsi="Times New Roman"/>
          <w:b/>
          <w:bCs/>
          <w:i/>
          <w:sz w:val="22"/>
          <w:szCs w:val="22"/>
        </w:rPr>
        <w:t xml:space="preserve"> gNBs </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sub-bands to UL and DL transmission between neighbor gNBs</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Allocation of dissimilar quantity of sub-bands to UL and DL transmission between neighbor</w:t>
      </w:r>
    </w:p>
    <w:p w:rsidR="004E2BCA" w:rsidRPr="004E2BCA" w:rsidRDefault="004E2BCA" w:rsidP="004E2BCA">
      <w:pPr>
        <w:pStyle w:val="ListParagraph"/>
        <w:numPr>
          <w:ilvl w:val="0"/>
          <w:numId w:val="17"/>
        </w:numPr>
        <w:rPr>
          <w:b/>
          <w:i/>
        </w:rPr>
      </w:pPr>
      <w:r w:rsidRPr="004E2BCA">
        <w:rPr>
          <w:rFonts w:ascii="Times New Roman" w:hAnsi="Times New Roman"/>
          <w:b/>
          <w:bCs/>
          <w:i/>
          <w:sz w:val="22"/>
          <w:szCs w:val="22"/>
        </w:rPr>
        <w:t>Configuration of different numbers of sub-bands between neighbor gNBs</w:t>
      </w:r>
    </w:p>
    <w:p w:rsidR="006B460C" w:rsidRDefault="006B460C" w:rsidP="006B460C"/>
    <w:p w:rsidR="00491861" w:rsidRPr="00491861" w:rsidRDefault="00843507" w:rsidP="006B460C">
      <w:pPr>
        <w:rPr>
          <w:b/>
        </w:rPr>
      </w:pPr>
      <w:r>
        <w:rPr>
          <w:b/>
        </w:rPr>
        <w:t>Proposal 6</w:t>
      </w:r>
      <w:r w:rsidR="00FF1BD8" w:rsidRPr="00491861">
        <w:rPr>
          <w:b/>
        </w:rPr>
        <w:t>: To avoid the intra sub-band interference</w:t>
      </w:r>
      <w:r w:rsidR="00491861" w:rsidRPr="00491861">
        <w:rPr>
          <w:b/>
        </w:rPr>
        <w:t xml:space="preserve"> in SBFD operation</w:t>
      </w:r>
      <w:r w:rsidR="00FF1BD8" w:rsidRPr="00491861">
        <w:rPr>
          <w:b/>
        </w:rPr>
        <w:t xml:space="preserve"> the </w:t>
      </w:r>
      <w:r w:rsidR="00BF78F9" w:rsidRPr="00491861">
        <w:rPr>
          <w:b/>
        </w:rPr>
        <w:t>neighbor’s</w:t>
      </w:r>
      <w:r w:rsidR="00FF1BD8" w:rsidRPr="00491861">
        <w:rPr>
          <w:b/>
        </w:rPr>
        <w:t xml:space="preserve"> gNB shall</w:t>
      </w:r>
      <w:r w:rsidR="00491861" w:rsidRPr="00491861">
        <w:rPr>
          <w:b/>
        </w:rPr>
        <w:t>:</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rsidR="00491861" w:rsidRPr="00491861" w:rsidRDefault="00491861" w:rsidP="00491861">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rsidR="00FF425C" w:rsidRPr="00763B00" w:rsidRDefault="00491861" w:rsidP="00763B00">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rsidR="00FF425C" w:rsidRDefault="00FF425C">
      <w:pPr>
        <w:rPr>
          <w:lang w:val="fi-FI" w:eastAsia="zh-CN"/>
        </w:rPr>
      </w:pPr>
    </w:p>
    <w:p w:rsidR="00FF425C" w:rsidRDefault="00F3458E">
      <w:pPr>
        <w:pStyle w:val="Heading1"/>
      </w:pPr>
      <w:r>
        <w:t>Conclusion</w:t>
      </w:r>
    </w:p>
    <w:p w:rsidR="00FF425C" w:rsidRPr="006672CE" w:rsidRDefault="00F3458E">
      <w:pPr>
        <w:rPr>
          <w:i/>
          <w:lang w:eastAsia="zh-CN"/>
        </w:rPr>
      </w:pPr>
      <w:r>
        <w:t xml:space="preserve">In this contribution we discussed </w:t>
      </w:r>
      <w:r w:rsidR="00B70197">
        <w:rPr>
          <w:lang w:eastAsia="ko-KR"/>
        </w:rPr>
        <w:t>the basic features and requirement of SBFD o</w:t>
      </w:r>
      <w:r w:rsidR="006672CE">
        <w:rPr>
          <w:lang w:eastAsia="ko-KR"/>
        </w:rPr>
        <w:t>peration, the configuration/</w:t>
      </w:r>
      <w:r w:rsidR="00B70197">
        <w:rPr>
          <w:lang w:eastAsia="ko-KR"/>
        </w:rPr>
        <w:t xml:space="preserve">indication of </w:t>
      </w:r>
      <w:r w:rsidR="006672CE">
        <w:rPr>
          <w:lang w:eastAsia="ko-KR"/>
        </w:rPr>
        <w:t xml:space="preserve">time/frequency resources of a </w:t>
      </w:r>
      <w:r w:rsidR="00B70197">
        <w:rPr>
          <w:lang w:eastAsia="ko-KR"/>
        </w:rPr>
        <w:t>sub-bands to the UE</w:t>
      </w:r>
      <w:r w:rsidR="006672CE">
        <w:rPr>
          <w:lang w:eastAsia="ko-KR"/>
        </w:rPr>
        <w:t>,</w:t>
      </w:r>
      <w:r w:rsidR="006672CE" w:rsidRPr="009103C5">
        <w:rPr>
          <w:lang w:eastAsia="ko-KR"/>
        </w:rPr>
        <w:t xml:space="preserve"> the allocation of time/frequency resources to the DL/UL sub-band</w:t>
      </w:r>
      <w:r w:rsidR="006672CE">
        <w:rPr>
          <w:lang w:eastAsia="ko-KR"/>
        </w:rPr>
        <w:t>s</w:t>
      </w:r>
      <w:r w:rsidR="006672CE" w:rsidRPr="009103C5">
        <w:rPr>
          <w:lang w:eastAsia="ko-KR"/>
        </w:rPr>
        <w:t>, and the interferen</w:t>
      </w:r>
      <w:r w:rsidR="006672CE">
        <w:rPr>
          <w:lang w:eastAsia="ko-KR"/>
        </w:rPr>
        <w:t>ce management in SBFD operation</w:t>
      </w:r>
      <w:r w:rsidRPr="00F30B9F">
        <w:rPr>
          <w:b/>
        </w:rPr>
        <w:t xml:space="preserve">, </w:t>
      </w:r>
      <w:r w:rsidRPr="00B70197">
        <w:t>and made the following observations and proposals.</w:t>
      </w:r>
    </w:p>
    <w:p w:rsidR="00A82158" w:rsidRDefault="00A82158" w:rsidP="00A82158">
      <w:pPr>
        <w:rPr>
          <w:b/>
          <w:i/>
        </w:rPr>
      </w:pPr>
      <w:r w:rsidRPr="002B0799">
        <w:rPr>
          <w:b/>
          <w:i/>
        </w:rPr>
        <w:t>Observation</w:t>
      </w:r>
      <w:r>
        <w:rPr>
          <w:b/>
          <w:i/>
        </w:rPr>
        <w:t xml:space="preserve"> 1</w:t>
      </w:r>
      <w:r w:rsidRPr="002B0799">
        <w:rPr>
          <w:b/>
          <w:i/>
        </w:rPr>
        <w:t xml:space="preserve">: Re-using the existing configuration of conventional TDD </w:t>
      </w:r>
      <w:r>
        <w:rPr>
          <w:b/>
          <w:i/>
        </w:rPr>
        <w:t xml:space="preserve">for SBFD configuration may requires; </w:t>
      </w:r>
    </w:p>
    <w:p w:rsidR="00A82158" w:rsidRPr="005508C1" w:rsidRDefault="00A82158" w:rsidP="00A82158">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To include an explicit configuration of NRofUplinkRBs,</w:t>
      </w:r>
      <w:r>
        <w:rPr>
          <w:rFonts w:ascii="Times New Roman" w:hAnsi="Times New Roman"/>
          <w:b/>
          <w:i/>
          <w:sz w:val="22"/>
          <w:szCs w:val="22"/>
        </w:rPr>
        <w:t xml:space="preserve"> and</w:t>
      </w:r>
      <w:r w:rsidRPr="005508C1">
        <w:rPr>
          <w:rFonts w:ascii="Times New Roman" w:hAnsi="Times New Roman"/>
          <w:b/>
          <w:i/>
          <w:sz w:val="22"/>
          <w:szCs w:val="22"/>
        </w:rPr>
        <w:t xml:space="preserve"> startingofUplinkRBs for UL sub-band in DL or flexible slots/symbols. </w:t>
      </w:r>
    </w:p>
    <w:p w:rsidR="00A82158" w:rsidRDefault="00A82158" w:rsidP="00A82158">
      <w:pPr>
        <w:pStyle w:val="ListParagraph"/>
        <w:numPr>
          <w:ilvl w:val="0"/>
          <w:numId w:val="26"/>
        </w:numPr>
        <w:rPr>
          <w:rFonts w:ascii="Times New Roman" w:hAnsi="Times New Roman"/>
          <w:b/>
          <w:i/>
          <w:sz w:val="22"/>
          <w:szCs w:val="22"/>
        </w:rPr>
      </w:pPr>
      <w:r w:rsidRPr="005508C1">
        <w:rPr>
          <w:rFonts w:ascii="Times New Roman" w:hAnsi="Times New Roman"/>
          <w:b/>
          <w:i/>
          <w:sz w:val="22"/>
          <w:szCs w:val="22"/>
        </w:rPr>
        <w:t>To include an explicit configuration of NRofDownlinkRBs</w:t>
      </w:r>
      <w:r>
        <w:rPr>
          <w:rFonts w:ascii="Times New Roman" w:hAnsi="Times New Roman"/>
          <w:b/>
          <w:i/>
          <w:sz w:val="22"/>
          <w:szCs w:val="22"/>
        </w:rPr>
        <w:t xml:space="preserve">, and startingofDownlinkRBs </w:t>
      </w:r>
      <w:r w:rsidRPr="005508C1">
        <w:rPr>
          <w:rFonts w:ascii="Times New Roman" w:hAnsi="Times New Roman"/>
          <w:b/>
          <w:i/>
          <w:sz w:val="22"/>
          <w:szCs w:val="22"/>
        </w:rPr>
        <w:t xml:space="preserve">for DL sub-band in UL or flexible slots/symbols. </w:t>
      </w:r>
    </w:p>
    <w:p w:rsidR="00D3348B" w:rsidRDefault="00D3348B"/>
    <w:p w:rsidR="00A82158" w:rsidRDefault="00A82158" w:rsidP="00A82158">
      <w:pPr>
        <w:rPr>
          <w:b/>
          <w:i/>
          <w:lang w:val="fi-FI"/>
        </w:rPr>
      </w:pPr>
      <w:r w:rsidRPr="00183A5C">
        <w:rPr>
          <w:b/>
          <w:i/>
          <w:lang w:val="fi-FI"/>
        </w:rPr>
        <w:t>Observation</w:t>
      </w:r>
      <w:r>
        <w:rPr>
          <w:b/>
          <w:i/>
          <w:lang w:val="fi-FI"/>
        </w:rPr>
        <w:t xml:space="preserve"> 2</w:t>
      </w:r>
      <w:r w:rsidRPr="00183A5C">
        <w:rPr>
          <w:b/>
          <w:i/>
          <w:lang w:val="fi-FI"/>
        </w:rPr>
        <w:t>: Re-using the existing conventional TDD configuration for SBFD</w:t>
      </w:r>
      <w:r>
        <w:rPr>
          <w:b/>
          <w:i/>
          <w:lang w:val="fi-FI"/>
        </w:rPr>
        <w:t xml:space="preserve"> </w:t>
      </w:r>
      <w:r w:rsidRPr="00183A5C">
        <w:rPr>
          <w:b/>
          <w:i/>
          <w:lang w:val="fi-FI"/>
        </w:rPr>
        <w:t xml:space="preserve">operation may </w:t>
      </w:r>
      <w:r>
        <w:rPr>
          <w:b/>
          <w:i/>
          <w:lang w:val="fi-FI"/>
        </w:rPr>
        <w:t xml:space="preserve">encounter the following issues </w:t>
      </w:r>
    </w:p>
    <w:p w:rsidR="00A82158" w:rsidRPr="00183A5C" w:rsidRDefault="00A82158" w:rsidP="00A82158">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 xml:space="preserve">Increas the higher layer singlaings </w:t>
      </w:r>
    </w:p>
    <w:p w:rsidR="00A82158" w:rsidRDefault="00A82158" w:rsidP="00A82158">
      <w:pPr>
        <w:pStyle w:val="ListParagraph"/>
        <w:numPr>
          <w:ilvl w:val="0"/>
          <w:numId w:val="23"/>
        </w:numPr>
        <w:rPr>
          <w:rFonts w:ascii="Times New Roman" w:hAnsi="Times New Roman"/>
          <w:b/>
          <w:i/>
          <w:sz w:val="22"/>
          <w:szCs w:val="22"/>
          <w:lang w:val="fi-FI"/>
        </w:rPr>
      </w:pPr>
      <w:r w:rsidRPr="00183A5C">
        <w:rPr>
          <w:rFonts w:ascii="Times New Roman" w:hAnsi="Times New Roman"/>
          <w:b/>
          <w:i/>
          <w:sz w:val="22"/>
          <w:szCs w:val="22"/>
          <w:lang w:val="fi-FI"/>
        </w:rPr>
        <w:t>Increase the gNB complexity in handling of collisin btween SSB and UL sub-band tranmission</w:t>
      </w:r>
    </w:p>
    <w:p w:rsidR="00A82158" w:rsidRDefault="00A82158" w:rsidP="00A82158">
      <w:pPr>
        <w:rPr>
          <w:b/>
          <w:i/>
          <w:lang w:val="fi-FI"/>
        </w:rPr>
      </w:pPr>
      <w:r>
        <w:rPr>
          <w:b/>
          <w:i/>
          <w:lang w:val="fi-FI"/>
        </w:rPr>
        <w:t xml:space="preserve">Observation 3: Static configuration and dynamic indication and activation/de-activation of DL/UL sub-bands to the UE may </w:t>
      </w:r>
    </w:p>
    <w:p w:rsidR="00A82158" w:rsidRPr="00F30B9F" w:rsidRDefault="00A82158" w:rsidP="00A82158">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Reduce the higher layer signlaing </w:t>
      </w:r>
    </w:p>
    <w:p w:rsidR="00A82158" w:rsidRDefault="00A82158" w:rsidP="00A82158">
      <w:pPr>
        <w:pStyle w:val="ListParagraph"/>
        <w:numPr>
          <w:ilvl w:val="0"/>
          <w:numId w:val="27"/>
        </w:numPr>
        <w:rPr>
          <w:rFonts w:ascii="Times New Roman" w:hAnsi="Times New Roman"/>
          <w:b/>
          <w:i/>
          <w:sz w:val="22"/>
          <w:szCs w:val="22"/>
          <w:lang w:val="fi-FI"/>
        </w:rPr>
      </w:pPr>
      <w:r w:rsidRPr="00F30B9F">
        <w:rPr>
          <w:rFonts w:ascii="Times New Roman" w:hAnsi="Times New Roman"/>
          <w:b/>
          <w:i/>
          <w:sz w:val="22"/>
          <w:szCs w:val="22"/>
          <w:lang w:val="fi-FI"/>
        </w:rPr>
        <w:t xml:space="preserve">Increase the flexibility of gNB to handle the collision of SSB and UL sub-band trasnmission </w:t>
      </w:r>
    </w:p>
    <w:p w:rsidR="00A82158" w:rsidRPr="00F30B9F" w:rsidRDefault="00A82158" w:rsidP="00A82158">
      <w:pPr>
        <w:pStyle w:val="ListParagraph"/>
        <w:numPr>
          <w:ilvl w:val="0"/>
          <w:numId w:val="27"/>
        </w:numPr>
        <w:rPr>
          <w:rFonts w:ascii="Times New Roman" w:hAnsi="Times New Roman"/>
          <w:b/>
          <w:i/>
          <w:sz w:val="22"/>
          <w:szCs w:val="22"/>
          <w:lang w:val="fi-FI"/>
        </w:rPr>
      </w:pPr>
    </w:p>
    <w:p w:rsidR="00C90D7B" w:rsidRDefault="00C90D7B" w:rsidP="00C90D7B">
      <w:pPr>
        <w:keepNext/>
        <w:jc w:val="left"/>
        <w:rPr>
          <w:b/>
          <w:i/>
        </w:rPr>
      </w:pPr>
      <w:r>
        <w:rPr>
          <w:b/>
          <w:i/>
        </w:rPr>
        <w:t>Observation 4</w:t>
      </w:r>
      <w:r w:rsidRPr="00120982">
        <w:rPr>
          <w:b/>
          <w:i/>
        </w:rPr>
        <w:t>: Allocation of frequency resources</w:t>
      </w:r>
      <w:r>
        <w:rPr>
          <w:b/>
          <w:i/>
        </w:rPr>
        <w:t xml:space="preserve"> to a sub-band</w:t>
      </w:r>
      <w:r w:rsidRPr="00120982">
        <w:rPr>
          <w:b/>
          <w:i/>
        </w:rPr>
        <w:t xml:space="preserve"> in the inner RBs</w:t>
      </w:r>
      <w:r>
        <w:rPr>
          <w:b/>
          <w:i/>
        </w:rPr>
        <w:t xml:space="preserve"> or inner carrier of a TDD band may;</w:t>
      </w:r>
    </w:p>
    <w:p w:rsidR="00C90D7B" w:rsidRPr="00AC3396" w:rsidRDefault="00C90D7B" w:rsidP="00C90D7B">
      <w:pPr>
        <w:pStyle w:val="ListParagraph"/>
        <w:keepNext/>
        <w:numPr>
          <w:ilvl w:val="0"/>
          <w:numId w:val="19"/>
        </w:numPr>
        <w:rPr>
          <w:rFonts w:ascii="Times New Roman" w:hAnsi="Times New Roman"/>
          <w:b/>
          <w:i/>
          <w:sz w:val="22"/>
          <w:szCs w:val="22"/>
        </w:rPr>
      </w:pPr>
      <w:r w:rsidRPr="00AC3396">
        <w:rPr>
          <w:rFonts w:ascii="Times New Roman" w:hAnsi="Times New Roman"/>
          <w:b/>
          <w:i/>
          <w:sz w:val="22"/>
          <w:szCs w:val="22"/>
        </w:rPr>
        <w:t>Reduce</w:t>
      </w:r>
      <w:r>
        <w:rPr>
          <w:rFonts w:ascii="Times New Roman" w:hAnsi="Times New Roman"/>
          <w:b/>
          <w:i/>
          <w:sz w:val="22"/>
          <w:szCs w:val="22"/>
        </w:rPr>
        <w:t>s</w:t>
      </w:r>
      <w:r w:rsidRPr="00AC3396">
        <w:rPr>
          <w:rFonts w:ascii="Times New Roman" w:hAnsi="Times New Roman"/>
          <w:b/>
          <w:i/>
          <w:sz w:val="22"/>
          <w:szCs w:val="22"/>
        </w:rPr>
        <w:t xml:space="preserve"> the interference from the adjacent</w:t>
      </w:r>
      <w:r>
        <w:rPr>
          <w:rFonts w:ascii="Times New Roman" w:hAnsi="Times New Roman"/>
          <w:b/>
          <w:i/>
          <w:sz w:val="22"/>
          <w:szCs w:val="22"/>
        </w:rPr>
        <w:t xml:space="preserve"> gNB but it may increase the gNB self-interference </w:t>
      </w:r>
    </w:p>
    <w:p w:rsidR="00C90D7B" w:rsidRPr="00AC3396" w:rsidRDefault="00C90D7B" w:rsidP="00C90D7B">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Pr="00AC3396">
        <w:rPr>
          <w:rFonts w:ascii="Times New Roman" w:hAnsi="Times New Roman"/>
          <w:b/>
          <w:i/>
          <w:sz w:val="22"/>
          <w:szCs w:val="22"/>
        </w:rPr>
        <w:t xml:space="preserve"> at least three sub-bands within a TDD band</w:t>
      </w:r>
    </w:p>
    <w:p w:rsidR="00C90D7B" w:rsidRDefault="00C90D7B" w:rsidP="00C90D7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Requires </w:t>
      </w:r>
      <w:r w:rsidRPr="00AC3396">
        <w:rPr>
          <w:rFonts w:ascii="Times New Roman" w:hAnsi="Times New Roman"/>
          <w:b/>
          <w:i/>
          <w:sz w:val="22"/>
          <w:szCs w:val="22"/>
        </w:rPr>
        <w:t xml:space="preserve">two guard bands to separate the opposite direction sub-bands.  </w:t>
      </w:r>
    </w:p>
    <w:p w:rsidR="00C90D7B" w:rsidRPr="00AC3396" w:rsidRDefault="00C90D7B" w:rsidP="00C90D7B">
      <w:pPr>
        <w:pStyle w:val="ListParagraph"/>
        <w:keepNext/>
        <w:ind w:left="720" w:firstLine="0"/>
        <w:rPr>
          <w:rFonts w:ascii="Times New Roman" w:hAnsi="Times New Roman"/>
          <w:b/>
          <w:i/>
          <w:sz w:val="22"/>
          <w:szCs w:val="22"/>
        </w:rPr>
      </w:pPr>
    </w:p>
    <w:p w:rsidR="00C90D7B" w:rsidRDefault="00C90D7B" w:rsidP="00C90D7B">
      <w:pPr>
        <w:keepNext/>
        <w:jc w:val="left"/>
        <w:rPr>
          <w:b/>
          <w:i/>
        </w:rPr>
      </w:pPr>
      <w:r w:rsidRPr="00120982">
        <w:rPr>
          <w:b/>
          <w:i/>
        </w:rPr>
        <w:t xml:space="preserve">Observation </w:t>
      </w:r>
      <w:r>
        <w:rPr>
          <w:b/>
          <w:i/>
        </w:rPr>
        <w:t>5</w:t>
      </w:r>
      <w:r w:rsidRPr="00120982">
        <w:rPr>
          <w:b/>
          <w:i/>
        </w:rPr>
        <w:t xml:space="preserve">: Allocation of frequency resources </w:t>
      </w:r>
      <w:r>
        <w:rPr>
          <w:b/>
          <w:i/>
        </w:rPr>
        <w:t xml:space="preserve">to a sub-band </w:t>
      </w:r>
      <w:r w:rsidRPr="00120982">
        <w:rPr>
          <w:b/>
          <w:i/>
        </w:rPr>
        <w:t xml:space="preserve">in the </w:t>
      </w:r>
      <w:r>
        <w:rPr>
          <w:b/>
          <w:i/>
        </w:rPr>
        <w:t>outer</w:t>
      </w:r>
      <w:r w:rsidRPr="00120982">
        <w:rPr>
          <w:b/>
          <w:i/>
        </w:rPr>
        <w:t xml:space="preserve"> RBs or </w:t>
      </w:r>
      <w:r>
        <w:rPr>
          <w:b/>
          <w:i/>
        </w:rPr>
        <w:t xml:space="preserve">outer </w:t>
      </w:r>
      <w:r w:rsidRPr="00120982">
        <w:rPr>
          <w:b/>
          <w:i/>
        </w:rPr>
        <w:t xml:space="preserve">carrier of a TDD band </w:t>
      </w:r>
      <w:r>
        <w:rPr>
          <w:b/>
          <w:i/>
        </w:rPr>
        <w:t>may;</w:t>
      </w:r>
    </w:p>
    <w:p w:rsidR="00C90D7B" w:rsidRPr="005D6E61" w:rsidRDefault="00C90D7B" w:rsidP="00C90D7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Increase </w:t>
      </w:r>
      <w:r w:rsidRPr="005D6E61">
        <w:rPr>
          <w:rFonts w:ascii="Times New Roman" w:hAnsi="Times New Roman"/>
          <w:b/>
          <w:i/>
          <w:sz w:val="22"/>
          <w:szCs w:val="22"/>
        </w:rPr>
        <w:t>the interference from the adjacent gNB</w:t>
      </w:r>
      <w:r>
        <w:rPr>
          <w:rFonts w:ascii="Times New Roman" w:hAnsi="Times New Roman"/>
          <w:b/>
          <w:i/>
          <w:sz w:val="22"/>
          <w:szCs w:val="22"/>
        </w:rPr>
        <w:t xml:space="preserve"> but </w:t>
      </w:r>
      <w:r w:rsidRPr="005D6E61">
        <w:rPr>
          <w:rFonts w:ascii="Times New Roman" w:hAnsi="Times New Roman"/>
          <w:b/>
          <w:i/>
          <w:sz w:val="22"/>
          <w:szCs w:val="22"/>
        </w:rPr>
        <w:t xml:space="preserve">reduces the gNB self-interference </w:t>
      </w:r>
    </w:p>
    <w:p w:rsidR="00C90D7B" w:rsidRPr="005D6E61" w:rsidRDefault="00C90D7B" w:rsidP="00C90D7B">
      <w:pPr>
        <w:pStyle w:val="ListParagraph"/>
        <w:keepNext/>
        <w:numPr>
          <w:ilvl w:val="0"/>
          <w:numId w:val="19"/>
        </w:numPr>
        <w:rPr>
          <w:rFonts w:ascii="Times New Roman" w:hAnsi="Times New Roman"/>
          <w:b/>
          <w:i/>
          <w:sz w:val="22"/>
          <w:szCs w:val="22"/>
        </w:rPr>
      </w:pPr>
      <w:r>
        <w:rPr>
          <w:rFonts w:ascii="Times New Roman" w:hAnsi="Times New Roman"/>
          <w:b/>
          <w:i/>
          <w:sz w:val="22"/>
          <w:szCs w:val="22"/>
        </w:rPr>
        <w:t xml:space="preserve">Defines flexible numbers of sub-bands e.g. either two sub-bands or three sub-bands </w:t>
      </w:r>
    </w:p>
    <w:p w:rsidR="00C90D7B" w:rsidRDefault="00C90D7B" w:rsidP="00C90D7B">
      <w:pPr>
        <w:pStyle w:val="ListParagraph"/>
        <w:keepNext/>
        <w:numPr>
          <w:ilvl w:val="0"/>
          <w:numId w:val="19"/>
        </w:numPr>
        <w:rPr>
          <w:rFonts w:ascii="Times New Roman" w:hAnsi="Times New Roman"/>
          <w:b/>
          <w:i/>
          <w:sz w:val="22"/>
          <w:szCs w:val="22"/>
        </w:rPr>
      </w:pPr>
      <w:r>
        <w:rPr>
          <w:rFonts w:ascii="Times New Roman" w:hAnsi="Times New Roman"/>
          <w:b/>
          <w:i/>
          <w:sz w:val="22"/>
          <w:szCs w:val="22"/>
        </w:rPr>
        <w:t>Requires</w:t>
      </w:r>
      <w:r w:rsidRPr="005D6E61">
        <w:rPr>
          <w:rFonts w:ascii="Times New Roman" w:hAnsi="Times New Roman"/>
          <w:b/>
          <w:i/>
          <w:sz w:val="22"/>
          <w:szCs w:val="22"/>
        </w:rPr>
        <w:t xml:space="preserve"> only one guard band. </w:t>
      </w:r>
    </w:p>
    <w:p w:rsidR="00A82158" w:rsidRDefault="00A82158" w:rsidP="00A82158">
      <w:pPr>
        <w:rPr>
          <w:b/>
          <w:lang w:eastAsia="zh-CN"/>
        </w:rPr>
      </w:pPr>
    </w:p>
    <w:p w:rsidR="00C90D7B" w:rsidRPr="004F021F" w:rsidRDefault="00C90D7B" w:rsidP="00A82158">
      <w:pPr>
        <w:rPr>
          <w:b/>
          <w:i/>
        </w:rPr>
      </w:pPr>
      <w:r w:rsidRPr="00FC0142">
        <w:rPr>
          <w:b/>
          <w:i/>
        </w:rPr>
        <w:t>Observation</w:t>
      </w:r>
      <w:r>
        <w:rPr>
          <w:b/>
          <w:i/>
        </w:rPr>
        <w:t xml:space="preserve"> 6</w:t>
      </w:r>
      <w:r w:rsidRPr="00FC0142">
        <w:rPr>
          <w:b/>
          <w:i/>
        </w:rPr>
        <w:t>: The UL sub-bands in DL or flexibl</w:t>
      </w:r>
      <w:r>
        <w:rPr>
          <w:b/>
          <w:i/>
        </w:rPr>
        <w:t>e slots/symbols in the inner carriers or inner RBs of a TDD band</w:t>
      </w:r>
      <w:r w:rsidRPr="00FC0142">
        <w:rPr>
          <w:b/>
          <w:i/>
        </w:rPr>
        <w:t xml:space="preserve"> may </w:t>
      </w:r>
      <w:r>
        <w:rPr>
          <w:b/>
          <w:i/>
        </w:rPr>
        <w:t xml:space="preserve">create double fold </w:t>
      </w:r>
      <w:r w:rsidRPr="00FC0142">
        <w:rPr>
          <w:b/>
          <w:i/>
        </w:rPr>
        <w:t>gNB self-interference</w:t>
      </w:r>
      <w:r>
        <w:rPr>
          <w:b/>
          <w:i/>
        </w:rPr>
        <w:t xml:space="preserve">. </w:t>
      </w:r>
    </w:p>
    <w:p w:rsidR="00C90D7B" w:rsidRPr="00FC0142" w:rsidRDefault="00C90D7B" w:rsidP="00C90D7B">
      <w:pPr>
        <w:rPr>
          <w:b/>
          <w:i/>
        </w:rPr>
      </w:pPr>
      <w:r w:rsidRPr="00FC0142">
        <w:rPr>
          <w:b/>
          <w:i/>
        </w:rPr>
        <w:t>Observation</w:t>
      </w:r>
      <w:r>
        <w:rPr>
          <w:b/>
          <w:i/>
        </w:rPr>
        <w:t xml:space="preserve"> 7</w:t>
      </w:r>
      <w:r w:rsidRPr="00FC0142">
        <w:rPr>
          <w:b/>
          <w:i/>
        </w:rPr>
        <w:t xml:space="preserve">: The UL sub-bands in DL or flexible slots/symbols in the edge RBs may reduce the gNB self-interference. </w:t>
      </w:r>
    </w:p>
    <w:p w:rsidR="00A82158" w:rsidRPr="004F021F" w:rsidRDefault="00C90D7B" w:rsidP="00A82158">
      <w:pPr>
        <w:rPr>
          <w:b/>
          <w:i/>
        </w:rPr>
      </w:pPr>
      <w:r w:rsidRPr="00FC0142">
        <w:rPr>
          <w:b/>
          <w:i/>
        </w:rPr>
        <w:t>Observation</w:t>
      </w:r>
      <w:r>
        <w:rPr>
          <w:b/>
          <w:i/>
        </w:rPr>
        <w:t xml:space="preserve"> 8</w:t>
      </w:r>
      <w:r w:rsidRPr="00FC0142">
        <w:rPr>
          <w:b/>
          <w:i/>
        </w:rPr>
        <w:t>: Less number of sub-bands within a TDD band may reduce the gNB self-interference.</w:t>
      </w:r>
    </w:p>
    <w:p w:rsidR="00A82158" w:rsidRPr="00613A98" w:rsidRDefault="00A82158" w:rsidP="00A82158">
      <w:pPr>
        <w:rPr>
          <w:b/>
          <w:lang w:eastAsia="zh-CN"/>
        </w:rPr>
      </w:pPr>
      <w:r w:rsidRPr="00613A98">
        <w:rPr>
          <w:b/>
          <w:lang w:eastAsia="zh-CN"/>
        </w:rPr>
        <w:t>Proposal</w:t>
      </w:r>
      <w:r>
        <w:rPr>
          <w:b/>
          <w:lang w:eastAsia="zh-CN"/>
        </w:rPr>
        <w:t xml:space="preserve"> </w:t>
      </w:r>
      <w:r w:rsidRPr="00613A98">
        <w:rPr>
          <w:b/>
          <w:lang w:eastAsia="zh-CN"/>
        </w:rPr>
        <w:t>1: Support Alt4 for subband</w:t>
      </w:r>
      <w:r>
        <w:rPr>
          <w:b/>
          <w:lang w:eastAsia="zh-CN"/>
        </w:rPr>
        <w:t>s</w:t>
      </w:r>
      <w:r w:rsidRPr="00613A98">
        <w:rPr>
          <w:b/>
          <w:lang w:eastAsia="zh-CN"/>
        </w:rPr>
        <w:t xml:space="preserve"> location indication to the SBFD aware UE. </w:t>
      </w:r>
    </w:p>
    <w:p w:rsidR="00A82158" w:rsidRPr="00E56515" w:rsidRDefault="00A82158" w:rsidP="00A82158">
      <w:pPr>
        <w:rPr>
          <w:b/>
        </w:rPr>
      </w:pPr>
      <w:r w:rsidRPr="001905BB">
        <w:rPr>
          <w:b/>
        </w:rPr>
        <w:t>P</w:t>
      </w:r>
      <w:r>
        <w:rPr>
          <w:b/>
        </w:rPr>
        <w:t>roposal 2: study an alternative method of SBFD configuration, where RRC static configuration can be used to configure a pool of</w:t>
      </w:r>
      <w:r w:rsidRPr="001905BB">
        <w:rPr>
          <w:b/>
        </w:rPr>
        <w:t xml:space="preserve"> sub-bands</w:t>
      </w:r>
      <w:r>
        <w:rPr>
          <w:b/>
        </w:rPr>
        <w:t xml:space="preserve"> to all the SBFD capable UEs in a cell</w:t>
      </w:r>
      <w:r w:rsidRPr="001905BB">
        <w:rPr>
          <w:b/>
        </w:rPr>
        <w:t xml:space="preserve"> and</w:t>
      </w:r>
      <w:r>
        <w:rPr>
          <w:b/>
        </w:rPr>
        <w:t xml:space="preserve"> DCI or MAC CE can be used to indicate </w:t>
      </w:r>
      <w:r w:rsidRPr="001905BB">
        <w:rPr>
          <w:b/>
        </w:rPr>
        <w:t>and</w:t>
      </w:r>
      <w:r>
        <w:rPr>
          <w:b/>
        </w:rPr>
        <w:t xml:space="preserve"> activate/de-activate the DL/UL sub-bands to one or more UEs in a cell</w:t>
      </w:r>
      <w:r w:rsidRPr="001905BB">
        <w:rPr>
          <w:b/>
        </w:rPr>
        <w:t xml:space="preserve">. </w:t>
      </w:r>
    </w:p>
    <w:p w:rsidR="00C90D7B" w:rsidRDefault="00C90D7B" w:rsidP="00C90D7B">
      <w:pPr>
        <w:rPr>
          <w:b/>
        </w:rPr>
      </w:pPr>
      <w:r w:rsidRPr="00CB29F4">
        <w:rPr>
          <w:b/>
        </w:rPr>
        <w:t>Proposal</w:t>
      </w:r>
      <w:r>
        <w:rPr>
          <w:b/>
        </w:rPr>
        <w:t xml:space="preserve"> 3</w:t>
      </w:r>
      <w:r w:rsidRPr="00CB29F4">
        <w:rPr>
          <w:b/>
        </w:rPr>
        <w:t xml:space="preserve">: </w:t>
      </w:r>
      <w:r>
        <w:rPr>
          <w:b/>
        </w:rPr>
        <w:t xml:space="preserve">Consider a </w:t>
      </w:r>
      <w:r w:rsidRPr="00CB29F4">
        <w:rPr>
          <w:b/>
        </w:rPr>
        <w:t xml:space="preserve">configurable bandwidth </w:t>
      </w:r>
      <w:r>
        <w:rPr>
          <w:b/>
        </w:rPr>
        <w:t xml:space="preserve">of DL and UL sub-bands. </w:t>
      </w:r>
    </w:p>
    <w:p w:rsidR="00C90D7B" w:rsidRPr="00CB29F4" w:rsidRDefault="00C90D7B" w:rsidP="00C90D7B">
      <w:pPr>
        <w:rPr>
          <w:b/>
        </w:rPr>
      </w:pPr>
      <w:r>
        <w:rPr>
          <w:b/>
        </w:rPr>
        <w:t xml:space="preserve">Proposal 4: Consider a minimum numbers of subbands as 2 and a maximum numbers of subbands as 3, </w:t>
      </w:r>
      <w:r w:rsidRPr="00CB29F4">
        <w:rPr>
          <w:b/>
        </w:rPr>
        <w:t>within a TDD band</w:t>
      </w:r>
      <w:r>
        <w:rPr>
          <w:b/>
        </w:rPr>
        <w:t xml:space="preserve">. </w:t>
      </w:r>
    </w:p>
    <w:p w:rsidR="00C90D7B" w:rsidRPr="00843507" w:rsidRDefault="00C90D7B" w:rsidP="00C90D7B">
      <w:pPr>
        <w:rPr>
          <w:b/>
        </w:rPr>
      </w:pPr>
      <w:r w:rsidRPr="009C4788">
        <w:rPr>
          <w:b/>
        </w:rPr>
        <w:t>Proposal</w:t>
      </w:r>
      <w:r>
        <w:rPr>
          <w:b/>
        </w:rPr>
        <w:t xml:space="preserve"> 5</w:t>
      </w:r>
      <w:r w:rsidRPr="009C4788">
        <w:rPr>
          <w:b/>
        </w:rPr>
        <w:t>: It is up to the gNB implementation whether to select the inner carrier</w:t>
      </w:r>
      <w:r>
        <w:rPr>
          <w:b/>
        </w:rPr>
        <w:t xml:space="preserve">s or outer carriers of a TDD band </w:t>
      </w:r>
      <w:r w:rsidRPr="009C4788">
        <w:rPr>
          <w:b/>
        </w:rPr>
        <w:t>for a</w:t>
      </w:r>
      <w:r>
        <w:rPr>
          <w:b/>
        </w:rPr>
        <w:t>n opposite direction</w:t>
      </w:r>
      <w:r w:rsidRPr="009C4788">
        <w:rPr>
          <w:b/>
        </w:rPr>
        <w:t xml:space="preserve"> sub-band</w:t>
      </w:r>
      <w:r>
        <w:rPr>
          <w:b/>
        </w:rPr>
        <w:t>s in DL, UL or flexible slots</w:t>
      </w:r>
      <w:r w:rsidRPr="009C4788">
        <w:rPr>
          <w:b/>
        </w:rPr>
        <w:t xml:space="preserve">. </w:t>
      </w:r>
    </w:p>
    <w:p w:rsidR="004F021F" w:rsidRPr="00491861" w:rsidRDefault="004F021F" w:rsidP="004F021F">
      <w:pPr>
        <w:rPr>
          <w:b/>
        </w:rPr>
      </w:pPr>
      <w:r>
        <w:rPr>
          <w:b/>
        </w:rPr>
        <w:t>Proposal 6</w:t>
      </w:r>
      <w:r w:rsidRPr="00491861">
        <w:rPr>
          <w:b/>
        </w:rPr>
        <w:t>: To avoid the intra sub-band interference in SBFD operation the neighbor’s gNB shall:</w:t>
      </w:r>
    </w:p>
    <w:p w:rsidR="004F021F" w:rsidRPr="00491861" w:rsidRDefault="004F021F" w:rsidP="004F021F">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Keep the same bandwidth of UL to UL and DL to DL sub-bands among the neighbor gNBs</w:t>
      </w:r>
    </w:p>
    <w:p w:rsidR="004F021F" w:rsidRPr="00491861" w:rsidRDefault="004F021F" w:rsidP="004F021F">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Assign alike sub-bands to UL and DL transmission among the neighbor gNBs </w:t>
      </w:r>
    </w:p>
    <w:p w:rsidR="004F021F" w:rsidRPr="00491861" w:rsidRDefault="004F021F" w:rsidP="004F021F">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Allocate similar quantity of sub-bands to DL and UL transmission among the neighbor gNBs </w:t>
      </w:r>
    </w:p>
    <w:p w:rsidR="004F021F" w:rsidRPr="00763B00" w:rsidRDefault="004F021F" w:rsidP="004F021F">
      <w:pPr>
        <w:pStyle w:val="ListParagraph"/>
        <w:numPr>
          <w:ilvl w:val="0"/>
          <w:numId w:val="25"/>
        </w:numPr>
        <w:spacing w:after="200" w:line="276" w:lineRule="auto"/>
        <w:contextualSpacing/>
        <w:rPr>
          <w:rFonts w:ascii="Times New Roman" w:hAnsi="Times New Roman"/>
          <w:b/>
          <w:sz w:val="22"/>
          <w:szCs w:val="22"/>
        </w:rPr>
      </w:pPr>
      <w:r w:rsidRPr="00491861">
        <w:rPr>
          <w:rFonts w:ascii="Times New Roman" w:hAnsi="Times New Roman"/>
          <w:b/>
          <w:sz w:val="22"/>
          <w:szCs w:val="22"/>
        </w:rPr>
        <w:t xml:space="preserve">Configure similar numbers of sub-bands among the neighbor gNBs </w:t>
      </w:r>
    </w:p>
    <w:p w:rsidR="000E11F2" w:rsidRPr="00D3348B" w:rsidRDefault="000E11F2" w:rsidP="000E11F2">
      <w:pPr>
        <w:spacing w:line="276" w:lineRule="auto"/>
        <w:contextualSpacing/>
        <w:rPr>
          <w:b/>
          <w:i/>
        </w:rPr>
      </w:pPr>
    </w:p>
    <w:p w:rsidR="00FF425C" w:rsidRDefault="00FF425C">
      <w:pPr>
        <w:rPr>
          <w:b/>
          <w:i/>
          <w:lang w:val="fi-FI"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B72FA" w:rsidRDefault="00763B00" w:rsidP="00CB72FA">
      <w:pPr>
        <w:pStyle w:val="References"/>
      </w:pPr>
      <w:r>
        <w:t>3GPP TSG RAN WG1 #110 Toulouse, France</w:t>
      </w:r>
      <w:r w:rsidR="00CB72FA">
        <w:t xml:space="preserve"> (</w:t>
      </w:r>
      <w:r>
        <w:t>August</w:t>
      </w:r>
      <w:r w:rsidR="00CB72FA" w:rsidRPr="00104FF5">
        <w:t>,</w:t>
      </w:r>
      <w:r>
        <w:t xml:space="preserve"> 22</w:t>
      </w:r>
      <w:r w:rsidRPr="00763B00">
        <w:rPr>
          <w:vertAlign w:val="superscript"/>
        </w:rPr>
        <w:t>nd</w:t>
      </w:r>
      <w:r>
        <w:t xml:space="preserve"> – 26</w:t>
      </w:r>
      <w:r w:rsidR="00CB72FA" w:rsidRPr="00CB72FA">
        <w:rPr>
          <w:vertAlign w:val="superscript"/>
        </w:rPr>
        <w:t>th</w:t>
      </w:r>
      <w:r w:rsidR="00CB72FA">
        <w:t xml:space="preserve"> </w:t>
      </w:r>
      <w:r w:rsidR="00CB72FA" w:rsidRPr="00104FF5">
        <w:t>20</w:t>
      </w:r>
      <w:r w:rsidR="00CB72FA">
        <w:t>22)</w:t>
      </w:r>
    </w:p>
    <w:p w:rsidR="00CB72FA" w:rsidRDefault="00CB72FA" w:rsidP="00CB72FA">
      <w:pPr>
        <w:pStyle w:val="References"/>
        <w:numPr>
          <w:ilvl w:val="0"/>
          <w:numId w:val="0"/>
        </w:numPr>
        <w:tabs>
          <w:tab w:val="left" w:pos="1778"/>
        </w:tabs>
        <w:ind w:left="360"/>
      </w:pPr>
    </w:p>
    <w:sectPr w:rsidR="00CB72FA">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034" w:rsidRDefault="00BA0034">
      <w:pPr>
        <w:spacing w:after="0"/>
      </w:pPr>
      <w:r>
        <w:separator/>
      </w:r>
    </w:p>
  </w:endnote>
  <w:endnote w:type="continuationSeparator" w:id="0">
    <w:p w:rsidR="00BA0034" w:rsidRDefault="00BA0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303CE7" w:rsidRDefault="00303CE7">
        <w:pPr>
          <w:pStyle w:val="Footer"/>
          <w:jc w:val="center"/>
        </w:pPr>
        <w:r>
          <w:fldChar w:fldCharType="begin"/>
        </w:r>
        <w:r>
          <w:instrText xml:space="preserve"> PAGE   \* MERGEFORMAT </w:instrText>
        </w:r>
        <w:r>
          <w:fldChar w:fldCharType="separate"/>
        </w:r>
        <w:r w:rsidR="00BA0034">
          <w:rPr>
            <w:noProof/>
          </w:rPr>
          <w:t>1</w:t>
        </w:r>
        <w:r>
          <w:fldChar w:fldCharType="end"/>
        </w:r>
      </w:p>
    </w:sdtContent>
  </w:sdt>
  <w:p w:rsidR="00303CE7" w:rsidRDefault="0030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034" w:rsidRDefault="00BA0034">
      <w:pPr>
        <w:spacing w:after="0"/>
      </w:pPr>
      <w:r>
        <w:separator/>
      </w:r>
    </w:p>
  </w:footnote>
  <w:footnote w:type="continuationSeparator" w:id="0">
    <w:p w:rsidR="00BA0034" w:rsidRDefault="00BA00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1"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4617D"/>
    <w:multiLevelType w:val="hybridMultilevel"/>
    <w:tmpl w:val="84C4D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236FF"/>
    <w:multiLevelType w:val="multilevel"/>
    <w:tmpl w:val="46C8CB8A"/>
    <w:lvl w:ilvl="0">
      <w:start w:val="5"/>
      <w:numFmt w:val="decimal"/>
      <w:lvlText w:val="%1"/>
      <w:lvlJc w:val="left"/>
      <w:pPr>
        <w:ind w:left="660" w:hanging="660"/>
      </w:pPr>
      <w:rPr>
        <w:rFonts w:hint="default"/>
      </w:rPr>
    </w:lvl>
    <w:lvl w:ilvl="1">
      <w:start w:val="1"/>
      <w:numFmt w:val="decimal"/>
      <w:lvlText w:val="%1.%2"/>
      <w:lvlJc w:val="left"/>
      <w:pPr>
        <w:ind w:left="720" w:hanging="66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15:restartNumberingAfterBreak="0">
    <w:nsid w:val="1BAB1858"/>
    <w:multiLevelType w:val="hybridMultilevel"/>
    <w:tmpl w:val="3F10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7" w15:restartNumberingAfterBreak="0">
    <w:nsid w:val="209C3EBC"/>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56E0F"/>
    <w:multiLevelType w:val="hybridMultilevel"/>
    <w:tmpl w:val="0E86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D66ED"/>
    <w:multiLevelType w:val="hybridMultilevel"/>
    <w:tmpl w:val="BFBAB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7F02"/>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136193F"/>
    <w:multiLevelType w:val="hybridMultilevel"/>
    <w:tmpl w:val="792C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EE2C00"/>
    <w:multiLevelType w:val="hybridMultilevel"/>
    <w:tmpl w:val="552A9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FDF5D6B"/>
    <w:multiLevelType w:val="hybridMultilevel"/>
    <w:tmpl w:val="E056CD3E"/>
    <w:lvl w:ilvl="0" w:tplc="52AAAA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1F1DCF"/>
    <w:multiLevelType w:val="hybridMultilevel"/>
    <w:tmpl w:val="76C6F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96B2C"/>
    <w:multiLevelType w:val="hybridMultilevel"/>
    <w:tmpl w:val="6A4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67ED9"/>
    <w:multiLevelType w:val="hybridMultilevel"/>
    <w:tmpl w:val="437C7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B0CCE"/>
    <w:multiLevelType w:val="multilevel"/>
    <w:tmpl w:val="566608C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E4604D"/>
    <w:multiLevelType w:val="hybridMultilevel"/>
    <w:tmpl w:val="43882C1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9619EE"/>
    <w:multiLevelType w:val="hybridMultilevel"/>
    <w:tmpl w:val="2C646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321807"/>
    <w:multiLevelType w:val="multilevel"/>
    <w:tmpl w:val="D9F646FE"/>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3"/>
  </w:num>
  <w:num w:numId="2">
    <w:abstractNumId w:val="14"/>
  </w:num>
  <w:num w:numId="3">
    <w:abstractNumId w:val="16"/>
  </w:num>
  <w:num w:numId="4">
    <w:abstractNumId w:val="11"/>
  </w:num>
  <w:num w:numId="5">
    <w:abstractNumId w:val="6"/>
  </w:num>
  <w:num w:numId="6">
    <w:abstractNumId w:val="18"/>
  </w:num>
  <w:num w:numId="7">
    <w:abstractNumId w:val="1"/>
  </w:num>
  <w:num w:numId="8">
    <w:abstractNumId w:val="23"/>
  </w:num>
  <w:num w:numId="9">
    <w:abstractNumId w:val="13"/>
  </w:num>
  <w:num w:numId="10">
    <w:abstractNumId w:val="13"/>
  </w:num>
  <w:num w:numId="11">
    <w:abstractNumId w:val="0"/>
  </w:num>
  <w:num w:numId="12">
    <w:abstractNumId w:val="25"/>
  </w:num>
  <w:num w:numId="13">
    <w:abstractNumId w:val="22"/>
  </w:num>
  <w:num w:numId="14">
    <w:abstractNumId w:val="26"/>
  </w:num>
  <w:num w:numId="15">
    <w:abstractNumId w:val="4"/>
  </w:num>
  <w:num w:numId="16">
    <w:abstractNumId w:val="24"/>
  </w:num>
  <w:num w:numId="17">
    <w:abstractNumId w:val="17"/>
  </w:num>
  <w:num w:numId="18">
    <w:abstractNumId w:val="5"/>
  </w:num>
  <w:num w:numId="19">
    <w:abstractNumId w:val="12"/>
  </w:num>
  <w:num w:numId="20">
    <w:abstractNumId w:val="20"/>
  </w:num>
  <w:num w:numId="21">
    <w:abstractNumId w:val="21"/>
  </w:num>
  <w:num w:numId="22">
    <w:abstractNumId w:val="8"/>
  </w:num>
  <w:num w:numId="23">
    <w:abstractNumId w:val="15"/>
  </w:num>
  <w:num w:numId="24">
    <w:abstractNumId w:val="10"/>
  </w:num>
  <w:num w:numId="25">
    <w:abstractNumId w:val="19"/>
  </w:num>
  <w:num w:numId="26">
    <w:abstractNumId w:val="9"/>
  </w:num>
  <w:num w:numId="27">
    <w:abstractNumId w:val="3"/>
  </w:num>
  <w:num w:numId="28">
    <w:abstractNumId w:val="7"/>
  </w:num>
  <w:num w:numId="29">
    <w:abstractNumId w:val="13"/>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150"/>
    <w:rsid w:val="000251C1"/>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77AE"/>
    <w:rsid w:val="0004023E"/>
    <w:rsid w:val="0004024B"/>
    <w:rsid w:val="00041C57"/>
    <w:rsid w:val="000434B7"/>
    <w:rsid w:val="000435E4"/>
    <w:rsid w:val="00044AB4"/>
    <w:rsid w:val="00044F91"/>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31A0"/>
    <w:rsid w:val="000733B1"/>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62E2"/>
    <w:rsid w:val="000E7A84"/>
    <w:rsid w:val="000F0BDB"/>
    <w:rsid w:val="000F1004"/>
    <w:rsid w:val="000F1167"/>
    <w:rsid w:val="000F15BC"/>
    <w:rsid w:val="000F180A"/>
    <w:rsid w:val="000F1C92"/>
    <w:rsid w:val="000F2EEE"/>
    <w:rsid w:val="000F3697"/>
    <w:rsid w:val="000F5F90"/>
    <w:rsid w:val="000F7F58"/>
    <w:rsid w:val="00100128"/>
    <w:rsid w:val="00100FF3"/>
    <w:rsid w:val="001026CA"/>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982"/>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87"/>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A5C"/>
    <w:rsid w:val="00183EA5"/>
    <w:rsid w:val="00183EE6"/>
    <w:rsid w:val="0018588A"/>
    <w:rsid w:val="00186FB5"/>
    <w:rsid w:val="00187252"/>
    <w:rsid w:val="0019033B"/>
    <w:rsid w:val="0019053D"/>
    <w:rsid w:val="001905BB"/>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673E"/>
    <w:rsid w:val="001A7763"/>
    <w:rsid w:val="001A7ED9"/>
    <w:rsid w:val="001B2D0A"/>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B4E"/>
    <w:rsid w:val="001D2360"/>
    <w:rsid w:val="001D3109"/>
    <w:rsid w:val="001D332E"/>
    <w:rsid w:val="001D5033"/>
    <w:rsid w:val="001D5C88"/>
    <w:rsid w:val="001D6567"/>
    <w:rsid w:val="001D695C"/>
    <w:rsid w:val="001D6FD9"/>
    <w:rsid w:val="001D780E"/>
    <w:rsid w:val="001E02E4"/>
    <w:rsid w:val="001E05C3"/>
    <w:rsid w:val="001E0AD3"/>
    <w:rsid w:val="001E2552"/>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1F772C"/>
    <w:rsid w:val="00200D2C"/>
    <w:rsid w:val="002019D8"/>
    <w:rsid w:val="00201EC7"/>
    <w:rsid w:val="002024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14657"/>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16DE"/>
    <w:rsid w:val="00251F81"/>
    <w:rsid w:val="0025257B"/>
    <w:rsid w:val="00252BE0"/>
    <w:rsid w:val="002531AD"/>
    <w:rsid w:val="00253588"/>
    <w:rsid w:val="002546F4"/>
    <w:rsid w:val="002551D0"/>
    <w:rsid w:val="00255374"/>
    <w:rsid w:val="00257BF4"/>
    <w:rsid w:val="00260003"/>
    <w:rsid w:val="0026035D"/>
    <w:rsid w:val="002606D6"/>
    <w:rsid w:val="00261C98"/>
    <w:rsid w:val="0026248E"/>
    <w:rsid w:val="00262914"/>
    <w:rsid w:val="00263220"/>
    <w:rsid w:val="002647BF"/>
    <w:rsid w:val="002647D5"/>
    <w:rsid w:val="00265032"/>
    <w:rsid w:val="002651FB"/>
    <w:rsid w:val="0026538C"/>
    <w:rsid w:val="00265624"/>
    <w:rsid w:val="00265781"/>
    <w:rsid w:val="00266B13"/>
    <w:rsid w:val="00270728"/>
    <w:rsid w:val="00270B9F"/>
    <w:rsid w:val="00270D42"/>
    <w:rsid w:val="0027195D"/>
    <w:rsid w:val="00272A05"/>
    <w:rsid w:val="00272B03"/>
    <w:rsid w:val="002733E2"/>
    <w:rsid w:val="00273CA8"/>
    <w:rsid w:val="002750B1"/>
    <w:rsid w:val="00275BB7"/>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799"/>
    <w:rsid w:val="002B0A7D"/>
    <w:rsid w:val="002B1981"/>
    <w:rsid w:val="002B1A69"/>
    <w:rsid w:val="002B1CC1"/>
    <w:rsid w:val="002B2723"/>
    <w:rsid w:val="002B2AC2"/>
    <w:rsid w:val="002B303A"/>
    <w:rsid w:val="002B44E7"/>
    <w:rsid w:val="002B4F64"/>
    <w:rsid w:val="002B538E"/>
    <w:rsid w:val="002B5DCA"/>
    <w:rsid w:val="002B6BDC"/>
    <w:rsid w:val="002B6CCC"/>
    <w:rsid w:val="002B6DB8"/>
    <w:rsid w:val="002B75B0"/>
    <w:rsid w:val="002B7EAF"/>
    <w:rsid w:val="002C099C"/>
    <w:rsid w:val="002C0B74"/>
    <w:rsid w:val="002C0C8B"/>
    <w:rsid w:val="002C0CBB"/>
    <w:rsid w:val="002C1201"/>
    <w:rsid w:val="002C1460"/>
    <w:rsid w:val="002C20F2"/>
    <w:rsid w:val="002C38B2"/>
    <w:rsid w:val="002C3F9C"/>
    <w:rsid w:val="002C568E"/>
    <w:rsid w:val="002C5AFA"/>
    <w:rsid w:val="002C6B15"/>
    <w:rsid w:val="002C7C79"/>
    <w:rsid w:val="002D0439"/>
    <w:rsid w:val="002D11B7"/>
    <w:rsid w:val="002D3BBC"/>
    <w:rsid w:val="002D438A"/>
    <w:rsid w:val="002D5738"/>
    <w:rsid w:val="002D5E53"/>
    <w:rsid w:val="002D60ED"/>
    <w:rsid w:val="002E0319"/>
    <w:rsid w:val="002E1606"/>
    <w:rsid w:val="002E179B"/>
    <w:rsid w:val="002E1C9E"/>
    <w:rsid w:val="002E257B"/>
    <w:rsid w:val="002E3C65"/>
    <w:rsid w:val="002E3F5B"/>
    <w:rsid w:val="002E4362"/>
    <w:rsid w:val="002E626B"/>
    <w:rsid w:val="002E63D9"/>
    <w:rsid w:val="002E640E"/>
    <w:rsid w:val="002E7753"/>
    <w:rsid w:val="002F07F2"/>
    <w:rsid w:val="002F0C28"/>
    <w:rsid w:val="002F0E75"/>
    <w:rsid w:val="002F11E9"/>
    <w:rsid w:val="002F3CDE"/>
    <w:rsid w:val="002F423C"/>
    <w:rsid w:val="002F5937"/>
    <w:rsid w:val="002F5DD6"/>
    <w:rsid w:val="002F5FEA"/>
    <w:rsid w:val="002F63E7"/>
    <w:rsid w:val="002F71D0"/>
    <w:rsid w:val="002F7BE3"/>
    <w:rsid w:val="002F7E6A"/>
    <w:rsid w:val="00300165"/>
    <w:rsid w:val="003010CF"/>
    <w:rsid w:val="00303440"/>
    <w:rsid w:val="00303CE7"/>
    <w:rsid w:val="00304D9B"/>
    <w:rsid w:val="00305FF9"/>
    <w:rsid w:val="00306B15"/>
    <w:rsid w:val="00306E6B"/>
    <w:rsid w:val="003100C8"/>
    <w:rsid w:val="00310426"/>
    <w:rsid w:val="00310722"/>
    <w:rsid w:val="00311161"/>
    <w:rsid w:val="00312400"/>
    <w:rsid w:val="00312739"/>
    <w:rsid w:val="00312D10"/>
    <w:rsid w:val="003139AD"/>
    <w:rsid w:val="00315FAB"/>
    <w:rsid w:val="003178DA"/>
    <w:rsid w:val="00317DB8"/>
    <w:rsid w:val="00320618"/>
    <w:rsid w:val="0032100B"/>
    <w:rsid w:val="00321BD7"/>
    <w:rsid w:val="0032260F"/>
    <w:rsid w:val="003228DA"/>
    <w:rsid w:val="00323486"/>
    <w:rsid w:val="00323D6B"/>
    <w:rsid w:val="00326194"/>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570AA"/>
    <w:rsid w:val="00360232"/>
    <w:rsid w:val="003602E0"/>
    <w:rsid w:val="0036097C"/>
    <w:rsid w:val="00360D01"/>
    <w:rsid w:val="00360F3F"/>
    <w:rsid w:val="00362569"/>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D39"/>
    <w:rsid w:val="003A3EC7"/>
    <w:rsid w:val="003A40B4"/>
    <w:rsid w:val="003A64C0"/>
    <w:rsid w:val="003A7607"/>
    <w:rsid w:val="003A7834"/>
    <w:rsid w:val="003B0B5B"/>
    <w:rsid w:val="003B0E79"/>
    <w:rsid w:val="003B19A2"/>
    <w:rsid w:val="003B1DF2"/>
    <w:rsid w:val="003B21B4"/>
    <w:rsid w:val="003B3575"/>
    <w:rsid w:val="003B4647"/>
    <w:rsid w:val="003B4CF0"/>
    <w:rsid w:val="003B50BC"/>
    <w:rsid w:val="003B5198"/>
    <w:rsid w:val="003B5D97"/>
    <w:rsid w:val="003B63A4"/>
    <w:rsid w:val="003B68FE"/>
    <w:rsid w:val="003B6D7D"/>
    <w:rsid w:val="003B7D39"/>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C1D"/>
    <w:rsid w:val="003D2C34"/>
    <w:rsid w:val="003D3DDD"/>
    <w:rsid w:val="003D4547"/>
    <w:rsid w:val="003D5CBF"/>
    <w:rsid w:val="003D66D2"/>
    <w:rsid w:val="003D6DB7"/>
    <w:rsid w:val="003E07AE"/>
    <w:rsid w:val="003E089C"/>
    <w:rsid w:val="003E10E2"/>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21752"/>
    <w:rsid w:val="00421B0E"/>
    <w:rsid w:val="00421DCF"/>
    <w:rsid w:val="00422341"/>
    <w:rsid w:val="00423641"/>
    <w:rsid w:val="00423C4D"/>
    <w:rsid w:val="00426266"/>
    <w:rsid w:val="00426A84"/>
    <w:rsid w:val="00427DC7"/>
    <w:rsid w:val="00430A2D"/>
    <w:rsid w:val="00430B53"/>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E2F"/>
    <w:rsid w:val="00436EAB"/>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5935"/>
    <w:rsid w:val="00466532"/>
    <w:rsid w:val="00466C53"/>
    <w:rsid w:val="00467488"/>
    <w:rsid w:val="00467A55"/>
    <w:rsid w:val="0047083E"/>
    <w:rsid w:val="00470D12"/>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861"/>
    <w:rsid w:val="00491D93"/>
    <w:rsid w:val="00494242"/>
    <w:rsid w:val="00494E8E"/>
    <w:rsid w:val="004955BC"/>
    <w:rsid w:val="00495D63"/>
    <w:rsid w:val="00495F26"/>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A74B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27A4"/>
    <w:rsid w:val="004D382B"/>
    <w:rsid w:val="004D40CE"/>
    <w:rsid w:val="004D47B1"/>
    <w:rsid w:val="004D57A7"/>
    <w:rsid w:val="004D6F4D"/>
    <w:rsid w:val="004D6F95"/>
    <w:rsid w:val="004D72FE"/>
    <w:rsid w:val="004D7E91"/>
    <w:rsid w:val="004D7F94"/>
    <w:rsid w:val="004E003A"/>
    <w:rsid w:val="004E0768"/>
    <w:rsid w:val="004E1A31"/>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4BC1"/>
    <w:rsid w:val="00505134"/>
    <w:rsid w:val="005058E3"/>
    <w:rsid w:val="00505C04"/>
    <w:rsid w:val="005101C4"/>
    <w:rsid w:val="00510D69"/>
    <w:rsid w:val="0051113F"/>
    <w:rsid w:val="00511F15"/>
    <w:rsid w:val="00512563"/>
    <w:rsid w:val="0051318C"/>
    <w:rsid w:val="0051359A"/>
    <w:rsid w:val="005142CD"/>
    <w:rsid w:val="005142D3"/>
    <w:rsid w:val="005143C9"/>
    <w:rsid w:val="005151C3"/>
    <w:rsid w:val="005157A9"/>
    <w:rsid w:val="005173A7"/>
    <w:rsid w:val="005177E1"/>
    <w:rsid w:val="00520C0A"/>
    <w:rsid w:val="005215DB"/>
    <w:rsid w:val="005218B6"/>
    <w:rsid w:val="00521B01"/>
    <w:rsid w:val="00522589"/>
    <w:rsid w:val="00524545"/>
    <w:rsid w:val="0052477A"/>
    <w:rsid w:val="00524E65"/>
    <w:rsid w:val="005255BF"/>
    <w:rsid w:val="005257DE"/>
    <w:rsid w:val="00525E29"/>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037"/>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189E"/>
    <w:rsid w:val="00572760"/>
    <w:rsid w:val="00572815"/>
    <w:rsid w:val="005730F3"/>
    <w:rsid w:val="005743DE"/>
    <w:rsid w:val="00574F3F"/>
    <w:rsid w:val="00575008"/>
    <w:rsid w:val="0057562C"/>
    <w:rsid w:val="005759F6"/>
    <w:rsid w:val="00575E3E"/>
    <w:rsid w:val="005765F5"/>
    <w:rsid w:val="00576D6C"/>
    <w:rsid w:val="00577A2E"/>
    <w:rsid w:val="005800B3"/>
    <w:rsid w:val="00580E48"/>
    <w:rsid w:val="00580F0A"/>
    <w:rsid w:val="00581246"/>
    <w:rsid w:val="00582278"/>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4A62"/>
    <w:rsid w:val="005C4BDD"/>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34A"/>
    <w:rsid w:val="005E35CC"/>
    <w:rsid w:val="005E371E"/>
    <w:rsid w:val="005E53F9"/>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54D"/>
    <w:rsid w:val="00606970"/>
    <w:rsid w:val="00606A20"/>
    <w:rsid w:val="006072C6"/>
    <w:rsid w:val="00607A02"/>
    <w:rsid w:val="00607A2E"/>
    <w:rsid w:val="006130F7"/>
    <w:rsid w:val="00613A98"/>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27411"/>
    <w:rsid w:val="006304BC"/>
    <w:rsid w:val="00630DCE"/>
    <w:rsid w:val="006310F0"/>
    <w:rsid w:val="0063120A"/>
    <w:rsid w:val="0063150B"/>
    <w:rsid w:val="00631585"/>
    <w:rsid w:val="00632126"/>
    <w:rsid w:val="0063454B"/>
    <w:rsid w:val="00634ACF"/>
    <w:rsid w:val="00634C10"/>
    <w:rsid w:val="00635035"/>
    <w:rsid w:val="0063580D"/>
    <w:rsid w:val="00635CAE"/>
    <w:rsid w:val="00637240"/>
    <w:rsid w:val="00640A80"/>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EF8"/>
    <w:rsid w:val="00656FDC"/>
    <w:rsid w:val="006571F6"/>
    <w:rsid w:val="00657FA0"/>
    <w:rsid w:val="006618CC"/>
    <w:rsid w:val="00662111"/>
    <w:rsid w:val="00662118"/>
    <w:rsid w:val="006638AD"/>
    <w:rsid w:val="006671D4"/>
    <w:rsid w:val="006672CE"/>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0C79"/>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1EDA"/>
    <w:rsid w:val="006A254E"/>
    <w:rsid w:val="006A2C30"/>
    <w:rsid w:val="006A301C"/>
    <w:rsid w:val="006A3E2B"/>
    <w:rsid w:val="006A4224"/>
    <w:rsid w:val="006A593F"/>
    <w:rsid w:val="006A63D1"/>
    <w:rsid w:val="006A6C86"/>
    <w:rsid w:val="006A6E17"/>
    <w:rsid w:val="006A7264"/>
    <w:rsid w:val="006B120D"/>
    <w:rsid w:val="006B17E7"/>
    <w:rsid w:val="006B19E8"/>
    <w:rsid w:val="006B1A8A"/>
    <w:rsid w:val="006B1FD5"/>
    <w:rsid w:val="006B1FEF"/>
    <w:rsid w:val="006B3A29"/>
    <w:rsid w:val="006B460C"/>
    <w:rsid w:val="006B555A"/>
    <w:rsid w:val="006B5A00"/>
    <w:rsid w:val="006B600A"/>
    <w:rsid w:val="006B6635"/>
    <w:rsid w:val="006B74B8"/>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02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08B2"/>
    <w:rsid w:val="006F1064"/>
    <w:rsid w:val="006F1A51"/>
    <w:rsid w:val="006F1EB7"/>
    <w:rsid w:val="006F52E5"/>
    <w:rsid w:val="006F6066"/>
    <w:rsid w:val="006F6850"/>
    <w:rsid w:val="006F707E"/>
    <w:rsid w:val="007001DC"/>
    <w:rsid w:val="0070048C"/>
    <w:rsid w:val="007025CB"/>
    <w:rsid w:val="00702A7C"/>
    <w:rsid w:val="007034AA"/>
    <w:rsid w:val="00703C9D"/>
    <w:rsid w:val="0070490C"/>
    <w:rsid w:val="00705C38"/>
    <w:rsid w:val="00705F2D"/>
    <w:rsid w:val="00706465"/>
    <w:rsid w:val="0070695A"/>
    <w:rsid w:val="0070782D"/>
    <w:rsid w:val="007109C2"/>
    <w:rsid w:val="00711340"/>
    <w:rsid w:val="00711D7C"/>
    <w:rsid w:val="00712C42"/>
    <w:rsid w:val="007136D0"/>
    <w:rsid w:val="00713DE4"/>
    <w:rsid w:val="00714C47"/>
    <w:rsid w:val="00715485"/>
    <w:rsid w:val="00716462"/>
    <w:rsid w:val="0072040B"/>
    <w:rsid w:val="00721084"/>
    <w:rsid w:val="00721262"/>
    <w:rsid w:val="00721D9B"/>
    <w:rsid w:val="00722121"/>
    <w:rsid w:val="007224B9"/>
    <w:rsid w:val="00722F94"/>
    <w:rsid w:val="00723AA7"/>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5504"/>
    <w:rsid w:val="00736076"/>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08DB"/>
    <w:rsid w:val="00751091"/>
    <w:rsid w:val="00751B83"/>
    <w:rsid w:val="007524ED"/>
    <w:rsid w:val="00752975"/>
    <w:rsid w:val="00754359"/>
    <w:rsid w:val="00754411"/>
    <w:rsid w:val="00754BD9"/>
    <w:rsid w:val="00754E7A"/>
    <w:rsid w:val="0075540C"/>
    <w:rsid w:val="00755DB1"/>
    <w:rsid w:val="007574FC"/>
    <w:rsid w:val="00760975"/>
    <w:rsid w:val="00761FDA"/>
    <w:rsid w:val="007621FF"/>
    <w:rsid w:val="007628D8"/>
    <w:rsid w:val="007634E3"/>
    <w:rsid w:val="00763B00"/>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43A"/>
    <w:rsid w:val="00775507"/>
    <w:rsid w:val="007756DF"/>
    <w:rsid w:val="00775F76"/>
    <w:rsid w:val="00776AEA"/>
    <w:rsid w:val="00777BA0"/>
    <w:rsid w:val="007803BD"/>
    <w:rsid w:val="007811DC"/>
    <w:rsid w:val="00781D16"/>
    <w:rsid w:val="007820FA"/>
    <w:rsid w:val="0078285F"/>
    <w:rsid w:val="00782CEF"/>
    <w:rsid w:val="00783207"/>
    <w:rsid w:val="00783E1D"/>
    <w:rsid w:val="0078483B"/>
    <w:rsid w:val="00784EED"/>
    <w:rsid w:val="00785900"/>
    <w:rsid w:val="00786958"/>
    <w:rsid w:val="00786E71"/>
    <w:rsid w:val="0079162F"/>
    <w:rsid w:val="00792788"/>
    <w:rsid w:val="00794924"/>
    <w:rsid w:val="007A0BC2"/>
    <w:rsid w:val="007A1F44"/>
    <w:rsid w:val="007A23FF"/>
    <w:rsid w:val="007A2564"/>
    <w:rsid w:val="007A295B"/>
    <w:rsid w:val="007A3232"/>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DC1"/>
    <w:rsid w:val="007B7EDB"/>
    <w:rsid w:val="007C19AD"/>
    <w:rsid w:val="007C3598"/>
    <w:rsid w:val="007C3FA8"/>
    <w:rsid w:val="007C4296"/>
    <w:rsid w:val="007C6479"/>
    <w:rsid w:val="007C68DA"/>
    <w:rsid w:val="007C7F34"/>
    <w:rsid w:val="007D229A"/>
    <w:rsid w:val="007D2C5F"/>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46EA"/>
    <w:rsid w:val="0081581D"/>
    <w:rsid w:val="008172BE"/>
    <w:rsid w:val="00817B71"/>
    <w:rsid w:val="0082000B"/>
    <w:rsid w:val="00820244"/>
    <w:rsid w:val="008218B9"/>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3507"/>
    <w:rsid w:val="00845542"/>
    <w:rsid w:val="00845C12"/>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4440"/>
    <w:rsid w:val="00864483"/>
    <w:rsid w:val="00864D76"/>
    <w:rsid w:val="008650FC"/>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F73"/>
    <w:rsid w:val="00880F30"/>
    <w:rsid w:val="008827DA"/>
    <w:rsid w:val="00882F73"/>
    <w:rsid w:val="008833E8"/>
    <w:rsid w:val="00883484"/>
    <w:rsid w:val="00884879"/>
    <w:rsid w:val="008850AE"/>
    <w:rsid w:val="00887B48"/>
    <w:rsid w:val="00890B1C"/>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5299"/>
    <w:rsid w:val="008B5A5F"/>
    <w:rsid w:val="008B5AB0"/>
    <w:rsid w:val="008B6054"/>
    <w:rsid w:val="008B7B08"/>
    <w:rsid w:val="008C13F0"/>
    <w:rsid w:val="008C1CFD"/>
    <w:rsid w:val="008C1F2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C91"/>
    <w:rsid w:val="008F0F84"/>
    <w:rsid w:val="008F1014"/>
    <w:rsid w:val="008F11C9"/>
    <w:rsid w:val="008F23D8"/>
    <w:rsid w:val="008F2FD5"/>
    <w:rsid w:val="008F37E5"/>
    <w:rsid w:val="008F387C"/>
    <w:rsid w:val="008F3998"/>
    <w:rsid w:val="008F48C2"/>
    <w:rsid w:val="008F5840"/>
    <w:rsid w:val="008F5EEF"/>
    <w:rsid w:val="008F6262"/>
    <w:rsid w:val="008F66FE"/>
    <w:rsid w:val="008F72CC"/>
    <w:rsid w:val="008F72CD"/>
    <w:rsid w:val="00900885"/>
    <w:rsid w:val="00902140"/>
    <w:rsid w:val="00902F51"/>
    <w:rsid w:val="00903802"/>
    <w:rsid w:val="0090696D"/>
    <w:rsid w:val="00906CD6"/>
    <w:rsid w:val="00906E4D"/>
    <w:rsid w:val="00906F31"/>
    <w:rsid w:val="009078B3"/>
    <w:rsid w:val="00907A77"/>
    <w:rsid w:val="00907E00"/>
    <w:rsid w:val="009103C5"/>
    <w:rsid w:val="009107E7"/>
    <w:rsid w:val="0091088D"/>
    <w:rsid w:val="00910FC9"/>
    <w:rsid w:val="009117DC"/>
    <w:rsid w:val="009124BD"/>
    <w:rsid w:val="0091291A"/>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DA1"/>
    <w:rsid w:val="00964054"/>
    <w:rsid w:val="00964983"/>
    <w:rsid w:val="009657F1"/>
    <w:rsid w:val="00965DE9"/>
    <w:rsid w:val="0096625D"/>
    <w:rsid w:val="009709F8"/>
    <w:rsid w:val="0097258B"/>
    <w:rsid w:val="00972929"/>
    <w:rsid w:val="00972F91"/>
    <w:rsid w:val="00973827"/>
    <w:rsid w:val="00973991"/>
    <w:rsid w:val="009742D3"/>
    <w:rsid w:val="00974E52"/>
    <w:rsid w:val="009756F7"/>
    <w:rsid w:val="00975E86"/>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1F0"/>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507"/>
    <w:rsid w:val="009A2DF9"/>
    <w:rsid w:val="009A3A86"/>
    <w:rsid w:val="009A4869"/>
    <w:rsid w:val="009A633B"/>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788"/>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165D"/>
    <w:rsid w:val="009F27AD"/>
    <w:rsid w:val="009F3FB5"/>
    <w:rsid w:val="009F521F"/>
    <w:rsid w:val="009F553C"/>
    <w:rsid w:val="009F59F8"/>
    <w:rsid w:val="009F657C"/>
    <w:rsid w:val="00A005B0"/>
    <w:rsid w:val="00A01F17"/>
    <w:rsid w:val="00A022A5"/>
    <w:rsid w:val="00A03A22"/>
    <w:rsid w:val="00A03E62"/>
    <w:rsid w:val="00A04634"/>
    <w:rsid w:val="00A0543B"/>
    <w:rsid w:val="00A06119"/>
    <w:rsid w:val="00A07A48"/>
    <w:rsid w:val="00A108EE"/>
    <w:rsid w:val="00A10BB8"/>
    <w:rsid w:val="00A1200D"/>
    <w:rsid w:val="00A137E4"/>
    <w:rsid w:val="00A14813"/>
    <w:rsid w:val="00A1566A"/>
    <w:rsid w:val="00A15A97"/>
    <w:rsid w:val="00A165BF"/>
    <w:rsid w:val="00A169EC"/>
    <w:rsid w:val="00A17068"/>
    <w:rsid w:val="00A172E8"/>
    <w:rsid w:val="00A179FF"/>
    <w:rsid w:val="00A20696"/>
    <w:rsid w:val="00A21A36"/>
    <w:rsid w:val="00A22473"/>
    <w:rsid w:val="00A23EC2"/>
    <w:rsid w:val="00A25294"/>
    <w:rsid w:val="00A254EE"/>
    <w:rsid w:val="00A25BE7"/>
    <w:rsid w:val="00A27008"/>
    <w:rsid w:val="00A27CDF"/>
    <w:rsid w:val="00A309C6"/>
    <w:rsid w:val="00A30D13"/>
    <w:rsid w:val="00A314F9"/>
    <w:rsid w:val="00A319D0"/>
    <w:rsid w:val="00A32316"/>
    <w:rsid w:val="00A33172"/>
    <w:rsid w:val="00A3432B"/>
    <w:rsid w:val="00A346BA"/>
    <w:rsid w:val="00A347B0"/>
    <w:rsid w:val="00A34C67"/>
    <w:rsid w:val="00A34D62"/>
    <w:rsid w:val="00A3611D"/>
    <w:rsid w:val="00A36339"/>
    <w:rsid w:val="00A366E4"/>
    <w:rsid w:val="00A370D8"/>
    <w:rsid w:val="00A419CF"/>
    <w:rsid w:val="00A4376F"/>
    <w:rsid w:val="00A4549F"/>
    <w:rsid w:val="00A45B9B"/>
    <w:rsid w:val="00A45EE4"/>
    <w:rsid w:val="00A462FE"/>
    <w:rsid w:val="00A501C9"/>
    <w:rsid w:val="00A50506"/>
    <w:rsid w:val="00A52A4C"/>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C7E"/>
    <w:rsid w:val="00A73D0D"/>
    <w:rsid w:val="00A74088"/>
    <w:rsid w:val="00A74A92"/>
    <w:rsid w:val="00A75CC1"/>
    <w:rsid w:val="00A75E88"/>
    <w:rsid w:val="00A772DF"/>
    <w:rsid w:val="00A775C7"/>
    <w:rsid w:val="00A80540"/>
    <w:rsid w:val="00A8056E"/>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9A6"/>
    <w:rsid w:val="00AA1C25"/>
    <w:rsid w:val="00AA36C4"/>
    <w:rsid w:val="00AA3CD1"/>
    <w:rsid w:val="00AA3DB7"/>
    <w:rsid w:val="00AA51F5"/>
    <w:rsid w:val="00AA57A7"/>
    <w:rsid w:val="00AA5BF7"/>
    <w:rsid w:val="00AA5E3B"/>
    <w:rsid w:val="00AA68B4"/>
    <w:rsid w:val="00AB0543"/>
    <w:rsid w:val="00AB0AC9"/>
    <w:rsid w:val="00AB185A"/>
    <w:rsid w:val="00AB1BA7"/>
    <w:rsid w:val="00AB1E04"/>
    <w:rsid w:val="00AB1ED4"/>
    <w:rsid w:val="00AB1FFA"/>
    <w:rsid w:val="00AB29CF"/>
    <w:rsid w:val="00AB3113"/>
    <w:rsid w:val="00AB348A"/>
    <w:rsid w:val="00AB3F38"/>
    <w:rsid w:val="00AB43EC"/>
    <w:rsid w:val="00AB4BF4"/>
    <w:rsid w:val="00AB5ADF"/>
    <w:rsid w:val="00AB5DE1"/>
    <w:rsid w:val="00AB5E57"/>
    <w:rsid w:val="00AB6EAA"/>
    <w:rsid w:val="00AB725F"/>
    <w:rsid w:val="00AC0705"/>
    <w:rsid w:val="00AC109B"/>
    <w:rsid w:val="00AC2291"/>
    <w:rsid w:val="00AC3396"/>
    <w:rsid w:val="00AC48CA"/>
    <w:rsid w:val="00AC53D0"/>
    <w:rsid w:val="00AC74DA"/>
    <w:rsid w:val="00AC7A2B"/>
    <w:rsid w:val="00AC7C25"/>
    <w:rsid w:val="00AD0A51"/>
    <w:rsid w:val="00AD0B37"/>
    <w:rsid w:val="00AD106A"/>
    <w:rsid w:val="00AD11F7"/>
    <w:rsid w:val="00AD1DB7"/>
    <w:rsid w:val="00AD2852"/>
    <w:rsid w:val="00AD3147"/>
    <w:rsid w:val="00AD3976"/>
    <w:rsid w:val="00AD418B"/>
    <w:rsid w:val="00AD48E8"/>
    <w:rsid w:val="00AD4D2A"/>
    <w:rsid w:val="00AD542F"/>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3DBB"/>
    <w:rsid w:val="00AF3E74"/>
    <w:rsid w:val="00AF496E"/>
    <w:rsid w:val="00AF5194"/>
    <w:rsid w:val="00AF53EF"/>
    <w:rsid w:val="00AF73C3"/>
    <w:rsid w:val="00AF795C"/>
    <w:rsid w:val="00AF7D94"/>
    <w:rsid w:val="00B00752"/>
    <w:rsid w:val="00B026C1"/>
    <w:rsid w:val="00B02B9C"/>
    <w:rsid w:val="00B0353B"/>
    <w:rsid w:val="00B040B2"/>
    <w:rsid w:val="00B10558"/>
    <w:rsid w:val="00B10B8D"/>
    <w:rsid w:val="00B11F2F"/>
    <w:rsid w:val="00B147F5"/>
    <w:rsid w:val="00B14A7B"/>
    <w:rsid w:val="00B156A9"/>
    <w:rsid w:val="00B15F83"/>
    <w:rsid w:val="00B160FF"/>
    <w:rsid w:val="00B16322"/>
    <w:rsid w:val="00B1662E"/>
    <w:rsid w:val="00B16A6F"/>
    <w:rsid w:val="00B17C06"/>
    <w:rsid w:val="00B17D7E"/>
    <w:rsid w:val="00B221DF"/>
    <w:rsid w:val="00B22C0D"/>
    <w:rsid w:val="00B23AF4"/>
    <w:rsid w:val="00B23C15"/>
    <w:rsid w:val="00B25274"/>
    <w:rsid w:val="00B25762"/>
    <w:rsid w:val="00B25B40"/>
    <w:rsid w:val="00B25FDE"/>
    <w:rsid w:val="00B26AB0"/>
    <w:rsid w:val="00B26AD2"/>
    <w:rsid w:val="00B26CA2"/>
    <w:rsid w:val="00B30B4E"/>
    <w:rsid w:val="00B30F48"/>
    <w:rsid w:val="00B31246"/>
    <w:rsid w:val="00B31C2F"/>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5EF"/>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0197"/>
    <w:rsid w:val="00B711CE"/>
    <w:rsid w:val="00B71DC8"/>
    <w:rsid w:val="00B73476"/>
    <w:rsid w:val="00B746C6"/>
    <w:rsid w:val="00B74EC2"/>
    <w:rsid w:val="00B75C3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BEF"/>
    <w:rsid w:val="00B96FC0"/>
    <w:rsid w:val="00B97260"/>
    <w:rsid w:val="00B97A69"/>
    <w:rsid w:val="00BA0034"/>
    <w:rsid w:val="00BA0632"/>
    <w:rsid w:val="00BA0AAA"/>
    <w:rsid w:val="00BA0DFB"/>
    <w:rsid w:val="00BA15D2"/>
    <w:rsid w:val="00BA2FEF"/>
    <w:rsid w:val="00BA46A7"/>
    <w:rsid w:val="00BA6C5F"/>
    <w:rsid w:val="00BB0ADB"/>
    <w:rsid w:val="00BB1548"/>
    <w:rsid w:val="00BB1CE7"/>
    <w:rsid w:val="00BB2FD3"/>
    <w:rsid w:val="00BB2FDF"/>
    <w:rsid w:val="00BB2FFF"/>
    <w:rsid w:val="00BB3F65"/>
    <w:rsid w:val="00BB4E6A"/>
    <w:rsid w:val="00BB53EE"/>
    <w:rsid w:val="00BB5920"/>
    <w:rsid w:val="00BB5FCB"/>
    <w:rsid w:val="00BB604B"/>
    <w:rsid w:val="00BC00EC"/>
    <w:rsid w:val="00BC08C5"/>
    <w:rsid w:val="00BC12FB"/>
    <w:rsid w:val="00BC1C3C"/>
    <w:rsid w:val="00BC307F"/>
    <w:rsid w:val="00BC3159"/>
    <w:rsid w:val="00BC3257"/>
    <w:rsid w:val="00BC3283"/>
    <w:rsid w:val="00BC39DB"/>
    <w:rsid w:val="00BC3A32"/>
    <w:rsid w:val="00BC3B07"/>
    <w:rsid w:val="00BC46EF"/>
    <w:rsid w:val="00BC6FD6"/>
    <w:rsid w:val="00BD008E"/>
    <w:rsid w:val="00BD2F3B"/>
    <w:rsid w:val="00BD3372"/>
    <w:rsid w:val="00BD3BEB"/>
    <w:rsid w:val="00BD410F"/>
    <w:rsid w:val="00BD462A"/>
    <w:rsid w:val="00BD50AA"/>
    <w:rsid w:val="00BD5135"/>
    <w:rsid w:val="00BD557D"/>
    <w:rsid w:val="00BD70F9"/>
    <w:rsid w:val="00BD7291"/>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536C"/>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8F9"/>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17"/>
    <w:rsid w:val="00C21C7A"/>
    <w:rsid w:val="00C2208F"/>
    <w:rsid w:val="00C23130"/>
    <w:rsid w:val="00C255A5"/>
    <w:rsid w:val="00C2584B"/>
    <w:rsid w:val="00C25942"/>
    <w:rsid w:val="00C25DD9"/>
    <w:rsid w:val="00C2663F"/>
    <w:rsid w:val="00C26A2B"/>
    <w:rsid w:val="00C26DB8"/>
    <w:rsid w:val="00C32FD4"/>
    <w:rsid w:val="00C3321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54E0"/>
    <w:rsid w:val="00C65BFF"/>
    <w:rsid w:val="00C65C5D"/>
    <w:rsid w:val="00C67EAB"/>
    <w:rsid w:val="00C70DFF"/>
    <w:rsid w:val="00C7235E"/>
    <w:rsid w:val="00C727B6"/>
    <w:rsid w:val="00C73B4F"/>
    <w:rsid w:val="00C75A6B"/>
    <w:rsid w:val="00C763B6"/>
    <w:rsid w:val="00C7644F"/>
    <w:rsid w:val="00C768F6"/>
    <w:rsid w:val="00C80073"/>
    <w:rsid w:val="00C80DEA"/>
    <w:rsid w:val="00C81D67"/>
    <w:rsid w:val="00C826D8"/>
    <w:rsid w:val="00C82B6A"/>
    <w:rsid w:val="00C832DC"/>
    <w:rsid w:val="00C8377F"/>
    <w:rsid w:val="00C8646D"/>
    <w:rsid w:val="00C90D7B"/>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A7DFF"/>
    <w:rsid w:val="00CB008E"/>
    <w:rsid w:val="00CB01FA"/>
    <w:rsid w:val="00CB0737"/>
    <w:rsid w:val="00CB097A"/>
    <w:rsid w:val="00CB26EC"/>
    <w:rsid w:val="00CB29F4"/>
    <w:rsid w:val="00CB2D2A"/>
    <w:rsid w:val="00CB5978"/>
    <w:rsid w:val="00CB5B1E"/>
    <w:rsid w:val="00CB683C"/>
    <w:rsid w:val="00CB72FA"/>
    <w:rsid w:val="00CB7346"/>
    <w:rsid w:val="00CB787A"/>
    <w:rsid w:val="00CC0C4A"/>
    <w:rsid w:val="00CC17F0"/>
    <w:rsid w:val="00CC1853"/>
    <w:rsid w:val="00CC1FAE"/>
    <w:rsid w:val="00CC3A23"/>
    <w:rsid w:val="00CC6A93"/>
    <w:rsid w:val="00CC737C"/>
    <w:rsid w:val="00CC7C88"/>
    <w:rsid w:val="00CD087D"/>
    <w:rsid w:val="00CD08A3"/>
    <w:rsid w:val="00CD0F5D"/>
    <w:rsid w:val="00CD199E"/>
    <w:rsid w:val="00CD1C0B"/>
    <w:rsid w:val="00CD239A"/>
    <w:rsid w:val="00CD3555"/>
    <w:rsid w:val="00CD42DC"/>
    <w:rsid w:val="00CD5512"/>
    <w:rsid w:val="00CD6D73"/>
    <w:rsid w:val="00CD6E3D"/>
    <w:rsid w:val="00CD71AB"/>
    <w:rsid w:val="00CE0109"/>
    <w:rsid w:val="00CE09CA"/>
    <w:rsid w:val="00CE1856"/>
    <w:rsid w:val="00CE1FC5"/>
    <w:rsid w:val="00CE29AB"/>
    <w:rsid w:val="00CE46E5"/>
    <w:rsid w:val="00CE485A"/>
    <w:rsid w:val="00CE5279"/>
    <w:rsid w:val="00CE57B1"/>
    <w:rsid w:val="00CE5A78"/>
    <w:rsid w:val="00CE78AE"/>
    <w:rsid w:val="00CE7AD3"/>
    <w:rsid w:val="00CE7E62"/>
    <w:rsid w:val="00CF051E"/>
    <w:rsid w:val="00CF195E"/>
    <w:rsid w:val="00CF19DA"/>
    <w:rsid w:val="00CF1C7F"/>
    <w:rsid w:val="00CF1CC0"/>
    <w:rsid w:val="00CF1EEA"/>
    <w:rsid w:val="00CF24F8"/>
    <w:rsid w:val="00CF2653"/>
    <w:rsid w:val="00CF4247"/>
    <w:rsid w:val="00CF5263"/>
    <w:rsid w:val="00CF60B5"/>
    <w:rsid w:val="00D004FA"/>
    <w:rsid w:val="00D01440"/>
    <w:rsid w:val="00D01B21"/>
    <w:rsid w:val="00D01DDD"/>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48B"/>
    <w:rsid w:val="00D3396F"/>
    <w:rsid w:val="00D33D4D"/>
    <w:rsid w:val="00D34A0B"/>
    <w:rsid w:val="00D36234"/>
    <w:rsid w:val="00D36371"/>
    <w:rsid w:val="00D437D8"/>
    <w:rsid w:val="00D44944"/>
    <w:rsid w:val="00D44994"/>
    <w:rsid w:val="00D45DF3"/>
    <w:rsid w:val="00D46174"/>
    <w:rsid w:val="00D46A05"/>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738"/>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9CF"/>
    <w:rsid w:val="00D87ABF"/>
    <w:rsid w:val="00D90CD3"/>
    <w:rsid w:val="00D919E6"/>
    <w:rsid w:val="00D91BE1"/>
    <w:rsid w:val="00D92C29"/>
    <w:rsid w:val="00D93494"/>
    <w:rsid w:val="00D936E2"/>
    <w:rsid w:val="00D95104"/>
    <w:rsid w:val="00D95600"/>
    <w:rsid w:val="00D95805"/>
    <w:rsid w:val="00D9683C"/>
    <w:rsid w:val="00D97884"/>
    <w:rsid w:val="00DA0A7F"/>
    <w:rsid w:val="00DA16E4"/>
    <w:rsid w:val="00DA1C31"/>
    <w:rsid w:val="00DA20BC"/>
    <w:rsid w:val="00DA2ED7"/>
    <w:rsid w:val="00DA31B6"/>
    <w:rsid w:val="00DA3E7A"/>
    <w:rsid w:val="00DA430C"/>
    <w:rsid w:val="00DA615D"/>
    <w:rsid w:val="00DA6598"/>
    <w:rsid w:val="00DA6C0F"/>
    <w:rsid w:val="00DA6C79"/>
    <w:rsid w:val="00DA702F"/>
    <w:rsid w:val="00DA7571"/>
    <w:rsid w:val="00DA790C"/>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070"/>
    <w:rsid w:val="00DC1327"/>
    <w:rsid w:val="00DC1350"/>
    <w:rsid w:val="00DC2D35"/>
    <w:rsid w:val="00DC2E02"/>
    <w:rsid w:val="00DC3237"/>
    <w:rsid w:val="00DC40EC"/>
    <w:rsid w:val="00DC41A4"/>
    <w:rsid w:val="00DC5672"/>
    <w:rsid w:val="00DC60A2"/>
    <w:rsid w:val="00DC63DD"/>
    <w:rsid w:val="00DC6600"/>
    <w:rsid w:val="00DC67BD"/>
    <w:rsid w:val="00DC6924"/>
    <w:rsid w:val="00DC71F2"/>
    <w:rsid w:val="00DD1B7A"/>
    <w:rsid w:val="00DD2025"/>
    <w:rsid w:val="00DD22EA"/>
    <w:rsid w:val="00DD23A0"/>
    <w:rsid w:val="00DD2A2C"/>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407"/>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32D62"/>
    <w:rsid w:val="00E3373D"/>
    <w:rsid w:val="00E339DC"/>
    <w:rsid w:val="00E33E15"/>
    <w:rsid w:val="00E35F53"/>
    <w:rsid w:val="00E361B8"/>
    <w:rsid w:val="00E36A1B"/>
    <w:rsid w:val="00E429ED"/>
    <w:rsid w:val="00E4318A"/>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5033"/>
    <w:rsid w:val="00E56515"/>
    <w:rsid w:val="00E5733D"/>
    <w:rsid w:val="00E60A8F"/>
    <w:rsid w:val="00E61CC0"/>
    <w:rsid w:val="00E6277B"/>
    <w:rsid w:val="00E63554"/>
    <w:rsid w:val="00E64424"/>
    <w:rsid w:val="00E64C99"/>
    <w:rsid w:val="00E64CD3"/>
    <w:rsid w:val="00E671C9"/>
    <w:rsid w:val="00E6743F"/>
    <w:rsid w:val="00E6758E"/>
    <w:rsid w:val="00E67E23"/>
    <w:rsid w:val="00E70016"/>
    <w:rsid w:val="00E70BC7"/>
    <w:rsid w:val="00E70CC0"/>
    <w:rsid w:val="00E70FBC"/>
    <w:rsid w:val="00E71E2A"/>
    <w:rsid w:val="00E72C01"/>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5BA6"/>
    <w:rsid w:val="00E97110"/>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0454"/>
    <w:rsid w:val="00EC1BE5"/>
    <w:rsid w:val="00EC2E2D"/>
    <w:rsid w:val="00EC462B"/>
    <w:rsid w:val="00EC4723"/>
    <w:rsid w:val="00EC56E0"/>
    <w:rsid w:val="00EC6057"/>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4A2E"/>
    <w:rsid w:val="00F0523B"/>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B9F"/>
    <w:rsid w:val="00F30C22"/>
    <w:rsid w:val="00F31211"/>
    <w:rsid w:val="00F31B22"/>
    <w:rsid w:val="00F31B49"/>
    <w:rsid w:val="00F3233B"/>
    <w:rsid w:val="00F32F56"/>
    <w:rsid w:val="00F33D4F"/>
    <w:rsid w:val="00F3458E"/>
    <w:rsid w:val="00F34CD6"/>
    <w:rsid w:val="00F350C7"/>
    <w:rsid w:val="00F35873"/>
    <w:rsid w:val="00F35920"/>
    <w:rsid w:val="00F3654C"/>
    <w:rsid w:val="00F366A5"/>
    <w:rsid w:val="00F36C5F"/>
    <w:rsid w:val="00F37259"/>
    <w:rsid w:val="00F37CD4"/>
    <w:rsid w:val="00F405A4"/>
    <w:rsid w:val="00F417A8"/>
    <w:rsid w:val="00F41F05"/>
    <w:rsid w:val="00F42378"/>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5E76"/>
    <w:rsid w:val="00F662F1"/>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0FD3"/>
    <w:rsid w:val="00FD1A97"/>
    <w:rsid w:val="00FD1B33"/>
    <w:rsid w:val="00FD2D7B"/>
    <w:rsid w:val="00FD33D3"/>
    <w:rsid w:val="00FD37F6"/>
    <w:rsid w:val="00FD4589"/>
    <w:rsid w:val="00FD473E"/>
    <w:rsid w:val="00FD4E76"/>
    <w:rsid w:val="00FD7DF9"/>
    <w:rsid w:val="00FE0B03"/>
    <w:rsid w:val="00FE0B51"/>
    <w:rsid w:val="00FE0B78"/>
    <w:rsid w:val="00FE0ED4"/>
    <w:rsid w:val="00FE15C3"/>
    <w:rsid w:val="00FE1EAB"/>
    <w:rsid w:val="00FE29AE"/>
    <w:rsid w:val="00FE3465"/>
    <w:rsid w:val="00FE348A"/>
    <w:rsid w:val="00FE50FF"/>
    <w:rsid w:val="00FE58F7"/>
    <w:rsid w:val="00FE67CF"/>
    <w:rsid w:val="00FE6D20"/>
    <w:rsid w:val="00FE6FB9"/>
    <w:rsid w:val="00FE7507"/>
    <w:rsid w:val="00FE7549"/>
    <w:rsid w:val="00FE7BCC"/>
    <w:rsid w:val="00FF03AA"/>
    <w:rsid w:val="00FF0632"/>
    <w:rsid w:val="00FF126D"/>
    <w:rsid w:val="00FF1BD8"/>
    <w:rsid w:val="00FF2310"/>
    <w:rsid w:val="00FF2E73"/>
    <w:rsid w:val="00FF30FB"/>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11"/>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9.vsdx"/><Relationship Id="rId10" Type="http://schemas.openxmlformats.org/officeDocument/2006/relationships/package" Target="embeddings/Microsoft_Visio___.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0.emf"/><Relationship Id="rId30" Type="http://schemas.openxmlformats.org/officeDocument/2006/relationships/package" Target="embeddings/Microsoft_Visio___10.vsdx"/><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2E71A-55D4-4460-83C4-FD0DA2F5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8311</TotalTime>
  <Pages>9</Pages>
  <Words>3056</Words>
  <Characters>17420</Characters>
  <Application>Microsoft Office Word</Application>
  <DocSecurity>0</DocSecurity>
  <Lines>145</Lines>
  <Paragraphs>40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Sub-bands location Indication </vt:lpstr>
      <vt:lpstr>    Whether to inform the subband location </vt:lpstr>
      <vt:lpstr>    Semi static, and dynamic subband Indication/Configuration  </vt:lpstr>
      <vt:lpstr>    Bandwidth and numbers of sub-bands </vt:lpstr>
      <vt:lpstr>    Allocation of time/frequency resources to DL/UL sub-bands </vt:lpstr>
      <vt:lpstr>Interference management in SBFD operation</vt:lpstr>
      <vt:lpstr>    gNB self-Interference </vt:lpstr>
      <vt:lpstr>    Co-channel Intra sub-bands interference management</vt:lpstr>
      <vt:lpstr>Conclusion</vt:lpstr>
      <vt:lpstr>References</vt:lpstr>
    </vt:vector>
  </TitlesOfParts>
  <Company>Huawei Technologies</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318</cp:revision>
  <cp:lastPrinted>2007-06-18T22:08:00Z</cp:lastPrinted>
  <dcterms:created xsi:type="dcterms:W3CDTF">2019-02-15T17:28:00Z</dcterms:created>
  <dcterms:modified xsi:type="dcterms:W3CDTF">2022-09-30T07:23:00Z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