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55" w:rsidRDefault="0026544B">
      <w:pPr>
        <w:pStyle w:val="Header"/>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rsidR="001F4D55" w:rsidRDefault="0026544B">
      <w:pPr>
        <w:pStyle w:val="Header"/>
        <w:tabs>
          <w:tab w:val="right" w:pos="9498"/>
        </w:tabs>
        <w:rPr>
          <w:rFonts w:cs="Arial"/>
          <w:bCs/>
          <w:sz w:val="22"/>
        </w:rPr>
      </w:pPr>
      <w:r>
        <w:rPr>
          <w:rFonts w:cs="Arial"/>
          <w:bCs/>
          <w:sz w:val="22"/>
        </w:rPr>
        <w:t>e-Meeting, May 9th – 20th, 2022</w:t>
      </w:r>
    </w:p>
    <w:p w:rsidR="001F4D55" w:rsidRDefault="001F4D55">
      <w:pPr>
        <w:pStyle w:val="Header"/>
        <w:tabs>
          <w:tab w:val="right" w:pos="9639"/>
        </w:tabs>
        <w:rPr>
          <w:rFonts w:cs="Arial"/>
          <w:bCs/>
          <w:sz w:val="22"/>
        </w:rPr>
      </w:pPr>
    </w:p>
    <w:p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rsidR="001F4D55" w:rsidRDefault="001F4D55">
      <w:pPr>
        <w:pStyle w:val="Header"/>
        <w:tabs>
          <w:tab w:val="right" w:pos="9639"/>
        </w:tabs>
        <w:rPr>
          <w:rFonts w:cs="Arial"/>
          <w:bCs/>
          <w:sz w:val="22"/>
        </w:rPr>
      </w:pPr>
    </w:p>
    <w:p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rsidR="001F4D55" w:rsidRDefault="0026544B">
      <w:pPr>
        <w:pStyle w:val="Heading1"/>
      </w:pPr>
      <w:r>
        <w:t>2</w:t>
      </w:r>
      <w:r>
        <w:tab/>
        <w:t>Draft TR skeleton</w:t>
      </w:r>
    </w:p>
    <w:p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TableGrid"/>
        <w:tblW w:w="0" w:type="auto"/>
        <w:tblLook w:val="04A0" w:firstRow="1" w:lastRow="0" w:firstColumn="1" w:lastColumn="0" w:noHBand="0" w:noVBand="1"/>
      </w:tblPr>
      <w:tblGrid>
        <w:gridCol w:w="1188"/>
        <w:gridCol w:w="8443"/>
      </w:tblGrid>
      <w:tr w:rsidR="001F4D55">
        <w:tc>
          <w:tcPr>
            <w:tcW w:w="1188" w:type="dxa"/>
            <w:shd w:val="clear" w:color="auto" w:fill="D9D9D9" w:themeFill="background1" w:themeFillShade="D9"/>
          </w:tcPr>
          <w:p w:rsidR="001F4D55" w:rsidRDefault="0026544B">
            <w:pPr>
              <w:rPr>
                <w:b/>
                <w:bCs/>
              </w:rPr>
            </w:pPr>
            <w:r>
              <w:rPr>
                <w:b/>
                <w:bCs/>
              </w:rPr>
              <w:t>Company</w:t>
            </w:r>
          </w:p>
        </w:tc>
        <w:tc>
          <w:tcPr>
            <w:tcW w:w="8443" w:type="dxa"/>
            <w:shd w:val="clear" w:color="auto" w:fill="D9D9D9" w:themeFill="background1" w:themeFillShade="D9"/>
          </w:tcPr>
          <w:p w:rsidR="001F4D55" w:rsidRDefault="0026544B">
            <w:pPr>
              <w:rPr>
                <w:b/>
                <w:bCs/>
              </w:rPr>
            </w:pPr>
            <w:r>
              <w:rPr>
                <w:b/>
                <w:bCs/>
              </w:rPr>
              <w:t>Comments</w:t>
            </w:r>
          </w:p>
        </w:tc>
      </w:tr>
      <w:tr w:rsidR="001F4D55">
        <w:tc>
          <w:tcPr>
            <w:tcW w:w="1188" w:type="dxa"/>
          </w:tcPr>
          <w:p w:rsidR="001F4D55" w:rsidRDefault="0026544B">
            <w:r>
              <w:t>QC</w:t>
            </w:r>
          </w:p>
        </w:tc>
        <w:tc>
          <w:tcPr>
            <w:tcW w:w="8443" w:type="dxa"/>
          </w:tcPr>
          <w:p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tc>
                <w:tcPr>
                  <w:tcW w:w="7468" w:type="dxa"/>
                </w:tcPr>
                <w:p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rsidR="001F4D55" w:rsidRDefault="001F4D55">
            <w:pPr>
              <w:rPr>
                <w:b/>
                <w:bCs/>
                <w:sz w:val="4"/>
                <w:szCs w:val="4"/>
                <w:u w:val="single"/>
              </w:rPr>
            </w:pPr>
          </w:p>
          <w:p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TableGrid"/>
              <w:tblW w:w="0" w:type="auto"/>
              <w:tblLook w:val="04A0" w:firstRow="1" w:lastRow="0" w:firstColumn="1" w:lastColumn="0" w:noHBand="0" w:noVBand="1"/>
            </w:tblPr>
            <w:tblGrid>
              <w:gridCol w:w="7468"/>
            </w:tblGrid>
            <w:tr w:rsidR="001F4D55">
              <w:tc>
                <w:tcPr>
                  <w:tcW w:w="7468" w:type="dxa"/>
                </w:tcPr>
                <w:p w:rsidR="001F4D55" w:rsidRDefault="0026544B">
                  <w:pPr>
                    <w:jc w:val="both"/>
                    <w:rPr>
                      <w:bCs/>
                    </w:rPr>
                  </w:pPr>
                  <w:r>
                    <w:rPr>
                      <w:rFonts w:hint="eastAsia"/>
                      <w:bCs/>
                    </w:rPr>
                    <w:t xml:space="preserve">The detailed objectives are as </w:t>
                  </w:r>
                  <w:r>
                    <w:rPr>
                      <w:bCs/>
                    </w:rPr>
                    <w:t>follows</w:t>
                  </w:r>
                  <w:r>
                    <w:rPr>
                      <w:rFonts w:hint="eastAsia"/>
                      <w:bCs/>
                    </w:rPr>
                    <w:t>:</w:t>
                  </w:r>
                </w:p>
                <w:p w:rsidR="001F4D55" w:rsidRDefault="0026544B">
                  <w:pPr>
                    <w:numPr>
                      <w:ilvl w:val="0"/>
                      <w:numId w:val="1"/>
                    </w:numPr>
                    <w:jc w:val="both"/>
                  </w:pPr>
                  <w:r>
                    <w:t>Identify applicable and relevant deployment scenarios (RAN1).</w:t>
                  </w:r>
                </w:p>
                <w:p w:rsidR="001F4D55" w:rsidRDefault="0026544B">
                  <w:pPr>
                    <w:numPr>
                      <w:ilvl w:val="0"/>
                      <w:numId w:val="1"/>
                    </w:numPr>
                    <w:jc w:val="both"/>
                  </w:pPr>
                  <w:r>
                    <w:t>Develop evaluation methodology for duplex enhancement (RAN1).</w:t>
                  </w:r>
                </w:p>
                <w:p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rsidR="001F4D55" w:rsidRDefault="001F4D55"/>
          <w:p w:rsidR="001F4D55" w:rsidRDefault="0026544B">
            <w:pPr>
              <w:rPr>
                <w:b/>
                <w:bCs/>
                <w:u w:val="single"/>
              </w:rPr>
            </w:pPr>
            <w:r>
              <w:rPr>
                <w:b/>
                <w:bCs/>
                <w:u w:val="single"/>
              </w:rPr>
              <w:lastRenderedPageBreak/>
              <w:t>Comment #3</w:t>
            </w:r>
          </w:p>
          <w:p w:rsidR="001F4D55" w:rsidRDefault="0026544B">
            <w:r>
              <w:t xml:space="preserve">For section 7 and section 9, we think that FR1 and FR2 evaluation methodology and performance analysis should be captured independently in two different sections. </w:t>
            </w:r>
          </w:p>
          <w:p w:rsidR="001F4D55" w:rsidRDefault="0026544B">
            <w:pPr>
              <w:rPr>
                <w:b/>
                <w:bCs/>
                <w:u w:val="single"/>
              </w:rPr>
            </w:pPr>
            <w:r>
              <w:rPr>
                <w:b/>
                <w:bCs/>
                <w:u w:val="single"/>
              </w:rPr>
              <w:t>Comment #4</w:t>
            </w:r>
          </w:p>
          <w:p w:rsidR="001F4D55" w:rsidRDefault="0026544B">
            <w:r>
              <w:t>For section 6.2 and 8.1 on cross-link interference, it should be clarified how to handle the common and SBFD specific enhancement or dynamic-TDD specific enhancements.</w:t>
            </w:r>
          </w:p>
          <w:p w:rsidR="001F4D55" w:rsidRDefault="0026544B">
            <w:pPr>
              <w:rPr>
                <w:b/>
                <w:bCs/>
                <w:u w:val="single"/>
              </w:rPr>
            </w:pPr>
            <w:r>
              <w:rPr>
                <w:b/>
                <w:bCs/>
                <w:u w:val="single"/>
              </w:rPr>
              <w:t>Comment #5</w:t>
            </w:r>
          </w:p>
          <w:p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rsidR="001F4D55" w:rsidRDefault="0026544B">
            <w:pPr>
              <w:rPr>
                <w:b/>
                <w:bCs/>
                <w:u w:val="single"/>
              </w:rPr>
            </w:pPr>
            <w:r>
              <w:rPr>
                <w:b/>
                <w:bCs/>
                <w:u w:val="single"/>
              </w:rPr>
              <w:t>Comment #6</w:t>
            </w:r>
          </w:p>
          <w:p w:rsidR="001F4D55" w:rsidRDefault="0026544B">
            <w:r>
              <w:t>As commented online, there could be link-budget analysis and link-level analysis in addition to SLS. Based on the outcome of RAN1 discussion, these evaluation methods should be added in addition to the SLS.</w:t>
            </w:r>
          </w:p>
          <w:p w:rsidR="001F4D55" w:rsidRDefault="001F4D55"/>
        </w:tc>
      </w:tr>
      <w:tr w:rsidR="001F4D55">
        <w:tc>
          <w:tcPr>
            <w:tcW w:w="1188" w:type="dxa"/>
          </w:tcPr>
          <w:p w:rsidR="001F4D55" w:rsidRDefault="0026544B">
            <w:r>
              <w:lastRenderedPageBreak/>
              <w:t>Ericsson</w:t>
            </w:r>
          </w:p>
        </w:tc>
        <w:tc>
          <w:tcPr>
            <w:tcW w:w="8443" w:type="dxa"/>
          </w:tcPr>
          <w:p w:rsidR="001F4D55" w:rsidRDefault="0026544B">
            <w:pPr>
              <w:jc w:val="both"/>
              <w:rPr>
                <w:b/>
                <w:bCs/>
                <w:u w:val="single"/>
              </w:rPr>
            </w:pPr>
            <w:r>
              <w:rPr>
                <w:b/>
                <w:bCs/>
                <w:u w:val="single"/>
              </w:rPr>
              <w:t>Comment #1</w:t>
            </w:r>
          </w:p>
          <w:p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rsidR="001F4D55" w:rsidRDefault="0026544B">
            <w:pPr>
              <w:ind w:left="284"/>
              <w:jc w:val="both"/>
              <w:rPr>
                <w:color w:val="FF0000"/>
              </w:rPr>
            </w:pPr>
            <w:r>
              <w:rPr>
                <w:color w:val="FF0000"/>
              </w:rPr>
              <w:t>7.1 Evaluation Methodologies</w:t>
            </w:r>
          </w:p>
          <w:p w:rsidR="001F4D55" w:rsidRDefault="0026544B">
            <w:pPr>
              <w:ind w:left="568"/>
              <w:jc w:val="both"/>
              <w:rPr>
                <w:color w:val="FF0000"/>
              </w:rPr>
            </w:pPr>
            <w:r>
              <w:rPr>
                <w:color w:val="FF0000"/>
              </w:rPr>
              <w:t xml:space="preserve">7.1.1 Link Level </w:t>
            </w:r>
          </w:p>
          <w:p w:rsidR="001F4D55" w:rsidRDefault="0026544B">
            <w:pPr>
              <w:ind w:left="852"/>
              <w:jc w:val="both"/>
              <w:rPr>
                <w:i/>
                <w:color w:val="FF0000"/>
              </w:rPr>
            </w:pPr>
            <w:r>
              <w:rPr>
                <w:i/>
                <w:color w:val="FF0000"/>
              </w:rPr>
              <w:t>Note: includes a table of link-level evaluation assumptions</w:t>
            </w:r>
          </w:p>
          <w:p w:rsidR="001F4D55" w:rsidRDefault="0026544B">
            <w:pPr>
              <w:ind w:left="568"/>
              <w:jc w:val="both"/>
              <w:rPr>
                <w:color w:val="FF0000"/>
              </w:rPr>
            </w:pPr>
            <w:r>
              <w:rPr>
                <w:color w:val="FF0000"/>
              </w:rPr>
              <w:t>7.1.2 System Level</w:t>
            </w:r>
          </w:p>
          <w:p w:rsidR="001F4D55" w:rsidRDefault="0026544B">
            <w:pPr>
              <w:ind w:left="852"/>
              <w:jc w:val="both"/>
              <w:rPr>
                <w:i/>
                <w:color w:val="FF0000"/>
              </w:rPr>
            </w:pPr>
            <w:r>
              <w:rPr>
                <w:i/>
                <w:color w:val="FF0000"/>
              </w:rPr>
              <w:t>Note: includes a table of system-level evaluation assumptions</w:t>
            </w:r>
          </w:p>
          <w:p w:rsidR="001F4D55" w:rsidRDefault="0026544B">
            <w:pPr>
              <w:jc w:val="both"/>
              <w:rPr>
                <w:b/>
                <w:bCs/>
                <w:u w:val="single"/>
              </w:rPr>
            </w:pPr>
            <w:r>
              <w:rPr>
                <w:b/>
                <w:bCs/>
                <w:u w:val="single"/>
              </w:rPr>
              <w:t>Comment #2</w:t>
            </w:r>
          </w:p>
          <w:p w:rsidR="001F4D55" w:rsidRDefault="0026544B">
            <w:pPr>
              <w:jc w:val="both"/>
            </w:pPr>
            <w:r>
              <w:t>Regarding Qualcomm's Comment #5, we agree that the BS-BS and UE-UE channel models are important, and these can be captured in a table with all other evaluation as we suggest above.</w:t>
            </w:r>
          </w:p>
          <w:p w:rsidR="001F4D55" w:rsidRDefault="0026544B">
            <w:pPr>
              <w:jc w:val="both"/>
              <w:rPr>
                <w:b/>
                <w:bCs/>
                <w:u w:val="single"/>
              </w:rPr>
            </w:pPr>
            <w:r>
              <w:rPr>
                <w:b/>
                <w:bCs/>
                <w:u w:val="single"/>
              </w:rPr>
              <w:t>Comment #3</w:t>
            </w:r>
          </w:p>
          <w:p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rsidR="001F4D55" w:rsidRDefault="0026544B">
            <w:pPr>
              <w:jc w:val="both"/>
            </w:pPr>
            <w:r>
              <w:t>This is in contrast to the RAN4 objective which is about studying feasibility and impact on RF requirements:</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rsidR="001F4D55" w:rsidRDefault="001F4D55">
            <w:pPr>
              <w:jc w:val="both"/>
            </w:pPr>
          </w:p>
          <w:p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rsidR="001F4D55" w:rsidRDefault="0026544B">
            <w:pPr>
              <w:jc w:val="both"/>
              <w:rPr>
                <w:color w:val="FF0000"/>
              </w:rPr>
            </w:pPr>
            <w:r>
              <w:rPr>
                <w:color w:val="FF0000"/>
              </w:rPr>
              <w:t>7.2 Single-Operator Evaluation Results</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rsidR="001F4D55" w:rsidRDefault="0026544B">
            <w:pPr>
              <w:ind w:left="284"/>
              <w:jc w:val="both"/>
              <w:rPr>
                <w:color w:val="FF0000"/>
              </w:rPr>
            </w:pPr>
            <w:r>
              <w:rPr>
                <w:color w:val="FF0000"/>
              </w:rPr>
              <w:t>7.2.1 Scenario 1</w:t>
            </w:r>
          </w:p>
          <w:p w:rsidR="001F4D55" w:rsidRDefault="0026544B">
            <w:pPr>
              <w:ind w:left="284"/>
              <w:jc w:val="both"/>
              <w:rPr>
                <w:color w:val="FF0000"/>
              </w:rPr>
            </w:pPr>
            <w:r>
              <w:rPr>
                <w:color w:val="FF0000"/>
              </w:rPr>
              <w:t>7.2.2 Scenario 2</w:t>
            </w:r>
          </w:p>
          <w:p w:rsidR="001F4D55" w:rsidRDefault="0026544B">
            <w:pPr>
              <w:ind w:left="284"/>
              <w:jc w:val="both"/>
              <w:rPr>
                <w:color w:val="FF0000"/>
              </w:rPr>
            </w:pPr>
            <w:r>
              <w:rPr>
                <w:color w:val="FF0000"/>
              </w:rPr>
              <w:t>…</w:t>
            </w:r>
          </w:p>
          <w:p w:rsidR="001F4D55" w:rsidRDefault="0026544B">
            <w:pPr>
              <w:jc w:val="both"/>
              <w:rPr>
                <w:color w:val="FF0000"/>
              </w:rPr>
            </w:pPr>
            <w:r>
              <w:rPr>
                <w:color w:val="FF0000"/>
              </w:rPr>
              <w:t xml:space="preserve">7.3 Two-Operator Evaluation Results </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rsidR="001F4D55" w:rsidRDefault="0026544B">
            <w:pPr>
              <w:ind w:left="284"/>
              <w:jc w:val="both"/>
              <w:rPr>
                <w:color w:val="FF0000"/>
              </w:rPr>
            </w:pPr>
            <w:r>
              <w:rPr>
                <w:color w:val="FF0000"/>
              </w:rPr>
              <w:t>7.3.1 Scenario 1</w:t>
            </w:r>
          </w:p>
          <w:p w:rsidR="001F4D55" w:rsidRDefault="0026544B">
            <w:pPr>
              <w:ind w:left="284"/>
              <w:jc w:val="both"/>
              <w:rPr>
                <w:color w:val="FF0000"/>
              </w:rPr>
            </w:pPr>
            <w:r>
              <w:rPr>
                <w:color w:val="FF0000"/>
              </w:rPr>
              <w:t>7.3.2 Scenario 2</w:t>
            </w:r>
          </w:p>
          <w:p w:rsidR="001F4D55" w:rsidRDefault="0026544B">
            <w:pPr>
              <w:jc w:val="both"/>
            </w:pPr>
            <w:r>
              <w:t>…</w:t>
            </w:r>
          </w:p>
          <w:p w:rsidR="001F4D55" w:rsidRDefault="0026544B">
            <w:pPr>
              <w:jc w:val="both"/>
              <w:rPr>
                <w:b/>
                <w:bCs/>
                <w:u w:val="single"/>
              </w:rPr>
            </w:pPr>
            <w:r>
              <w:rPr>
                <w:b/>
                <w:bCs/>
                <w:u w:val="single"/>
              </w:rPr>
              <w:t>Comment #4</w:t>
            </w:r>
          </w:p>
          <w:p w:rsidR="001F4D55" w:rsidRDefault="0026544B">
            <w:pPr>
              <w:jc w:val="both"/>
            </w:pPr>
            <w:r>
              <w:t xml:space="preserve">We also agree with Qualcomm’s comment 3 regarding having separate sub-sections for FR1 and FR2 evaluations. </w:t>
            </w:r>
          </w:p>
        </w:tc>
      </w:tr>
      <w:tr w:rsidR="001F4D55">
        <w:tc>
          <w:tcPr>
            <w:tcW w:w="1188" w:type="dxa"/>
          </w:tcPr>
          <w:p w:rsidR="001F4D55" w:rsidRDefault="0026544B">
            <w:r>
              <w:rPr>
                <w:lang w:val="en-US"/>
              </w:rPr>
              <w:t>OPPO</w:t>
            </w:r>
          </w:p>
        </w:tc>
        <w:tc>
          <w:tcPr>
            <w:tcW w:w="8443" w:type="dxa"/>
          </w:tcPr>
          <w:p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rsidR="001F4D55" w:rsidRDefault="001F4D55"/>
          <w:p w:rsidR="001F4D55" w:rsidRDefault="001F4D55"/>
        </w:tc>
      </w:tr>
      <w:tr w:rsidR="001F4D55">
        <w:tc>
          <w:tcPr>
            <w:tcW w:w="1188" w:type="dxa"/>
          </w:tcPr>
          <w:p w:rsidR="001F4D55" w:rsidRDefault="008F561D">
            <w:r>
              <w:rPr>
                <w:lang w:val="en-US"/>
              </w:rPr>
              <w:t>Spreadtrum</w:t>
            </w:r>
          </w:p>
        </w:tc>
        <w:tc>
          <w:tcPr>
            <w:tcW w:w="8443" w:type="dxa"/>
          </w:tcPr>
          <w:p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rsidR="001F4D55" w:rsidRPr="008F561D"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tc>
          <w:tcPr>
            <w:tcW w:w="1188" w:type="dxa"/>
          </w:tcPr>
          <w:p w:rsidR="00DB1CED" w:rsidRDefault="00DB1CED" w:rsidP="00DB1CED">
            <w:r>
              <w:t>Huawei, HiSilicon</w:t>
            </w:r>
          </w:p>
        </w:tc>
        <w:tc>
          <w:tcPr>
            <w:tcW w:w="8443" w:type="dxa"/>
          </w:tcPr>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rsidR="00DB1CED" w:rsidRDefault="00DB1CED" w:rsidP="00DB1CED">
            <w:pPr>
              <w:ind w:left="568"/>
              <w:jc w:val="both"/>
              <w:rPr>
                <w:color w:val="FF0000"/>
              </w:rPr>
            </w:pPr>
            <w:r>
              <w:rPr>
                <w:color w:val="FF0000"/>
              </w:rPr>
              <w:t>7.1.1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7.1.2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7.1.2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color w:val="FF0000"/>
                <w:lang w:eastAsia="zh-CN"/>
              </w:rPr>
            </w:pPr>
            <w:r>
              <w:rPr>
                <w:color w:val="FF0000"/>
                <w:lang w:eastAsia="zh-CN"/>
              </w:rPr>
              <w:t>…</w:t>
            </w:r>
          </w:p>
          <w:p w:rsidR="00DB1CED" w:rsidRDefault="00DB1CED" w:rsidP="00DB1CED">
            <w:pPr>
              <w:ind w:left="568"/>
              <w:jc w:val="both"/>
              <w:rPr>
                <w:color w:val="FF0000"/>
              </w:rPr>
            </w:pPr>
            <w:r>
              <w:rPr>
                <w:color w:val="FF0000"/>
              </w:rPr>
              <w:t>9.1.1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9.1.2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9.1.2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rsidR="00DB1CED" w:rsidRPr="007C6339" w:rsidRDefault="00DB1CED" w:rsidP="00DB1CED">
            <w:pPr>
              <w:jc w:val="both"/>
              <w:rPr>
                <w:lang w:eastAsia="zh-CN"/>
              </w:rPr>
            </w:pPr>
            <w:r>
              <w:rPr>
                <w:lang w:eastAsia="zh-CN"/>
              </w:rPr>
              <w:t>On section 6.2, we are wondering whether intra-gNB CLI (self-interference) should also be included.</w:t>
            </w:r>
          </w:p>
        </w:tc>
        <w:bookmarkStart w:id="15" w:name="_GoBack"/>
        <w:bookmarkEnd w:id="15"/>
      </w:tr>
      <w:tr w:rsidR="00DB1CED">
        <w:tc>
          <w:tcPr>
            <w:tcW w:w="1188" w:type="dxa"/>
          </w:tcPr>
          <w:p w:rsidR="00DB1CED" w:rsidRDefault="001F4D0D" w:rsidP="00DB1CED">
            <w:r>
              <w:t>TCL</w:t>
            </w:r>
          </w:p>
        </w:tc>
        <w:tc>
          <w:tcPr>
            <w:tcW w:w="8443" w:type="dxa"/>
          </w:tcPr>
          <w:p w:rsidR="001F4D0D" w:rsidRDefault="001F4D0D" w:rsidP="001F4D0D">
            <w:pPr>
              <w:jc w:val="both"/>
            </w:pPr>
            <w:r>
              <w:t xml:space="preserve">For section 6.1 we share similar views with Qualcomm and OPOO to include “Feasibility” in section 6.1, in order to align section 6.1 with the objectives mentioned in the SID. </w:t>
            </w:r>
          </w:p>
          <w:p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bl>
    <w:p w:rsidR="001F4D55" w:rsidRDefault="001F4D55">
      <w:pPr>
        <w:ind w:left="567" w:hanging="567"/>
        <w:rPr>
          <w:u w:val="single"/>
          <w:lang w:val="en-US"/>
        </w:rPr>
      </w:pPr>
    </w:p>
    <w:p w:rsidR="001F4D55" w:rsidRDefault="0026544B">
      <w:pPr>
        <w:pStyle w:val="Heading1"/>
        <w:ind w:left="431" w:firstLine="0"/>
        <w:jc w:val="both"/>
        <w:rPr>
          <w:lang w:val="en-US"/>
        </w:rPr>
      </w:pPr>
      <w:r>
        <w:rPr>
          <w:lang w:val="en-US"/>
        </w:rPr>
        <w:t>References</w:t>
      </w:r>
      <w:bookmarkStart w:id="16" w:name="_Ref450735844"/>
      <w:bookmarkStart w:id="17" w:name="_Ref450342757"/>
      <w:bookmarkStart w:id="18" w:name="_Ref457730460"/>
    </w:p>
    <w:p w:rsidR="001F4D55" w:rsidRDefault="0026544B">
      <w:pPr>
        <w:pStyle w:val="ListParagraph"/>
        <w:numPr>
          <w:ilvl w:val="0"/>
          <w:numId w:val="4"/>
        </w:numPr>
        <w:spacing w:after="0" w:line="240" w:lineRule="auto"/>
        <w:contextualSpacing w:val="0"/>
        <w:rPr>
          <w:lang w:eastAsia="ko-KR"/>
        </w:rPr>
      </w:pPr>
      <w:bookmarkStart w:id="19" w:name="_Ref102202366"/>
      <w:bookmarkEnd w:id="16"/>
      <w:bookmarkEnd w:id="17"/>
      <w:bookmarkEnd w:id="18"/>
      <w:r>
        <w:rPr>
          <w:lang w:eastAsia="ko-KR"/>
        </w:rPr>
        <w:t>RP-213591, New SI: Study on evolution of NR duplex operation, CMCC</w:t>
      </w:r>
      <w:bookmarkEnd w:id="19"/>
    </w:p>
    <w:p w:rsidR="001F4D55" w:rsidRDefault="0026544B">
      <w:pPr>
        <w:pStyle w:val="ListParagraph"/>
        <w:numPr>
          <w:ilvl w:val="0"/>
          <w:numId w:val="4"/>
        </w:numPr>
        <w:spacing w:after="0" w:line="240" w:lineRule="auto"/>
        <w:contextualSpacing w:val="0"/>
        <w:rPr>
          <w:lang w:eastAsia="ko-KR"/>
        </w:rPr>
      </w:pPr>
      <w:bookmarkStart w:id="20" w:name="_Ref102202373"/>
      <w:r>
        <w:rPr>
          <w:lang w:eastAsia="ko-KR"/>
        </w:rPr>
        <w:t>RP-220633, Revised SID: Study on evolution of NR duplex operation, CMCC</w:t>
      </w:r>
      <w:bookmarkEnd w:id="20"/>
    </w:p>
    <w:p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E3B" w:rsidRDefault="00DC2E3B">
      <w:pPr>
        <w:spacing w:after="0"/>
      </w:pPr>
      <w:r>
        <w:separator/>
      </w:r>
    </w:p>
  </w:endnote>
  <w:endnote w:type="continuationSeparator" w:id="0">
    <w:p w:rsidR="00DC2E3B" w:rsidRDefault="00DC2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default"/>
    <w:sig w:usb0="00000000" w:usb1="00000000"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E3B" w:rsidRDefault="00DC2E3B">
      <w:pPr>
        <w:spacing w:after="0"/>
      </w:pPr>
      <w:r>
        <w:separator/>
      </w:r>
    </w:p>
  </w:footnote>
  <w:footnote w:type="continuationSeparator" w:id="0">
    <w:p w:rsidR="00DC2E3B" w:rsidRDefault="00DC2E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1F6FC"/>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
    <w:name w:val="Unresolved Mention"/>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Mention">
    <w:name w:val="Mention"/>
    <w:basedOn w:val="DefaultParagraphFont"/>
    <w:uiPriority w:val="99"/>
    <w:unhideWhenUsed/>
    <w:qFormat/>
    <w:rPr>
      <w:color w:val="2B579A"/>
      <w:shd w:val="clear" w:color="auto" w:fill="E1DFDD"/>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1735</Words>
  <Characters>9896</Characters>
  <Application>Microsoft Office Word</Application>
  <DocSecurity>0</DocSecurity>
  <Lines>82</Lines>
  <Paragraphs>23</Paragraphs>
  <ScaleCrop>false</ScaleCrop>
  <Company>ETSI</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JanShahid</cp:lastModifiedBy>
  <cp:revision>4</cp:revision>
  <cp:lastPrinted>2020-05-14T06:07:00Z</cp:lastPrinted>
  <dcterms:created xsi:type="dcterms:W3CDTF">2022-05-10T01:39:00Z</dcterms:created>
  <dcterms:modified xsi:type="dcterms:W3CDTF">2022-05-10T02:53:00Z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ies>
</file>