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1"/>
          <w:numId w:val="0"/>
        </w:numPr>
        <w:rPr>
          <w:rFonts w:eastAsia="Times New Roman" w:cs="Arial"/>
          <w:b/>
          <w:bCs/>
          <w:color w:val="5A5A5A"/>
          <w:spacing w:val="5"/>
          <w:lang w:val="en-GB"/>
        </w:rPr>
      </w:pPr>
      <w:r>
        <w:rPr>
          <w:rFonts w:eastAsia="Times New Roman" w:cs="Arial"/>
          <w:b/>
          <w:bCs/>
          <w:color w:val="5A5A5A"/>
          <w:spacing w:val="5"/>
          <w:lang w:val="en-GB"/>
        </w:rPr>
        <w:t xml:space="preserve">3GPP TSG RAN WG1 Meeting #109-e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 xml:space="preserv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R1-22xxxxx</w:t>
      </w:r>
    </w:p>
    <w:p>
      <w:pPr>
        <w:numPr>
          <w:ilvl w:val="1"/>
          <w:numId w:val="0"/>
        </w:numPr>
        <w:rPr>
          <w:rFonts w:eastAsia="Times New Roman" w:cs="Arial"/>
          <w:b/>
          <w:bCs/>
          <w:iCs/>
          <w:color w:val="5A5A5A"/>
          <w:spacing w:val="5"/>
          <w:lang w:val="en-GB"/>
        </w:rPr>
      </w:pPr>
      <w:bookmarkStart w:id="0" w:name="_Hlk61804542"/>
      <w:r>
        <w:rPr>
          <w:rFonts w:eastAsia="Times New Roman" w:cs="Arial"/>
          <w:b/>
          <w:bCs/>
          <w:iCs/>
          <w:color w:val="5A5A5A"/>
          <w:spacing w:val="5"/>
          <w:lang w:val="en-GB"/>
        </w:rPr>
        <w:t>9</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 </w:t>
      </w:r>
      <w:r>
        <w:rPr>
          <w:rFonts w:eastAsia="Times New Roman" w:cs="Arial"/>
          <w:b/>
          <w:bCs/>
          <w:i/>
          <w:iCs/>
          <w:color w:val="5A5A5A"/>
          <w:spacing w:val="5"/>
          <w:lang w:val="en-GB"/>
        </w:rPr>
        <w:t xml:space="preserve">– </w:t>
      </w:r>
      <w:r>
        <w:rPr>
          <w:rFonts w:eastAsia="Times New Roman" w:cs="Arial"/>
          <w:b/>
          <w:bCs/>
          <w:iCs/>
          <w:color w:val="5A5A5A"/>
          <w:spacing w:val="5"/>
          <w:lang w:val="en-GB"/>
        </w:rPr>
        <w:t>20</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w:t>
      </w:r>
      <w:r>
        <w:rPr>
          <w:rFonts w:eastAsia="Times New Roman" w:cs="Arial"/>
          <w:b/>
          <w:bCs/>
          <w:i/>
          <w:iCs/>
          <w:color w:val="5A5A5A"/>
          <w:spacing w:val="5"/>
          <w:lang w:val="en-GB"/>
        </w:rPr>
        <w:t xml:space="preserve"> </w:t>
      </w:r>
      <w:r>
        <w:rPr>
          <w:rFonts w:eastAsia="Times New Roman" w:cs="Arial"/>
          <w:b/>
          <w:bCs/>
          <w:color w:val="5A5A5A"/>
          <w:spacing w:val="5"/>
          <w:lang w:val="en-GB"/>
        </w:rPr>
        <w:t>202</w:t>
      </w:r>
      <w:bookmarkEnd w:id="0"/>
      <w:r>
        <w:rPr>
          <w:rFonts w:eastAsia="Times New Roman" w:cs="Arial"/>
          <w:b/>
          <w:bCs/>
          <w:color w:val="5A5A5A"/>
          <w:spacing w:val="5"/>
          <w:lang w:val="en-GB"/>
        </w:rPr>
        <w:t>2</w:t>
      </w:r>
    </w:p>
    <w:p>
      <w:pPr>
        <w:pBdr>
          <w:top w:val="single" w:color="auto" w:sz="4" w:space="1"/>
          <w:bottom w:val="single" w:color="auto" w:sz="4" w:space="1"/>
        </w:pBdr>
        <w:spacing w:after="180"/>
        <w:rPr>
          <w:rFonts w:eastAsia="Times New Roman" w:cs="Arial"/>
          <w:color w:val="5A5A5A"/>
          <w:spacing w:val="15"/>
          <w:lang w:val="en-GB"/>
        </w:rPr>
      </w:pPr>
      <w:r>
        <w:rPr>
          <w:rFonts w:eastAsia="Times New Roman" w:cs="Arial"/>
          <w:b/>
          <w:bCs/>
          <w:spacing w:val="5"/>
          <w:lang w:val="en-GB"/>
        </w:rPr>
        <w:t>Agenda Item:</w:t>
      </w:r>
      <w:r>
        <w:rPr>
          <w:rFonts w:eastAsia="Times New Roman" w:cs="Arial"/>
          <w:b/>
          <w:bCs/>
          <w:smallCaps/>
          <w:color w:val="4472C4"/>
          <w:spacing w:val="5"/>
          <w:lang w:val="en-GB"/>
        </w:rPr>
        <w:tab/>
      </w:r>
      <w:r>
        <w:rPr>
          <w:rFonts w:eastAsia="Times New Roman" w:cs="Arial"/>
          <w:b/>
          <w:bCs/>
          <w:smallCaps/>
          <w:color w:val="4472C4"/>
          <w:spacing w:val="5"/>
          <w:lang w:val="en-GB"/>
        </w:rPr>
        <w:tab/>
      </w:r>
      <w:r>
        <w:rPr>
          <w:rFonts w:eastAsia="Times New Roman" w:cs="Arial"/>
          <w:color w:val="5A5A5A"/>
          <w:spacing w:val="15"/>
          <w:lang w:val="en-GB"/>
        </w:rPr>
        <w:t>8.10</w:t>
      </w:r>
    </w:p>
    <w:p>
      <w:pPr>
        <w:pBdr>
          <w:top w:val="single" w:color="auto" w:sz="4" w:space="1"/>
          <w:bottom w:val="single" w:color="auto" w:sz="4" w:space="1"/>
        </w:pBdr>
        <w:spacing w:after="180"/>
        <w:rPr>
          <w:rFonts w:eastAsia="Times New Roman" w:cs="Arial"/>
          <w:b/>
          <w:bCs/>
          <w:spacing w:val="5"/>
          <w:lang w:val="en-GB"/>
        </w:rPr>
      </w:pPr>
      <w:r>
        <w:rPr>
          <w:rFonts w:eastAsia="Times New Roman" w:cs="Arial"/>
          <w:b/>
          <w:bCs/>
          <w:spacing w:val="5"/>
          <w:lang w:val="en-GB"/>
        </w:rPr>
        <w:t>Source: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Moderator</w:t>
      </w:r>
      <w:r>
        <w:rPr>
          <w:rFonts w:eastAsia="Times New Roman" w:cs="Arial"/>
          <w:b/>
          <w:bCs/>
          <w:spacing w:val="5"/>
          <w:lang w:val="en-GB"/>
        </w:rPr>
        <w:t xml:space="preserve"> (</w:t>
      </w:r>
      <w:r>
        <w:rPr>
          <w:rFonts w:eastAsia="Times New Roman" w:cs="Arial"/>
          <w:spacing w:val="15"/>
          <w:lang w:val="en-GB"/>
        </w:rPr>
        <w:t>Qualcomm Incorporated)</w:t>
      </w:r>
    </w:p>
    <w:p>
      <w:pPr>
        <w:pBdr>
          <w:top w:val="single" w:color="auto" w:sz="4" w:space="1"/>
          <w:bottom w:val="single" w:color="auto" w:sz="4" w:space="1"/>
        </w:pBdr>
        <w:spacing w:after="180"/>
        <w:rPr>
          <w:rFonts w:eastAsia="Times New Roman" w:cs="Arial"/>
          <w:b/>
          <w:bCs/>
          <w:spacing w:val="5"/>
          <w:lang w:val="en-GB"/>
        </w:rPr>
      </w:pPr>
      <w:r>
        <w:rPr>
          <w:rFonts w:eastAsia="Times New Roman" w:cs="Arial"/>
          <w:b/>
          <w:bCs/>
          <w:spacing w:val="5"/>
          <w:lang w:val="en-GB"/>
        </w:rPr>
        <w:t>Title: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Summary of [109-e-Prep-AI8.10-eIAB]</w:t>
      </w:r>
    </w:p>
    <w:p>
      <w:pPr>
        <w:pBdr>
          <w:top w:val="single" w:color="auto" w:sz="4" w:space="1"/>
          <w:bottom w:val="single" w:color="auto" w:sz="4" w:space="1"/>
        </w:pBdr>
        <w:spacing w:after="180"/>
        <w:rPr>
          <w:rFonts w:eastAsia="Times New Roman" w:cs="Arial"/>
          <w:color w:val="5A5A5A"/>
          <w:spacing w:val="15"/>
          <w:lang w:val="en-GB"/>
        </w:rPr>
      </w:pPr>
      <w:r>
        <w:rPr>
          <w:rFonts w:eastAsia="Times New Roman" w:cs="Arial"/>
          <w:b/>
          <w:bCs/>
          <w:spacing w:val="5"/>
          <w:lang w:val="en-GB"/>
        </w:rPr>
        <w:t>Document for:</w:t>
      </w:r>
      <w:r>
        <w:rPr>
          <w:rFonts w:eastAsia="Times New Roman" w:cs="Arial"/>
          <w:b/>
          <w:bCs/>
          <w:smallCaps/>
          <w:color w:val="4472C4"/>
          <w:spacing w:val="5"/>
          <w:lang w:val="en-GB"/>
        </w:rPr>
        <w:tab/>
      </w:r>
      <w:r>
        <w:rPr>
          <w:rFonts w:eastAsia="Times New Roman" w:cs="Arial"/>
          <w:spacing w:val="15"/>
          <w:lang w:val="en-GB"/>
        </w:rPr>
        <w:t>Discussion and decision</w:t>
      </w:r>
    </w:p>
    <w:p>
      <w:pPr>
        <w:pStyle w:val="2"/>
      </w:pPr>
      <w:r>
        <w:t>Introduction</w:t>
      </w:r>
      <w:bookmarkStart w:id="1" w:name="_Ref174151459"/>
      <w:bookmarkStart w:id="2" w:name="_Ref189809556"/>
    </w:p>
    <w:p>
      <w:pPr>
        <w:rPr>
          <w:rFonts w:eastAsia="Times New Roman" w:cs="Arial"/>
          <w:spacing w:val="5"/>
          <w:lang w:val="en-GB"/>
        </w:rPr>
      </w:pPr>
      <w:r>
        <w:rPr>
          <w:lang w:val="en-GB"/>
        </w:rPr>
        <w:t xml:space="preserve">This contribution provides a summary of the email discussion </w:t>
      </w:r>
      <w:r>
        <w:rPr>
          <w:rFonts w:eastAsia="Times New Roman" w:cs="Arial"/>
          <w:spacing w:val="5"/>
          <w:lang w:val="en-GB"/>
        </w:rPr>
        <w:t>[109-e-Prep-AI8.10-eIAB] for the preparation phase for eIAB (agenda item 8.10), based on the contributions [1] – [13].</w:t>
      </w:r>
    </w:p>
    <w:p>
      <w:pPr>
        <w:pStyle w:val="2"/>
      </w:pPr>
      <w:r>
        <w:t>Summary</w:t>
      </w:r>
    </w:p>
    <w:p>
      <w:pPr>
        <w:rPr>
          <w:rFonts w:eastAsia="Times New Roman" w:cs="Arial"/>
          <w:spacing w:val="5"/>
          <w:lang w:val="en-GB"/>
        </w:rPr>
      </w:pPr>
      <w:r>
        <w:rPr>
          <w:lang w:val="en-GB"/>
        </w:rPr>
        <w:t xml:space="preserve">There are 16 issues identified based on the contributions </w:t>
      </w:r>
      <w:r>
        <w:rPr>
          <w:rFonts w:eastAsia="Times New Roman" w:cs="Arial"/>
          <w:spacing w:val="5"/>
          <w:lang w:val="en-GB"/>
        </w:rPr>
        <w:t>[1] – [13] submitted for agenda item 8.10.</w:t>
      </w:r>
    </w:p>
    <w:p>
      <w:pPr>
        <w:rPr>
          <w:rFonts w:eastAsia="Times New Roman" w:cs="Arial"/>
          <w:spacing w:val="5"/>
          <w:lang w:val="en-GB"/>
        </w:rPr>
      </w:pPr>
      <w:r>
        <w:rPr>
          <w:rFonts w:eastAsia="Times New Roman" w:cs="Arial"/>
          <w:spacing w:val="5"/>
          <w:lang w:val="en-GB"/>
        </w:rPr>
        <w:t xml:space="preserve">The issues have been classified with regard to their potential impact to upper layers parameters signaling. Based on the guidance from the Chairman the issues related to upper layer parameters shall be addressed with priority in the first week of RAN#109-e, so that </w:t>
      </w:r>
      <w:r>
        <w:rPr>
          <w:rFonts w:eastAsia="Times New Roman" w:cs="Arial"/>
          <w:spacing w:val="5"/>
          <w:u w:val="single"/>
          <w:lang w:val="en-GB"/>
        </w:rPr>
        <w:t>a LS to RAN2/RAN3 can be sent by Friday 5/13</w:t>
      </w:r>
      <w:r>
        <w:rPr>
          <w:rFonts w:eastAsia="Times New Roman" w:cs="Arial"/>
          <w:spacing w:val="5"/>
          <w:lang w:val="en-GB"/>
        </w:rPr>
        <w:t>.</w:t>
      </w:r>
    </w:p>
    <w:p>
      <w:pPr>
        <w:rPr>
          <w:rFonts w:eastAsia="Times New Roman" w:cs="Arial"/>
          <w:spacing w:val="5"/>
          <w:lang w:val="en-GB"/>
        </w:rPr>
      </w:pPr>
      <w:r>
        <w:rPr>
          <w:rFonts w:eastAsia="Times New Roman" w:cs="Arial"/>
          <w:spacing w:val="5"/>
          <w:lang w:val="en-GB"/>
        </w:rPr>
        <w:t>As a result, it is proposed to prioritize the issues related to existing upper layer parameters (priority 1). The issues with potential impact to signaling are proposed to be addressed as the next level of priority, but still during the first week (priority 2). The third priority level is reserved for all other issues that do not have potential impact to upper layer signaling (priority 3).</w:t>
      </w:r>
    </w:p>
    <w:p>
      <w:pPr>
        <w:rPr>
          <w:rFonts w:eastAsia="Times New Roman" w:cs="Arial"/>
          <w:spacing w:val="5"/>
          <w:lang w:val="en-GB"/>
        </w:rPr>
      </w:pPr>
      <w:r>
        <w:rPr>
          <w:rFonts w:eastAsia="Times New Roman" w:cs="Arial"/>
          <w:spacing w:val="5"/>
          <w:lang w:val="en-GB"/>
        </w:rPr>
        <w:t>The following issues have been identified:</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#1.</w:t>
      </w:r>
      <w:r>
        <w:rPr>
          <w:rFonts w:ascii="Times New Roman" w:hAnsi="Times New Roman" w:cs="Times New Roman"/>
          <w:b/>
          <w:sz w:val="20"/>
          <w:lang w:eastAsia="zh-CN"/>
        </w:rPr>
        <w:tab/>
      </w:r>
      <w:r>
        <w:rPr>
          <w:rFonts w:ascii="Times New Roman" w:hAnsi="Times New Roman" w:cs="Times New Roman"/>
          <w:b/>
          <w:sz w:val="20"/>
          <w:lang w:eastAsia="zh-CN"/>
        </w:rPr>
        <w:t>Coexistence between Rel-16 and Rel-7 H/S/NA configuration</w:t>
      </w:r>
    </w:p>
    <w:p>
      <w:pPr>
        <w:pStyle w:val="116"/>
        <w:numPr>
          <w:ilvl w:val="0"/>
          <w:numId w:val="14"/>
        </w:numPr>
        <w:overflowPunct w:val="0"/>
        <w:autoSpaceDE w:val="0"/>
        <w:autoSpaceDN w:val="0"/>
        <w:adjustRightInd w:val="0"/>
        <w:spacing w:after="180"/>
        <w:contextualSpacing/>
        <w:rPr>
          <w:rFonts w:ascii="Times New Roman" w:hAnsi="Times New Roman" w:cs="Times New Roman"/>
          <w:sz w:val="20"/>
          <w:lang w:eastAsia="zh-CN"/>
        </w:rPr>
      </w:pPr>
      <w:r>
        <w:rPr>
          <w:lang w:eastAsia="zh-CN"/>
        </w:rPr>
        <w:t xml:space="preserve">References: [1], [2], [3], [4], [5], [6], [8], [9], [10], [11], [12], [13] </w:t>
      </w:r>
    </w:p>
    <w:p>
      <w:pPr>
        <w:pStyle w:val="116"/>
        <w:numPr>
          <w:ilvl w:val="0"/>
          <w:numId w:val="14"/>
        </w:numPr>
        <w:overflowPunct w:val="0"/>
        <w:autoSpaceDE w:val="0"/>
        <w:autoSpaceDN w:val="0"/>
        <w:adjustRightInd w:val="0"/>
        <w:spacing w:after="180"/>
        <w:contextualSpacing/>
        <w:rPr>
          <w:lang w:eastAsia="zh-CN"/>
        </w:rPr>
      </w:pPr>
      <w:r>
        <w:rPr>
          <w:lang w:eastAsia="zh-CN"/>
        </w:rPr>
        <w:t>Potential upper layer signaling impact</w:t>
      </w:r>
      <w:r>
        <w:rPr>
          <w:lang w:val="en-US" w:eastAsia="zh-CN"/>
        </w:rPr>
        <w:t xml:space="preserve"> – priority 2</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#2. CSI acquisition with DL Tx power adjustment</w:t>
      </w:r>
    </w:p>
    <w:p>
      <w:pPr>
        <w:pStyle w:val="116"/>
        <w:numPr>
          <w:ilvl w:val="0"/>
          <w:numId w:val="15"/>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 [9], [11]</w:t>
      </w:r>
    </w:p>
    <w:p>
      <w:pPr>
        <w:pStyle w:val="116"/>
        <w:numPr>
          <w:ilvl w:val="0"/>
          <w:numId w:val="15"/>
        </w:numPr>
        <w:overflowPunct w:val="0"/>
        <w:autoSpaceDE w:val="0"/>
        <w:autoSpaceDN w:val="0"/>
        <w:adjustRightInd w:val="0"/>
        <w:spacing w:after="180"/>
        <w:contextualSpacing/>
        <w:rPr>
          <w:lang w:eastAsia="zh-CN"/>
        </w:rPr>
      </w:pPr>
      <w:r>
        <w:rPr>
          <w:lang w:eastAsia="zh-CN"/>
        </w:rPr>
        <w:t>Potential upper layer signaling impact</w:t>
      </w:r>
      <w:r>
        <w:rPr>
          <w:lang w:val="en-US" w:eastAsia="zh-CN"/>
        </w:rPr>
        <w:t xml:space="preserve"> – priority 2</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#3: Range of DL Tx power adjustment</w:t>
      </w:r>
      <w:r>
        <w:rPr>
          <w:rFonts w:ascii="Times New Roman" w:hAnsi="Times New Roman"/>
          <w:b/>
        </w:rPr>
        <w:t xml:space="preserve"> </w:t>
      </w:r>
      <w:r>
        <w:rPr>
          <w:rFonts w:ascii="Times New Roman" w:hAnsi="Times New Roman" w:cs="Times New Roman"/>
          <w:b/>
          <w:sz w:val="20"/>
          <w:szCs w:val="20"/>
          <w:lang w:eastAsia="zh-CN"/>
        </w:rPr>
        <w:t>(</w:t>
      </w:r>
      <w:r>
        <w:rPr>
          <w:rFonts w:ascii="Times New Roman" w:hAnsi="Times New Roman" w:eastAsia="Times New Roman" w:cs="Times New Roman"/>
          <w:b/>
          <w:sz w:val="20"/>
          <w:szCs w:val="20"/>
          <w:lang w:val="en-GB"/>
        </w:rPr>
        <w:t>MAC-CE issue</w:t>
      </w:r>
      <w:r>
        <w:rPr>
          <w:rFonts w:ascii="Times New Roman" w:hAnsi="Times New Roman" w:eastAsia="Times New Roman"/>
          <w:b/>
          <w:lang w:val="en-GB"/>
        </w:rPr>
        <w:t xml:space="preserve"> </w:t>
      </w:r>
      <w:r>
        <w:rPr>
          <w:rFonts w:ascii="Times New Roman" w:hAnsi="Times New Roman" w:eastAsia="Times New Roman" w:cs="Times New Roman"/>
          <w:b/>
          <w:sz w:val="20"/>
          <w:szCs w:val="20"/>
          <w:lang w:val="en-GB"/>
        </w:rPr>
        <w:t>flagged</w:t>
      </w:r>
      <w:r>
        <w:rPr>
          <w:rFonts w:ascii="Times New Roman" w:hAnsi="Times New Roman" w:eastAsia="Times New Roman"/>
          <w:b/>
          <w:lang w:val="en-GB"/>
        </w:rPr>
        <w:t xml:space="preserve"> by </w:t>
      </w:r>
      <w:r>
        <w:rPr>
          <w:rFonts w:ascii="Times New Roman" w:hAnsi="Times New Roman" w:eastAsia="Times New Roman" w:cs="Times New Roman"/>
          <w:b/>
          <w:sz w:val="20"/>
          <w:szCs w:val="20"/>
          <w:lang w:val="en-GB"/>
        </w:rPr>
        <w:t>RAN2</w:t>
      </w:r>
      <w:r>
        <w:rPr>
          <w:rFonts w:ascii="Times New Roman" w:hAnsi="Times New Roman" w:cs="Times New Roman"/>
          <w:b/>
          <w:sz w:val="20"/>
          <w:szCs w:val="20"/>
          <w:lang w:eastAsia="zh-CN"/>
        </w:rPr>
        <w:t>)</w:t>
      </w:r>
    </w:p>
    <w:p>
      <w:pPr>
        <w:pStyle w:val="116"/>
        <w:numPr>
          <w:ilvl w:val="0"/>
          <w:numId w:val="16"/>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 [2], [10], [13]</w:t>
      </w:r>
    </w:p>
    <w:p>
      <w:pPr>
        <w:pStyle w:val="116"/>
        <w:numPr>
          <w:ilvl w:val="0"/>
          <w:numId w:val="16"/>
        </w:numPr>
        <w:overflowPunct w:val="0"/>
        <w:autoSpaceDE w:val="0"/>
        <w:autoSpaceDN w:val="0"/>
        <w:adjustRightInd w:val="0"/>
        <w:spacing w:after="180"/>
        <w:contextualSpacing/>
        <w:rPr>
          <w:lang w:eastAsia="zh-CN"/>
        </w:rPr>
      </w:pPr>
      <w:r>
        <w:rPr>
          <w:lang w:val="en-US" w:eastAsia="zh-CN"/>
        </w:rPr>
        <w:t>Limited</w:t>
      </w:r>
      <w:r>
        <w:rPr>
          <w:lang w:eastAsia="zh-CN"/>
        </w:rPr>
        <w:t xml:space="preserve"> upper layer signaling impact</w:t>
      </w:r>
      <w:r>
        <w:rPr>
          <w:lang w:val="en-US" w:eastAsia="zh-CN"/>
        </w:rPr>
        <w:t xml:space="preserve"> – priority 1</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#4. Extension of DCI format 2_5 payload size</w:t>
      </w:r>
    </w:p>
    <w:p>
      <w:pPr>
        <w:pStyle w:val="116"/>
        <w:numPr>
          <w:ilvl w:val="0"/>
          <w:numId w:val="17"/>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[3], [10], [11], [12]</w:t>
      </w:r>
    </w:p>
    <w:p>
      <w:pPr>
        <w:pStyle w:val="116"/>
        <w:numPr>
          <w:ilvl w:val="0"/>
          <w:numId w:val="17"/>
        </w:numPr>
        <w:overflowPunct w:val="0"/>
        <w:autoSpaceDE w:val="0"/>
        <w:autoSpaceDN w:val="0"/>
        <w:adjustRightInd w:val="0"/>
        <w:spacing w:after="180"/>
        <w:contextualSpacing/>
        <w:rPr>
          <w:lang w:eastAsia="zh-CN"/>
        </w:rPr>
      </w:pPr>
      <w:r>
        <w:rPr>
          <w:lang w:val="en-US" w:eastAsia="zh-CN"/>
        </w:rPr>
        <w:t>Potential</w:t>
      </w:r>
      <w:r>
        <w:rPr>
          <w:lang w:eastAsia="zh-CN"/>
        </w:rPr>
        <w:t xml:space="preserve"> upper layer signaling impact</w:t>
      </w:r>
      <w:r>
        <w:rPr>
          <w:lang w:val="en-US" w:eastAsia="zh-CN"/>
        </w:rPr>
        <w:t xml:space="preserve"> – priority 1</w:t>
      </w:r>
    </w:p>
    <w:p>
      <w:pPr>
        <w:rPr>
          <w:rFonts w:ascii="Times New Roman" w:hAnsi="Times New Roman" w:cs="Times New Roman"/>
          <w:b/>
          <w:sz w:val="20"/>
          <w:lang w:eastAsia="zh-CN"/>
        </w:rPr>
      </w:pP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#5.</w:t>
      </w:r>
      <w:r>
        <w:rPr>
          <w:rFonts w:ascii="Times New Roman" w:hAnsi="Times New Roman" w:cs="Times New Roman"/>
          <w:b/>
          <w:sz w:val="20"/>
          <w:lang w:eastAsia="zh-CN"/>
        </w:rPr>
        <w:tab/>
      </w:r>
      <w:bookmarkStart w:id="3" w:name="_Hlk101866711"/>
      <w:r>
        <w:rPr>
          <w:rFonts w:ascii="Times New Roman" w:hAnsi="Times New Roman" w:cs="Times New Roman"/>
          <w:b/>
          <w:sz w:val="20"/>
          <w:lang w:eastAsia="zh-CN"/>
        </w:rPr>
        <w:t xml:space="preserve">Default H/S/NA denomination for RB sets for which the Rel-17 H/S/NA configuration does not specify a value </w:t>
      </w:r>
    </w:p>
    <w:bookmarkEnd w:id="3"/>
    <w:p>
      <w:pPr>
        <w:pStyle w:val="116"/>
        <w:numPr>
          <w:ilvl w:val="0"/>
          <w:numId w:val="18"/>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[3], [8], [9], [10], [12]</w:t>
      </w:r>
    </w:p>
    <w:p>
      <w:pPr>
        <w:pStyle w:val="116"/>
        <w:numPr>
          <w:ilvl w:val="0"/>
          <w:numId w:val="18"/>
        </w:numPr>
        <w:overflowPunct w:val="0"/>
        <w:autoSpaceDE w:val="0"/>
        <w:autoSpaceDN w:val="0"/>
        <w:adjustRightInd w:val="0"/>
        <w:spacing w:after="180"/>
        <w:contextualSpacing/>
        <w:rPr>
          <w:lang w:eastAsia="zh-CN"/>
        </w:rPr>
      </w:pPr>
      <w:r>
        <w:rPr>
          <w:lang w:eastAsia="zh-CN"/>
        </w:rPr>
        <w:t>No upper layer signaling impact</w:t>
      </w:r>
      <w:r>
        <w:rPr>
          <w:lang w:val="en-US" w:eastAsia="zh-CN"/>
        </w:rPr>
        <w:t xml:space="preserve"> – priority 3</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#6.</w:t>
      </w:r>
      <w:r>
        <w:rPr>
          <w:rFonts w:ascii="Times New Roman" w:hAnsi="Times New Roman" w:cs="Times New Roman"/>
          <w:b/>
          <w:sz w:val="20"/>
          <w:lang w:eastAsia="zh-CN"/>
        </w:rPr>
        <w:tab/>
      </w:r>
      <w:bookmarkStart w:id="4" w:name="_Hlk101873342"/>
      <w:r>
        <w:rPr>
          <w:rFonts w:ascii="Times New Roman" w:hAnsi="Times New Roman" w:cs="Times New Roman"/>
          <w:b/>
          <w:sz w:val="20"/>
          <w:lang w:eastAsia="zh-CN"/>
        </w:rPr>
        <w:t>Handling of multiple DCI format 2_5 indications with overlapping durations</w:t>
      </w:r>
      <w:bookmarkEnd w:id="4"/>
    </w:p>
    <w:p>
      <w:pPr>
        <w:pStyle w:val="116"/>
        <w:numPr>
          <w:ilvl w:val="0"/>
          <w:numId w:val="19"/>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[11]</w:t>
      </w:r>
    </w:p>
    <w:p>
      <w:pPr>
        <w:pStyle w:val="116"/>
        <w:numPr>
          <w:ilvl w:val="0"/>
          <w:numId w:val="19"/>
        </w:numPr>
        <w:overflowPunct w:val="0"/>
        <w:autoSpaceDE w:val="0"/>
        <w:autoSpaceDN w:val="0"/>
        <w:adjustRightInd w:val="0"/>
        <w:spacing w:after="180"/>
        <w:contextualSpacing/>
        <w:rPr>
          <w:lang w:eastAsia="zh-CN"/>
        </w:rPr>
      </w:pPr>
      <w:r>
        <w:rPr>
          <w:lang w:eastAsia="zh-CN"/>
        </w:rPr>
        <w:t>No upper layer signaling impact</w:t>
      </w:r>
      <w:r>
        <w:rPr>
          <w:lang w:val="en-US" w:eastAsia="zh-CN"/>
        </w:rPr>
        <w:t xml:space="preserve"> – priority 3</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#7.</w:t>
      </w:r>
      <w:r>
        <w:rPr>
          <w:rFonts w:ascii="Times New Roman" w:hAnsi="Times New Roman" w:cs="Times New Roman"/>
          <w:b/>
          <w:sz w:val="20"/>
          <w:lang w:eastAsia="zh-CN"/>
        </w:rPr>
        <w:tab/>
      </w:r>
      <w:r>
        <w:rPr>
          <w:rFonts w:ascii="Times New Roman" w:hAnsi="Times New Roman" w:cs="Times New Roman"/>
          <w:b/>
          <w:sz w:val="20"/>
          <w:lang w:eastAsia="zh-CN"/>
        </w:rPr>
        <w:t>Brackets in definition of H/S/NA for RB set</w:t>
      </w:r>
    </w:p>
    <w:p>
      <w:pPr>
        <w:pStyle w:val="116"/>
        <w:numPr>
          <w:ilvl w:val="0"/>
          <w:numId w:val="20"/>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[6], [7], [10], [13].</w:t>
      </w:r>
    </w:p>
    <w:p>
      <w:pPr>
        <w:pStyle w:val="116"/>
        <w:numPr>
          <w:ilvl w:val="0"/>
          <w:numId w:val="20"/>
        </w:numPr>
        <w:overflowPunct w:val="0"/>
        <w:autoSpaceDE w:val="0"/>
        <w:autoSpaceDN w:val="0"/>
        <w:adjustRightInd w:val="0"/>
        <w:spacing w:after="180"/>
        <w:contextualSpacing/>
        <w:rPr>
          <w:lang w:eastAsia="zh-CN"/>
        </w:rPr>
      </w:pPr>
      <w:r>
        <w:rPr>
          <w:lang w:eastAsia="zh-CN"/>
        </w:rPr>
        <w:t>No upper layer signaling impact</w:t>
      </w:r>
      <w:r>
        <w:rPr>
          <w:lang w:val="en-US" w:eastAsia="zh-CN"/>
        </w:rPr>
        <w:t xml:space="preserve"> – priority 3</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#8.</w:t>
      </w:r>
      <w:r>
        <w:rPr>
          <w:rFonts w:ascii="Times New Roman" w:hAnsi="Times New Roman" w:cs="Times New Roman"/>
          <w:b/>
          <w:sz w:val="20"/>
          <w:lang w:eastAsia="zh-CN"/>
        </w:rPr>
        <w:tab/>
      </w:r>
      <w:r>
        <w:rPr>
          <w:rFonts w:ascii="Times New Roman" w:hAnsi="Times New Roman" w:cs="Times New Roman"/>
          <w:b/>
          <w:sz w:val="20"/>
          <w:lang w:eastAsia="zh-CN"/>
        </w:rPr>
        <w:t>DCI format 2_5 for FDM and TDM</w:t>
      </w:r>
    </w:p>
    <w:p>
      <w:pPr>
        <w:pStyle w:val="116"/>
        <w:numPr>
          <w:ilvl w:val="0"/>
          <w:numId w:val="21"/>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[6], [9], [10]</w:t>
      </w:r>
    </w:p>
    <w:p>
      <w:pPr>
        <w:pStyle w:val="116"/>
        <w:numPr>
          <w:ilvl w:val="0"/>
          <w:numId w:val="21"/>
        </w:numPr>
        <w:overflowPunct w:val="0"/>
        <w:autoSpaceDE w:val="0"/>
        <w:autoSpaceDN w:val="0"/>
        <w:adjustRightInd w:val="0"/>
        <w:spacing w:after="180"/>
        <w:contextualSpacing/>
        <w:rPr>
          <w:lang w:eastAsia="zh-CN"/>
        </w:rPr>
      </w:pPr>
      <w:r>
        <w:rPr>
          <w:lang w:eastAsia="zh-CN"/>
        </w:rPr>
        <w:t>Potential upper layer signaling impact</w:t>
      </w:r>
      <w:r>
        <w:rPr>
          <w:lang w:val="en-US" w:eastAsia="zh-CN"/>
        </w:rPr>
        <w:t xml:space="preserve"> – priority 2</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#9.</w:t>
      </w:r>
      <w:r>
        <w:rPr>
          <w:rFonts w:ascii="Times New Roman" w:hAnsi="Times New Roman" w:cs="Times New Roman"/>
          <w:b/>
          <w:sz w:val="20"/>
          <w:lang w:eastAsia="zh-CN"/>
        </w:rPr>
        <w:tab/>
      </w:r>
      <w:r>
        <w:rPr>
          <w:rFonts w:ascii="Times New Roman" w:hAnsi="Times New Roman" w:cs="Times New Roman"/>
          <w:b/>
          <w:sz w:val="20"/>
          <w:lang w:eastAsia="zh-CN"/>
        </w:rPr>
        <w:t>Extension of exception for cell-specific/semi-static signals to soft or not available RB sets</w:t>
      </w:r>
    </w:p>
    <w:p>
      <w:pPr>
        <w:pStyle w:val="116"/>
        <w:numPr>
          <w:ilvl w:val="0"/>
          <w:numId w:val="22"/>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[7], [9], [13]</w:t>
      </w:r>
    </w:p>
    <w:p>
      <w:pPr>
        <w:pStyle w:val="116"/>
        <w:numPr>
          <w:ilvl w:val="0"/>
          <w:numId w:val="23"/>
        </w:numPr>
        <w:overflowPunct w:val="0"/>
        <w:autoSpaceDE w:val="0"/>
        <w:autoSpaceDN w:val="0"/>
        <w:adjustRightInd w:val="0"/>
        <w:spacing w:after="180"/>
        <w:contextualSpacing/>
        <w:rPr>
          <w:lang w:eastAsia="zh-CN"/>
        </w:rPr>
      </w:pPr>
      <w:r>
        <w:rPr>
          <w:lang w:eastAsia="zh-CN"/>
        </w:rPr>
        <w:t>No upper layer signaling impact</w:t>
      </w:r>
      <w:r>
        <w:rPr>
          <w:lang w:val="en-US" w:eastAsia="zh-CN"/>
        </w:rPr>
        <w:t xml:space="preserve"> – priority 3</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#10. </w:t>
      </w:r>
      <w:bookmarkStart w:id="5" w:name="_Hlk101881530"/>
      <w:r>
        <w:rPr>
          <w:rFonts w:ascii="Times New Roman" w:hAnsi="Times New Roman" w:cs="Times New Roman"/>
          <w:b/>
          <w:sz w:val="20"/>
          <w:lang w:eastAsia="zh-CN"/>
        </w:rPr>
        <w:t>Update to determination of availability in DC scenario</w:t>
      </w:r>
      <w:bookmarkEnd w:id="5"/>
    </w:p>
    <w:p>
      <w:pPr>
        <w:pStyle w:val="116"/>
        <w:numPr>
          <w:ilvl w:val="0"/>
          <w:numId w:val="24"/>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pPr>
        <w:pStyle w:val="116"/>
        <w:numPr>
          <w:ilvl w:val="0"/>
          <w:numId w:val="23"/>
        </w:numPr>
        <w:overflowPunct w:val="0"/>
        <w:autoSpaceDE w:val="0"/>
        <w:autoSpaceDN w:val="0"/>
        <w:adjustRightInd w:val="0"/>
        <w:spacing w:after="180"/>
        <w:contextualSpacing/>
        <w:rPr>
          <w:lang w:eastAsia="zh-CN"/>
        </w:rPr>
      </w:pPr>
      <w:r>
        <w:rPr>
          <w:lang w:eastAsia="zh-CN"/>
        </w:rPr>
        <w:t>No upper layer signaling impact</w:t>
      </w:r>
      <w:r>
        <w:rPr>
          <w:lang w:val="en-US" w:eastAsia="zh-CN"/>
        </w:rPr>
        <w:t xml:space="preserve"> – priority 3</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Pr>
          <w:rFonts w:ascii="Times New Roman" w:hAnsi="Times New Roman" w:eastAsia="Times New Roman" w:cs="Times New Roman"/>
          <w:b/>
          <w:sz w:val="20"/>
          <w:szCs w:val="20"/>
          <w:lang w:val="en-GB"/>
        </w:rPr>
        <w:t>MAC-CE issue</w:t>
      </w:r>
      <w:r>
        <w:rPr>
          <w:rFonts w:ascii="Times New Roman" w:hAnsi="Times New Roman" w:eastAsia="Times New Roman"/>
          <w:b/>
          <w:lang w:val="en-GB"/>
        </w:rPr>
        <w:t xml:space="preserve"> </w:t>
      </w:r>
      <w:r>
        <w:rPr>
          <w:rFonts w:ascii="Times New Roman" w:hAnsi="Times New Roman" w:eastAsia="Times New Roman" w:cs="Times New Roman"/>
          <w:b/>
          <w:sz w:val="20"/>
          <w:szCs w:val="20"/>
          <w:lang w:val="en-GB"/>
        </w:rPr>
        <w:t>flagged</w:t>
      </w:r>
      <w:r>
        <w:rPr>
          <w:rFonts w:ascii="Times New Roman" w:hAnsi="Times New Roman" w:eastAsia="Times New Roman"/>
          <w:b/>
          <w:lang w:val="en-GB"/>
        </w:rPr>
        <w:t xml:space="preserve"> by </w:t>
      </w:r>
      <w:r>
        <w:rPr>
          <w:rFonts w:ascii="Times New Roman" w:hAnsi="Times New Roman" w:eastAsia="Times New Roman" w:cs="Times New Roman"/>
          <w:b/>
          <w:sz w:val="20"/>
          <w:szCs w:val="20"/>
          <w:lang w:val="en-GB"/>
        </w:rPr>
        <w:t>RAN2</w:t>
      </w:r>
      <w:r>
        <w:rPr>
          <w:rFonts w:ascii="Times New Roman" w:hAnsi="Times New Roman" w:cs="Times New Roman"/>
          <w:b/>
          <w:sz w:val="20"/>
          <w:szCs w:val="20"/>
          <w:lang w:eastAsia="zh-CN"/>
        </w:rPr>
        <w:t>)</w:t>
      </w:r>
    </w:p>
    <w:p>
      <w:pPr>
        <w:pStyle w:val="116"/>
        <w:numPr>
          <w:ilvl w:val="0"/>
          <w:numId w:val="24"/>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[2], [13]</w:t>
      </w:r>
    </w:p>
    <w:p>
      <w:pPr>
        <w:pStyle w:val="116"/>
        <w:numPr>
          <w:ilvl w:val="0"/>
          <w:numId w:val="23"/>
        </w:numPr>
        <w:overflowPunct w:val="0"/>
        <w:autoSpaceDE w:val="0"/>
        <w:autoSpaceDN w:val="0"/>
        <w:adjustRightInd w:val="0"/>
        <w:spacing w:after="180"/>
        <w:contextualSpacing/>
        <w:rPr>
          <w:lang w:eastAsia="zh-CN"/>
        </w:rPr>
      </w:pPr>
      <w:r>
        <w:rPr>
          <w:lang w:eastAsia="zh-CN"/>
        </w:rPr>
        <w:t>Limited upper layer signaling impact</w:t>
      </w:r>
      <w:r>
        <w:rPr>
          <w:lang w:val="en-US" w:eastAsia="zh-CN"/>
        </w:rPr>
        <w:t xml:space="preserve"> – priority 1</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Pr>
          <w:rFonts w:ascii="Times New Roman" w:hAnsi="Times New Roman" w:eastAsia="Times New Roman" w:cs="Times New Roman"/>
          <w:b/>
          <w:sz w:val="20"/>
          <w:szCs w:val="20"/>
          <w:lang w:val="en-GB"/>
        </w:rPr>
        <w:t>MAC-CE issue</w:t>
      </w:r>
      <w:r>
        <w:rPr>
          <w:rFonts w:ascii="Times New Roman" w:hAnsi="Times New Roman" w:eastAsia="Times New Roman"/>
          <w:b/>
          <w:lang w:val="en-GB"/>
        </w:rPr>
        <w:t xml:space="preserve"> </w:t>
      </w:r>
      <w:r>
        <w:rPr>
          <w:rFonts w:ascii="Times New Roman" w:hAnsi="Times New Roman" w:eastAsia="Times New Roman" w:cs="Times New Roman"/>
          <w:b/>
          <w:sz w:val="20"/>
          <w:szCs w:val="20"/>
          <w:lang w:val="en-GB"/>
        </w:rPr>
        <w:t>flagged</w:t>
      </w:r>
      <w:r>
        <w:rPr>
          <w:rFonts w:ascii="Times New Roman" w:hAnsi="Times New Roman" w:eastAsia="Times New Roman"/>
          <w:b/>
          <w:lang w:val="en-GB"/>
        </w:rPr>
        <w:t xml:space="preserve"> by </w:t>
      </w:r>
      <w:r>
        <w:rPr>
          <w:rFonts w:ascii="Times New Roman" w:hAnsi="Times New Roman" w:eastAsia="Times New Roman" w:cs="Times New Roman"/>
          <w:b/>
          <w:sz w:val="20"/>
          <w:szCs w:val="20"/>
          <w:lang w:val="en-GB"/>
        </w:rPr>
        <w:t>RAN2</w:t>
      </w:r>
      <w:r>
        <w:rPr>
          <w:rFonts w:ascii="Times New Roman" w:hAnsi="Times New Roman" w:cs="Times New Roman"/>
          <w:b/>
          <w:sz w:val="20"/>
          <w:szCs w:val="20"/>
          <w:lang w:eastAsia="zh-CN"/>
        </w:rPr>
        <w:t>)</w:t>
      </w:r>
    </w:p>
    <w:p>
      <w:pPr>
        <w:pStyle w:val="116"/>
        <w:numPr>
          <w:ilvl w:val="0"/>
          <w:numId w:val="24"/>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[3], [13]</w:t>
      </w:r>
    </w:p>
    <w:p>
      <w:pPr>
        <w:pStyle w:val="116"/>
        <w:numPr>
          <w:ilvl w:val="0"/>
          <w:numId w:val="23"/>
        </w:numPr>
        <w:overflowPunct w:val="0"/>
        <w:autoSpaceDE w:val="0"/>
        <w:autoSpaceDN w:val="0"/>
        <w:adjustRightInd w:val="0"/>
        <w:spacing w:after="180"/>
        <w:contextualSpacing/>
        <w:rPr>
          <w:lang w:eastAsia="zh-CN"/>
        </w:rPr>
      </w:pPr>
      <w:r>
        <w:rPr>
          <w:lang w:eastAsia="zh-CN"/>
        </w:rPr>
        <w:t>Limited upper layer signaling impact</w:t>
      </w:r>
      <w:r>
        <w:rPr>
          <w:lang w:val="en-US" w:eastAsia="zh-CN"/>
        </w:rPr>
        <w:t xml:space="preserve"> – priority 1</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#13. DL Tx power adjustment MAC-CE</w:t>
      </w:r>
    </w:p>
    <w:p>
      <w:pPr>
        <w:pStyle w:val="116"/>
        <w:numPr>
          <w:ilvl w:val="0"/>
          <w:numId w:val="24"/>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pPr>
        <w:pStyle w:val="116"/>
        <w:numPr>
          <w:ilvl w:val="0"/>
          <w:numId w:val="23"/>
        </w:numPr>
        <w:overflowPunct w:val="0"/>
        <w:autoSpaceDE w:val="0"/>
        <w:autoSpaceDN w:val="0"/>
        <w:adjustRightInd w:val="0"/>
        <w:spacing w:after="180"/>
        <w:contextualSpacing/>
        <w:rPr>
          <w:lang w:eastAsia="zh-CN"/>
        </w:rPr>
      </w:pPr>
      <w:r>
        <w:rPr>
          <w:lang w:eastAsia="zh-CN"/>
        </w:rPr>
        <w:t>No upper layer signaling impact</w:t>
      </w:r>
      <w:r>
        <w:rPr>
          <w:lang w:val="en-US" w:eastAsia="zh-CN"/>
        </w:rPr>
        <w:t xml:space="preserve"> – priority 3</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#14. Descriptions of MT’s UL MAC-CEs</w:t>
      </w:r>
    </w:p>
    <w:p>
      <w:pPr>
        <w:pStyle w:val="116"/>
        <w:numPr>
          <w:ilvl w:val="0"/>
          <w:numId w:val="24"/>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pPr>
        <w:pStyle w:val="116"/>
        <w:numPr>
          <w:ilvl w:val="0"/>
          <w:numId w:val="23"/>
        </w:numPr>
        <w:overflowPunct w:val="0"/>
        <w:autoSpaceDE w:val="0"/>
        <w:autoSpaceDN w:val="0"/>
        <w:adjustRightInd w:val="0"/>
        <w:spacing w:after="180"/>
        <w:contextualSpacing/>
        <w:rPr>
          <w:lang w:eastAsia="zh-CN"/>
        </w:rPr>
      </w:pPr>
      <w:r>
        <w:rPr>
          <w:lang w:eastAsia="zh-CN"/>
        </w:rPr>
        <w:t>No upper layer signaling impact</w:t>
      </w:r>
      <w:r>
        <w:rPr>
          <w:lang w:val="en-US" w:eastAsia="zh-CN"/>
        </w:rPr>
        <w:t xml:space="preserve"> – priority 3</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Pr>
          <w:rFonts w:ascii="Times New Roman" w:hAnsi="Times New Roman" w:eastAsia="Times New Roman" w:cs="Times New Roman"/>
          <w:b/>
          <w:sz w:val="20"/>
          <w:szCs w:val="20"/>
          <w:lang w:val="en-GB"/>
        </w:rPr>
        <w:t>MAC-CE issue</w:t>
      </w:r>
      <w:r>
        <w:rPr>
          <w:rFonts w:ascii="Times New Roman" w:hAnsi="Times New Roman" w:eastAsia="Times New Roman"/>
          <w:b/>
          <w:lang w:val="en-GB"/>
        </w:rPr>
        <w:t xml:space="preserve"> </w:t>
      </w:r>
      <w:r>
        <w:rPr>
          <w:rFonts w:ascii="Times New Roman" w:hAnsi="Times New Roman" w:eastAsia="Times New Roman" w:cs="Times New Roman"/>
          <w:b/>
          <w:sz w:val="20"/>
          <w:szCs w:val="20"/>
          <w:lang w:val="en-GB"/>
        </w:rPr>
        <w:t>flagged</w:t>
      </w:r>
      <w:r>
        <w:rPr>
          <w:rFonts w:ascii="Times New Roman" w:hAnsi="Times New Roman" w:eastAsia="Times New Roman"/>
          <w:b/>
          <w:lang w:val="en-GB"/>
        </w:rPr>
        <w:t xml:space="preserve"> by </w:t>
      </w:r>
      <w:r>
        <w:rPr>
          <w:rFonts w:ascii="Times New Roman" w:hAnsi="Times New Roman" w:eastAsia="Times New Roman" w:cs="Times New Roman"/>
          <w:b/>
          <w:sz w:val="20"/>
          <w:szCs w:val="20"/>
          <w:lang w:val="en-GB"/>
        </w:rPr>
        <w:t>RAN2</w:t>
      </w:r>
      <w:r>
        <w:rPr>
          <w:rFonts w:ascii="Times New Roman" w:hAnsi="Times New Roman" w:cs="Times New Roman"/>
          <w:b/>
          <w:sz w:val="20"/>
          <w:szCs w:val="20"/>
          <w:lang w:eastAsia="zh-CN"/>
        </w:rPr>
        <w:t>)</w:t>
      </w:r>
    </w:p>
    <w:p>
      <w:pPr>
        <w:pStyle w:val="116"/>
        <w:numPr>
          <w:ilvl w:val="0"/>
          <w:numId w:val="24"/>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pPr>
        <w:pStyle w:val="116"/>
        <w:numPr>
          <w:ilvl w:val="0"/>
          <w:numId w:val="23"/>
        </w:numPr>
        <w:overflowPunct w:val="0"/>
        <w:autoSpaceDE w:val="0"/>
        <w:autoSpaceDN w:val="0"/>
        <w:adjustRightInd w:val="0"/>
        <w:spacing w:after="180"/>
        <w:contextualSpacing/>
        <w:rPr>
          <w:lang w:eastAsia="zh-CN"/>
        </w:rPr>
      </w:pPr>
      <w:r>
        <w:rPr>
          <w:lang w:eastAsia="zh-CN"/>
        </w:rPr>
        <w:t>Limited upper layer signaling impact</w:t>
      </w:r>
      <w:r>
        <w:rPr>
          <w:lang w:val="en-US" w:eastAsia="zh-CN"/>
        </w:rPr>
        <w:t xml:space="preserve"> – priority 1</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#16. Alignment of parameters names</w:t>
      </w:r>
    </w:p>
    <w:p>
      <w:pPr>
        <w:pStyle w:val="116"/>
        <w:numPr>
          <w:ilvl w:val="0"/>
          <w:numId w:val="24"/>
        </w:numPr>
        <w:overflowPunct w:val="0"/>
        <w:autoSpaceDE w:val="0"/>
        <w:autoSpaceDN w:val="0"/>
        <w:adjustRightInd w:val="0"/>
        <w:spacing w:after="180"/>
        <w:contextualSpacing/>
        <w:rPr>
          <w:rFonts w:ascii="Times New Roman" w:hAnsi="Times New Roman" w:cs="Times New Roman"/>
          <w:sz w:val="20"/>
          <w:lang w:eastAsia="zh-CN"/>
        </w:rPr>
      </w:pPr>
      <w:r>
        <w:rPr>
          <w:lang w:eastAsia="zh-CN"/>
        </w:rPr>
        <w:t>References: [13]</w:t>
      </w:r>
    </w:p>
    <w:p>
      <w:pPr>
        <w:pStyle w:val="116"/>
        <w:numPr>
          <w:ilvl w:val="0"/>
          <w:numId w:val="23"/>
        </w:numPr>
        <w:overflowPunct w:val="0"/>
        <w:autoSpaceDE w:val="0"/>
        <w:autoSpaceDN w:val="0"/>
        <w:adjustRightInd w:val="0"/>
        <w:spacing w:after="180"/>
        <w:contextualSpacing/>
        <w:rPr>
          <w:lang w:eastAsia="zh-CN"/>
        </w:rPr>
      </w:pPr>
      <w:r>
        <w:rPr>
          <w:lang w:eastAsia="zh-CN"/>
        </w:rPr>
        <w:t>No upper layer signaling impact</w:t>
      </w:r>
      <w:r>
        <w:rPr>
          <w:lang w:val="en-US" w:eastAsia="zh-CN"/>
        </w:rPr>
        <w:t xml:space="preserve"> – priority 3</w:t>
      </w:r>
    </w:p>
    <w:p>
      <w:pPr>
        <w:rPr>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jc w:val="center"/>
              <w:rPr>
                <w:rStyle w:val="49"/>
              </w:rPr>
            </w:pPr>
            <w:r>
              <w:rPr>
                <w:rStyle w:val="49"/>
              </w:rPr>
              <w:t>Priority</w:t>
            </w:r>
          </w:p>
        </w:tc>
        <w:tc>
          <w:tcPr>
            <w:tcW w:w="7924" w:type="dxa"/>
          </w:tcPr>
          <w:p>
            <w:pPr>
              <w:jc w:val="center"/>
              <w:rPr>
                <w:rStyle w:val="49"/>
              </w:rPr>
            </w:pPr>
            <w:r>
              <w:rPr>
                <w:rStyle w:val="49"/>
              </w:rPr>
              <w:t>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jc w:val="center"/>
              <w:rPr>
                <w:rFonts w:eastAsia="Times New Roman" w:cs="Arial"/>
                <w:spacing w:val="5"/>
                <w:lang w:val="en-GB"/>
              </w:rPr>
            </w:pPr>
            <w:r>
              <w:rPr>
                <w:rFonts w:eastAsia="Times New Roman" w:cs="Arial"/>
                <w:spacing w:val="5"/>
                <w:lang w:val="en-GB"/>
              </w:rPr>
              <w:t>1</w:t>
            </w:r>
          </w:p>
        </w:tc>
        <w:tc>
          <w:tcPr>
            <w:tcW w:w="7924" w:type="dxa"/>
          </w:tcPr>
          <w:p>
            <w:pPr>
              <w:rPr>
                <w:rFonts w:eastAsia="Times New Roman" w:cs="Arial"/>
                <w:spacing w:val="5"/>
                <w:lang w:val="en-GB"/>
              </w:rPr>
            </w:pPr>
            <w:r>
              <w:rPr>
                <w:rFonts w:eastAsia="Times New Roman" w:cs="Arial"/>
                <w:spacing w:val="5"/>
                <w:lang w:val="en-GB"/>
              </w:rPr>
              <w:t>#3, #4, #11, #12,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jc w:val="center"/>
              <w:rPr>
                <w:rFonts w:eastAsia="Times New Roman" w:cs="Arial"/>
                <w:spacing w:val="5"/>
                <w:lang w:val="en-GB"/>
              </w:rPr>
            </w:pPr>
            <w:r>
              <w:rPr>
                <w:rFonts w:eastAsia="Times New Roman" w:cs="Arial"/>
                <w:spacing w:val="5"/>
                <w:lang w:val="en-GB"/>
              </w:rPr>
              <w:t>2</w:t>
            </w:r>
          </w:p>
        </w:tc>
        <w:tc>
          <w:tcPr>
            <w:tcW w:w="7924" w:type="dxa"/>
          </w:tcPr>
          <w:p>
            <w:pPr>
              <w:rPr>
                <w:rFonts w:eastAsia="Times New Roman" w:cs="Arial"/>
                <w:spacing w:val="5"/>
                <w:lang w:val="en-GB"/>
              </w:rPr>
            </w:pPr>
            <w:r>
              <w:rPr>
                <w:rFonts w:eastAsia="Times New Roman" w:cs="Arial"/>
                <w:spacing w:val="5"/>
                <w:lang w:val="en-GB"/>
              </w:rPr>
              <w:t>#1, #2,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jc w:val="center"/>
              <w:rPr>
                <w:rFonts w:eastAsia="Times New Roman" w:cs="Arial"/>
                <w:spacing w:val="5"/>
                <w:lang w:val="en-GB"/>
              </w:rPr>
            </w:pPr>
            <w:r>
              <w:rPr>
                <w:rFonts w:eastAsia="Times New Roman" w:cs="Arial"/>
                <w:spacing w:val="5"/>
                <w:lang w:val="en-GB"/>
              </w:rPr>
              <w:t>3</w:t>
            </w:r>
          </w:p>
        </w:tc>
        <w:tc>
          <w:tcPr>
            <w:tcW w:w="7924" w:type="dxa"/>
          </w:tcPr>
          <w:p>
            <w:pPr>
              <w:rPr>
                <w:rFonts w:eastAsia="Times New Roman" w:cs="Arial"/>
                <w:spacing w:val="5"/>
                <w:lang w:val="en-GB"/>
              </w:rPr>
            </w:pPr>
            <w:r>
              <w:rPr>
                <w:rFonts w:eastAsia="Times New Roman" w:cs="Arial"/>
                <w:spacing w:val="5"/>
                <w:lang w:val="en-GB"/>
              </w:rPr>
              <w:t>#5, #6, #7, #9, #10, #13, #14, #16</w:t>
            </w:r>
          </w:p>
        </w:tc>
      </w:tr>
    </w:tbl>
    <w:p>
      <w:pPr>
        <w:rPr>
          <w:rFonts w:eastAsia="Times New Roman" w:cs="Arial"/>
          <w:spacing w:val="5"/>
          <w:lang w:val="en-GB"/>
        </w:rPr>
      </w:pPr>
    </w:p>
    <w:p>
      <w:pPr>
        <w:rPr>
          <w:rFonts w:eastAsia="Times New Roman" w:cs="Arial"/>
          <w:spacing w:val="5"/>
          <w:lang w:val="en-GB"/>
        </w:rPr>
      </w:pPr>
      <w:r>
        <w:rPr>
          <w:rFonts w:eastAsia="Times New Roman" w:cs="Arial"/>
          <w:spacing w:val="5"/>
          <w:lang w:val="en-GB"/>
        </w:rPr>
        <w:t xml:space="preserve">Additional details on the identified issues are provided in section </w:t>
      </w:r>
      <w:r>
        <w:rPr>
          <w:rFonts w:eastAsia="Times New Roman" w:cs="Arial"/>
          <w:spacing w:val="5"/>
          <w:lang w:val="en-GB"/>
        </w:rPr>
        <w:fldChar w:fldCharType="begin"/>
      </w:r>
      <w:r>
        <w:rPr>
          <w:rFonts w:eastAsia="Times New Roman" w:cs="Arial"/>
          <w:spacing w:val="5"/>
          <w:lang w:val="en-GB"/>
        </w:rPr>
        <w:instrText xml:space="preserve"> REF _Ref101887056 \r \h </w:instrText>
      </w:r>
      <w:r>
        <w:rPr>
          <w:rFonts w:eastAsia="Times New Roman" w:cs="Arial"/>
          <w:spacing w:val="5"/>
          <w:lang w:val="en-GB"/>
        </w:rPr>
        <w:fldChar w:fldCharType="separate"/>
      </w:r>
      <w:r>
        <w:rPr>
          <w:rFonts w:eastAsia="Times New Roman" w:cs="Arial"/>
          <w:spacing w:val="5"/>
          <w:lang w:val="en-GB"/>
        </w:rPr>
        <w:t>3</w:t>
      </w:r>
      <w:r>
        <w:rPr>
          <w:rFonts w:eastAsia="Times New Roman" w:cs="Arial"/>
          <w:spacing w:val="5"/>
          <w:lang w:val="en-GB"/>
        </w:rPr>
        <w:fldChar w:fldCharType="end"/>
      </w:r>
      <w:r>
        <w:rPr>
          <w:rFonts w:eastAsia="Times New Roman" w:cs="Arial"/>
          <w:spacing w:val="5"/>
          <w:lang w:val="en-GB"/>
        </w:rPr>
        <w:t>.</w:t>
      </w:r>
    </w:p>
    <w:p>
      <w:pPr>
        <w:rPr>
          <w:rFonts w:eastAsia="Times New Roman" w:cs="Arial"/>
          <w:spacing w:val="5"/>
          <w:lang w:val="en-GB"/>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pPr>
              <w:jc w:val="center"/>
              <w:rPr>
                <w:rStyle w:val="49"/>
              </w:rPr>
            </w:pPr>
            <w:r>
              <w:rPr>
                <w:rStyle w:val="49"/>
              </w:rPr>
              <w:t>Company</w:t>
            </w:r>
          </w:p>
        </w:tc>
        <w:tc>
          <w:tcPr>
            <w:tcW w:w="6484" w:type="dxa"/>
          </w:tcPr>
          <w:p>
            <w:pPr>
              <w:jc w:val="center"/>
              <w:rPr>
                <w:rStyle w:val="49"/>
              </w:rPr>
            </w:pPr>
            <w:r>
              <w:rPr>
                <w:rStyle w:val="49"/>
              </w:rPr>
              <w:t>Comments on the classification and prioritization of the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pPr>
              <w:rPr>
                <w:rFonts w:eastAsia="Times New Roman" w:cs="Arial"/>
                <w:spacing w:val="5"/>
                <w:lang w:val="en-GB"/>
              </w:rPr>
            </w:pPr>
            <w:r>
              <w:rPr>
                <w:rFonts w:eastAsia="Times New Roman" w:cs="Arial"/>
                <w:spacing w:val="5"/>
                <w:lang w:val="en-GB"/>
              </w:rPr>
              <w:t>Ericsson</w:t>
            </w:r>
          </w:p>
        </w:tc>
        <w:tc>
          <w:tcPr>
            <w:tcW w:w="6484" w:type="dxa"/>
          </w:tcPr>
          <w:p>
            <w:pPr>
              <w:rPr>
                <w:rFonts w:eastAsia="Times New Roman" w:cs="Arial"/>
                <w:spacing w:val="5"/>
                <w:lang w:val="en-GB"/>
              </w:rPr>
            </w:pPr>
            <w:r>
              <w:rPr>
                <w:rFonts w:eastAsia="Times New Roman" w:cs="Arial"/>
                <w:spacing w:val="5"/>
                <w:lang w:val="en-GB"/>
              </w:rPr>
              <w:t>Regarding Issue #5, depending on the choice of resolution, new signalling may be required for the explicit availability indication. Hence, Issue #5 should be priority 2.</w:t>
            </w:r>
          </w:p>
          <w:p>
            <w:pPr>
              <w:rPr>
                <w:rFonts w:eastAsia="Times New Roman" w:cs="Arial"/>
                <w:spacing w:val="5"/>
              </w:rPr>
            </w:pPr>
            <w:r>
              <w:rPr>
                <w:rFonts w:eastAsia="Times New Roman" w:cs="Arial"/>
                <w:spacing w:val="5"/>
                <w:lang w:val="en-GB"/>
              </w:rPr>
              <w:t>Regarding Issue #6, our contribution R1-2204640 is also addressing this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pPr>
              <w:rPr>
                <w:rFonts w:eastAsia="Times New Roman" w:cs="Arial"/>
                <w:spacing w:val="5"/>
                <w:lang w:val="en-GB"/>
              </w:rPr>
            </w:pPr>
            <w:r>
              <w:rPr>
                <w:rFonts w:eastAsia="Times New Roman" w:cs="Arial"/>
                <w:spacing w:val="5"/>
                <w:lang w:val="en-GB"/>
              </w:rPr>
              <w:t>NTT DOCOMO</w:t>
            </w:r>
          </w:p>
        </w:tc>
        <w:tc>
          <w:tcPr>
            <w:tcW w:w="6484" w:type="dxa"/>
          </w:tcPr>
          <w:p>
            <w:pPr>
              <w:rPr>
                <w:rFonts w:cs="Arial" w:eastAsiaTheme="minorEastAsia"/>
                <w:spacing w:val="5"/>
                <w:lang w:val="en-GB" w:eastAsia="ja-JP"/>
              </w:rPr>
            </w:pPr>
            <w:r>
              <w:rPr>
                <w:rFonts w:hint="eastAsia" w:cs="Arial" w:eastAsiaTheme="minorEastAsia"/>
                <w:spacing w:val="5"/>
                <w:lang w:val="en-GB" w:eastAsia="ja-JP"/>
              </w:rPr>
              <w:t>W</w:t>
            </w:r>
            <w:r>
              <w:rPr>
                <w:rFonts w:cs="Arial" w:eastAsiaTheme="minorEastAsia"/>
                <w:spacing w:val="5"/>
                <w:lang w:val="en-GB" w:eastAsia="ja-JP"/>
              </w:rPr>
              <w:t>e are fine with</w:t>
            </w:r>
            <w:r>
              <w:t xml:space="preserve"> the FL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pPr>
              <w:rPr>
                <w:rFonts w:eastAsia="Times New Roman" w:cs="Arial"/>
                <w:spacing w:val="5"/>
                <w:lang w:val="en-GB"/>
              </w:rPr>
            </w:pPr>
            <w:r>
              <w:rPr>
                <w:rFonts w:eastAsiaTheme="minorEastAsia" w:cstheme="minorHAnsi"/>
                <w:spacing w:val="5"/>
                <w:lang w:val="en-GB" w:eastAsia="ko-KR"/>
              </w:rPr>
              <w:t>Samsung</w:t>
            </w:r>
          </w:p>
        </w:tc>
        <w:tc>
          <w:tcPr>
            <w:tcW w:w="6484" w:type="dxa"/>
          </w:tcPr>
          <w:p>
            <w:pPr>
              <w:rPr>
                <w:rFonts w:cs="Arial" w:eastAsiaTheme="minorEastAsia"/>
                <w:spacing w:val="5"/>
                <w:lang w:val="en-GB" w:eastAsia="ja-JP"/>
              </w:rPr>
            </w:pPr>
            <w:r>
              <w:rPr>
                <w:rFonts w:eastAsiaTheme="minorEastAsia" w:cstheme="minorHAnsi"/>
                <w:spacing w:val="5"/>
                <w:lang w:val="en-GB" w:eastAsia="ko-KR"/>
              </w:rPr>
              <w:t>Issue #4 should be priority 2 because it is assessed by the moderator that it may have p</w:t>
            </w:r>
            <w:r>
              <w:rPr>
                <w:lang w:eastAsia="zh-CN"/>
              </w:rPr>
              <w:t>otential upper layer signaling impact</w:t>
            </w:r>
            <w:r>
              <w:rPr>
                <w:rFonts w:eastAsiaTheme="minorEastAsia" w:cstheme="minorHAnsi"/>
                <w:spacing w:val="5"/>
                <w:lang w:val="en-GB" w:eastAsia="ko-KR"/>
              </w:rPr>
              <w:t>. We are OK with priority of other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pPr>
              <w:rPr>
                <w:rFonts w:eastAsia="等线" w:cstheme="minorHAnsi"/>
                <w:spacing w:val="5"/>
                <w:lang w:val="en-GB" w:eastAsia="zh-CN"/>
              </w:rPr>
            </w:pPr>
            <w:r>
              <w:rPr>
                <w:rFonts w:hint="eastAsia" w:eastAsia="等线" w:cstheme="minorHAnsi"/>
                <w:spacing w:val="5"/>
                <w:lang w:val="en-GB" w:eastAsia="zh-CN"/>
              </w:rPr>
              <w:t>H</w:t>
            </w:r>
            <w:r>
              <w:rPr>
                <w:rFonts w:eastAsia="等线" w:cstheme="minorHAnsi"/>
                <w:spacing w:val="5"/>
                <w:lang w:val="en-GB" w:eastAsia="zh-CN"/>
              </w:rPr>
              <w:t>uawei, HiSilicon</w:t>
            </w:r>
          </w:p>
        </w:tc>
        <w:tc>
          <w:tcPr>
            <w:tcW w:w="6484" w:type="dxa"/>
          </w:tcPr>
          <w:p>
            <w:pPr>
              <w:rPr>
                <w:rFonts w:eastAsia="等线" w:cstheme="minorHAnsi"/>
                <w:spacing w:val="5"/>
                <w:lang w:val="en-GB" w:eastAsia="zh-CN"/>
              </w:rPr>
            </w:pPr>
            <w:r>
              <w:rPr>
                <w:rFonts w:hint="eastAsia" w:eastAsia="等线" w:cstheme="minorHAnsi"/>
                <w:spacing w:val="5"/>
                <w:lang w:val="en-GB" w:eastAsia="zh-CN"/>
              </w:rPr>
              <w:t>A</w:t>
            </w:r>
            <w:r>
              <w:rPr>
                <w:rFonts w:eastAsia="等线" w:cstheme="minorHAnsi"/>
                <w:spacing w:val="5"/>
                <w:lang w:val="en-GB" w:eastAsia="zh-CN"/>
              </w:rPr>
              <w:t>gree with FL’s analysis. Issue #4 seems to belongs to priority 2 given the “potential” UL layer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pPr>
              <w:rPr>
                <w:rFonts w:hint="eastAsia" w:eastAsia="等线" w:cstheme="minorHAnsi"/>
                <w:spacing w:val="5"/>
                <w:lang w:val="en-GB" w:eastAsia="zh-CN"/>
              </w:rPr>
            </w:pPr>
            <w:r>
              <w:rPr>
                <w:rFonts w:eastAsia="等线" w:cstheme="minorHAnsi"/>
                <w:spacing w:val="5"/>
                <w:lang w:val="en-GB" w:eastAsia="zh-CN"/>
              </w:rPr>
              <w:t>V</w:t>
            </w:r>
            <w:r>
              <w:rPr>
                <w:rFonts w:hint="eastAsia" w:eastAsia="等线" w:cstheme="minorHAnsi"/>
                <w:spacing w:val="5"/>
                <w:lang w:val="en-GB" w:eastAsia="zh-CN"/>
              </w:rPr>
              <w:t>ivo</w:t>
            </w:r>
          </w:p>
        </w:tc>
        <w:tc>
          <w:tcPr>
            <w:tcW w:w="6484" w:type="dxa"/>
          </w:tcPr>
          <w:p>
            <w:pPr>
              <w:rPr>
                <w:rFonts w:hint="eastAsia" w:eastAsia="等线" w:cstheme="minorHAnsi"/>
                <w:spacing w:val="5"/>
                <w:lang w:val="en-GB" w:eastAsia="zh-CN"/>
              </w:rPr>
            </w:pPr>
            <w:r>
              <w:rPr>
                <w:rFonts w:eastAsia="等线" w:cstheme="minorHAnsi"/>
                <w:spacing w:val="5"/>
                <w:lang w:val="en-GB" w:eastAsia="zh-CN"/>
              </w:rPr>
              <w:t>We agree with FL’s observation. However, if the intention is to decide which topic to be discussed from the first week, we can merge the issues in priority 1 and priority 2 in a single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5" w:type="dxa"/>
          </w:tcPr>
          <w:p>
            <w:pPr>
              <w:rPr>
                <w:rFonts w:hint="default" w:eastAsia="等线" w:cstheme="minorHAnsi"/>
                <w:spacing w:val="5"/>
                <w:lang w:val="en-US" w:eastAsia="zh-CN"/>
              </w:rPr>
            </w:pPr>
            <w:r>
              <w:rPr>
                <w:rFonts w:hint="eastAsia" w:eastAsia="等线" w:cstheme="minorHAnsi"/>
                <w:spacing w:val="5"/>
                <w:lang w:val="en-US" w:eastAsia="zh-CN"/>
              </w:rPr>
              <w:t>ZTE, Sanechips</w:t>
            </w:r>
          </w:p>
        </w:tc>
        <w:tc>
          <w:tcPr>
            <w:tcW w:w="6484" w:type="dxa"/>
          </w:tcPr>
          <w:p>
            <w:pPr>
              <w:rPr>
                <w:rFonts w:hint="default" w:eastAsia="等线" w:cstheme="minorHAnsi"/>
                <w:spacing w:val="5"/>
                <w:lang w:val="en-US" w:eastAsia="zh-CN"/>
              </w:rPr>
            </w:pPr>
            <w:r>
              <w:rPr>
                <w:rFonts w:hint="eastAsia" w:eastAsia="等线" w:cstheme="minorHAnsi"/>
                <w:spacing w:val="5"/>
                <w:lang w:val="en-US" w:eastAsia="zh-CN"/>
              </w:rPr>
              <w:t>We support FL</w:t>
            </w:r>
            <w:r>
              <w:rPr>
                <w:rFonts w:hint="default" w:eastAsia="等线" w:cstheme="minorHAnsi"/>
                <w:spacing w:val="5"/>
                <w:lang w:val="en-US" w:eastAsia="zh-CN"/>
              </w:rPr>
              <w:t>’</w:t>
            </w:r>
            <w:r>
              <w:rPr>
                <w:rFonts w:hint="eastAsia" w:eastAsia="等线" w:cstheme="minorHAnsi"/>
                <w:spacing w:val="5"/>
                <w:lang w:val="en-US" w:eastAsia="zh-CN"/>
              </w:rPr>
              <w:t>s assessment in principle.</w:t>
            </w:r>
            <w:bookmarkStart w:id="9" w:name="_GoBack"/>
            <w:bookmarkEnd w:id="9"/>
          </w:p>
          <w:p>
            <w:pPr>
              <w:rPr>
                <w:rFonts w:hint="default" w:eastAsia="等线" w:cstheme="minorHAnsi"/>
                <w:spacing w:val="5"/>
                <w:lang w:val="en-US" w:eastAsia="zh-CN"/>
              </w:rPr>
            </w:pPr>
            <w:r>
              <w:rPr>
                <w:rFonts w:hint="eastAsia" w:eastAsia="等线" w:cstheme="minorHAnsi"/>
                <w:spacing w:val="5"/>
                <w:lang w:val="en-US" w:eastAsia="zh-CN"/>
              </w:rPr>
              <w:t>For issue #4, we also share similar view with Samsung and Huawei, it should be priority 2.</w:t>
            </w:r>
          </w:p>
        </w:tc>
      </w:tr>
    </w:tbl>
    <w:p>
      <w:pPr>
        <w:rPr>
          <w:rFonts w:eastAsia="Times New Roman" w:cs="Arial"/>
          <w:spacing w:val="5"/>
          <w:lang w:val="en-GB"/>
        </w:rPr>
      </w:pPr>
    </w:p>
    <w:p>
      <w:pPr>
        <w:rPr>
          <w:rFonts w:eastAsia="Times New Roman" w:cs="Arial"/>
          <w:spacing w:val="5"/>
          <w:lang w:val="en-GB"/>
        </w:rPr>
      </w:pPr>
    </w:p>
    <w:p>
      <w:pPr>
        <w:spacing w:after="0" w:line="240" w:lineRule="auto"/>
        <w:rPr>
          <w:rFonts w:eastAsia="Times New Roman" w:cs="Arial"/>
          <w:spacing w:val="5"/>
          <w:lang w:val="en-GB"/>
        </w:rPr>
      </w:pPr>
      <w:r>
        <w:rPr>
          <w:rFonts w:eastAsia="Times New Roman" w:cs="Arial"/>
          <w:spacing w:val="5"/>
          <w:lang w:val="en-GB"/>
        </w:rPr>
        <w:br w:type="page"/>
      </w:r>
    </w:p>
    <w:p>
      <w:pPr>
        <w:pStyle w:val="2"/>
      </w:pPr>
      <w:bookmarkStart w:id="6" w:name="_Ref101887056"/>
      <w:r>
        <w:t>Additional details on identified issues</w:t>
      </w:r>
      <w:bookmarkEnd w:id="6"/>
    </w:p>
    <w:p>
      <w:pPr>
        <w:pStyle w:val="3"/>
      </w:pPr>
      <w:r>
        <w:t xml:space="preserve">Issue #1. Coexistence between Rel-16 and Rel-7 H/S/NA configuration </w:t>
      </w:r>
    </w:p>
    <w:p>
      <w:pPr>
        <w:rPr>
          <w:rFonts w:ascii="Times New Roman" w:hAnsi="Times New Roman" w:cs="Times New Roman"/>
          <w:sz w:val="20"/>
          <w:lang w:eastAsia="zh-CN"/>
        </w:rPr>
      </w:pPr>
      <w:r>
        <w:rPr>
          <w:rFonts w:ascii="Times New Roman" w:hAnsi="Times New Roman" w:cs="Times New Roman"/>
          <w:sz w:val="20"/>
          <w:lang w:eastAsia="zh-CN"/>
        </w:rPr>
        <w:t>The following related working assumption, agreement and conclusion were made in previous RAN1 meetings: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line="240" w:lineRule="auto"/>
              <w:textAlignment w:val="baseline"/>
              <w:rPr>
                <w:rFonts w:ascii="Times New Roman" w:hAnsi="Times New Roman" w:eastAsia="Times New Roman" w:cs="Times New Roman"/>
                <w:b/>
                <w:bCs/>
                <w:sz w:val="20"/>
                <w:szCs w:val="20"/>
              </w:rPr>
            </w:pPr>
            <w:bookmarkStart w:id="7" w:name="_Hlk101879928"/>
            <w:r>
              <w:rPr>
                <w:rFonts w:ascii="Times New Roman" w:hAnsi="Times New Roman" w:eastAsia="Times New Roman"/>
                <w:b/>
                <w:bCs/>
                <w:sz w:val="20"/>
                <w:szCs w:val="20"/>
              </w:rPr>
              <w:t xml:space="preserve">RAN1-106bise working assumption: </w:t>
            </w:r>
          </w:p>
          <w:p>
            <w:pPr>
              <w:overflowPunct w:val="0"/>
              <w:autoSpaceDE w:val="0"/>
              <w:autoSpaceDN w:val="0"/>
              <w:adjustRightInd w:val="0"/>
              <w:spacing w:after="0" w:line="240" w:lineRule="auto"/>
              <w:textAlignment w:val="baseline"/>
              <w:rPr>
                <w:rFonts w:ascii="Times New Roman" w:hAnsi="Times New Roman" w:eastAsia="Times New Roman"/>
                <w:bCs/>
                <w:sz w:val="20"/>
                <w:szCs w:val="20"/>
              </w:rPr>
            </w:pPr>
            <w:r>
              <w:rPr>
                <w:rFonts w:ascii="Times New Roman" w:hAnsi="Times New Roman" w:eastAsia="Times New Roman"/>
                <w:bCs/>
                <w:sz w:val="20"/>
                <w:szCs w:val="20"/>
              </w:rPr>
              <w:t>If both the Rel-16 time domain H/S/NA configuration and Rel-17 frequency domain H/S/NA configuration are provided for a given RB set within a slot, one of the following is selected:</w:t>
            </w:r>
          </w:p>
          <w:p>
            <w:pPr>
              <w:numPr>
                <w:ilvl w:val="0"/>
                <w:numId w:val="25"/>
              </w:numPr>
              <w:spacing w:after="255" w:line="240" w:lineRule="auto"/>
              <w:contextualSpacing/>
              <w:rPr>
                <w:rFonts w:ascii="Times New Roman" w:hAnsi="Times New Roman" w:eastAsia="Times New Roman"/>
                <w:b/>
                <w:sz w:val="20"/>
                <w:szCs w:val="20"/>
                <w:lang w:eastAsia="zh-CN"/>
              </w:rPr>
            </w:pPr>
            <w:r>
              <w:rPr>
                <w:rFonts w:ascii="Times New Roman" w:hAnsi="Times New Roman" w:eastAsia="Times New Roman"/>
                <w:bCs/>
                <w:sz w:val="20"/>
                <w:szCs w:val="20"/>
              </w:rPr>
              <w:t>Alt. 1: An IAB node applies the frequency domain H/S/NA only if the IAB node is currently operating in a non-TDM multiplexing mode in the slot, otherwise the Rel-16 time domain H/S/NA configuration is applied.</w:t>
            </w:r>
          </w:p>
        </w:tc>
      </w:tr>
      <w:bookmarkEnd w:id="7"/>
    </w:tbl>
    <w:p>
      <w:pPr>
        <w:spacing w:after="0" w:line="240" w:lineRule="auto"/>
        <w:rPr>
          <w:rFonts w:ascii="Times New Roman" w:hAnsi="Times New Roman" w:eastAsia="Times New Roman" w:cs="Times New Roman"/>
          <w:sz w:val="20"/>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line="240" w:lineRule="auto"/>
              <w:textAlignment w:val="baseline"/>
              <w:rPr>
                <w:rFonts w:ascii="Times New Roman" w:hAnsi="Times New Roman" w:eastAsia="Times New Roman" w:cs="Times New Roman"/>
                <w:b/>
                <w:bCs/>
                <w:sz w:val="20"/>
                <w:szCs w:val="20"/>
              </w:rPr>
            </w:pPr>
            <w:r>
              <w:rPr>
                <w:rFonts w:ascii="Times New Roman" w:hAnsi="Times New Roman" w:eastAsia="Times New Roman"/>
                <w:b/>
                <w:sz w:val="20"/>
                <w:szCs w:val="20"/>
              </w:rPr>
              <w:t>Agreement</w:t>
            </w:r>
            <w:r>
              <w:rPr>
                <w:rFonts w:ascii="Times New Roman" w:hAnsi="Times New Roman" w:eastAsia="Times New Roman"/>
                <w:b/>
                <w:bCs/>
                <w:sz w:val="20"/>
                <w:szCs w:val="20"/>
              </w:rPr>
              <w:t xml:space="preserve">: (RAN1-107e) </w:t>
            </w:r>
          </w:p>
          <w:p>
            <w:pPr>
              <w:overflowPunct w:val="0"/>
              <w:autoSpaceDE w:val="0"/>
              <w:autoSpaceDN w:val="0"/>
              <w:adjustRightInd w:val="0"/>
              <w:spacing w:after="0" w:line="240" w:lineRule="auto"/>
              <w:textAlignment w:val="baseline"/>
              <w:rPr>
                <w:rFonts w:ascii="Times New Roman" w:hAnsi="Times New Roman" w:eastAsia="Times New Roman"/>
                <w:bCs/>
                <w:sz w:val="20"/>
                <w:szCs w:val="20"/>
              </w:rPr>
            </w:pPr>
            <w:r>
              <w:rPr>
                <w:rFonts w:ascii="Times New Roman" w:hAnsi="Times New Roman" w:eastAsia="Times New Roman"/>
                <w:bCs/>
                <w:sz w:val="20"/>
                <w:szCs w:val="20"/>
              </w:rPr>
              <w:t>Whether or not an IAB node can operate under a given non-TDM multiplexing mode (i.e. multiplexing info in 38.473) is left to IAB implementation in Rel-17</w:t>
            </w:r>
          </w:p>
        </w:tc>
      </w:tr>
    </w:tbl>
    <w:p>
      <w:pPr>
        <w:spacing w:after="0" w:line="240" w:lineRule="auto"/>
        <w:rPr>
          <w:rFonts w:ascii="Times New Roman" w:hAnsi="Times New Roman" w:eastAsia="Times New Roman" w:cs="Times New Roman"/>
          <w:sz w:val="20"/>
          <w:szCs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pStyle w:val="181"/>
              <w:rPr>
                <w:rFonts w:eastAsia="宋体"/>
                <w:sz w:val="20"/>
                <w:szCs w:val="20"/>
              </w:rPr>
            </w:pPr>
            <w:r>
              <w:rPr>
                <w:b/>
                <w:bCs/>
                <w:sz w:val="20"/>
                <w:szCs w:val="20"/>
              </w:rPr>
              <w:t>Conclusion (RAN1-108e)</w:t>
            </w:r>
          </w:p>
          <w:p>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for conflict resolution between parent and child IAB nodes in case the Rel-17 H/S/NA configuration is provided but the IAB node needs to instead operate according to the Rel-16 H/S/NA configuration (based on its implementation as agreed previously in RAN1#107-e) in the slot until RAN#109-e.</w:t>
            </w:r>
          </w:p>
        </w:tc>
      </w:tr>
    </w:tbl>
    <w:p>
      <w:pPr>
        <w:spacing w:after="0" w:line="240" w:lineRule="auto"/>
        <w:rPr>
          <w:rFonts w:ascii="Times New Roman" w:hAnsi="Times New Roman" w:eastAsia="Times New Roman" w:cs="Times New Roman"/>
          <w:sz w:val="20"/>
          <w:szCs w:val="20"/>
          <w:lang w:eastAsia="zh-CN"/>
        </w:rPr>
      </w:pPr>
    </w:p>
    <w:p>
      <w:pPr>
        <w:spacing w:after="0" w:line="240" w:lineRule="auto"/>
        <w:rPr>
          <w:rFonts w:ascii="Times New Roman" w:hAnsi="Times New Roman" w:eastAsia="Times New Roman" w:cs="Times New Roman"/>
          <w:b/>
          <w:szCs w:val="20"/>
          <w:u w:val="single"/>
          <w:lang w:eastAsia="zh-CN"/>
        </w:rPr>
      </w:pPr>
      <w:r>
        <w:rPr>
          <w:rFonts w:ascii="Times New Roman" w:hAnsi="Times New Roman" w:eastAsia="Times New Roman" w:cs="Times New Roman"/>
          <w:b/>
          <w:szCs w:val="20"/>
          <w:u w:val="single"/>
          <w:lang w:eastAsia="zh-CN"/>
        </w:rPr>
        <w:t xml:space="preserve">Summary of views: </w:t>
      </w:r>
    </w:p>
    <w:p>
      <w:pPr>
        <w:pStyle w:val="116"/>
        <w:numPr>
          <w:ilvl w:val="0"/>
          <w:numId w:val="26"/>
        </w:numPr>
        <w:overflowPunct w:val="0"/>
        <w:autoSpaceDE w:val="0"/>
        <w:autoSpaceDN w:val="0"/>
        <w:adjustRightInd w:val="0"/>
        <w:spacing w:line="240" w:lineRule="auto"/>
        <w:contextualSpacing/>
        <w:rPr>
          <w:rFonts w:ascii="Times New Roman" w:hAnsi="Times New Roman" w:eastAsia="Times New Roman" w:cs="Times New Roman"/>
          <w:bCs/>
          <w:szCs w:val="20"/>
          <w:lang w:eastAsia="zh-CN"/>
        </w:rPr>
      </w:pPr>
      <w:r>
        <w:rPr>
          <w:rFonts w:eastAsia="Times New Roman"/>
          <w:bCs/>
          <w:lang w:eastAsia="zh-CN"/>
        </w:rPr>
        <w:t>Confirmation of the WA</w:t>
      </w:r>
    </w:p>
    <w:p>
      <w:pPr>
        <w:pStyle w:val="116"/>
        <w:numPr>
          <w:ilvl w:val="1"/>
          <w:numId w:val="26"/>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Supported by [4], [5], [6], [10] (and possibly [2], [9], [12])</w:t>
      </w:r>
    </w:p>
    <w:p>
      <w:pPr>
        <w:pStyle w:val="116"/>
        <w:numPr>
          <w:ilvl w:val="0"/>
          <w:numId w:val="26"/>
        </w:numPr>
        <w:overflowPunct w:val="0"/>
        <w:autoSpaceDE w:val="0"/>
        <w:autoSpaceDN w:val="0"/>
        <w:adjustRightInd w:val="0"/>
        <w:spacing w:line="240" w:lineRule="auto"/>
        <w:contextualSpacing/>
        <w:rPr>
          <w:rFonts w:eastAsia="宋体"/>
          <w:b/>
          <w:bCs/>
          <w:i/>
          <w:iCs/>
          <w:lang w:eastAsia="ja-JP"/>
        </w:rPr>
      </w:pPr>
      <w:r>
        <w:rPr>
          <w:rFonts w:eastAsia="Times New Roman"/>
          <w:bCs/>
          <w:lang w:eastAsia="zh-CN"/>
        </w:rPr>
        <w:t>Suggesting</w:t>
      </w:r>
      <w:r>
        <w:rPr>
          <w:rFonts w:eastAsia="Times New Roman"/>
          <w:b/>
          <w:bCs/>
          <w:lang w:eastAsia="zh-CN"/>
        </w:rPr>
        <w:t xml:space="preserve"> </w:t>
      </w:r>
      <w:r>
        <w:rPr>
          <w:rFonts w:eastAsia="Times New Roman"/>
          <w:bCs/>
          <w:i/>
          <w:lang w:eastAsia="zh-CN"/>
        </w:rPr>
        <w:t xml:space="preserve">“apply Rel-17 </w:t>
      </w:r>
      <w:r>
        <w:rPr>
          <w:bCs/>
          <w:i/>
          <w:iCs/>
        </w:rPr>
        <w:t>frequency domain H/S/NA, when both Rel-16 time domain H/S/NA configuration and Rel-17 frequency domain H/S/NA configuration are provided for a given RB set within a slot”.</w:t>
      </w:r>
    </w:p>
    <w:p>
      <w:pPr>
        <w:pStyle w:val="116"/>
        <w:numPr>
          <w:ilvl w:val="1"/>
          <w:numId w:val="26"/>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Proposed by [1], [3], [13]</w:t>
      </w:r>
    </w:p>
    <w:p>
      <w:pPr>
        <w:pStyle w:val="116"/>
        <w:numPr>
          <w:ilvl w:val="0"/>
          <w:numId w:val="27"/>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One company [8] proposed </w:t>
      </w:r>
      <w:r>
        <w:rPr>
          <w:rFonts w:eastAsia="Times New Roman"/>
          <w:bCs/>
          <w:i/>
          <w:lang w:eastAsia="zh-CN"/>
        </w:rPr>
        <w:t>“Specify rules to determine the HSNA pattern based on a combination of Rel-16 and Rel-17 configurations”</w:t>
      </w:r>
      <w:r>
        <w:rPr>
          <w:rFonts w:eastAsia="Times New Roman"/>
          <w:bCs/>
          <w:lang w:eastAsia="zh-CN"/>
        </w:rPr>
        <w:t>.</w:t>
      </w:r>
    </w:p>
    <w:p>
      <w:pPr>
        <w:spacing w:after="0"/>
        <w:rPr>
          <w:rFonts w:ascii="Times New Roman" w:hAnsi="Times New Roman" w:eastAsia="Times New Roman" w:cs="Times New Roman"/>
          <w:bCs/>
          <w:sz w:val="20"/>
          <w:szCs w:val="20"/>
          <w:lang w:eastAsia="zh-CN"/>
        </w:rPr>
      </w:pPr>
    </w:p>
    <w:p>
      <w:pPr>
        <w:spacing w:after="0"/>
        <w:rPr>
          <w:rFonts w:ascii="Times New Roman" w:hAnsi="Times New Roman" w:eastAsia="Times New Roman" w:cs="Times New Roman"/>
          <w:b/>
          <w:bCs/>
          <w:szCs w:val="20"/>
          <w:u w:val="single"/>
          <w:lang w:eastAsia="zh-CN"/>
        </w:rPr>
      </w:pPr>
      <w:r>
        <w:rPr>
          <w:rFonts w:ascii="Times New Roman" w:hAnsi="Times New Roman" w:eastAsia="Times New Roman" w:cs="Times New Roman"/>
          <w:b/>
          <w:bCs/>
          <w:szCs w:val="20"/>
          <w:u w:val="single"/>
          <w:lang w:eastAsia="zh-CN"/>
        </w:rPr>
        <w:t>Potential new signaling:</w:t>
      </w:r>
    </w:p>
    <w:p>
      <w:pPr>
        <w:pStyle w:val="116"/>
        <w:numPr>
          <w:ilvl w:val="0"/>
          <w:numId w:val="27"/>
        </w:numPr>
        <w:overflowPunct w:val="0"/>
        <w:autoSpaceDE w:val="0"/>
        <w:autoSpaceDN w:val="0"/>
        <w:adjustRightInd w:val="0"/>
        <w:spacing w:line="240" w:lineRule="auto"/>
        <w:contextualSpacing/>
        <w:rPr>
          <w:rFonts w:ascii="Times New Roman" w:hAnsi="Times New Roman" w:eastAsia="Times New Roman" w:cs="Times New Roman"/>
          <w:bCs/>
          <w:szCs w:val="20"/>
          <w:lang w:eastAsia="zh-CN"/>
        </w:rPr>
      </w:pPr>
      <w:r>
        <w:rPr>
          <w:rFonts w:eastAsia="Times New Roman"/>
          <w:bCs/>
          <w:lang w:eastAsia="zh-CN"/>
        </w:rPr>
        <w:t>A few companies proposed to support new signalling, from IAB-node to parent-node or from parent-node to IAB-node, to indicate/authorize the [expected] multiplexing mode</w:t>
      </w:r>
    </w:p>
    <w:p>
      <w:pPr>
        <w:pStyle w:val="116"/>
        <w:numPr>
          <w:ilvl w:val="1"/>
          <w:numId w:val="27"/>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IAB-node to parent-node: [4], [5], [6], [9], [10], [12]</w:t>
      </w:r>
    </w:p>
    <w:p>
      <w:pPr>
        <w:pStyle w:val="116"/>
        <w:numPr>
          <w:ilvl w:val="1"/>
          <w:numId w:val="27"/>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Parent-node to IAB-node:[4], [5]</w:t>
      </w:r>
    </w:p>
    <w:p>
      <w:pPr>
        <w:pStyle w:val="3"/>
      </w:pPr>
      <w:r>
        <w:t>Issue #2. CSI acquisition with DL Tx power adjustment</w:t>
      </w:r>
    </w:p>
    <w:p>
      <w:pPr>
        <w:spacing w:after="0" w:line="240" w:lineRule="auto"/>
        <w:rPr>
          <w:rFonts w:ascii="Times New Roman" w:hAnsi="Times New Roman" w:eastAsia="Times New Roman" w:cs="Times New Roman"/>
          <w:b/>
          <w:szCs w:val="20"/>
          <w:u w:val="single"/>
          <w:lang w:eastAsia="zh-CN"/>
        </w:rPr>
      </w:pPr>
      <w:r>
        <w:rPr>
          <w:rFonts w:ascii="Times New Roman" w:hAnsi="Times New Roman" w:eastAsia="Times New Roman" w:cs="Times New Roman"/>
          <w:b/>
          <w:szCs w:val="20"/>
          <w:u w:val="single"/>
          <w:lang w:eastAsia="zh-CN"/>
        </w:rPr>
        <w:t xml:space="preserve">Summary of views: </w:t>
      </w:r>
    </w:p>
    <w:p>
      <w:pPr>
        <w:pStyle w:val="116"/>
        <w:numPr>
          <w:ilvl w:val="0"/>
          <w:numId w:val="27"/>
        </w:numPr>
        <w:overflowPunct w:val="0"/>
        <w:autoSpaceDE w:val="0"/>
        <w:autoSpaceDN w:val="0"/>
        <w:adjustRightInd w:val="0"/>
        <w:spacing w:line="240" w:lineRule="auto"/>
        <w:contextualSpacing/>
        <w:rPr>
          <w:rFonts w:ascii="Times New Roman" w:hAnsi="Times New Roman" w:eastAsia="Times New Roman" w:cs="Times New Roman"/>
          <w:bCs/>
          <w:szCs w:val="20"/>
          <w:lang w:eastAsia="zh-CN"/>
        </w:rPr>
      </w:pPr>
      <w:r>
        <w:rPr>
          <w:rFonts w:eastAsia="Times New Roman"/>
          <w:bCs/>
          <w:lang w:eastAsia="zh-CN"/>
        </w:rPr>
        <w:t>[1] observed: “</w:t>
      </w:r>
      <w:r>
        <w:rPr>
          <w:bCs/>
          <w:i/>
          <w:iCs/>
        </w:rPr>
        <w:t>For a given CSI report, the gNB should be able to differentiate whether DL TX power adjustment is accounted when deriving the CSI</w:t>
      </w:r>
      <w:r>
        <w:rPr>
          <w:rFonts w:eastAsia="Times New Roman"/>
          <w:bCs/>
          <w:lang w:eastAsia="zh-CN"/>
        </w:rPr>
        <w:t>”, and proposed “</w:t>
      </w:r>
      <w:r>
        <w:rPr>
          <w:bCs/>
          <w:i/>
          <w:iCs/>
        </w:rPr>
        <w:t>either use a separate CSI report for the CSI feedback or extend the CSI report to include results for both assumptions</w:t>
      </w:r>
      <w:r>
        <w:rPr>
          <w:rFonts w:eastAsia="Times New Roman"/>
          <w:bCs/>
          <w:lang w:eastAsia="zh-CN"/>
        </w:rPr>
        <w:t>”</w:t>
      </w:r>
    </w:p>
    <w:p>
      <w:pPr>
        <w:pStyle w:val="116"/>
        <w:numPr>
          <w:ilvl w:val="0"/>
          <w:numId w:val="27"/>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[9] and [11] have TPs for 38.214.</w:t>
      </w:r>
    </w:p>
    <w:p>
      <w:pPr>
        <w:spacing w:after="0"/>
        <w:rPr>
          <w:rFonts w:ascii="Times New Roman" w:hAnsi="Times New Roman" w:eastAsia="Times New Roman" w:cs="Times New Roman"/>
          <w:bCs/>
          <w:sz w:val="20"/>
          <w:lang w:eastAsia="zh-CN"/>
        </w:rPr>
      </w:pPr>
    </w:p>
    <w:p>
      <w:pPr>
        <w:spacing w:after="0"/>
        <w:rPr>
          <w:rFonts w:ascii="Times New Roman" w:hAnsi="Times New Roman" w:eastAsia="Times New Roman" w:cs="Times New Roman"/>
          <w:bCs/>
          <w:sz w:val="20"/>
          <w:lang w:eastAsia="zh-CN"/>
        </w:rPr>
      </w:pPr>
    </w:p>
    <w:p>
      <w:pPr>
        <w:spacing w:after="0"/>
        <w:rPr>
          <w:rFonts w:ascii="Times New Roman" w:hAnsi="Times New Roman" w:eastAsia="Times New Roman" w:cs="Times New Roman"/>
          <w:bCs/>
          <w:sz w:val="20"/>
          <w:lang w:eastAsia="zh-CN"/>
        </w:rPr>
      </w:pPr>
    </w:p>
    <w:p>
      <w:pPr>
        <w:spacing w:after="0"/>
        <w:rPr>
          <w:rFonts w:ascii="Times New Roman" w:hAnsi="Times New Roman" w:eastAsia="Times New Roman" w:cs="Times New Roman"/>
          <w:bCs/>
          <w:sz w:val="20"/>
          <w:lang w:eastAsia="zh-CN"/>
        </w:rPr>
      </w:pPr>
    </w:p>
    <w:p>
      <w:pPr>
        <w:spacing w:after="0"/>
        <w:rPr>
          <w:rFonts w:ascii="Times New Roman" w:hAnsi="Times New Roman" w:eastAsia="Times New Roman" w:cs="Times New Roman"/>
          <w:bCs/>
          <w:sz w:val="20"/>
          <w:lang w:eastAsia="zh-CN"/>
        </w:rPr>
      </w:pPr>
    </w:p>
    <w:p>
      <w:pPr>
        <w:pStyle w:val="3"/>
      </w:pPr>
      <w:r>
        <w:t>Issue #3. Range of DL power adjustment</w:t>
      </w:r>
    </w:p>
    <w:p>
      <w:pPr>
        <w:spacing w:after="0" w:line="240" w:lineRule="auto"/>
        <w:rPr>
          <w:rFonts w:ascii="Times New Roman" w:hAnsi="Times New Roman" w:eastAsia="Times New Roman" w:cs="Times New Roman"/>
          <w:b/>
          <w:szCs w:val="20"/>
          <w:u w:val="single"/>
          <w:lang w:eastAsia="zh-CN"/>
        </w:rPr>
      </w:pPr>
      <w:r>
        <w:rPr>
          <w:rFonts w:ascii="Times New Roman" w:hAnsi="Times New Roman" w:eastAsia="Times New Roman" w:cs="Times New Roman"/>
          <w:b/>
          <w:szCs w:val="20"/>
          <w:u w:val="single"/>
          <w:lang w:eastAsia="zh-CN"/>
        </w:rPr>
        <w:t xml:space="preserve">Summary of views: </w:t>
      </w:r>
    </w:p>
    <w:p>
      <w:pPr>
        <w:pStyle w:val="116"/>
        <w:numPr>
          <w:ilvl w:val="0"/>
          <w:numId w:val="27"/>
        </w:numPr>
        <w:overflowPunct w:val="0"/>
        <w:autoSpaceDE w:val="0"/>
        <w:autoSpaceDN w:val="0"/>
        <w:adjustRightInd w:val="0"/>
        <w:spacing w:line="240" w:lineRule="auto"/>
        <w:contextualSpacing/>
        <w:rPr>
          <w:rFonts w:ascii="Times New Roman" w:hAnsi="Times New Roman" w:eastAsia="Times New Roman" w:cs="Times New Roman"/>
          <w:bCs/>
          <w:szCs w:val="20"/>
          <w:lang w:eastAsia="zh-CN"/>
        </w:rPr>
      </w:pPr>
      <w:r>
        <w:rPr>
          <w:rFonts w:eastAsia="Times New Roman"/>
          <w:bCs/>
          <w:lang w:eastAsia="zh-CN"/>
        </w:rPr>
        <w:t>[2], and [13] suggested to wait for further RAN4 guidance.</w:t>
      </w:r>
    </w:p>
    <w:p>
      <w:pPr>
        <w:pStyle w:val="116"/>
        <w:numPr>
          <w:ilvl w:val="0"/>
          <w:numId w:val="27"/>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 proposed two alternatives:</w:t>
      </w:r>
    </w:p>
    <w:p>
      <w:pPr>
        <w:pStyle w:val="116"/>
        <w:numPr>
          <w:ilvl w:val="1"/>
          <w:numId w:val="27"/>
        </w:numPr>
        <w:overflowPunct w:val="0"/>
        <w:autoSpaceDE w:val="0"/>
        <w:autoSpaceDN w:val="0"/>
        <w:adjustRightInd w:val="0"/>
        <w:spacing w:line="240" w:lineRule="auto"/>
        <w:contextualSpacing/>
        <w:rPr>
          <w:rFonts w:eastAsia="Times New Roman"/>
          <w:bCs/>
          <w:lang w:eastAsia="zh-CN"/>
        </w:rPr>
      </w:pPr>
      <w:r>
        <w:rPr>
          <w:bCs/>
          <w:i/>
          <w:iCs/>
        </w:rPr>
        <w:t xml:space="preserve">Alt 1: Reuse the range of powerControlOffset in NZP-CSI-RS-Resource as [-8, 15] </w:t>
      </w:r>
    </w:p>
    <w:p>
      <w:pPr>
        <w:pStyle w:val="116"/>
        <w:numPr>
          <w:ilvl w:val="1"/>
          <w:numId w:val="27"/>
        </w:numPr>
        <w:overflowPunct w:val="0"/>
        <w:autoSpaceDE w:val="0"/>
        <w:autoSpaceDN w:val="0"/>
        <w:adjustRightInd w:val="0"/>
        <w:spacing w:line="240" w:lineRule="auto"/>
        <w:contextualSpacing/>
        <w:rPr>
          <w:rFonts w:eastAsia="Times New Roman"/>
          <w:bCs/>
          <w:lang w:eastAsia="zh-CN"/>
        </w:rPr>
      </w:pPr>
      <w:r>
        <w:rPr>
          <w:bCs/>
          <w:i/>
          <w:iCs/>
        </w:rPr>
        <w:t xml:space="preserve">Alt 2: Extend the range of negative part as [-15, 8] </w:t>
      </w:r>
    </w:p>
    <w:p>
      <w:pPr>
        <w:pStyle w:val="116"/>
        <w:numPr>
          <w:ilvl w:val="0"/>
          <w:numId w:val="27"/>
        </w:numPr>
        <w:overflowPunct w:val="0"/>
        <w:autoSpaceDE w:val="0"/>
        <w:autoSpaceDN w:val="0"/>
        <w:adjustRightInd w:val="0"/>
        <w:spacing w:line="240" w:lineRule="auto"/>
        <w:contextualSpacing/>
        <w:rPr>
          <w:rFonts w:eastAsia="Times New Roman"/>
          <w:bCs/>
          <w:lang w:eastAsia="zh-CN"/>
        </w:rPr>
      </w:pPr>
      <w:r>
        <w:rPr>
          <w:bCs/>
          <w:iCs/>
        </w:rPr>
        <w:t>[10] proposed the following:</w:t>
      </w:r>
    </w:p>
    <w:p>
      <w:pPr>
        <w:pStyle w:val="116"/>
        <w:numPr>
          <w:ilvl w:val="1"/>
          <w:numId w:val="27"/>
        </w:numPr>
        <w:overflowPunct w:val="0"/>
        <w:autoSpaceDE w:val="0"/>
        <w:autoSpaceDN w:val="0"/>
        <w:adjustRightInd w:val="0"/>
        <w:spacing w:line="240" w:lineRule="auto"/>
        <w:contextualSpacing/>
        <w:rPr>
          <w:rFonts w:eastAsia="Times New Roman"/>
          <w:bCs/>
          <w:i/>
          <w:lang w:eastAsia="zh-CN"/>
        </w:rPr>
      </w:pPr>
      <w:r>
        <w:rPr>
          <w:bCs/>
          <w:i/>
          <w:color w:val="000000"/>
        </w:rPr>
        <w:t xml:space="preserve">[-5 … 5] dB for wide area IAB-nodes and [-10 … 10] dB for local area IAB-nodes. </w:t>
      </w:r>
    </w:p>
    <w:p>
      <w:pPr>
        <w:spacing w:after="0"/>
        <w:rPr>
          <w:rFonts w:ascii="Times New Roman" w:hAnsi="Times New Roman" w:eastAsia="Times New Roman" w:cs="Times New Roman"/>
          <w:bCs/>
          <w:sz w:val="20"/>
          <w:szCs w:val="20"/>
          <w:lang w:eastAsia="zh-CN"/>
        </w:rPr>
      </w:pPr>
    </w:p>
    <w:p>
      <w:pPr>
        <w:pStyle w:val="3"/>
      </w:pPr>
      <w:r>
        <w:t>Issue #4. Extension of DCI format 2_5 payload size</w:t>
      </w:r>
    </w:p>
    <w:p>
      <w:pPr>
        <w:spacing w:after="0"/>
        <w:rPr>
          <w:rFonts w:ascii="Times New Roman" w:hAnsi="Times New Roman" w:eastAsia="Times New Roman" w:cs="Times New Roman"/>
          <w:bCs/>
          <w:sz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pStyle w:val="181"/>
              <w:rPr>
                <w:rFonts w:eastAsia="宋体"/>
                <w:b/>
                <w:sz w:val="20"/>
                <w:szCs w:val="20"/>
              </w:rPr>
            </w:pPr>
            <w:r>
              <w:rPr>
                <w:b/>
                <w:sz w:val="20"/>
                <w:szCs w:val="20"/>
              </w:rPr>
              <w:t>Conclusion (RAN1-108e)</w:t>
            </w:r>
          </w:p>
          <w:p>
            <w:pPr>
              <w:spacing w:after="0" w:line="240" w:lineRule="auto"/>
              <w:rPr>
                <w:rFonts w:ascii="Times New Roman" w:hAnsi="Times New Roman" w:eastAsia="Times New Roman"/>
                <w:bCs/>
                <w:sz w:val="20"/>
                <w:szCs w:val="20"/>
                <w:lang w:eastAsia="zh-CN"/>
              </w:rPr>
            </w:pPr>
            <w:r>
              <w:rPr>
                <w:rFonts w:ascii="Times New Roman" w:hAnsi="Times New Roman"/>
                <w:sz w:val="20"/>
                <w:szCs w:val="20"/>
              </w:rPr>
              <w:t xml:space="preserve">Defer discussion (contribution driven) about extending the maximum payload size of DCI format 2_5 to increase the number of IAB-DU cells that can be provided with availability information for soft resources until RAN1#109-e. </w:t>
            </w:r>
          </w:p>
        </w:tc>
      </w:tr>
    </w:tbl>
    <w:p>
      <w:pPr>
        <w:spacing w:after="0"/>
        <w:rPr>
          <w:rFonts w:ascii="Times New Roman" w:hAnsi="Times New Roman" w:eastAsia="Times New Roman" w:cs="Times New Roman"/>
          <w:bCs/>
          <w:sz w:val="20"/>
          <w:lang w:eastAsia="zh-CN"/>
        </w:rPr>
      </w:pPr>
    </w:p>
    <w:p>
      <w:pPr>
        <w:spacing w:after="0" w:line="240" w:lineRule="auto"/>
        <w:rPr>
          <w:rFonts w:ascii="Times New Roman" w:hAnsi="Times New Roman" w:eastAsia="Times New Roman" w:cs="Times New Roman"/>
          <w:b/>
          <w:szCs w:val="20"/>
          <w:u w:val="single"/>
          <w:lang w:eastAsia="zh-CN"/>
        </w:rPr>
      </w:pPr>
      <w:r>
        <w:rPr>
          <w:rFonts w:ascii="Times New Roman" w:hAnsi="Times New Roman" w:eastAsia="Times New Roman" w:cs="Times New Roman"/>
          <w:b/>
          <w:szCs w:val="20"/>
          <w:u w:val="single"/>
          <w:lang w:eastAsia="zh-CN"/>
        </w:rPr>
        <w:t xml:space="preserve">Summary of views: </w:t>
      </w:r>
    </w:p>
    <w:p>
      <w:pPr>
        <w:pStyle w:val="116"/>
        <w:numPr>
          <w:ilvl w:val="0"/>
          <w:numId w:val="27"/>
        </w:numPr>
        <w:overflowPunct w:val="0"/>
        <w:autoSpaceDE w:val="0"/>
        <w:autoSpaceDN w:val="0"/>
        <w:adjustRightInd w:val="0"/>
        <w:spacing w:line="240" w:lineRule="auto"/>
        <w:contextualSpacing/>
        <w:rPr>
          <w:rFonts w:ascii="Times New Roman" w:hAnsi="Times New Roman" w:eastAsia="Times New Roman" w:cs="Times New Roman"/>
          <w:bCs/>
          <w:szCs w:val="20"/>
          <w:lang w:eastAsia="zh-CN"/>
        </w:rPr>
      </w:pPr>
      <w:r>
        <w:rPr>
          <w:rFonts w:eastAsia="Times New Roman"/>
          <w:bCs/>
          <w:lang w:eastAsia="zh-CN"/>
        </w:rPr>
        <w:t xml:space="preserve">[2], [10] proposed to extend the payload size  </w:t>
      </w:r>
    </w:p>
    <w:p>
      <w:pPr>
        <w:pStyle w:val="116"/>
        <w:numPr>
          <w:ilvl w:val="1"/>
          <w:numId w:val="27"/>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[140bits]</w:t>
      </w:r>
    </w:p>
    <w:p>
      <w:pPr>
        <w:pStyle w:val="116"/>
        <w:numPr>
          <w:ilvl w:val="1"/>
          <w:numId w:val="27"/>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FFS: introduce group indexing bits</w:t>
      </w:r>
    </w:p>
    <w:p>
      <w:pPr>
        <w:pStyle w:val="116"/>
        <w:numPr>
          <w:ilvl w:val="0"/>
          <w:numId w:val="27"/>
        </w:numPr>
        <w:overflowPunct w:val="0"/>
        <w:autoSpaceDE w:val="0"/>
        <w:autoSpaceDN w:val="0"/>
        <w:adjustRightInd w:val="0"/>
        <w:spacing w:line="240" w:lineRule="auto"/>
        <w:contextualSpacing/>
        <w:rPr>
          <w:rFonts w:eastAsia="Times New Roman"/>
          <w:bCs/>
          <w:i/>
          <w:lang w:eastAsia="zh-CN"/>
        </w:rPr>
      </w:pPr>
      <w:r>
        <w:rPr>
          <w:rFonts w:eastAsia="Times New Roman"/>
          <w:bCs/>
          <w:lang w:eastAsia="zh-CN"/>
        </w:rPr>
        <w:t xml:space="preserve">[11] proposed to extend the payload size </w:t>
      </w:r>
      <w:r>
        <w:rPr>
          <w:rFonts w:eastAsia="Times New Roman"/>
          <w:bCs/>
          <w:i/>
          <w:lang w:eastAsia="zh-CN"/>
        </w:rPr>
        <w:t>“</w:t>
      </w:r>
      <w:r>
        <w:rPr>
          <w:bCs/>
          <w:i/>
        </w:rPr>
        <w:t>only if a clear use case requiring more than 14 virtual cell groups can be clarified</w:t>
      </w:r>
      <w:r>
        <w:rPr>
          <w:rFonts w:eastAsia="Times New Roman"/>
          <w:bCs/>
          <w:i/>
          <w:lang w:eastAsia="zh-CN"/>
        </w:rPr>
        <w:t>”</w:t>
      </w:r>
    </w:p>
    <w:p>
      <w:pPr>
        <w:pStyle w:val="116"/>
        <w:numPr>
          <w:ilvl w:val="0"/>
          <w:numId w:val="27"/>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[3], [12] suggested no extension is needed.</w:t>
      </w:r>
    </w:p>
    <w:p>
      <w:pPr>
        <w:spacing w:after="0"/>
        <w:rPr>
          <w:rFonts w:ascii="Times New Roman" w:hAnsi="Times New Roman" w:eastAsia="Times New Roman" w:cs="Times New Roman"/>
          <w:bCs/>
          <w:sz w:val="20"/>
          <w:lang w:eastAsia="zh-CN"/>
        </w:rPr>
      </w:pPr>
    </w:p>
    <w:p>
      <w:pPr>
        <w:pStyle w:val="3"/>
      </w:pPr>
      <w:r>
        <w:t xml:space="preserve">Issue #5. Default H/S/NA denomination for RB sets for which the Rel-17 H/S/NA configuration does not specify a value </w:t>
      </w:r>
    </w:p>
    <w:p>
      <w:pPr>
        <w:spacing w:after="0"/>
        <w:rPr>
          <w:rFonts w:ascii="Times New Roman" w:hAnsi="Times New Roman" w:eastAsia="Times New Roman" w:cs="Times New Roman"/>
          <w:bCs/>
          <w:sz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pStyle w:val="181"/>
              <w:rPr>
                <w:rFonts w:eastAsia="宋体"/>
                <w:b/>
                <w:sz w:val="20"/>
                <w:szCs w:val="20"/>
              </w:rPr>
            </w:pPr>
            <w:r>
              <w:rPr>
                <w:b/>
                <w:sz w:val="20"/>
                <w:szCs w:val="20"/>
              </w:rPr>
              <w:t>Conclusion (RAN1-108e)</w:t>
            </w:r>
          </w:p>
          <w:p>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if the configured RB sets of an IAB-DU HSNA resource configuration do not cover the entire carrier bandwidth until RAN1#109-e.</w:t>
            </w:r>
          </w:p>
        </w:tc>
      </w:tr>
    </w:tbl>
    <w:p>
      <w:pPr>
        <w:spacing w:after="0"/>
        <w:rPr>
          <w:rFonts w:ascii="Times New Roman" w:hAnsi="Times New Roman" w:eastAsia="Times New Roman" w:cs="Times New Roman"/>
          <w:bCs/>
          <w:sz w:val="20"/>
          <w:lang w:eastAsia="zh-CN"/>
        </w:rPr>
      </w:pPr>
    </w:p>
    <w:p>
      <w:pPr>
        <w:spacing w:after="0" w:line="240" w:lineRule="auto"/>
        <w:rPr>
          <w:rFonts w:ascii="Times New Roman" w:hAnsi="Times New Roman" w:eastAsia="Times New Roman" w:cs="Times New Roman"/>
          <w:b/>
          <w:szCs w:val="20"/>
          <w:u w:val="single"/>
          <w:lang w:eastAsia="zh-CN"/>
        </w:rPr>
      </w:pPr>
      <w:r>
        <w:rPr>
          <w:rFonts w:ascii="Times New Roman" w:hAnsi="Times New Roman" w:eastAsia="Times New Roman" w:cs="Times New Roman"/>
          <w:b/>
          <w:szCs w:val="20"/>
          <w:u w:val="single"/>
          <w:lang w:eastAsia="zh-CN"/>
        </w:rPr>
        <w:t xml:space="preserve">Summary of views: </w:t>
      </w:r>
    </w:p>
    <w:p>
      <w:pPr>
        <w:pStyle w:val="116"/>
        <w:numPr>
          <w:ilvl w:val="0"/>
          <w:numId w:val="28"/>
        </w:numPr>
        <w:overflowPunct w:val="0"/>
        <w:autoSpaceDE w:val="0"/>
        <w:autoSpaceDN w:val="0"/>
        <w:adjustRightInd w:val="0"/>
        <w:spacing w:line="240" w:lineRule="auto"/>
        <w:contextualSpacing/>
        <w:rPr>
          <w:rFonts w:ascii="Times New Roman" w:hAnsi="Times New Roman" w:eastAsia="Times New Roman" w:cs="Times New Roman"/>
          <w:bCs/>
          <w:szCs w:val="20"/>
          <w:lang w:eastAsia="zh-CN"/>
        </w:rPr>
      </w:pPr>
      <w:r>
        <w:rPr>
          <w:rFonts w:eastAsia="Times New Roman"/>
          <w:bCs/>
          <w:lang w:eastAsia="zh-CN"/>
        </w:rPr>
        <w:t xml:space="preserve">[2] proposed to treat theses RBs as NA </w:t>
      </w:r>
    </w:p>
    <w:p>
      <w:pPr>
        <w:pStyle w:val="116"/>
        <w:numPr>
          <w:ilvl w:val="0"/>
          <w:numId w:val="28"/>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[3], [8], [9], [12] proposed to adopt Rel-16 HSNA configuration for these RBs </w:t>
      </w:r>
    </w:p>
    <w:p>
      <w:pPr>
        <w:pStyle w:val="116"/>
        <w:numPr>
          <w:ilvl w:val="0"/>
          <w:numId w:val="28"/>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 xml:space="preserve">[10] and [12] also proposed that if these RBs do not overlap with IAB-MT’s active BWPs, treat them as Hard. </w:t>
      </w:r>
    </w:p>
    <w:p>
      <w:pPr>
        <w:spacing w:after="0"/>
        <w:rPr>
          <w:rFonts w:ascii="Times New Roman" w:hAnsi="Times New Roman" w:eastAsia="Times New Roman" w:cs="Times New Roman"/>
          <w:bCs/>
          <w:sz w:val="20"/>
          <w:lang w:eastAsia="zh-CN"/>
        </w:rPr>
      </w:pPr>
    </w:p>
    <w:p>
      <w:pPr>
        <w:pStyle w:val="3"/>
      </w:pPr>
      <w:r>
        <w:t>Issue #6. Handling of multiple DCI format 2_5 indications with overlapping durations</w:t>
      </w:r>
    </w:p>
    <w:p>
      <w:pPr>
        <w:spacing w:after="0"/>
        <w:rPr>
          <w:rFonts w:ascii="Times New Roman" w:hAnsi="Times New Roman" w:eastAsia="Times New Roman" w:cs="Times New Roman"/>
          <w:bCs/>
          <w:sz w:val="20"/>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pStyle w:val="181"/>
              <w:rPr>
                <w:rFonts w:eastAsia="宋体"/>
                <w:b/>
                <w:sz w:val="20"/>
                <w:szCs w:val="20"/>
              </w:rPr>
            </w:pPr>
            <w:r>
              <w:rPr>
                <w:b/>
                <w:sz w:val="20"/>
                <w:szCs w:val="20"/>
              </w:rPr>
              <w:t>Conclusion (RAN1-108e)</w:t>
            </w:r>
          </w:p>
          <w:p>
            <w:pPr>
              <w:spacing w:after="0" w:line="240" w:lineRule="auto"/>
              <w:rPr>
                <w:rFonts w:ascii="Times New Roman" w:hAnsi="Times New Roman" w:eastAsia="Times New Roman"/>
                <w:bCs/>
                <w:i/>
                <w:sz w:val="20"/>
                <w:szCs w:val="20"/>
                <w:lang w:eastAsia="zh-CN"/>
              </w:rPr>
            </w:pPr>
            <w:r>
              <w:rPr>
                <w:rFonts w:ascii="Times New Roman" w:hAnsi="Times New Roman"/>
                <w:i/>
                <w:sz w:val="20"/>
                <w:szCs w:val="20"/>
              </w:rPr>
              <w:t xml:space="preserve">Defer discussion (contribution driven) of potential issues/solutions for multiple DCI Format 2_5 indications with overlapping durations until RAN1#109-e. </w:t>
            </w:r>
          </w:p>
        </w:tc>
      </w:tr>
    </w:tbl>
    <w:p>
      <w:pPr>
        <w:spacing w:after="0"/>
        <w:rPr>
          <w:rFonts w:ascii="Times New Roman" w:hAnsi="Times New Roman" w:eastAsia="Times New Roman" w:cs="Times New Roman"/>
          <w:bCs/>
          <w:sz w:val="20"/>
          <w:lang w:eastAsia="zh-CN"/>
        </w:rPr>
      </w:pPr>
    </w:p>
    <w:p>
      <w:pPr>
        <w:spacing w:after="0" w:line="240" w:lineRule="auto"/>
        <w:rPr>
          <w:rFonts w:ascii="Times New Roman" w:hAnsi="Times New Roman" w:eastAsia="Times New Roman" w:cs="Times New Roman"/>
          <w:b/>
          <w:szCs w:val="20"/>
          <w:u w:val="single"/>
          <w:lang w:eastAsia="zh-CN"/>
        </w:rPr>
      </w:pPr>
      <w:r>
        <w:rPr>
          <w:rFonts w:ascii="Times New Roman" w:hAnsi="Times New Roman" w:eastAsia="Times New Roman" w:cs="Times New Roman"/>
          <w:b/>
          <w:szCs w:val="20"/>
          <w:u w:val="single"/>
          <w:lang w:eastAsia="zh-CN"/>
        </w:rPr>
        <w:t xml:space="preserve">Summary of views: </w:t>
      </w:r>
    </w:p>
    <w:p>
      <w:pPr>
        <w:pStyle w:val="116"/>
        <w:numPr>
          <w:ilvl w:val="0"/>
          <w:numId w:val="28"/>
        </w:numPr>
        <w:overflowPunct w:val="0"/>
        <w:autoSpaceDE w:val="0"/>
        <w:autoSpaceDN w:val="0"/>
        <w:adjustRightInd w:val="0"/>
        <w:spacing w:after="180" w:line="240" w:lineRule="auto"/>
        <w:contextualSpacing/>
        <w:rPr>
          <w:rFonts w:ascii="Times New Roman" w:hAnsi="Times New Roman" w:eastAsia="宋体" w:cs="Times New Roman"/>
          <w:szCs w:val="20"/>
          <w:lang w:eastAsia="zh-CN"/>
        </w:rPr>
      </w:pPr>
      <w:r>
        <w:rPr>
          <w:lang w:eastAsia="zh-CN"/>
        </w:rPr>
        <w:t>[3] proposed to reuse Rel-16 mechanism</w:t>
      </w:r>
    </w:p>
    <w:p>
      <w:pPr>
        <w:pStyle w:val="116"/>
        <w:numPr>
          <w:ilvl w:val="0"/>
          <w:numId w:val="28"/>
        </w:numPr>
        <w:overflowPunct w:val="0"/>
        <w:autoSpaceDE w:val="0"/>
        <w:autoSpaceDN w:val="0"/>
        <w:adjustRightInd w:val="0"/>
        <w:spacing w:after="180" w:line="240" w:lineRule="auto"/>
        <w:contextualSpacing/>
        <w:rPr>
          <w:lang w:eastAsia="zh-CN"/>
        </w:rPr>
      </w:pPr>
      <w:r>
        <w:rPr>
          <w:lang w:eastAsia="zh-CN"/>
        </w:rPr>
        <w:t xml:space="preserve">[11] proposed to clarify that there is no issue, with proper configuration. </w:t>
      </w:r>
    </w:p>
    <w:p>
      <w:pPr>
        <w:spacing w:after="0"/>
        <w:rPr>
          <w:rFonts w:ascii="Times New Roman" w:hAnsi="Times New Roman" w:eastAsia="Times New Roman" w:cs="Times New Roman"/>
          <w:bCs/>
          <w:sz w:val="20"/>
          <w:u w:val="single"/>
          <w:lang w:eastAsia="zh-CN"/>
        </w:rPr>
      </w:pPr>
    </w:p>
    <w:p>
      <w:pPr>
        <w:pStyle w:val="3"/>
      </w:pPr>
      <w:r>
        <w:t>Issue #7. Brackets in definition of H/S/NA for RB set</w:t>
      </w:r>
    </w:p>
    <w:p>
      <w:pPr>
        <w:rPr>
          <w:rFonts w:ascii="Times New Roman" w:hAnsi="Times New Roman" w:cs="Times New Roman"/>
          <w:sz w:val="20"/>
          <w:lang w:eastAsia="zh-CN"/>
        </w:rPr>
      </w:pPr>
      <w:r>
        <w:rPr>
          <w:rFonts w:ascii="Times New Roman" w:hAnsi="Times New Roman" w:cs="Times New Roman"/>
          <w:sz w:val="20"/>
          <w:lang w:eastAsia="zh-CN"/>
        </w:rPr>
        <w:t>RAN1#108-e achieved the following agreement, in which there are some clauses in the brackets that may need further discussions and clarifications.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sz w:val="20"/>
                <w:szCs w:val="20"/>
              </w:rPr>
            </w:pPr>
            <w:r>
              <w:rPr>
                <w:rFonts w:ascii="Times New Roman" w:hAnsi="Times New Roman"/>
                <w:b/>
                <w:sz w:val="20"/>
                <w:szCs w:val="20"/>
              </w:rPr>
              <w:t>Agreement (RAN1-108e)</w:t>
            </w:r>
          </w:p>
          <w:p>
            <w:pPr>
              <w:spacing w:after="0" w:line="240" w:lineRule="auto"/>
              <w:rPr>
                <w:rFonts w:ascii="Times New Roman" w:hAnsi="Times New Roman"/>
                <w:bCs/>
                <w:sz w:val="20"/>
                <w:szCs w:val="20"/>
              </w:rPr>
            </w:pPr>
            <w:r>
              <w:rPr>
                <w:rFonts w:ascii="Times New Roman" w:hAnsi="Times New Roman"/>
                <w:bCs/>
                <w:sz w:val="20"/>
                <w:szCs w:val="20"/>
              </w:rPr>
              <w:t>Adopt the following definition for H/S/NA configured in an RB set of a symbol:</w:t>
            </w:r>
          </w:p>
          <w:p>
            <w:pPr>
              <w:pStyle w:val="116"/>
              <w:numPr>
                <w:ilvl w:val="0"/>
                <w:numId w:val="29"/>
              </w:numPr>
              <w:overflowPunct w:val="0"/>
              <w:autoSpaceDE w:val="0"/>
              <w:autoSpaceDN w:val="0"/>
              <w:adjustRightInd w:val="0"/>
              <w:spacing w:after="180" w:line="240" w:lineRule="auto"/>
              <w:contextualSpacing/>
              <w:rPr>
                <w:rFonts w:ascii="Times New Roman" w:hAnsi="Times New Roman"/>
                <w:sz w:val="20"/>
                <w:szCs w:val="20"/>
              </w:rPr>
            </w:pPr>
            <w:r>
              <w:t xml:space="preserve">FDM Hard: When an RB set of a downlink, uplink, or flexible symbol is configured as hard, the IAB-DU cell can respectively transmit, receive, or either transmit or receive on the RB set in the symbol [provided it does not impact the IAB-MT’s ability to transmit and receive in any other RB set that is configured as </w:t>
            </w:r>
            <w:r>
              <w:rPr>
                <w:i/>
                <w:iCs/>
              </w:rPr>
              <w:t>Not Available</w:t>
            </w:r>
            <w:r>
              <w:t xml:space="preserve"> or configured as </w:t>
            </w:r>
            <w:r>
              <w:rPr>
                <w:i/>
                <w:iCs/>
              </w:rPr>
              <w:t>Soft</w:t>
            </w:r>
            <w:r>
              <w:t xml:space="preserve"> and not indicated available]. </w:t>
            </w:r>
          </w:p>
          <w:p>
            <w:pPr>
              <w:pStyle w:val="116"/>
              <w:numPr>
                <w:ilvl w:val="0"/>
                <w:numId w:val="29"/>
              </w:numPr>
              <w:overflowPunct w:val="0"/>
              <w:autoSpaceDE w:val="0"/>
              <w:autoSpaceDN w:val="0"/>
              <w:adjustRightInd w:val="0"/>
              <w:spacing w:after="180" w:line="240" w:lineRule="auto"/>
              <w:contextualSpacing/>
            </w:pPr>
            <w:r>
              <w:t>FDM Soft: When an RB set of a downlink, uplink, or flexible symbol is configured as soft, the IAB-DU cell can respectively transmit, receive or either transmit or receive on the RB set in the symbol only if</w:t>
            </w:r>
          </w:p>
          <w:p>
            <w:pPr>
              <w:pStyle w:val="116"/>
              <w:numPr>
                <w:ilvl w:val="1"/>
                <w:numId w:val="29"/>
              </w:numPr>
              <w:overflowPunct w:val="0"/>
              <w:autoSpaceDE w:val="0"/>
              <w:autoSpaceDN w:val="0"/>
              <w:adjustRightInd w:val="0"/>
              <w:spacing w:after="180" w:line="240" w:lineRule="auto"/>
              <w:contextualSpacing/>
            </w:pPr>
            <w:r>
              <w:t>the IAB-MT does not transmit or receive on the RB set during the symbol of the IAB-DU cell, or</w:t>
            </w:r>
          </w:p>
          <w:p>
            <w:pPr>
              <w:pStyle w:val="116"/>
              <w:numPr>
                <w:ilvl w:val="1"/>
                <w:numId w:val="29"/>
              </w:numPr>
              <w:overflowPunct w:val="0"/>
              <w:autoSpaceDE w:val="0"/>
              <w:autoSpaceDN w:val="0"/>
              <w:adjustRightInd w:val="0"/>
              <w:spacing w:after="180" w:line="240" w:lineRule="auto"/>
              <w:contextualSpacing/>
            </w:pPr>
            <w:r>
              <w:t xml:space="preserve">with respect to all serving cells, </w:t>
            </w:r>
          </w:p>
          <w:p>
            <w:pPr>
              <w:pStyle w:val="116"/>
              <w:numPr>
                <w:ilvl w:val="2"/>
                <w:numId w:val="29"/>
              </w:numPr>
              <w:overflowPunct w:val="0"/>
              <w:autoSpaceDE w:val="0"/>
              <w:autoSpaceDN w:val="0"/>
              <w:adjustRightInd w:val="0"/>
              <w:spacing w:after="180" w:line="240" w:lineRule="auto"/>
              <w:contextualSpacing/>
            </w:pPr>
            <w:r>
              <w:t xml:space="preserve">the IAB-MT would transmit or receive on the RB set during the symbol of the IAB-DU cell, and the transmission or reception on the RB set [or any </w:t>
            </w:r>
            <w:r>
              <w:rPr>
                <w:strike/>
              </w:rPr>
              <w:t>adjacent</w:t>
            </w:r>
            <w:r>
              <w:t xml:space="preserve"> RB set that is configured as Not Available or configured as Soft and not indicated available] during the symbol of the IAB-DU cell is not changed due to a use of the RB set in the symbol by the IAB-DU, or</w:t>
            </w:r>
          </w:p>
          <w:p>
            <w:pPr>
              <w:pStyle w:val="116"/>
              <w:numPr>
                <w:ilvl w:val="1"/>
                <w:numId w:val="29"/>
              </w:numPr>
              <w:overflowPunct w:val="0"/>
              <w:autoSpaceDE w:val="0"/>
              <w:autoSpaceDN w:val="0"/>
              <w:adjustRightInd w:val="0"/>
              <w:spacing w:after="180" w:line="240" w:lineRule="auto"/>
              <w:contextualSpacing/>
            </w:pPr>
            <w:r>
              <w:t xml:space="preserve">if the IAB-MT is not configured with SCG </w:t>
            </w:r>
          </w:p>
          <w:p>
            <w:pPr>
              <w:pStyle w:val="116"/>
              <w:numPr>
                <w:ilvl w:val="2"/>
                <w:numId w:val="29"/>
              </w:numPr>
              <w:overflowPunct w:val="0"/>
              <w:autoSpaceDE w:val="0"/>
              <w:autoSpaceDN w:val="0"/>
              <w:adjustRightInd w:val="0"/>
              <w:spacing w:after="180" w:line="240" w:lineRule="auto"/>
              <w:contextualSpacing/>
            </w:pPr>
            <w:r>
              <w:t xml:space="preserve">if the IAB-MT detects a DCI format 2_5 with an AI index field value indicating the soft RB set as available </w:t>
            </w:r>
          </w:p>
          <w:p>
            <w:pPr>
              <w:pStyle w:val="116"/>
              <w:numPr>
                <w:ilvl w:val="1"/>
                <w:numId w:val="29"/>
              </w:numPr>
              <w:overflowPunct w:val="0"/>
              <w:autoSpaceDE w:val="0"/>
              <w:autoSpaceDN w:val="0"/>
              <w:adjustRightInd w:val="0"/>
              <w:spacing w:after="180" w:line="240" w:lineRule="auto"/>
              <w:contextualSpacing/>
            </w:pPr>
            <w:r>
              <w:t>if the IAB-MT is configured with SCG</w:t>
            </w:r>
          </w:p>
          <w:p>
            <w:pPr>
              <w:pStyle w:val="116"/>
              <w:numPr>
                <w:ilvl w:val="2"/>
                <w:numId w:val="29"/>
              </w:numPr>
              <w:overflowPunct w:val="0"/>
              <w:autoSpaceDE w:val="0"/>
              <w:autoSpaceDN w:val="0"/>
              <w:adjustRightInd w:val="0"/>
              <w:spacing w:after="180" w:line="240" w:lineRule="auto"/>
              <w:contextualSpacing/>
            </w:pPr>
            <w:r>
              <w:t>the IAB-MT detects two DCI formats 2_5 with an AI index field value indicating the soft RB set as available from MCG and SCG respectively, or</w:t>
            </w:r>
          </w:p>
          <w:p>
            <w:pPr>
              <w:pStyle w:val="116"/>
              <w:numPr>
                <w:ilvl w:val="2"/>
                <w:numId w:val="29"/>
              </w:numPr>
              <w:overflowPunct w:val="0"/>
              <w:autoSpaceDE w:val="0"/>
              <w:autoSpaceDN w:val="0"/>
              <w:adjustRightInd w:val="0"/>
              <w:spacing w:after="180" w:line="240" w:lineRule="auto"/>
              <w:contextualSpacing/>
            </w:pPr>
            <w:r>
              <w:t xml:space="preserve">the IAB-MT detects a DCI format 2_5 with an AI index field value indicating the soft </w:t>
            </w:r>
            <w:r>
              <w:rPr>
                <w:strike/>
              </w:rPr>
              <w:t>symbol</w:t>
            </w:r>
            <w:r>
              <w:t xml:space="preserve"> RB set as available from one cell group (either MCG or SCG), and, with respect to all serving cells of the other cell group:</w:t>
            </w:r>
          </w:p>
          <w:p>
            <w:pPr>
              <w:pStyle w:val="116"/>
              <w:numPr>
                <w:ilvl w:val="3"/>
                <w:numId w:val="29"/>
              </w:numPr>
              <w:overflowPunct w:val="0"/>
              <w:autoSpaceDE w:val="0"/>
              <w:autoSpaceDN w:val="0"/>
              <w:adjustRightInd w:val="0"/>
              <w:spacing w:after="180" w:line="240" w:lineRule="auto"/>
              <w:contextualSpacing/>
            </w:pPr>
            <w:r>
              <w:t>the IAB-MT would transmit or receive on the RB set during the symbol of the IAB-DU cell, and the transmission or reception on the RB set during the symbol of the IAB-DU cell is not changed due to a use of the RB set in the symbol by the IAB-DU.</w:t>
            </w:r>
          </w:p>
          <w:p>
            <w:pPr>
              <w:pStyle w:val="116"/>
              <w:numPr>
                <w:ilvl w:val="0"/>
                <w:numId w:val="29"/>
              </w:numPr>
              <w:overflowPunct w:val="0"/>
              <w:autoSpaceDE w:val="0"/>
              <w:autoSpaceDN w:val="0"/>
              <w:adjustRightInd w:val="0"/>
              <w:spacing w:after="180" w:line="240" w:lineRule="auto"/>
              <w:contextualSpacing/>
            </w:pPr>
            <w:r>
              <w:rPr>
                <w:rFonts w:ascii="CG Times (WN)" w:hAnsi="CG Times (WN)"/>
              </w:rPr>
              <w:t>FDM NA: When an RB set of a downlink, uplink, or flexible symbol is configured as unavailable, the IAB-DU neither transmits nor receives at the RB set in the symbol.</w:t>
            </w:r>
          </w:p>
        </w:tc>
      </w:tr>
    </w:tbl>
    <w:p>
      <w:pPr>
        <w:rPr>
          <w:rFonts w:ascii="Times New Roman" w:hAnsi="Times New Roman" w:cs="Times New Roman"/>
          <w:sz w:val="20"/>
          <w:highlight w:val="yellow"/>
          <w:lang w:eastAsia="zh-CN"/>
        </w:rPr>
      </w:pPr>
    </w:p>
    <w:p>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after="180" w:line="240" w:lineRule="auto"/>
              <w:rPr>
                <w:rFonts w:ascii="Times New Roman" w:hAnsi="Times New Roman" w:cs="Times New Roman"/>
                <w:sz w:val="20"/>
                <w:szCs w:val="20"/>
                <w:lang w:val="en-GB"/>
              </w:rPr>
            </w:pPr>
            <w:r>
              <w:rPr>
                <w:rFonts w:ascii="Times New Roman" w:hAnsi="Times New Roman"/>
                <w:sz w:val="20"/>
                <w:szCs w:val="20"/>
                <w:lang w:val="en-GB"/>
              </w:rPr>
              <w:t>When an RB set of a downlink, uplink, or flexible symbol is configured as hard, the IAB-DU cell can respectively transmit, receive, or either transmit or receive on the RB set in the symbol.</w:t>
            </w:r>
          </w:p>
          <w:p>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soft, the IAB-DU cell can respectively transmit, receive or either transmit or receive on the RB set in the symbol only if</w:t>
            </w:r>
          </w:p>
          <w:p>
            <w:pPr>
              <w:spacing w:after="180" w:line="240" w:lineRule="auto"/>
              <w:ind w:firstLine="284"/>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r>
            <w:r>
              <w:rPr>
                <w:rFonts w:ascii="Times New Roman" w:hAnsi="Times New Roman"/>
                <w:sz w:val="20"/>
                <w:szCs w:val="20"/>
                <w:lang w:val="en-GB"/>
              </w:rPr>
              <w:t>the IAB-MT does not transmit or receive on the RB set during the symbol of the IAB-DU cell, or</w:t>
            </w:r>
          </w:p>
          <w:p>
            <w:pPr>
              <w:spacing w:after="180" w:line="240" w:lineRule="auto"/>
              <w:ind w:left="568" w:hanging="284"/>
              <w:rPr>
                <w:rFonts w:ascii="Times New Roman" w:hAnsi="Times New Roman"/>
                <w:sz w:val="20"/>
                <w:szCs w:val="20"/>
                <w:lang w:val="en-GB"/>
              </w:rPr>
            </w:pP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 xml:space="preserve">with respect to all serving cells, </w:t>
            </w:r>
            <w:r>
              <w:rPr>
                <w:rFonts w:ascii="Times New Roman" w:hAnsi="Times New Roman"/>
                <w:sz w:val="20"/>
                <w:szCs w:val="20"/>
                <w:lang w:val="en-GB"/>
              </w:rPr>
              <w:t>the IAB-MT would transmit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 or</w:t>
            </w:r>
          </w:p>
          <w:p>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r>
            <w:r>
              <w:rPr>
                <w:rFonts w:ascii="Times New Roman" w:hAnsi="Times New Roman"/>
                <w:sz w:val="20"/>
                <w:szCs w:val="20"/>
                <w:lang w:val="en-GB"/>
              </w:rPr>
              <w:t>the IAB-MT detects a DCI format 2_5 with an AI index field value indicating the soft RB set as available if the IAB-MT is not configured with an SCG, or</w:t>
            </w:r>
          </w:p>
          <w:p>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r>
            <w:r>
              <w:rPr>
                <w:rFonts w:ascii="Times New Roman" w:hAnsi="Times New Roman"/>
                <w:sz w:val="20"/>
                <w:szCs w:val="20"/>
                <w:lang w:val="en-GB"/>
              </w:rPr>
              <w:t>the IAB-MT detects two DCI formats 2_5 with an AI index field value indicating the soft RB set as available from the MCG and SCG, respectively, or</w:t>
            </w:r>
          </w:p>
          <w:p>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r>
            <w:r>
              <w:rPr>
                <w:rFonts w:ascii="Times New Roman" w:hAnsi="Times New Roman"/>
                <w:sz w:val="20"/>
                <w:szCs w:val="20"/>
                <w:lang w:val="en-GB"/>
              </w:rPr>
              <w:t>the IAB-MT detects a DCI format 2_5 with an AI index field value indicating the soft RB set as available from one cell group and with respect to all serving cells of the other cell group, the IAB-MT would transmit or receive on the RB set during the symbol of the IAB-DU cell, and the transmission or reception on the RB set during the symbol of the IAB-DU cell does not change due to a use of the RB set in the symbol by the IAB-DU.</w:t>
            </w:r>
          </w:p>
          <w:p>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unavailable, the IAB-DU neither transmits nor receives in the RB set in the symbol.</w:t>
            </w:r>
          </w:p>
        </w:tc>
      </w:tr>
    </w:tbl>
    <w:p>
      <w:pPr>
        <w:rPr>
          <w:rFonts w:ascii="Times New Roman" w:hAnsi="Times New Roman" w:cs="Times New Roman"/>
          <w:sz w:val="20"/>
          <w:lang w:eastAsia="zh-CN"/>
        </w:rPr>
      </w:pPr>
    </w:p>
    <w:p>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pPr>
        <w:pStyle w:val="116"/>
        <w:numPr>
          <w:ilvl w:val="0"/>
          <w:numId w:val="28"/>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Regarding FDM Hard:</w:t>
      </w:r>
    </w:p>
    <w:p>
      <w:pPr>
        <w:pStyle w:val="116"/>
        <w:numPr>
          <w:ilvl w:val="1"/>
          <w:numId w:val="28"/>
        </w:numPr>
        <w:overflowPunct w:val="0"/>
        <w:autoSpaceDE w:val="0"/>
        <w:autoSpaceDN w:val="0"/>
        <w:adjustRightInd w:val="0"/>
        <w:spacing w:after="180" w:line="240" w:lineRule="auto"/>
        <w:contextualSpacing/>
        <w:rPr>
          <w:lang w:eastAsia="zh-CN"/>
        </w:rPr>
      </w:pPr>
      <w:r>
        <w:rPr>
          <w:lang w:eastAsia="zh-CN"/>
        </w:rPr>
        <w:t xml:space="preserve">Remove </w:t>
      </w:r>
      <w:r>
        <w:rPr>
          <w:i/>
          <w:iCs/>
        </w:rPr>
        <w:t>“[provided it does not impact the IAB-MT’s ability to transmit and receive in any other RB set that is configured as Not Available or configured as Soft and not indicated available]”</w:t>
      </w:r>
    </w:p>
    <w:p>
      <w:pPr>
        <w:pStyle w:val="116"/>
        <w:numPr>
          <w:ilvl w:val="2"/>
          <w:numId w:val="28"/>
        </w:numPr>
        <w:overflowPunct w:val="0"/>
        <w:autoSpaceDE w:val="0"/>
        <w:autoSpaceDN w:val="0"/>
        <w:adjustRightInd w:val="0"/>
        <w:spacing w:after="180" w:line="240" w:lineRule="auto"/>
        <w:contextualSpacing/>
        <w:rPr>
          <w:lang w:eastAsia="zh-CN"/>
        </w:rPr>
      </w:pPr>
      <w:r>
        <w:rPr>
          <w:iCs/>
        </w:rPr>
        <w:t>Supported by [6], [7], [13]</w:t>
      </w:r>
    </w:p>
    <w:p>
      <w:pPr>
        <w:pStyle w:val="116"/>
        <w:numPr>
          <w:ilvl w:val="1"/>
          <w:numId w:val="28"/>
        </w:numPr>
        <w:overflowPunct w:val="0"/>
        <w:autoSpaceDE w:val="0"/>
        <w:autoSpaceDN w:val="0"/>
        <w:adjustRightInd w:val="0"/>
        <w:spacing w:after="180" w:line="240" w:lineRule="auto"/>
        <w:contextualSpacing/>
        <w:rPr>
          <w:lang w:eastAsia="zh-CN"/>
        </w:rPr>
      </w:pPr>
      <w:r>
        <w:rPr>
          <w:iCs/>
        </w:rPr>
        <w:t xml:space="preserve">Include </w:t>
      </w:r>
      <w:r>
        <w:rPr>
          <w:i/>
          <w:iCs/>
        </w:rPr>
        <w:t>“provided it does not impact the IAB-MT’s ability to transmit and receive in any other RB set that is configured as Not Available or configured as Soft and not indicated available”</w:t>
      </w:r>
    </w:p>
    <w:p>
      <w:pPr>
        <w:pStyle w:val="116"/>
        <w:numPr>
          <w:ilvl w:val="2"/>
          <w:numId w:val="28"/>
        </w:numPr>
        <w:overflowPunct w:val="0"/>
        <w:autoSpaceDE w:val="0"/>
        <w:autoSpaceDN w:val="0"/>
        <w:adjustRightInd w:val="0"/>
        <w:spacing w:after="180" w:line="240" w:lineRule="auto"/>
        <w:contextualSpacing/>
        <w:rPr>
          <w:lang w:eastAsia="zh-CN"/>
        </w:rPr>
      </w:pPr>
      <w:r>
        <w:rPr>
          <w:iCs/>
        </w:rPr>
        <w:t>Supported by [10]</w:t>
      </w:r>
    </w:p>
    <w:p>
      <w:pPr>
        <w:pStyle w:val="116"/>
        <w:numPr>
          <w:ilvl w:val="0"/>
          <w:numId w:val="28"/>
        </w:numPr>
        <w:overflowPunct w:val="0"/>
        <w:autoSpaceDE w:val="0"/>
        <w:autoSpaceDN w:val="0"/>
        <w:adjustRightInd w:val="0"/>
        <w:spacing w:after="180" w:line="240" w:lineRule="auto"/>
        <w:contextualSpacing/>
        <w:rPr>
          <w:lang w:eastAsia="zh-CN"/>
        </w:rPr>
      </w:pPr>
      <w:r>
        <w:rPr>
          <w:iCs/>
        </w:rPr>
        <w:t xml:space="preserve">Regarding FDM Soft: </w:t>
      </w:r>
    </w:p>
    <w:p>
      <w:pPr>
        <w:pStyle w:val="116"/>
        <w:numPr>
          <w:ilvl w:val="1"/>
          <w:numId w:val="28"/>
        </w:numPr>
        <w:overflowPunct w:val="0"/>
        <w:autoSpaceDE w:val="0"/>
        <w:autoSpaceDN w:val="0"/>
        <w:adjustRightInd w:val="0"/>
        <w:spacing w:after="180" w:line="240" w:lineRule="auto"/>
        <w:contextualSpacing/>
        <w:rPr>
          <w:lang w:eastAsia="zh-CN"/>
        </w:rPr>
      </w:pPr>
      <w:r>
        <w:rPr>
          <w:iCs/>
        </w:rPr>
        <w:t xml:space="preserve">Include </w:t>
      </w:r>
      <w:r>
        <w:rPr>
          <w:i/>
          <w:iCs/>
        </w:rPr>
        <w:t>“</w:t>
      </w:r>
      <w:r>
        <w:rPr>
          <w:i/>
        </w:rPr>
        <w:t>or any RB set that is configured as Not Available or configured as Soft and not indicated available</w:t>
      </w:r>
      <w:r>
        <w:rPr>
          <w:i/>
          <w:iCs/>
        </w:rPr>
        <w:t>”</w:t>
      </w:r>
    </w:p>
    <w:p>
      <w:pPr>
        <w:pStyle w:val="116"/>
        <w:numPr>
          <w:ilvl w:val="2"/>
          <w:numId w:val="28"/>
        </w:numPr>
        <w:overflowPunct w:val="0"/>
        <w:autoSpaceDE w:val="0"/>
        <w:autoSpaceDN w:val="0"/>
        <w:adjustRightInd w:val="0"/>
        <w:spacing w:after="180" w:line="240" w:lineRule="auto"/>
        <w:contextualSpacing/>
        <w:rPr>
          <w:lang w:eastAsia="zh-CN"/>
        </w:rPr>
      </w:pPr>
      <w:r>
        <w:rPr>
          <w:iCs/>
        </w:rPr>
        <w:t>Supported by [6], [7], [13]</w:t>
      </w:r>
    </w:p>
    <w:p>
      <w:pPr>
        <w:pStyle w:val="116"/>
        <w:numPr>
          <w:ilvl w:val="0"/>
          <w:numId w:val="28"/>
        </w:numPr>
        <w:overflowPunct w:val="0"/>
        <w:autoSpaceDE w:val="0"/>
        <w:autoSpaceDN w:val="0"/>
        <w:adjustRightInd w:val="0"/>
        <w:spacing w:after="180" w:line="240" w:lineRule="auto"/>
        <w:contextualSpacing/>
        <w:rPr>
          <w:lang w:eastAsia="zh-CN"/>
        </w:rPr>
      </w:pPr>
      <w:r>
        <w:rPr>
          <w:lang w:eastAsia="zh-CN"/>
        </w:rPr>
        <w:t>[7], [10], and [13] provided related TPs.</w:t>
      </w:r>
    </w:p>
    <w:p>
      <w:pPr>
        <w:rPr>
          <w:rFonts w:ascii="Times New Roman" w:hAnsi="Times New Roman" w:cs="Times New Roman"/>
          <w:sz w:val="20"/>
          <w:lang w:eastAsia="zh-CN"/>
        </w:rPr>
      </w:pPr>
    </w:p>
    <w:p>
      <w:pPr>
        <w:pStyle w:val="3"/>
      </w:pPr>
      <w:r>
        <w:t>Issue #8.  DCI format 2_5 for FDM and TDM</w:t>
      </w:r>
    </w:p>
    <w:p>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pPr>
        <w:pStyle w:val="116"/>
        <w:numPr>
          <w:ilvl w:val="0"/>
          <w:numId w:val="28"/>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Regarding FDM Hard:</w:t>
      </w:r>
    </w:p>
    <w:p>
      <w:pPr>
        <w:pStyle w:val="116"/>
        <w:numPr>
          <w:ilvl w:val="1"/>
          <w:numId w:val="28"/>
        </w:numPr>
        <w:overflowPunct w:val="0"/>
        <w:autoSpaceDE w:val="0"/>
        <w:autoSpaceDN w:val="0"/>
        <w:adjustRightInd w:val="0"/>
        <w:spacing w:after="180" w:line="240" w:lineRule="auto"/>
        <w:contextualSpacing/>
        <w:rPr>
          <w:lang w:eastAsia="zh-CN"/>
        </w:rPr>
      </w:pPr>
      <w:r>
        <w:rPr>
          <w:lang w:eastAsia="zh-CN"/>
        </w:rPr>
        <w:t xml:space="preserve">[3] has a TP to capture </w:t>
      </w:r>
      <w:r>
        <w:rPr>
          <w:i/>
          <w:lang w:eastAsia="zh-CN"/>
        </w:rPr>
        <w:t>“</w:t>
      </w:r>
      <w:r>
        <w:rPr>
          <w:i/>
          <w:sz w:val="21"/>
          <w:szCs w:val="21"/>
        </w:rPr>
        <w:t xml:space="preserve">one </w:t>
      </w:r>
      <w:r>
        <w:rPr>
          <w:i/>
          <w:iCs/>
        </w:rPr>
        <w:t xml:space="preserve">resourceAvailability </w:t>
      </w:r>
      <w:r>
        <w:rPr>
          <w:i/>
          <w:sz w:val="21"/>
          <w:szCs w:val="21"/>
        </w:rPr>
        <w:t>indicating availability of soft resource of the all RB sets in one or more slots for the IAB-DU cell</w:t>
      </w:r>
      <w:r>
        <w:rPr>
          <w:i/>
          <w:lang w:eastAsia="zh-CN"/>
        </w:rPr>
        <w:t>”</w:t>
      </w:r>
    </w:p>
    <w:p>
      <w:pPr>
        <w:pStyle w:val="116"/>
        <w:numPr>
          <w:ilvl w:val="0"/>
          <w:numId w:val="28"/>
        </w:numPr>
        <w:overflowPunct w:val="0"/>
        <w:autoSpaceDE w:val="0"/>
        <w:autoSpaceDN w:val="0"/>
        <w:adjustRightInd w:val="0"/>
        <w:spacing w:after="180" w:line="240" w:lineRule="auto"/>
        <w:contextualSpacing/>
        <w:rPr>
          <w:lang w:eastAsia="zh-CN"/>
        </w:rPr>
      </w:pPr>
      <w:r>
        <w:rPr>
          <w:i/>
          <w:iCs/>
        </w:rPr>
        <w:t xml:space="preserve">availabilityCombinations </w:t>
      </w:r>
      <w:r>
        <w:rPr>
          <w:iCs/>
        </w:rPr>
        <w:t>tables for TDM and FDM</w:t>
      </w:r>
    </w:p>
    <w:p>
      <w:pPr>
        <w:pStyle w:val="116"/>
        <w:numPr>
          <w:ilvl w:val="1"/>
          <w:numId w:val="28"/>
        </w:numPr>
        <w:overflowPunct w:val="0"/>
        <w:autoSpaceDE w:val="0"/>
        <w:autoSpaceDN w:val="0"/>
        <w:adjustRightInd w:val="0"/>
        <w:spacing w:after="180" w:line="240" w:lineRule="auto"/>
        <w:contextualSpacing/>
        <w:rPr>
          <w:lang w:eastAsia="zh-CN"/>
        </w:rPr>
      </w:pPr>
      <w:r>
        <w:rPr>
          <w:iCs/>
        </w:rPr>
        <w:t>Configure two separate tables.</w:t>
      </w:r>
    </w:p>
    <w:p>
      <w:pPr>
        <w:pStyle w:val="116"/>
        <w:numPr>
          <w:ilvl w:val="2"/>
          <w:numId w:val="28"/>
        </w:numPr>
        <w:overflowPunct w:val="0"/>
        <w:autoSpaceDE w:val="0"/>
        <w:autoSpaceDN w:val="0"/>
        <w:adjustRightInd w:val="0"/>
        <w:spacing w:after="180" w:line="240" w:lineRule="auto"/>
        <w:contextualSpacing/>
        <w:rPr>
          <w:lang w:eastAsia="zh-CN"/>
        </w:rPr>
      </w:pPr>
      <w:r>
        <w:rPr>
          <w:iCs/>
        </w:rPr>
        <w:t>Supported by [6], [9], (and possibly [10])</w:t>
      </w:r>
    </w:p>
    <w:p>
      <w:pPr>
        <w:pStyle w:val="116"/>
        <w:numPr>
          <w:ilvl w:val="2"/>
          <w:numId w:val="28"/>
        </w:numPr>
        <w:overflowPunct w:val="0"/>
        <w:autoSpaceDE w:val="0"/>
        <w:autoSpaceDN w:val="0"/>
        <w:adjustRightInd w:val="0"/>
        <w:spacing w:after="180" w:line="240" w:lineRule="auto"/>
        <w:contextualSpacing/>
        <w:rPr>
          <w:lang w:eastAsia="zh-CN"/>
        </w:rPr>
      </w:pPr>
      <w:r>
        <w:rPr>
          <w:lang w:eastAsia="zh-CN"/>
        </w:rPr>
        <w:t>How to determine which table to use?</w:t>
      </w:r>
    </w:p>
    <w:p>
      <w:pPr>
        <w:pStyle w:val="116"/>
        <w:numPr>
          <w:ilvl w:val="3"/>
          <w:numId w:val="28"/>
        </w:numPr>
        <w:overflowPunct w:val="0"/>
        <w:autoSpaceDE w:val="0"/>
        <w:autoSpaceDN w:val="0"/>
        <w:adjustRightInd w:val="0"/>
        <w:spacing w:after="180" w:line="240" w:lineRule="auto"/>
        <w:contextualSpacing/>
        <w:rPr>
          <w:lang w:eastAsia="zh-CN"/>
        </w:rPr>
      </w:pPr>
      <w:r>
        <w:rPr>
          <w:iCs/>
        </w:rPr>
        <w:t xml:space="preserve">[6] (and possibly [10]) </w:t>
      </w:r>
      <w:r>
        <w:rPr>
          <w:i/>
          <w:iCs/>
        </w:rPr>
        <w:t>“based on whether the IAB-node is currently operating TDM multiplexing mode or non-TDM multiplexing mode in the slot”</w:t>
      </w:r>
    </w:p>
    <w:p>
      <w:pPr>
        <w:pStyle w:val="116"/>
        <w:numPr>
          <w:ilvl w:val="3"/>
          <w:numId w:val="28"/>
        </w:numPr>
        <w:overflowPunct w:val="0"/>
        <w:autoSpaceDE w:val="0"/>
        <w:autoSpaceDN w:val="0"/>
        <w:adjustRightInd w:val="0"/>
        <w:spacing w:after="180" w:line="240" w:lineRule="auto"/>
        <w:contextualSpacing/>
        <w:rPr>
          <w:lang w:eastAsia="zh-CN"/>
        </w:rPr>
      </w:pPr>
      <w:r>
        <w:rPr>
          <w:iCs/>
        </w:rPr>
        <w:t>[9] via AI index field</w:t>
      </w:r>
    </w:p>
    <w:p>
      <w:pPr>
        <w:rPr>
          <w:lang w:eastAsia="zh-CN"/>
        </w:rPr>
      </w:pPr>
    </w:p>
    <w:p>
      <w:pPr>
        <w:rPr>
          <w:lang w:eastAsia="zh-CN"/>
        </w:rPr>
      </w:pPr>
    </w:p>
    <w:p>
      <w:pPr>
        <w:pStyle w:val="3"/>
      </w:pPr>
      <w:r>
        <w:t>Issue #9. Extension of exception for cell-specific/semi-static signals to soft or not available RB sets</w:t>
      </w:r>
    </w:p>
    <w:p>
      <w:pPr>
        <w:rPr>
          <w:rFonts w:ascii="Times New Roman" w:hAnsi="Times New Roman" w:cs="Times New Roman"/>
          <w:sz w:val="20"/>
          <w:lang w:eastAsia="zh-CN"/>
        </w:rPr>
      </w:pPr>
      <w:r>
        <w:rPr>
          <w:rFonts w:ascii="Times New Roman" w:hAnsi="Times New Roman" w:cs="Times New Roman"/>
          <w:sz w:val="20"/>
          <w:lang w:eastAsia="zh-CN"/>
        </w:rPr>
        <w:t>RAN1#104-e agreed to the following.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after="0" w:line="240" w:lineRule="auto"/>
              <w:rPr>
                <w:rStyle w:val="49"/>
                <w:b w:val="0"/>
                <w:color w:val="000000"/>
                <w:szCs w:val="20"/>
                <w:lang w:eastAsia="ko-KR"/>
              </w:rPr>
            </w:pPr>
            <w:r>
              <w:rPr>
                <w:rFonts w:ascii="Times New Roman" w:hAnsi="Times New Roman"/>
                <w:b/>
                <w:sz w:val="20"/>
                <w:szCs w:val="20"/>
                <w:lang w:eastAsia="zh-CN"/>
              </w:rPr>
              <w:t>Agreement (RAN1-104e)</w:t>
            </w:r>
          </w:p>
          <w:p>
            <w:pPr>
              <w:spacing w:after="0" w:line="240" w:lineRule="auto"/>
              <w:rPr>
                <w:rFonts w:ascii="Times New Roman" w:hAnsi="Times New Roman" w:cs="Times New Roman"/>
                <w:lang w:eastAsia="zh-CN"/>
              </w:rPr>
            </w:pPr>
            <w:r>
              <w:rPr>
                <w:rFonts w:ascii="Times New Roman" w:hAnsi="Times New Roman"/>
                <w:sz w:val="20"/>
                <w:szCs w:val="20"/>
                <w:lang w:eastAsia="zh-CN"/>
              </w:rPr>
              <w:t>Regardless of simultaneous operation, the same cell-specific/semi-static signals and channels of the IAB-DU considered as hard time/frequency resources in Rel-16 are also considered as hard time/frequency resources in Rel-17.</w:t>
            </w:r>
          </w:p>
          <w:p>
            <w:pPr>
              <w:spacing w:after="0" w:line="240" w:lineRule="auto"/>
              <w:rPr>
                <w:rFonts w:ascii="Times New Roman" w:hAnsi="Times New Roman"/>
                <w:sz w:val="20"/>
                <w:szCs w:val="20"/>
                <w:lang w:eastAsia="zh-CN"/>
              </w:rPr>
            </w:pPr>
            <w:r>
              <w:rPr>
                <w:rFonts w:ascii="Times New Roman" w:hAnsi="Times New Roman"/>
                <w:sz w:val="20"/>
                <w:szCs w:val="20"/>
                <w:lang w:eastAsia="zh-CN"/>
              </w:rPr>
              <w:t>FFS: IAB-MT behavior in case of conflicts between cell-specific signals/channels and other resource configurations of the IAB-MT (e.g., dedicated slot configurations)</w:t>
            </w:r>
          </w:p>
        </w:tc>
      </w:tr>
    </w:tbl>
    <w:p>
      <w:pPr>
        <w:spacing w:after="0"/>
        <w:rPr>
          <w:rFonts w:ascii="Times New Roman" w:hAnsi="Times New Roman" w:eastAsia="Times New Roman" w:cs="Times New Roman"/>
          <w:bCs/>
          <w:sz w:val="20"/>
          <w:lang w:eastAsia="zh-CN"/>
        </w:rPr>
      </w:pPr>
    </w:p>
    <w:p>
      <w:pPr>
        <w:spacing w:after="0"/>
        <w:rPr>
          <w:rFonts w:ascii="Times New Roman" w:hAnsi="Times New Roman" w:eastAsia="Times New Roman" w:cs="Times New Roman"/>
          <w:bCs/>
          <w:sz w:val="20"/>
          <w:lang w:eastAsia="zh-CN"/>
        </w:rPr>
      </w:pPr>
      <w:r>
        <w:rPr>
          <w:rFonts w:ascii="Times New Roman" w:hAnsi="Times New Roman" w:eastAsia="Times New Roman" w:cs="Times New Roman"/>
          <w:bCs/>
          <w:sz w:val="20"/>
          <w:lang w:eastAsia="zh-CN"/>
        </w:rPr>
        <w:t>38.213 has the following clause (from Rel-16)</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Cs/>
                <w:sz w:val="20"/>
                <w:szCs w:val="20"/>
                <w:lang w:eastAsia="zh-CN"/>
              </w:rPr>
            </w:pPr>
            <w:r>
              <w:rPr>
                <w:rFonts w:ascii="Times New Roman" w:hAnsi="Times New Roman" w:eastAsia="Times New Roman"/>
                <w:bCs/>
                <w:sz w:val="20"/>
                <w:szCs w:val="20"/>
                <w:lang w:eastAsia="zh-CN"/>
              </w:rPr>
              <w:t>A symbol of a slot is equivalent to being configured as hard if an IAB-DU would transmit a SS/PBCH block, PDCCH for Type0-PDCCH CSS sets configured by</w:t>
            </w:r>
            <w:r>
              <w:rPr>
                <w:rFonts w:ascii="Times New Roman" w:hAnsi="Times New Roman" w:eastAsia="Times New Roman"/>
                <w:bCs/>
                <w:i/>
                <w:iCs/>
                <w:sz w:val="20"/>
                <w:szCs w:val="20"/>
                <w:lang w:eastAsia="zh-CN"/>
              </w:rPr>
              <w:t xml:space="preserve"> pdcchConfigSIB1</w:t>
            </w:r>
            <w:r>
              <w:rPr>
                <w:rFonts w:ascii="Times New Roman" w:hAnsi="Times New Roman" w:eastAsia="Times New Roman"/>
                <w:bCs/>
                <w:iCs/>
                <w:sz w:val="20"/>
                <w:szCs w:val="20"/>
                <w:lang w:eastAsia="zh-CN"/>
              </w:rPr>
              <w:t>,</w:t>
            </w:r>
            <w:r>
              <w:rPr>
                <w:rFonts w:ascii="Times New Roman" w:hAnsi="Times New Roman" w:eastAsia="Times New Roman"/>
                <w:bCs/>
                <w:sz w:val="20"/>
                <w:szCs w:val="20"/>
                <w:lang w:eastAsia="zh-CN"/>
              </w:rPr>
              <w:t xml:space="preserve"> or a periodic CSI-RS in the symbol of the slot, or would receive a PRACH or a SR in the symbol of the slot.</w:t>
            </w:r>
          </w:p>
        </w:tc>
      </w:tr>
    </w:tbl>
    <w:p>
      <w:pPr>
        <w:rPr>
          <w:rFonts w:ascii="Times New Roman" w:hAnsi="Times New Roman" w:cs="Times New Roman"/>
          <w:sz w:val="20"/>
          <w:lang w:eastAsia="zh-CN"/>
        </w:rPr>
      </w:pPr>
    </w:p>
    <w:p>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pPr>
        <w:pStyle w:val="116"/>
        <w:numPr>
          <w:ilvl w:val="0"/>
          <w:numId w:val="28"/>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 xml:space="preserve">[7], [9] and [13] have TPs to extend the above 38.213 clause to the RB sets. </w:t>
      </w:r>
    </w:p>
    <w:p>
      <w:pPr>
        <w:pStyle w:val="3"/>
      </w:pPr>
      <w:r>
        <w:t>Issue #10. Update to determination of availability in DC scenario</w:t>
      </w:r>
    </w:p>
    <w:p>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Borders>
              <w:top w:val="single" w:color="auto" w:sz="4" w:space="0"/>
              <w:left w:val="single" w:color="auto" w:sz="4" w:space="0"/>
              <w:bottom w:val="single" w:color="auto" w:sz="4" w:space="0"/>
              <w:right w:val="single" w:color="auto" w:sz="4" w:space="0"/>
            </w:tcBorders>
          </w:tcPr>
          <w:p>
            <w:pPr>
              <w:spacing w:after="180" w:line="240" w:lineRule="auto"/>
              <w:rPr>
                <w:rFonts w:ascii="Times New Roman" w:hAnsi="Times New Roman" w:cs="Times New Roman"/>
                <w:iCs/>
                <w:sz w:val="20"/>
                <w:szCs w:val="20"/>
                <w:lang w:val="en-GB"/>
              </w:rPr>
            </w:pPr>
            <w:r>
              <w:rPr>
                <w:rFonts w:ascii="Times New Roman" w:hAnsi="Times New Roman"/>
                <w:sz w:val="20"/>
                <w:szCs w:val="20"/>
                <w:lang w:val="en-GB"/>
              </w:rPr>
              <w:t>When a downlink, uplink, or flexible symbol is configured as soft, the IAB-DU cell can respectively transmit, receive or either transmit or receive in the symbol only if</w:t>
            </w:r>
          </w:p>
          <w:p>
            <w:pPr>
              <w:spacing w:after="180" w:line="240" w:lineRule="auto"/>
              <w:ind w:left="568" w:hanging="284"/>
              <w:rPr>
                <w:rFonts w:ascii="Times New Roman" w:hAnsi="Times New Roman" w:eastAsia="Calibri"/>
                <w:sz w:val="20"/>
                <w:szCs w:val="20"/>
                <w:lang w:val="zh-CN"/>
              </w:rPr>
            </w:pPr>
            <w:r>
              <w:rPr>
                <w:rFonts w:ascii="Times New Roman" w:hAnsi="Times New Roman" w:eastAsia="Calibri"/>
                <w:sz w:val="20"/>
                <w:szCs w:val="20"/>
                <w:lang w:val="zh-CN"/>
              </w:rPr>
              <w:t>-</w:t>
            </w:r>
            <w:r>
              <w:rPr>
                <w:rFonts w:ascii="Times New Roman" w:hAnsi="Times New Roman" w:eastAsia="Calibri"/>
                <w:sz w:val="20"/>
                <w:szCs w:val="20"/>
                <w:lang w:val="zh-CN"/>
              </w:rPr>
              <w:tab/>
            </w:r>
            <w:r>
              <w:rPr>
                <w:rFonts w:ascii="Times New Roman" w:hAnsi="Times New Roman" w:eastAsia="Calibri"/>
                <w:sz w:val="20"/>
                <w:szCs w:val="20"/>
                <w:lang w:val="zh-CN"/>
              </w:rPr>
              <w:t xml:space="preserve">the IAB-MT does not transmit or receive </w:t>
            </w:r>
            <w:r>
              <w:rPr>
                <w:rFonts w:ascii="Times New Roman" w:hAnsi="Times New Roman" w:eastAsia="Calibri"/>
                <w:sz w:val="20"/>
                <w:szCs w:val="20"/>
              </w:rPr>
              <w:t>during</w:t>
            </w:r>
            <w:r>
              <w:rPr>
                <w:rFonts w:ascii="Times New Roman" w:hAnsi="Times New Roman" w:eastAsia="Calibri"/>
                <w:sz w:val="20"/>
                <w:szCs w:val="20"/>
                <w:lang w:val="zh-CN"/>
              </w:rPr>
              <w:t xml:space="preserve"> the symbol of the IAB-DU cell, or</w:t>
            </w:r>
          </w:p>
          <w:p>
            <w:pPr>
              <w:spacing w:after="180" w:line="240" w:lineRule="auto"/>
              <w:ind w:left="568" w:hanging="284"/>
              <w:rPr>
                <w:rFonts w:ascii="Times New Roman" w:hAnsi="Times New Roman" w:eastAsia="Calibri"/>
                <w:sz w:val="20"/>
                <w:szCs w:val="20"/>
                <w:lang w:val="zh-CN"/>
              </w:rPr>
            </w:pPr>
            <w:r>
              <w:rPr>
                <w:rFonts w:ascii="Times New Roman" w:hAnsi="Times New Roman" w:eastAsia="Calibri"/>
                <w:sz w:val="20"/>
                <w:szCs w:val="20"/>
              </w:rPr>
              <w:t>-</w:t>
            </w:r>
            <w:r>
              <w:rPr>
                <w:rFonts w:ascii="Times New Roman" w:hAnsi="Times New Roman" w:eastAsia="Calibri"/>
                <w:sz w:val="20"/>
                <w:szCs w:val="20"/>
              </w:rPr>
              <w:tab/>
            </w:r>
            <w:r>
              <w:rPr>
                <w:rFonts w:ascii="Times New Roman" w:hAnsi="Times New Roman" w:eastAsia="Calibri"/>
                <w:sz w:val="20"/>
                <w:szCs w:val="20"/>
              </w:rPr>
              <w:t xml:space="preserve">with respect to all serving cells, </w:t>
            </w:r>
            <w:r>
              <w:rPr>
                <w:rFonts w:ascii="Times New Roman" w:hAnsi="Times New Roman" w:eastAsia="Calibri"/>
                <w:sz w:val="20"/>
                <w:szCs w:val="20"/>
                <w:lang w:val="zh-CN"/>
              </w:rPr>
              <w:t xml:space="preserve">the IAB-MT would transmit or receive </w:t>
            </w:r>
            <w:r>
              <w:rPr>
                <w:rFonts w:ascii="Times New Roman" w:hAnsi="Times New Roman" w:eastAsia="Calibri"/>
                <w:sz w:val="20"/>
                <w:szCs w:val="20"/>
              </w:rPr>
              <w:t>during</w:t>
            </w:r>
            <w:r>
              <w:rPr>
                <w:rFonts w:ascii="Times New Roman" w:hAnsi="Times New Roman" w:eastAsia="Calibri"/>
                <w:sz w:val="20"/>
                <w:szCs w:val="20"/>
                <w:lang w:val="zh-CN"/>
              </w:rPr>
              <w:t xml:space="preserve"> the symbol of the IAB-DU cell, and the transmission or reception </w:t>
            </w:r>
            <w:r>
              <w:rPr>
                <w:rFonts w:ascii="Times New Roman" w:hAnsi="Times New Roman" w:eastAsia="Calibri"/>
                <w:sz w:val="20"/>
                <w:szCs w:val="20"/>
              </w:rPr>
              <w:t>during</w:t>
            </w:r>
            <w:r>
              <w:rPr>
                <w:rFonts w:ascii="Times New Roman" w:hAnsi="Times New Roman" w:eastAsia="Calibri"/>
                <w:sz w:val="20"/>
                <w:szCs w:val="20"/>
                <w:lang w:val="zh-CN"/>
              </w:rPr>
              <w:t xml:space="preserve"> the symbol of the IAB-DU cell is not changed due to a use of the symbol by the IAB-DU, or</w:t>
            </w:r>
          </w:p>
          <w:p>
            <w:pPr>
              <w:spacing w:after="180" w:line="240" w:lineRule="auto"/>
              <w:ind w:left="568" w:hanging="284"/>
              <w:rPr>
                <w:rFonts w:ascii="Times New Roman" w:hAnsi="Times New Roman" w:eastAsia="Calibri"/>
                <w:sz w:val="20"/>
                <w:szCs w:val="20"/>
                <w:lang w:val="zh-CN"/>
              </w:rPr>
            </w:pPr>
            <w:r>
              <w:rPr>
                <w:rFonts w:ascii="Times New Roman" w:hAnsi="Times New Roman" w:eastAsia="Calibri"/>
                <w:sz w:val="20"/>
                <w:szCs w:val="20"/>
                <w:lang w:val="zh-CN"/>
              </w:rPr>
              <w:t>-</w:t>
            </w:r>
            <w:r>
              <w:rPr>
                <w:rFonts w:ascii="Times New Roman" w:hAnsi="Times New Roman" w:eastAsia="Calibri"/>
                <w:sz w:val="20"/>
                <w:szCs w:val="20"/>
                <w:lang w:val="zh-CN"/>
              </w:rPr>
              <w:tab/>
            </w:r>
            <w:r>
              <w:rPr>
                <w:rFonts w:ascii="Times New Roman" w:hAnsi="Times New Roman" w:eastAsia="Calibri"/>
                <w:sz w:val="20"/>
                <w:szCs w:val="20"/>
                <w:lang w:val="zh-CN"/>
              </w:rPr>
              <w:t>the IAB-</w:t>
            </w:r>
            <w:r>
              <w:rPr>
                <w:rFonts w:ascii="Times New Roman" w:hAnsi="Times New Roman" w:eastAsia="Calibri"/>
                <w:sz w:val="20"/>
                <w:szCs w:val="20"/>
              </w:rPr>
              <w:t>MT</w:t>
            </w:r>
            <w:r>
              <w:rPr>
                <w:rFonts w:ascii="Times New Roman" w:hAnsi="Times New Roman" w:eastAsia="Calibri"/>
                <w:sz w:val="20"/>
                <w:szCs w:val="20"/>
                <w:lang w:val="zh-CN"/>
              </w:rPr>
              <w:t xml:space="preserve"> detects a DCI format 2_5 with an </w:t>
            </w:r>
            <w:r>
              <w:rPr>
                <w:rFonts w:ascii="Times New Roman" w:hAnsi="Times New Roman" w:eastAsia="Calibri"/>
                <w:sz w:val="20"/>
                <w:szCs w:val="20"/>
                <w:lang w:val="zh-CN" w:eastAsia="zh-CN"/>
              </w:rPr>
              <w:t xml:space="preserve">AI index field value </w:t>
            </w:r>
            <w:r>
              <w:rPr>
                <w:rFonts w:ascii="Times New Roman" w:hAnsi="Times New Roman" w:eastAsia="Calibri"/>
                <w:sz w:val="20"/>
                <w:szCs w:val="20"/>
                <w:lang w:val="zh-CN"/>
              </w:rPr>
              <w:t>indicating the soft symbol as available if the IAB-MT is not configured with an SCG, or</w:t>
            </w:r>
          </w:p>
          <w:p>
            <w:pPr>
              <w:spacing w:after="180" w:line="240" w:lineRule="auto"/>
              <w:ind w:left="568" w:hanging="284"/>
              <w:rPr>
                <w:rFonts w:ascii="Times New Roman" w:hAnsi="Times New Roman" w:eastAsia="Calibri"/>
                <w:sz w:val="20"/>
                <w:szCs w:val="20"/>
                <w:lang w:val="zh-CN"/>
              </w:rPr>
            </w:pPr>
            <w:r>
              <w:rPr>
                <w:rFonts w:ascii="Times New Roman" w:hAnsi="Times New Roman" w:eastAsia="Calibri"/>
                <w:sz w:val="20"/>
                <w:szCs w:val="20"/>
                <w:lang w:val="zh-CN"/>
              </w:rPr>
              <w:t>-</w:t>
            </w:r>
            <w:r>
              <w:rPr>
                <w:rFonts w:ascii="Times New Roman" w:hAnsi="Times New Roman" w:eastAsia="Calibri"/>
                <w:sz w:val="20"/>
                <w:szCs w:val="20"/>
                <w:lang w:val="zh-CN"/>
              </w:rPr>
              <w:tab/>
            </w:r>
            <w:r>
              <w:rPr>
                <w:rFonts w:ascii="Times New Roman" w:hAnsi="Times New Roman" w:eastAsia="Calibri"/>
                <w:sz w:val="20"/>
                <w:szCs w:val="20"/>
                <w:lang w:val="zh-CN"/>
              </w:rPr>
              <w:t>the IAB-MT detects two DCI formats 2_5 with an AI index field indicating the soft symbol as available from the MCG and SCG, respectively, or</w:t>
            </w:r>
          </w:p>
          <w:p>
            <w:pPr>
              <w:spacing w:after="180" w:line="240" w:lineRule="auto"/>
              <w:ind w:left="568" w:hanging="284"/>
              <w:rPr>
                <w:rFonts w:ascii="Times New Roman" w:hAnsi="Times New Roman" w:eastAsia="Calibri"/>
                <w:sz w:val="20"/>
                <w:szCs w:val="20"/>
                <w:lang w:val="zh-CN"/>
              </w:rPr>
            </w:pPr>
            <w:r>
              <w:rPr>
                <w:rFonts w:ascii="Times New Roman" w:hAnsi="Times New Roman" w:eastAsia="Calibri"/>
                <w:sz w:val="20"/>
                <w:szCs w:val="20"/>
                <w:lang w:val="zh-CN"/>
              </w:rPr>
              <w:t>-</w:t>
            </w:r>
            <w:r>
              <w:rPr>
                <w:rFonts w:ascii="Times New Roman" w:hAnsi="Times New Roman" w:eastAsia="Calibri"/>
                <w:sz w:val="20"/>
                <w:szCs w:val="20"/>
                <w:lang w:val="zh-CN"/>
              </w:rPr>
              <w:tab/>
            </w:r>
            <w:r>
              <w:rPr>
                <w:rFonts w:ascii="Times New Roman" w:hAnsi="Times New Roman" w:eastAsia="Calibri"/>
                <w:sz w:val="20"/>
                <w:szCs w:val="20"/>
                <w:lang w:val="zh-CN"/>
              </w:rPr>
              <w:t>the IAB-MT detects a DCI format 2_5 with an AI index field value indicating the soft symbol as available from one cell group and with respect to all serving cells of the other cell group, the IAB-MT would transmit or receive during the symbol of the IAB-DU cell, and the transmission or reception during the symbol of the IAB-DU cell does not change due to a use of the symbol by the IAB-DU.</w:t>
            </w:r>
          </w:p>
        </w:tc>
      </w:tr>
    </w:tbl>
    <w:p>
      <w:pPr>
        <w:rPr>
          <w:rFonts w:ascii="Times New Roman" w:hAnsi="Times New Roman" w:cs="Times New Roman"/>
          <w:sz w:val="20"/>
          <w:lang w:eastAsia="zh-CN"/>
        </w:rPr>
      </w:pPr>
    </w:p>
    <w:p>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pPr>
        <w:pStyle w:val="116"/>
        <w:numPr>
          <w:ilvl w:val="0"/>
          <w:numId w:val="28"/>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[13] has a TP to correct the case, where availability indication is received from one cell group and not from the other one.</w:t>
      </w:r>
    </w:p>
    <w:p>
      <w:pPr>
        <w:rPr>
          <w:lang w:eastAsia="zh-CN"/>
        </w:rPr>
      </w:pPr>
    </w:p>
    <w:p>
      <w:pPr>
        <w:rPr>
          <w:lang w:eastAsia="zh-CN"/>
        </w:rPr>
      </w:pPr>
    </w:p>
    <w:p>
      <w:pPr>
        <w:pStyle w:val="3"/>
      </w:pPr>
      <w:r>
        <w:t xml:space="preserve"> Issue #11. Slot index indication</w:t>
      </w:r>
    </w:p>
    <w:p>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pPr>
        <w:pStyle w:val="116"/>
        <w:numPr>
          <w:ilvl w:val="0"/>
          <w:numId w:val="28"/>
        </w:numPr>
        <w:overflowPunct w:val="0"/>
        <w:autoSpaceDE w:val="0"/>
        <w:autoSpaceDN w:val="0"/>
        <w:adjustRightInd w:val="0"/>
        <w:spacing w:line="240" w:lineRule="auto"/>
        <w:contextualSpacing/>
        <w:rPr>
          <w:rFonts w:ascii="Times New Roman" w:hAnsi="Times New Roman" w:eastAsia="Times New Roman" w:cs="Times New Roman"/>
          <w:bCs/>
          <w:lang w:eastAsia="zh-CN"/>
        </w:rPr>
      </w:pPr>
      <w:r>
        <w:rPr>
          <w:rFonts w:eastAsia="Times New Roman"/>
          <w:bCs/>
          <w:lang w:eastAsia="zh-CN"/>
        </w:rPr>
        <w:t>[2]: no further discussion is necessary</w:t>
      </w:r>
    </w:p>
    <w:p>
      <w:pPr>
        <w:pStyle w:val="116"/>
        <w:numPr>
          <w:ilvl w:val="0"/>
          <w:numId w:val="28"/>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[13] proposed the following clarifications:</w:t>
      </w:r>
    </w:p>
    <w:p>
      <w:pPr>
        <w:pStyle w:val="116"/>
        <w:numPr>
          <w:ilvl w:val="1"/>
          <w:numId w:val="28"/>
        </w:numPr>
        <w:overflowPunct w:val="0"/>
        <w:autoSpaceDE w:val="0"/>
        <w:autoSpaceDN w:val="0"/>
        <w:adjustRightInd w:val="0"/>
        <w:spacing w:line="240" w:lineRule="auto"/>
        <w:contextualSpacing/>
        <w:rPr>
          <w:rFonts w:eastAsia="Times New Roman"/>
          <w:bCs/>
          <w:lang w:eastAsia="zh-CN"/>
        </w:rPr>
      </w:pPr>
      <w:r>
        <w:rPr>
          <w:bCs/>
          <w:color w:val="000000"/>
        </w:rPr>
        <w:t>The term “slot index” indicates a list of slots.</w:t>
      </w:r>
    </w:p>
    <w:p>
      <w:pPr>
        <w:pStyle w:val="116"/>
        <w:numPr>
          <w:ilvl w:val="1"/>
          <w:numId w:val="28"/>
        </w:numPr>
        <w:overflowPunct w:val="0"/>
        <w:autoSpaceDE w:val="0"/>
        <w:autoSpaceDN w:val="0"/>
        <w:adjustRightInd w:val="0"/>
        <w:spacing w:line="240" w:lineRule="auto"/>
        <w:contextualSpacing/>
        <w:rPr>
          <w:rFonts w:eastAsia="宋体"/>
          <w:bCs/>
          <w:color w:val="000000"/>
          <w:lang w:eastAsia="ja-JP"/>
        </w:rPr>
      </w:pPr>
      <w:r>
        <w:rPr>
          <w:bCs/>
          <w:color w:val="000000"/>
        </w:rPr>
        <w:t>Each slot within the periodicity should be assigned a case value. It is up to RAN2 to decide whether one of the case values is considered the default.</w:t>
      </w:r>
    </w:p>
    <w:p>
      <w:pPr>
        <w:pStyle w:val="116"/>
        <w:numPr>
          <w:ilvl w:val="1"/>
          <w:numId w:val="28"/>
        </w:numPr>
        <w:overflowPunct w:val="0"/>
        <w:autoSpaceDE w:val="0"/>
        <w:autoSpaceDN w:val="0"/>
        <w:adjustRightInd w:val="0"/>
        <w:spacing w:line="240" w:lineRule="auto"/>
        <w:contextualSpacing/>
        <w:rPr>
          <w:bCs/>
          <w:color w:val="000000"/>
        </w:rPr>
      </w:pPr>
      <w:r>
        <w:rPr>
          <w:bCs/>
          <w:color w:val="000000"/>
        </w:rPr>
        <w:t>The starting slot for periodicity needs to be known by the receiving side of the MAC-CE. It is up to RAN2 to decide whether to explicitly convey the starting slot of periodicity, and how.</w:t>
      </w:r>
    </w:p>
    <w:p>
      <w:pPr>
        <w:pStyle w:val="116"/>
        <w:numPr>
          <w:ilvl w:val="1"/>
          <w:numId w:val="28"/>
        </w:numPr>
        <w:overflowPunct w:val="0"/>
        <w:autoSpaceDE w:val="0"/>
        <w:autoSpaceDN w:val="0"/>
        <w:adjustRightInd w:val="0"/>
        <w:spacing w:line="240" w:lineRule="auto"/>
        <w:contextualSpacing/>
        <w:rPr>
          <w:bCs/>
          <w:color w:val="000000"/>
        </w:rPr>
      </w:pPr>
      <w:r>
        <w:rPr>
          <w:bCs/>
          <w:color w:val="000000"/>
        </w:rPr>
        <w:t>RAN1 does not preclude that a large fraction of the slots in the periodicity may use case-6 and/or case-7 timing.</w:t>
      </w:r>
    </w:p>
    <w:p>
      <w:pPr>
        <w:rPr>
          <w:rFonts w:ascii="Times New Roman" w:hAnsi="Times New Roman" w:cs="Times New Roman"/>
          <w:sz w:val="20"/>
          <w:lang w:eastAsia="zh-CN"/>
        </w:rPr>
      </w:pPr>
    </w:p>
    <w:p>
      <w:pPr>
        <w:pStyle w:val="3"/>
      </w:pPr>
      <w:r>
        <w:t xml:space="preserve">Issue #12. Child IAB-DU Restricted Beam indication </w:t>
      </w:r>
    </w:p>
    <w:p>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pPr>
        <w:pStyle w:val="116"/>
        <w:numPr>
          <w:ilvl w:val="0"/>
          <w:numId w:val="28"/>
        </w:numPr>
        <w:overflowPunct w:val="0"/>
        <w:autoSpaceDE w:val="0"/>
        <w:autoSpaceDN w:val="0"/>
        <w:adjustRightInd w:val="0"/>
        <w:spacing w:line="240" w:lineRule="auto"/>
        <w:contextualSpacing/>
        <w:rPr>
          <w:rFonts w:ascii="Times New Roman" w:hAnsi="Times New Roman" w:eastAsia="Times New Roman" w:cs="Times New Roman"/>
          <w:bCs/>
          <w:lang w:eastAsia="zh-CN"/>
        </w:rPr>
      </w:pPr>
      <w:r>
        <w:rPr>
          <w:rFonts w:eastAsia="Times New Roman"/>
          <w:bCs/>
          <w:lang w:eastAsia="zh-CN"/>
        </w:rPr>
        <w:t xml:space="preserve">[3] has a TP to extend the applicability of </w:t>
      </w:r>
      <w:r>
        <w:t>Child IAB-DU Restricted Beam Indication to TDM mode too.</w:t>
      </w:r>
    </w:p>
    <w:p>
      <w:pPr>
        <w:pStyle w:val="116"/>
        <w:numPr>
          <w:ilvl w:val="0"/>
          <w:numId w:val="28"/>
        </w:numPr>
        <w:overflowPunct w:val="0"/>
        <w:autoSpaceDE w:val="0"/>
        <w:autoSpaceDN w:val="0"/>
        <w:adjustRightInd w:val="0"/>
        <w:spacing w:line="240" w:lineRule="auto"/>
        <w:contextualSpacing/>
        <w:rPr>
          <w:rFonts w:eastAsia="Times New Roman"/>
          <w:bCs/>
          <w:lang w:eastAsia="zh-CN"/>
        </w:rPr>
      </w:pPr>
      <w:r>
        <w:t>[13] proposed the following clarification:</w:t>
      </w:r>
    </w:p>
    <w:p>
      <w:pPr>
        <w:pStyle w:val="116"/>
        <w:numPr>
          <w:ilvl w:val="1"/>
          <w:numId w:val="28"/>
        </w:numPr>
        <w:overflowPunct w:val="0"/>
        <w:autoSpaceDE w:val="0"/>
        <w:autoSpaceDN w:val="0"/>
        <w:adjustRightInd w:val="0"/>
        <w:spacing w:line="240" w:lineRule="auto"/>
        <w:contextualSpacing/>
        <w:rPr>
          <w:rFonts w:eastAsia="Times New Roman"/>
          <w:bCs/>
          <w:lang w:eastAsia="zh-CN"/>
        </w:rPr>
      </w:pPr>
      <w:r>
        <w:rPr>
          <w:bCs/>
          <w:color w:val="000000"/>
        </w:rPr>
        <w:t>For the child IAB-DU Restricted Beam indication, only SSB or STC+SSB or CSI-RS is used for a given beam.</w:t>
      </w:r>
    </w:p>
    <w:p>
      <w:pPr>
        <w:rPr>
          <w:rFonts w:ascii="Times New Roman" w:hAnsi="Times New Roman" w:cs="Times New Roman"/>
          <w:lang w:eastAsia="zh-CN"/>
        </w:rPr>
      </w:pPr>
    </w:p>
    <w:p>
      <w:pPr>
        <w:pStyle w:val="3"/>
      </w:pPr>
      <w:r>
        <w:t xml:space="preserve"> Issue #13. DL Tx Power Adjustment MAC-CE</w:t>
      </w:r>
    </w:p>
    <w:p>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pPr>
        <w:pStyle w:val="116"/>
        <w:numPr>
          <w:ilvl w:val="0"/>
          <w:numId w:val="28"/>
        </w:numPr>
        <w:overflowPunct w:val="0"/>
        <w:autoSpaceDE w:val="0"/>
        <w:autoSpaceDN w:val="0"/>
        <w:adjustRightInd w:val="0"/>
        <w:spacing w:after="180" w:line="240" w:lineRule="auto"/>
        <w:contextualSpacing/>
        <w:rPr>
          <w:rFonts w:ascii="Times New Roman" w:hAnsi="Times New Roman" w:cs="Times New Roman"/>
          <w:lang w:eastAsia="zh-CN"/>
        </w:rPr>
      </w:pPr>
      <w:r>
        <w:rPr>
          <w:lang w:eastAsia="zh-CN"/>
        </w:rPr>
        <w:t xml:space="preserve">[13] has a TP to capture the indication of the associated configurations. </w:t>
      </w:r>
    </w:p>
    <w:p>
      <w:pPr>
        <w:rPr>
          <w:lang w:eastAsia="zh-CN"/>
        </w:rPr>
      </w:pPr>
    </w:p>
    <w:p>
      <w:pPr>
        <w:pStyle w:val="3"/>
      </w:pPr>
      <w:r>
        <w:t xml:space="preserve"> Issue #14. Descriptions of MT’s UL MAC-CEs</w:t>
      </w:r>
    </w:p>
    <w:p>
      <w:pPr>
        <w:rPr>
          <w:rFonts w:ascii="Times New Roman" w:hAnsi="Times New Roman" w:cs="Times New Roman"/>
          <w:sz w:val="20"/>
          <w:lang w:val="en-GB" w:eastAsia="zh-CN"/>
        </w:rPr>
      </w:pPr>
      <w:r>
        <w:rPr>
          <w:rFonts w:ascii="Times New Roman" w:hAnsi="Times New Roman" w:cs="Times New Roman"/>
          <w:sz w:val="20"/>
          <w:lang w:eastAsia="zh-CN"/>
        </w:rPr>
        <w:t xml:space="preserve">38.213(V17.1.0) has the descriptions of the Child IAB-DU Restricted Beam Indication MAC CE and DL Tx Power Adjustment MAC-CE but does not have any description for </w:t>
      </w:r>
      <w:r>
        <w:rPr>
          <w:rFonts w:ascii="Times New Roman" w:hAnsi="Times New Roman" w:cs="Times New Roman"/>
          <w:sz w:val="20"/>
          <w:lang w:val="en-GB" w:eastAsia="zh-CN"/>
        </w:rPr>
        <w:t>IAB-MT Recommended Beam Indication, Desired DL Tx Power Adjustment, and Desired IAB-MT PSD Range.</w:t>
      </w:r>
    </w:p>
    <w:p>
      <w:pPr>
        <w:spacing w:after="0"/>
        <w:rPr>
          <w:rFonts w:ascii="Times New Roman" w:hAnsi="Times New Roman" w:eastAsia="Times New Roman" w:cs="Times New Roman"/>
          <w:b/>
          <w:bCs/>
          <w:u w:val="single"/>
          <w:lang w:eastAsia="zh-CN"/>
        </w:rPr>
      </w:pPr>
      <w:r>
        <w:rPr>
          <w:rFonts w:ascii="Times New Roman" w:hAnsi="Times New Roman" w:eastAsia="Times New Roman" w:cs="Times New Roman"/>
          <w:b/>
          <w:bCs/>
          <w:u w:val="single"/>
          <w:lang w:eastAsia="zh-CN"/>
        </w:rPr>
        <w:t>Summary of views:</w:t>
      </w:r>
    </w:p>
    <w:p>
      <w:pPr>
        <w:pStyle w:val="116"/>
        <w:numPr>
          <w:ilvl w:val="0"/>
          <w:numId w:val="28"/>
        </w:numPr>
        <w:overflowPunct w:val="0"/>
        <w:autoSpaceDE w:val="0"/>
        <w:autoSpaceDN w:val="0"/>
        <w:adjustRightInd w:val="0"/>
        <w:spacing w:line="240" w:lineRule="auto"/>
        <w:contextualSpacing/>
        <w:rPr>
          <w:rFonts w:ascii="Times New Roman" w:hAnsi="Times New Roman" w:eastAsia="Times New Roman" w:cs="Times New Roman"/>
          <w:bCs/>
          <w:lang w:eastAsia="zh-CN"/>
        </w:rPr>
      </w:pPr>
      <w:r>
        <w:rPr>
          <w:rFonts w:eastAsia="Times New Roman"/>
          <w:bCs/>
          <w:lang w:eastAsia="zh-CN"/>
        </w:rPr>
        <w:t>[13] proposed to capture the descriptions of the following MC-CE messages in 38.213</w:t>
      </w:r>
    </w:p>
    <w:p>
      <w:pPr>
        <w:pStyle w:val="116"/>
        <w:numPr>
          <w:ilvl w:val="1"/>
          <w:numId w:val="28"/>
        </w:numPr>
        <w:overflowPunct w:val="0"/>
        <w:autoSpaceDE w:val="0"/>
        <w:autoSpaceDN w:val="0"/>
        <w:adjustRightInd w:val="0"/>
        <w:spacing w:line="240" w:lineRule="auto"/>
        <w:contextualSpacing/>
        <w:rPr>
          <w:rFonts w:eastAsia="Times New Roman"/>
          <w:bCs/>
          <w:lang w:eastAsia="zh-CN"/>
        </w:rPr>
      </w:pPr>
      <w:r>
        <w:rPr>
          <w:bCs/>
          <w:color w:val="000000"/>
        </w:rPr>
        <w:t xml:space="preserve">IAB-MT Recommended Beam Indication </w:t>
      </w:r>
    </w:p>
    <w:p>
      <w:pPr>
        <w:pStyle w:val="116"/>
        <w:numPr>
          <w:ilvl w:val="1"/>
          <w:numId w:val="28"/>
        </w:numPr>
        <w:overflowPunct w:val="0"/>
        <w:autoSpaceDE w:val="0"/>
        <w:autoSpaceDN w:val="0"/>
        <w:adjustRightInd w:val="0"/>
        <w:spacing w:line="240" w:lineRule="auto"/>
        <w:contextualSpacing/>
        <w:rPr>
          <w:rFonts w:eastAsia="Times New Roman"/>
          <w:bCs/>
          <w:lang w:eastAsia="zh-CN"/>
        </w:rPr>
      </w:pPr>
      <w:r>
        <w:rPr>
          <w:bCs/>
          <w:color w:val="000000"/>
        </w:rPr>
        <w:t xml:space="preserve">Desired DL Tx Power Adjustment </w:t>
      </w:r>
    </w:p>
    <w:p>
      <w:pPr>
        <w:pStyle w:val="116"/>
        <w:numPr>
          <w:ilvl w:val="1"/>
          <w:numId w:val="28"/>
        </w:numPr>
        <w:overflowPunct w:val="0"/>
        <w:autoSpaceDE w:val="0"/>
        <w:autoSpaceDN w:val="0"/>
        <w:adjustRightInd w:val="0"/>
        <w:spacing w:line="240" w:lineRule="auto"/>
        <w:contextualSpacing/>
        <w:rPr>
          <w:rFonts w:eastAsia="Times New Roman"/>
          <w:bCs/>
          <w:lang w:eastAsia="zh-CN"/>
        </w:rPr>
      </w:pPr>
      <w:r>
        <w:rPr>
          <w:bCs/>
          <w:color w:val="000000"/>
        </w:rPr>
        <w:t xml:space="preserve">Desired IAB-MT PSD Range </w:t>
      </w:r>
    </w:p>
    <w:p>
      <w:pPr>
        <w:spacing w:after="0"/>
        <w:rPr>
          <w:rFonts w:eastAsia="Times New Roman"/>
          <w:bCs/>
          <w:lang w:eastAsia="zh-CN"/>
        </w:rPr>
      </w:pPr>
    </w:p>
    <w:p>
      <w:pPr>
        <w:spacing w:after="0"/>
        <w:rPr>
          <w:rFonts w:eastAsia="Times New Roman"/>
          <w:bCs/>
          <w:lang w:eastAsia="zh-CN"/>
        </w:rPr>
      </w:pPr>
    </w:p>
    <w:p>
      <w:pPr>
        <w:spacing w:after="0"/>
        <w:rPr>
          <w:rFonts w:eastAsia="Times New Roman"/>
          <w:bCs/>
          <w:lang w:eastAsia="zh-CN"/>
        </w:rPr>
      </w:pPr>
    </w:p>
    <w:p>
      <w:pPr>
        <w:spacing w:after="0"/>
        <w:rPr>
          <w:rFonts w:eastAsia="Times New Roman"/>
          <w:bCs/>
          <w:lang w:eastAsia="zh-CN"/>
        </w:rPr>
      </w:pPr>
    </w:p>
    <w:p>
      <w:pPr>
        <w:spacing w:after="0"/>
        <w:rPr>
          <w:rFonts w:eastAsia="Times New Roman"/>
          <w:bCs/>
          <w:lang w:eastAsia="zh-CN"/>
        </w:rPr>
      </w:pPr>
    </w:p>
    <w:p>
      <w:pPr>
        <w:spacing w:after="0"/>
        <w:rPr>
          <w:rFonts w:eastAsia="Times New Roman"/>
          <w:bCs/>
          <w:lang w:eastAsia="zh-CN"/>
        </w:rPr>
      </w:pPr>
    </w:p>
    <w:p>
      <w:pPr>
        <w:pStyle w:val="3"/>
      </w:pPr>
      <w:r>
        <w:t xml:space="preserve"> Issue #15. IAB-MT recommended beams </w:t>
      </w:r>
    </w:p>
    <w:p>
      <w:pPr>
        <w:rPr>
          <w:rFonts w:ascii="Times New Roman" w:hAnsi="Times New Roman" w:eastAsia="Times New Roman" w:cs="Times New Roman"/>
          <w:b/>
          <w:bCs/>
          <w:u w:val="single"/>
          <w:lang w:eastAsia="zh-CN"/>
        </w:rPr>
      </w:pPr>
      <w:r>
        <w:rPr>
          <w:rFonts w:ascii="Times New Roman" w:hAnsi="Times New Roman" w:cs="Times New Roman"/>
          <w:b/>
          <w:sz w:val="24"/>
          <w:lang w:eastAsia="zh-CN"/>
        </w:rPr>
        <w:t xml:space="preserve"> </w:t>
      </w:r>
      <w:r>
        <w:rPr>
          <w:rFonts w:ascii="Times New Roman" w:hAnsi="Times New Roman" w:eastAsia="Times New Roman" w:cs="Times New Roman"/>
          <w:b/>
          <w:bCs/>
          <w:u w:val="single"/>
          <w:lang w:eastAsia="zh-CN"/>
        </w:rPr>
        <w:t>Summary of views:</w:t>
      </w:r>
    </w:p>
    <w:p>
      <w:pPr>
        <w:pStyle w:val="116"/>
        <w:numPr>
          <w:ilvl w:val="0"/>
          <w:numId w:val="28"/>
        </w:numPr>
        <w:overflowPunct w:val="0"/>
        <w:autoSpaceDE w:val="0"/>
        <w:autoSpaceDN w:val="0"/>
        <w:adjustRightInd w:val="0"/>
        <w:spacing w:line="240" w:lineRule="auto"/>
        <w:contextualSpacing/>
        <w:rPr>
          <w:rFonts w:ascii="Times New Roman" w:hAnsi="Times New Roman" w:eastAsia="Times New Roman" w:cs="Times New Roman"/>
          <w:bCs/>
          <w:lang w:eastAsia="zh-CN"/>
        </w:rPr>
      </w:pPr>
      <w:r>
        <w:rPr>
          <w:rFonts w:eastAsia="Times New Roman"/>
          <w:bCs/>
          <w:lang w:eastAsia="zh-CN"/>
        </w:rPr>
        <w:t>[13] proposed the following clarifications:</w:t>
      </w:r>
    </w:p>
    <w:p>
      <w:pPr>
        <w:pStyle w:val="116"/>
        <w:numPr>
          <w:ilvl w:val="1"/>
          <w:numId w:val="28"/>
        </w:numPr>
        <w:overflowPunct w:val="0"/>
        <w:autoSpaceDE w:val="0"/>
        <w:autoSpaceDN w:val="0"/>
        <w:adjustRightInd w:val="0"/>
        <w:spacing w:line="240" w:lineRule="auto"/>
        <w:contextualSpacing/>
        <w:rPr>
          <w:rFonts w:eastAsia="Times New Roman"/>
          <w:bCs/>
          <w:lang w:eastAsia="zh-CN"/>
        </w:rPr>
      </w:pPr>
      <w:r>
        <w:rPr>
          <w:bCs/>
          <w:color w:val="000000"/>
        </w:rPr>
        <w:t>Only one of DL Rx beam indication or UL Tx beam indication can be used for a specific beam.</w:t>
      </w:r>
    </w:p>
    <w:p>
      <w:pPr>
        <w:pStyle w:val="116"/>
        <w:numPr>
          <w:ilvl w:val="1"/>
          <w:numId w:val="28"/>
        </w:numPr>
        <w:overflowPunct w:val="0"/>
        <w:autoSpaceDE w:val="0"/>
        <w:autoSpaceDN w:val="0"/>
        <w:adjustRightInd w:val="0"/>
        <w:spacing w:line="240" w:lineRule="auto"/>
        <w:contextualSpacing/>
        <w:rPr>
          <w:rFonts w:eastAsia="Times New Roman"/>
          <w:bCs/>
          <w:lang w:eastAsia="zh-CN"/>
        </w:rPr>
      </w:pPr>
      <w:r>
        <w:rPr>
          <w:bCs/>
          <w:color w:val="000000"/>
        </w:rPr>
        <w:t>For DL RX beam indication, either TCI index or SSB or CSI-RS can be used for a specific beam.</w:t>
      </w:r>
    </w:p>
    <w:p>
      <w:pPr>
        <w:spacing w:after="0"/>
        <w:rPr>
          <w:rFonts w:eastAsia="Times New Roman"/>
          <w:bCs/>
          <w:lang w:eastAsia="zh-CN"/>
        </w:rPr>
      </w:pPr>
    </w:p>
    <w:p>
      <w:pPr>
        <w:pStyle w:val="3"/>
      </w:pPr>
      <w:r>
        <w:t xml:space="preserve"> Issue #16. Alignment of parameters names</w:t>
      </w:r>
    </w:p>
    <w:p>
      <w:pPr>
        <w:spacing w:after="0"/>
        <w:rPr>
          <w:rFonts w:ascii="Times New Roman" w:hAnsi="Times New Roman" w:eastAsia="Times New Roman" w:cs="Times New Roman"/>
          <w:bCs/>
          <w:sz w:val="20"/>
          <w:lang w:eastAsia="zh-CN"/>
        </w:rPr>
      </w:pPr>
      <w:r>
        <w:rPr>
          <w:rFonts w:ascii="Times New Roman" w:hAnsi="Times New Roman" w:eastAsia="Times New Roman" w:cs="Times New Roman"/>
          <w:bCs/>
          <w:sz w:val="20"/>
          <w:lang w:eastAsia="zh-CN"/>
        </w:rPr>
        <w:t>Given the name of some of the related upper-layer messages and parameters are getting finalized, 38.213 should be updated to correctly reflect them.</w:t>
      </w:r>
    </w:p>
    <w:p>
      <w:pPr>
        <w:spacing w:after="0"/>
        <w:rPr>
          <w:rFonts w:ascii="Times New Roman" w:hAnsi="Times New Roman" w:eastAsia="Times New Roman" w:cs="Times New Roman"/>
          <w:bCs/>
          <w:sz w:val="20"/>
          <w:lang w:eastAsia="zh-CN"/>
        </w:rPr>
      </w:pPr>
    </w:p>
    <w:p>
      <w:pPr>
        <w:spacing w:after="0"/>
        <w:rPr>
          <w:rFonts w:ascii="Times New Roman" w:hAnsi="Times New Roman" w:eastAsia="Times New Roman" w:cs="Times New Roman"/>
          <w:b/>
          <w:bCs/>
          <w:u w:val="single"/>
          <w:lang w:eastAsia="zh-CN"/>
        </w:rPr>
      </w:pPr>
      <w:r>
        <w:rPr>
          <w:rFonts w:ascii="Times New Roman" w:hAnsi="Times New Roman" w:eastAsia="Times New Roman" w:cs="Times New Roman"/>
          <w:b/>
          <w:bCs/>
          <w:u w:val="single"/>
          <w:lang w:eastAsia="zh-CN"/>
        </w:rPr>
        <w:t>Summary of views:</w:t>
      </w:r>
    </w:p>
    <w:p>
      <w:pPr>
        <w:pStyle w:val="116"/>
        <w:numPr>
          <w:ilvl w:val="0"/>
          <w:numId w:val="28"/>
        </w:numPr>
        <w:overflowPunct w:val="0"/>
        <w:autoSpaceDE w:val="0"/>
        <w:autoSpaceDN w:val="0"/>
        <w:adjustRightInd w:val="0"/>
        <w:spacing w:line="240" w:lineRule="auto"/>
        <w:contextualSpacing/>
        <w:rPr>
          <w:rFonts w:ascii="Times New Roman" w:hAnsi="Times New Roman" w:eastAsia="Times New Roman" w:cs="Times New Roman"/>
          <w:bCs/>
          <w:lang w:eastAsia="zh-CN"/>
        </w:rPr>
      </w:pPr>
      <w:r>
        <w:rPr>
          <w:rFonts w:eastAsia="Times New Roman"/>
          <w:bCs/>
          <w:lang w:eastAsia="zh-CN"/>
        </w:rPr>
        <w:t>[13] has TPs for the following</w:t>
      </w:r>
    </w:p>
    <w:p>
      <w:pPr>
        <w:pStyle w:val="116"/>
        <w:numPr>
          <w:ilvl w:val="1"/>
          <w:numId w:val="28"/>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Use “</w:t>
      </w:r>
      <w:r>
        <w:rPr>
          <w:i/>
          <w:iCs/>
        </w:rPr>
        <w:t>Frequency-Domain HSNA Configuration List</w:t>
      </w:r>
      <w:r>
        <w:rPr>
          <w:rFonts w:eastAsia="Times New Roman"/>
          <w:bCs/>
          <w:lang w:eastAsia="zh-CN"/>
        </w:rPr>
        <w:t>” instead of “</w:t>
      </w:r>
      <w:r>
        <w:rPr>
          <w:i/>
          <w:iCs/>
        </w:rPr>
        <w:t>Rel-17 frequency-domain IAB-DU-Resource-Configuration-H/S/NA-Config</w:t>
      </w:r>
      <w:r>
        <w:rPr>
          <w:rFonts w:eastAsia="Times New Roman"/>
          <w:bCs/>
          <w:lang w:eastAsia="zh-CN"/>
        </w:rPr>
        <w:t>”</w:t>
      </w:r>
    </w:p>
    <w:p>
      <w:pPr>
        <w:pStyle w:val="116"/>
        <w:numPr>
          <w:ilvl w:val="1"/>
          <w:numId w:val="28"/>
        </w:numPr>
        <w:overflowPunct w:val="0"/>
        <w:autoSpaceDE w:val="0"/>
        <w:autoSpaceDN w:val="0"/>
        <w:adjustRightInd w:val="0"/>
        <w:spacing w:line="240" w:lineRule="auto"/>
        <w:contextualSpacing/>
        <w:rPr>
          <w:rFonts w:eastAsia="Times New Roman"/>
          <w:bCs/>
          <w:lang w:eastAsia="zh-CN"/>
        </w:rPr>
      </w:pPr>
      <w:r>
        <w:rPr>
          <w:rFonts w:eastAsia="Times New Roman"/>
          <w:bCs/>
          <w:lang w:eastAsia="zh-CN"/>
        </w:rPr>
        <w:t>Reflect the RRC parameters (such as “</w:t>
      </w:r>
      <w:r>
        <w:rPr>
          <w:i/>
          <w:iCs/>
        </w:rPr>
        <w:t>availabilityCombinationsRBGroups</w:t>
      </w:r>
      <w:r>
        <w:rPr>
          <w:rFonts w:eastAsia="Times New Roman"/>
          <w:bCs/>
          <w:lang w:eastAsia="zh-CN"/>
        </w:rPr>
        <w:t>”, “</w:t>
      </w:r>
      <w:r>
        <w:rPr>
          <w:i/>
          <w:lang w:val="en-CA"/>
        </w:rPr>
        <w:t>RbSetGroups</w:t>
      </w:r>
      <w:r>
        <w:rPr>
          <w:rFonts w:eastAsia="Times New Roman"/>
          <w:bCs/>
          <w:lang w:eastAsia="zh-CN"/>
        </w:rPr>
        <w:t>”) related to the availability indication.</w:t>
      </w:r>
    </w:p>
    <w:p>
      <w:pPr>
        <w:spacing w:after="0"/>
        <w:rPr>
          <w:rFonts w:ascii="Times New Roman" w:hAnsi="Times New Roman" w:eastAsia="Times New Roman" w:cs="Times New Roman"/>
          <w:bCs/>
          <w:sz w:val="20"/>
          <w:lang w:eastAsia="zh-CN"/>
        </w:rPr>
      </w:pPr>
    </w:p>
    <w:p>
      <w:pPr>
        <w:spacing w:after="0"/>
        <w:rPr>
          <w:rFonts w:ascii="Calibri" w:hAnsi="Calibri" w:eastAsia="Times New Roman"/>
          <w:b/>
          <w:bCs/>
          <w:lang w:val="en-GB" w:eastAsia="zh-CN"/>
        </w:rPr>
      </w:pPr>
      <w:r>
        <w:rPr>
          <w:rFonts w:eastAsia="Times New Roman"/>
          <w:b/>
          <w:bCs/>
          <w:lang w:val="en-GB"/>
        </w:rPr>
        <w:br w:type="page"/>
      </w:r>
    </w:p>
    <w:p>
      <w:pPr>
        <w:pStyle w:val="2"/>
        <w:rPr>
          <w:rFonts w:eastAsia="宋体"/>
        </w:rPr>
      </w:pPr>
      <w:r>
        <w:rPr>
          <w:rFonts w:eastAsia="宋体"/>
        </w:rPr>
        <w:t>Reference</w:t>
      </w:r>
      <w:bookmarkStart w:id="8" w:name="OLE_LINK3"/>
      <w:r>
        <w:rPr>
          <w:rFonts w:eastAsia="宋体"/>
        </w:rPr>
        <w:t>s</w:t>
      </w:r>
    </w:p>
    <w:bookmarkEnd w:id="1"/>
    <w:bookmarkEnd w:id="2"/>
    <w:bookmarkEnd w:id="8"/>
    <w:p>
      <w:pPr>
        <w:rPr>
          <w:rFonts w:ascii="Times" w:hAnsi="Times"/>
          <w:sz w:val="16"/>
          <w:szCs w:val="16"/>
          <w:lang w:val="en-GB" w:eastAsia="zh-CN"/>
        </w:rPr>
      </w:pPr>
      <w:r>
        <w:rPr>
          <w:sz w:val="16"/>
          <w:szCs w:val="16"/>
          <w:lang w:val="en-GB" w:eastAsia="zh-CN"/>
        </w:rPr>
        <w:t>[1] R1-2203078   Remaining issues on R17 IAB enhancements, Huawei, HiSilicon</w:t>
      </w:r>
    </w:p>
    <w:p>
      <w:pPr>
        <w:rPr>
          <w:sz w:val="16"/>
          <w:szCs w:val="16"/>
          <w:lang w:val="en-GB" w:eastAsia="zh-CN"/>
        </w:rPr>
      </w:pPr>
      <w:r>
        <w:rPr>
          <w:sz w:val="16"/>
          <w:szCs w:val="16"/>
          <w:lang w:val="en-GB" w:eastAsia="zh-CN"/>
        </w:rPr>
        <w:t>[2] R1-2203353   Maintenance on Enhancements to Integrated Access and Backhaul, Nokia, Nokia Shanghai Bell</w:t>
      </w:r>
    </w:p>
    <w:p>
      <w:pPr>
        <w:rPr>
          <w:sz w:val="16"/>
          <w:szCs w:val="16"/>
          <w:lang w:val="en-GB" w:eastAsia="zh-CN"/>
        </w:rPr>
      </w:pPr>
      <w:r>
        <w:rPr>
          <w:sz w:val="16"/>
          <w:szCs w:val="16"/>
          <w:lang w:val="en-GB" w:eastAsia="zh-CN"/>
        </w:rPr>
        <w:t>[3] R1-2203359   Maintenance on enhancements to IAB, ZTE, Sanechips</w:t>
      </w:r>
    </w:p>
    <w:p>
      <w:pPr>
        <w:rPr>
          <w:sz w:val="16"/>
          <w:szCs w:val="16"/>
          <w:lang w:val="en-GB" w:eastAsia="zh-CN"/>
        </w:rPr>
      </w:pPr>
      <w:r>
        <w:rPr>
          <w:sz w:val="16"/>
          <w:szCs w:val="16"/>
          <w:lang w:val="en-GB" w:eastAsia="zh-CN"/>
        </w:rPr>
        <w:t>[4] R1-2203523   Maintenance on Enhancements to Integrated Access and Backhaul, vivo</w:t>
      </w:r>
    </w:p>
    <w:p>
      <w:pPr>
        <w:rPr>
          <w:sz w:val="16"/>
          <w:szCs w:val="16"/>
          <w:lang w:val="en-GB" w:eastAsia="zh-CN"/>
        </w:rPr>
      </w:pPr>
      <w:r>
        <w:rPr>
          <w:sz w:val="16"/>
          <w:szCs w:val="16"/>
          <w:lang w:val="en-GB" w:eastAsia="zh-CN"/>
        </w:rPr>
        <w:t>[5] R1-2203763   Discussions on enhancements to resource multiplexing between child and parent links of an IAB node, CEWiT</w:t>
      </w:r>
    </w:p>
    <w:p>
      <w:pPr>
        <w:rPr>
          <w:sz w:val="16"/>
          <w:szCs w:val="16"/>
          <w:lang w:val="en-GB" w:eastAsia="zh-CN"/>
        </w:rPr>
      </w:pPr>
      <w:r>
        <w:rPr>
          <w:sz w:val="16"/>
          <w:szCs w:val="16"/>
          <w:lang w:val="en-GB" w:eastAsia="zh-CN"/>
        </w:rPr>
        <w:t>[6] R1-2203871   Maintenance on Enhancements to NR IAB, Samsung</w:t>
      </w:r>
    </w:p>
    <w:p>
      <w:pPr>
        <w:rPr>
          <w:sz w:val="16"/>
          <w:szCs w:val="16"/>
          <w:lang w:val="en-GB" w:eastAsia="zh-CN"/>
        </w:rPr>
      </w:pPr>
      <w:r>
        <w:rPr>
          <w:sz w:val="16"/>
          <w:szCs w:val="16"/>
          <w:lang w:val="en-GB" w:eastAsia="zh-CN"/>
        </w:rPr>
        <w:t>[7] R1-2204351   Maintenance on Enhancements to Integrated Access and Backhaul, NTT DOCOMO, INC.</w:t>
      </w:r>
    </w:p>
    <w:p>
      <w:pPr>
        <w:rPr>
          <w:sz w:val="16"/>
          <w:szCs w:val="16"/>
          <w:lang w:val="en-GB" w:eastAsia="zh-CN"/>
        </w:rPr>
      </w:pPr>
      <w:r>
        <w:rPr>
          <w:sz w:val="16"/>
          <w:szCs w:val="16"/>
          <w:lang w:val="en-GB" w:eastAsia="zh-CN"/>
        </w:rPr>
        <w:t>[8] R1-2204413   Resource multiplexing in enhanced IAB systems, Lenovo</w:t>
      </w:r>
    </w:p>
    <w:p>
      <w:pPr>
        <w:rPr>
          <w:sz w:val="16"/>
          <w:szCs w:val="16"/>
          <w:lang w:val="en-GB" w:eastAsia="zh-CN"/>
        </w:rPr>
      </w:pPr>
      <w:r>
        <w:rPr>
          <w:sz w:val="16"/>
          <w:szCs w:val="16"/>
          <w:lang w:val="en-GB" w:eastAsia="zh-CN"/>
        </w:rPr>
        <w:t>[9] R1-2204528   Remaining details on enhancements to IAB, LG Electronics</w:t>
      </w:r>
    </w:p>
    <w:p>
      <w:pPr>
        <w:rPr>
          <w:sz w:val="16"/>
          <w:szCs w:val="16"/>
          <w:lang w:val="en-GB" w:eastAsia="zh-CN"/>
        </w:rPr>
      </w:pPr>
      <w:r>
        <w:rPr>
          <w:sz w:val="16"/>
          <w:szCs w:val="16"/>
          <w:lang w:val="en-GB" w:eastAsia="zh-CN"/>
        </w:rPr>
        <w:t>[10] R1-2204640 Maintenance on enhanced IAB, Ericsson</w:t>
      </w:r>
    </w:p>
    <w:p>
      <w:pPr>
        <w:rPr>
          <w:sz w:val="16"/>
          <w:szCs w:val="16"/>
          <w:lang w:val="en-GB" w:eastAsia="zh-CN"/>
        </w:rPr>
      </w:pPr>
      <w:r>
        <w:rPr>
          <w:sz w:val="16"/>
          <w:szCs w:val="16"/>
          <w:lang w:val="en-GB" w:eastAsia="zh-CN"/>
        </w:rPr>
        <w:t>[11] R1-2204648 Discussions on eIAB maintenance, ETRI</w:t>
      </w:r>
    </w:p>
    <w:p>
      <w:pPr>
        <w:rPr>
          <w:sz w:val="16"/>
          <w:szCs w:val="16"/>
          <w:lang w:val="en-GB" w:eastAsia="zh-CN"/>
        </w:rPr>
      </w:pPr>
      <w:r>
        <w:rPr>
          <w:sz w:val="16"/>
          <w:szCs w:val="16"/>
          <w:lang w:val="en-GB" w:eastAsia="zh-CN"/>
        </w:rPr>
        <w:t>[12] R1-2204777 Remaining details on Frequency-domain Resource Multiplexing for IAB, Intel Corporation</w:t>
      </w:r>
    </w:p>
    <w:p>
      <w:pPr>
        <w:rPr>
          <w:sz w:val="16"/>
          <w:szCs w:val="16"/>
          <w:lang w:val="en-GB" w:eastAsia="zh-CN"/>
        </w:rPr>
      </w:pPr>
      <w:r>
        <w:rPr>
          <w:sz w:val="16"/>
          <w:szCs w:val="16"/>
          <w:lang w:val="en-GB" w:eastAsia="zh-CN"/>
        </w:rPr>
        <w:t>[13] R1-2204992 Remaining issues on eIAB, Qualcomm Incorporated</w:t>
      </w:r>
    </w:p>
    <w:p>
      <w:pPr>
        <w:rPr>
          <w:rFonts w:ascii="Calibri" w:hAnsi="Calibri" w:cs="Calibri"/>
        </w:rPr>
      </w:pPr>
    </w:p>
    <w:p>
      <w:pPr>
        <w:pStyle w:val="116"/>
        <w:widowControl w:val="0"/>
        <w:autoSpaceDE w:val="0"/>
        <w:autoSpaceDN w:val="0"/>
        <w:adjustRightInd w:val="0"/>
        <w:spacing w:after="120"/>
        <w:ind w:left="0"/>
        <w:rPr>
          <w:rFonts w:ascii="Times New Roman" w:hAnsi="Times New Roman"/>
          <w:sz w:val="20"/>
          <w:lang w:val="en-GB" w:eastAsia="zh-CN"/>
        </w:rPr>
      </w:pPr>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UI Gothic">
    <w:panose1 w:val="020B0600070205080204"/>
    <w:charset w:val="80"/>
    <w:family w:val="swiss"/>
    <w:pitch w:val="default"/>
    <w:sig w:usb0="E00002FF" w:usb1="6AC7FDFB" w:usb2="08000012" w:usb3="00000000" w:csb0="4002009F" w:csb1="DFD70000"/>
  </w:font>
  <w:font w:name="DotumChe">
    <w:altName w:val="Malgun Gothic"/>
    <w:panose1 w:val="00000000000000000000"/>
    <w:charset w:val="81"/>
    <w:family w:val="modern"/>
    <w:pitch w:val="default"/>
    <w:sig w:usb0="00000000" w:usb1="00000000" w:usb2="00000030" w:usb3="00000000" w:csb0="0008009F" w:csb1="00000000"/>
  </w:font>
  <w:font w:name="minorBidi">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50"/>
      </w:rPr>
      <w:fldChar w:fldCharType="begin"/>
    </w:r>
    <w:r>
      <w:rPr>
        <w:rStyle w:val="50"/>
      </w:rPr>
      <w:instrText xml:space="preserve"> PAGE </w:instrText>
    </w:r>
    <w:r>
      <w:rPr>
        <w:rStyle w:val="50"/>
      </w:rPr>
      <w:fldChar w:fldCharType="separate"/>
    </w:r>
    <w:r>
      <w:rPr>
        <w:rStyle w:val="50"/>
      </w:rPr>
      <w:t>11</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11</w:t>
    </w:r>
    <w:r>
      <w:rPr>
        <w:rStyle w:val="50"/>
      </w:rPr>
      <w:fldChar w:fldCharType="end"/>
    </w:r>
    <w:r>
      <w:rPr>
        <w:rStyle w:val="5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B15AF"/>
    <w:multiLevelType w:val="multilevel"/>
    <w:tmpl w:val="003B15AF"/>
    <w:lvl w:ilvl="0" w:tentative="0">
      <w:start w:val="1"/>
      <w:numFmt w:val="bullet"/>
      <w:lvlText w:val=""/>
      <w:lvlJc w:val="left"/>
      <w:pPr>
        <w:ind w:left="768" w:hanging="360"/>
      </w:pPr>
      <w:rPr>
        <w:rFonts w:hint="default" w:ascii="Symbol" w:hAnsi="Symbol"/>
      </w:rPr>
    </w:lvl>
    <w:lvl w:ilvl="1" w:tentative="0">
      <w:start w:val="1"/>
      <w:numFmt w:val="bullet"/>
      <w:lvlText w:val="o"/>
      <w:lvlJc w:val="left"/>
      <w:pPr>
        <w:ind w:left="1488" w:hanging="360"/>
      </w:pPr>
      <w:rPr>
        <w:rFonts w:hint="default" w:ascii="Courier New" w:hAnsi="Courier New" w:cs="Courier New"/>
      </w:rPr>
    </w:lvl>
    <w:lvl w:ilvl="2" w:tentative="0">
      <w:start w:val="1"/>
      <w:numFmt w:val="bullet"/>
      <w:lvlText w:val=""/>
      <w:lvlJc w:val="left"/>
      <w:pPr>
        <w:ind w:left="2208" w:hanging="360"/>
      </w:pPr>
      <w:rPr>
        <w:rFonts w:hint="default" w:ascii="Wingdings" w:hAnsi="Wingdings"/>
      </w:rPr>
    </w:lvl>
    <w:lvl w:ilvl="3" w:tentative="0">
      <w:start w:val="1"/>
      <w:numFmt w:val="bullet"/>
      <w:lvlText w:val=""/>
      <w:lvlJc w:val="left"/>
      <w:pPr>
        <w:ind w:left="2928" w:hanging="360"/>
      </w:pPr>
      <w:rPr>
        <w:rFonts w:hint="default" w:ascii="Symbol" w:hAnsi="Symbol"/>
      </w:rPr>
    </w:lvl>
    <w:lvl w:ilvl="4" w:tentative="0">
      <w:start w:val="1"/>
      <w:numFmt w:val="bullet"/>
      <w:lvlText w:val="o"/>
      <w:lvlJc w:val="left"/>
      <w:pPr>
        <w:ind w:left="3648" w:hanging="360"/>
      </w:pPr>
      <w:rPr>
        <w:rFonts w:hint="default" w:ascii="Courier New" w:hAnsi="Courier New" w:cs="Courier New"/>
      </w:rPr>
    </w:lvl>
    <w:lvl w:ilvl="5" w:tentative="0">
      <w:start w:val="1"/>
      <w:numFmt w:val="bullet"/>
      <w:lvlText w:val=""/>
      <w:lvlJc w:val="left"/>
      <w:pPr>
        <w:ind w:left="4368" w:hanging="360"/>
      </w:pPr>
      <w:rPr>
        <w:rFonts w:hint="default" w:ascii="Wingdings" w:hAnsi="Wingdings"/>
      </w:rPr>
    </w:lvl>
    <w:lvl w:ilvl="6" w:tentative="0">
      <w:start w:val="1"/>
      <w:numFmt w:val="bullet"/>
      <w:lvlText w:val=""/>
      <w:lvlJc w:val="left"/>
      <w:pPr>
        <w:ind w:left="5088" w:hanging="360"/>
      </w:pPr>
      <w:rPr>
        <w:rFonts w:hint="default" w:ascii="Symbol" w:hAnsi="Symbol"/>
      </w:rPr>
    </w:lvl>
    <w:lvl w:ilvl="7" w:tentative="0">
      <w:start w:val="1"/>
      <w:numFmt w:val="bullet"/>
      <w:lvlText w:val="o"/>
      <w:lvlJc w:val="left"/>
      <w:pPr>
        <w:ind w:left="5808" w:hanging="360"/>
      </w:pPr>
      <w:rPr>
        <w:rFonts w:hint="default" w:ascii="Courier New" w:hAnsi="Courier New" w:cs="Courier New"/>
      </w:rPr>
    </w:lvl>
    <w:lvl w:ilvl="8" w:tentative="0">
      <w:start w:val="1"/>
      <w:numFmt w:val="bullet"/>
      <w:lvlText w:val=""/>
      <w:lvlJc w:val="left"/>
      <w:pPr>
        <w:ind w:left="6528" w:hanging="360"/>
      </w:pPr>
      <w:rPr>
        <w:rFonts w:hint="default" w:ascii="Wingdings" w:hAnsi="Wingdings"/>
      </w:rPr>
    </w:lvl>
  </w:abstractNum>
  <w:abstractNum w:abstractNumId="1">
    <w:nsid w:val="011654CE"/>
    <w:multiLevelType w:val="multilevel"/>
    <w:tmpl w:val="011654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1356E5F"/>
    <w:multiLevelType w:val="multilevel"/>
    <w:tmpl w:val="01356E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0D367570"/>
    <w:multiLevelType w:val="multilevel"/>
    <w:tmpl w:val="0D367570"/>
    <w:lvl w:ilvl="0" w:tentative="0">
      <w:start w:val="1"/>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5">
    <w:nsid w:val="10E42E58"/>
    <w:multiLevelType w:val="multilevel"/>
    <w:tmpl w:val="10E42E58"/>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238139B"/>
    <w:multiLevelType w:val="multilevel"/>
    <w:tmpl w:val="123813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E962183"/>
    <w:multiLevelType w:val="multilevel"/>
    <w:tmpl w:val="1E9621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9FA1B0E"/>
    <w:multiLevelType w:val="multilevel"/>
    <w:tmpl w:val="29FA1B0E"/>
    <w:lvl w:ilvl="0" w:tentative="0">
      <w:start w:val="1"/>
      <w:numFmt w:val="decimal"/>
      <w:pStyle w:val="6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10">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11">
    <w:nsid w:val="353733C8"/>
    <w:multiLevelType w:val="multilevel"/>
    <w:tmpl w:val="353733C8"/>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DotumChe" w:hAnsi="DotumChe" w:cs="DotumChe"/>
      </w:rPr>
    </w:lvl>
    <w:lvl w:ilvl="2" w:tentative="0">
      <w:start w:val="1"/>
      <w:numFmt w:val="bullet"/>
      <w:lvlText w:val=""/>
      <w:lvlJc w:val="left"/>
      <w:pPr>
        <w:tabs>
          <w:tab w:val="left" w:pos="2444"/>
        </w:tabs>
        <w:ind w:left="2444" w:hanging="360"/>
      </w:pPr>
      <w:rPr>
        <w:rFonts w:hint="default" w:ascii="Calibri" w:hAnsi="Calibri"/>
      </w:rPr>
    </w:lvl>
    <w:lvl w:ilvl="3" w:tentative="0">
      <w:start w:val="1"/>
      <w:numFmt w:val="bullet"/>
      <w:lvlText w:val=""/>
      <w:lvlJc w:val="left"/>
      <w:pPr>
        <w:tabs>
          <w:tab w:val="left" w:pos="3164"/>
        </w:tabs>
        <w:ind w:left="3164" w:hanging="360"/>
      </w:pPr>
      <w:rPr>
        <w:rFonts w:hint="default" w:ascii="minorBidi" w:hAnsi="minorBidi"/>
      </w:rPr>
    </w:lvl>
    <w:lvl w:ilvl="4" w:tentative="0">
      <w:start w:val="1"/>
      <w:numFmt w:val="bullet"/>
      <w:lvlText w:val="o"/>
      <w:lvlJc w:val="left"/>
      <w:pPr>
        <w:tabs>
          <w:tab w:val="left" w:pos="3884"/>
        </w:tabs>
        <w:ind w:left="3884" w:hanging="360"/>
      </w:pPr>
      <w:rPr>
        <w:rFonts w:hint="default" w:ascii="DotumChe" w:hAnsi="DotumChe" w:cs="DotumChe"/>
      </w:rPr>
    </w:lvl>
    <w:lvl w:ilvl="5" w:tentative="0">
      <w:start w:val="1"/>
      <w:numFmt w:val="bullet"/>
      <w:lvlText w:val=""/>
      <w:lvlJc w:val="left"/>
      <w:pPr>
        <w:tabs>
          <w:tab w:val="left" w:pos="4604"/>
        </w:tabs>
        <w:ind w:left="4604" w:hanging="360"/>
      </w:pPr>
      <w:rPr>
        <w:rFonts w:hint="default" w:ascii="Calibri" w:hAnsi="Calibri"/>
      </w:rPr>
    </w:lvl>
    <w:lvl w:ilvl="6" w:tentative="0">
      <w:start w:val="1"/>
      <w:numFmt w:val="bullet"/>
      <w:lvlText w:val=""/>
      <w:lvlJc w:val="left"/>
      <w:pPr>
        <w:tabs>
          <w:tab w:val="left" w:pos="5324"/>
        </w:tabs>
        <w:ind w:left="5324" w:hanging="360"/>
      </w:pPr>
      <w:rPr>
        <w:rFonts w:hint="default" w:ascii="minorBidi" w:hAnsi="minorBidi"/>
      </w:rPr>
    </w:lvl>
    <w:lvl w:ilvl="7" w:tentative="0">
      <w:start w:val="1"/>
      <w:numFmt w:val="bullet"/>
      <w:lvlText w:val="o"/>
      <w:lvlJc w:val="left"/>
      <w:pPr>
        <w:tabs>
          <w:tab w:val="left" w:pos="6044"/>
        </w:tabs>
        <w:ind w:left="6044" w:hanging="360"/>
      </w:pPr>
      <w:rPr>
        <w:rFonts w:hint="default" w:ascii="DotumChe" w:hAnsi="DotumChe" w:cs="DotumChe"/>
      </w:rPr>
    </w:lvl>
    <w:lvl w:ilvl="8" w:tentative="0">
      <w:start w:val="1"/>
      <w:numFmt w:val="bullet"/>
      <w:lvlText w:val=""/>
      <w:lvlJc w:val="left"/>
      <w:pPr>
        <w:tabs>
          <w:tab w:val="left" w:pos="6764"/>
        </w:tabs>
        <w:ind w:left="6764" w:hanging="360"/>
      </w:pPr>
      <w:rPr>
        <w:rFonts w:hint="default" w:ascii="Calibri" w:hAnsi="Calibri"/>
      </w:rPr>
    </w:lvl>
  </w:abstractNum>
  <w:abstractNum w:abstractNumId="13">
    <w:nsid w:val="3BD75FF1"/>
    <w:multiLevelType w:val="multilevel"/>
    <w:tmpl w:val="3BD75FF1"/>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5F769F5"/>
    <w:multiLevelType w:val="multilevel"/>
    <w:tmpl w:val="45F769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8B0453A"/>
    <w:multiLevelType w:val="multilevel"/>
    <w:tmpl w:val="48B0453A"/>
    <w:lvl w:ilvl="0" w:tentative="0">
      <w:start w:val="1"/>
      <w:numFmt w:val="decimal"/>
      <w:pStyle w:val="158"/>
      <w:lvlText w:val="Recommendation %1."/>
      <w:lvlJc w:val="left"/>
      <w:pPr>
        <w:ind w:left="360" w:hanging="360"/>
      </w:pPr>
      <w:rPr>
        <w:rFonts w:hint="default"/>
        <w:b/>
        <w:i w:val="0"/>
      </w:rPr>
    </w:lvl>
    <w:lvl w:ilvl="1" w:tentative="0">
      <w:start w:val="1"/>
      <w:numFmt w:val="decimal"/>
      <w:pStyle w:val="15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6">
    <w:nsid w:val="4BA369E8"/>
    <w:multiLevelType w:val="multilevel"/>
    <w:tmpl w:val="4BA369E8"/>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BDF65F6"/>
    <w:multiLevelType w:val="multilevel"/>
    <w:tmpl w:val="4BDF65F6"/>
    <w:lvl w:ilvl="0" w:tentative="0">
      <w:start w:val="1"/>
      <w:numFmt w:val="decimal"/>
      <w:pStyle w:val="6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101505E"/>
    <w:multiLevelType w:val="multilevel"/>
    <w:tmpl w:val="5101505E"/>
    <w:lvl w:ilvl="0" w:tentative="0">
      <w:start w:val="1"/>
      <w:numFmt w:val="decimal"/>
      <w:pStyle w:val="11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2CA544A"/>
    <w:multiLevelType w:val="singleLevel"/>
    <w:tmpl w:val="52CA544A"/>
    <w:lvl w:ilvl="0" w:tentative="0">
      <w:start w:val="1"/>
      <w:numFmt w:val="decimal"/>
      <w:pStyle w:val="15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0">
    <w:nsid w:val="549635E6"/>
    <w:multiLevelType w:val="multilevel"/>
    <w:tmpl w:val="549635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22">
    <w:nsid w:val="58632498"/>
    <w:multiLevelType w:val="multilevel"/>
    <w:tmpl w:val="58632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9CE7946"/>
    <w:multiLevelType w:val="multilevel"/>
    <w:tmpl w:val="59CE79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F9D4926"/>
    <w:multiLevelType w:val="multilevel"/>
    <w:tmpl w:val="5F9D49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0146DC0"/>
    <w:multiLevelType w:val="multilevel"/>
    <w:tmpl w:val="70146DC0"/>
    <w:lvl w:ilvl="0" w:tentative="0">
      <w:start w:val="1"/>
      <w:numFmt w:val="bullet"/>
      <w:pStyle w:val="162"/>
      <w:lvlText w:val=""/>
      <w:lvlJc w:val="left"/>
      <w:pPr>
        <w:tabs>
          <w:tab w:val="left" w:pos="2790"/>
        </w:tabs>
        <w:ind w:left="2790" w:hanging="360"/>
      </w:pPr>
      <w:rPr>
        <w:rFonts w:hint="default" w:ascii="minorBidi" w:hAnsi="minorBidi"/>
        <w:b/>
        <w:i w:val="0"/>
        <w:color w:val="auto"/>
        <w:sz w:val="22"/>
      </w:rPr>
    </w:lvl>
    <w:lvl w:ilvl="1" w:tentative="0">
      <w:start w:val="1"/>
      <w:numFmt w:val="bullet"/>
      <w:lvlText w:val="o"/>
      <w:lvlJc w:val="left"/>
      <w:pPr>
        <w:tabs>
          <w:tab w:val="left" w:pos="-3690"/>
        </w:tabs>
        <w:ind w:left="-3690" w:hanging="360"/>
      </w:pPr>
      <w:rPr>
        <w:rFonts w:hint="default" w:ascii="DotumChe" w:hAnsi="DotumChe" w:cs="DotumChe"/>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75104758"/>
    <w:multiLevelType w:val="multilevel"/>
    <w:tmpl w:val="751047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BC330F5"/>
    <w:multiLevelType w:val="multilevel"/>
    <w:tmpl w:val="7BC330F5"/>
    <w:lvl w:ilvl="0" w:tentative="0">
      <w:start w:val="1"/>
      <w:numFmt w:val="bullet"/>
      <w:pStyle w:val="177"/>
      <w:lvlText w:val=""/>
      <w:lvlJc w:val="left"/>
      <w:pPr>
        <w:tabs>
          <w:tab w:val="left" w:pos="851"/>
        </w:tabs>
        <w:ind w:left="851" w:hanging="851"/>
      </w:pPr>
      <w:rPr>
        <w:rFonts w:hint="default" w:ascii="黑体" w:hAnsi="黑体"/>
        <w:b/>
        <w:i w:val="0"/>
        <w:color w:val="70CEF5"/>
        <w:sz w:val="20"/>
        <w:szCs w:val="20"/>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28">
    <w:nsid w:val="7C245486"/>
    <w:multiLevelType w:val="multilevel"/>
    <w:tmpl w:val="7C2454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0"/>
  </w:num>
  <w:num w:numId="3">
    <w:abstractNumId w:val="21"/>
  </w:num>
  <w:num w:numId="4">
    <w:abstractNumId w:val="9"/>
  </w:num>
  <w:num w:numId="5">
    <w:abstractNumId w:val="12"/>
  </w:num>
  <w:num w:numId="6">
    <w:abstractNumId w:val="17"/>
  </w:num>
  <w:num w:numId="7">
    <w:abstractNumId w:val="8"/>
  </w:num>
  <w:num w:numId="8">
    <w:abstractNumId w:val="4"/>
  </w:num>
  <w:num w:numId="9">
    <w:abstractNumId w:val="18"/>
  </w:num>
  <w:num w:numId="10">
    <w:abstractNumId w:val="19"/>
    <w:lvlOverride w:ilvl="0">
      <w:startOverride w:val="1"/>
    </w:lvlOverride>
  </w:num>
  <w:num w:numId="11">
    <w:abstractNumId w:val="15"/>
  </w:num>
  <w:num w:numId="12">
    <w:abstractNumId w:val="2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
  </w:num>
  <w:num w:numId="15">
    <w:abstractNumId w:val="22"/>
  </w:num>
  <w:num w:numId="16">
    <w:abstractNumId w:val="20"/>
  </w:num>
  <w:num w:numId="17">
    <w:abstractNumId w:val="0"/>
  </w:num>
  <w:num w:numId="18">
    <w:abstractNumId w:val="23"/>
  </w:num>
  <w:num w:numId="19">
    <w:abstractNumId w:val="7"/>
  </w:num>
  <w:num w:numId="20">
    <w:abstractNumId w:val="28"/>
  </w:num>
  <w:num w:numId="21">
    <w:abstractNumId w:val="6"/>
  </w:num>
  <w:num w:numId="22">
    <w:abstractNumId w:val="14"/>
  </w:num>
  <w:num w:numId="23">
    <w:abstractNumId w:val="2"/>
  </w:num>
  <w:num w:numId="24">
    <w:abstractNumId w:val="26"/>
  </w:num>
  <w:num w:numId="25">
    <w:abstractNumId w:val="5"/>
  </w:num>
  <w:num w:numId="26">
    <w:abstractNumId w:val="16"/>
  </w:num>
  <w:num w:numId="27">
    <w:abstractNumId w:val="11"/>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144"/>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A1D"/>
    <w:rsid w:val="00064C0C"/>
    <w:rsid w:val="00064FB1"/>
    <w:rsid w:val="00065049"/>
    <w:rsid w:val="0006541E"/>
    <w:rsid w:val="0006568A"/>
    <w:rsid w:val="00065E51"/>
    <w:rsid w:val="000664E3"/>
    <w:rsid w:val="000665FA"/>
    <w:rsid w:val="000666A2"/>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60A1"/>
    <w:rsid w:val="000B60F5"/>
    <w:rsid w:val="000B626F"/>
    <w:rsid w:val="000B65F3"/>
    <w:rsid w:val="000B666E"/>
    <w:rsid w:val="000B690C"/>
    <w:rsid w:val="000B693E"/>
    <w:rsid w:val="000B7556"/>
    <w:rsid w:val="000B76C1"/>
    <w:rsid w:val="000B79E0"/>
    <w:rsid w:val="000C0566"/>
    <w:rsid w:val="000C0AFB"/>
    <w:rsid w:val="000C111E"/>
    <w:rsid w:val="000C13DF"/>
    <w:rsid w:val="000C14C2"/>
    <w:rsid w:val="000C1B1B"/>
    <w:rsid w:val="000C1B5A"/>
    <w:rsid w:val="000C24CA"/>
    <w:rsid w:val="000C2847"/>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1CE"/>
    <w:rsid w:val="001401FC"/>
    <w:rsid w:val="00140583"/>
    <w:rsid w:val="00140A93"/>
    <w:rsid w:val="00140BAA"/>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4556"/>
    <w:rsid w:val="004C476D"/>
    <w:rsid w:val="004C5484"/>
    <w:rsid w:val="004C5857"/>
    <w:rsid w:val="004C59AA"/>
    <w:rsid w:val="004C59B9"/>
    <w:rsid w:val="004C5D1D"/>
    <w:rsid w:val="004C6B93"/>
    <w:rsid w:val="004C6BC6"/>
    <w:rsid w:val="004C6C01"/>
    <w:rsid w:val="004C6D97"/>
    <w:rsid w:val="004C6F2B"/>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72C7"/>
    <w:rsid w:val="004D7347"/>
    <w:rsid w:val="004E009C"/>
    <w:rsid w:val="004E06DD"/>
    <w:rsid w:val="004E0EB5"/>
    <w:rsid w:val="004E1152"/>
    <w:rsid w:val="004E11F2"/>
    <w:rsid w:val="004E131A"/>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301"/>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96B"/>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F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20198"/>
    <w:rsid w:val="00E205CC"/>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D0321"/>
    <w:rsid w:val="00ED0409"/>
    <w:rsid w:val="00ED043E"/>
    <w:rsid w:val="00ED0498"/>
    <w:rsid w:val="00ED05A2"/>
    <w:rsid w:val="00ED0745"/>
    <w:rsid w:val="00ED0B0A"/>
    <w:rsid w:val="00ED0F1D"/>
    <w:rsid w:val="00ED1040"/>
    <w:rsid w:val="00ED15E2"/>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 w:val="1DA17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楷体_GB2312" w:hAnsi="楷体_GB2312" w:eastAsia="Dotum"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US" w:eastAsia="en-US" w:bidi="ar-SA"/>
    </w:rPr>
  </w:style>
  <w:style w:type="paragraph" w:styleId="2">
    <w:name w:val="heading 1"/>
    <w:next w:val="1"/>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Dotum" w:cs="Times New Roman"/>
      <w:sz w:val="36"/>
      <w:szCs w:val="36"/>
      <w:lang w:val="en-GB" w:eastAsia="zh-CN" w:bidi="ar-SA"/>
    </w:rPr>
  </w:style>
  <w:style w:type="paragraph" w:styleId="3">
    <w:name w:val="heading 2"/>
    <w:basedOn w:val="2"/>
    <w:next w:val="1"/>
    <w:link w:val="180"/>
    <w:qFormat/>
    <w:uiPriority w:val="9"/>
    <w:pPr>
      <w:numPr>
        <w:ilvl w:val="1"/>
      </w:numPr>
      <w:pBdr>
        <w:top w:val="none" w:color="auto" w:sz="0" w:space="0"/>
      </w:pBdr>
      <w:spacing w:before="180"/>
      <w:outlineLvl w:val="1"/>
    </w:pPr>
    <w:rPr>
      <w:sz w:val="32"/>
      <w:szCs w:val="32"/>
    </w:rPr>
  </w:style>
  <w:style w:type="paragraph" w:styleId="4">
    <w:name w:val="heading 3"/>
    <w:basedOn w:val="3"/>
    <w:next w:val="1"/>
    <w:link w:val="178"/>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1"/>
      </w:numPr>
      <w:outlineLvl w:val="3"/>
    </w:pPr>
    <w:rPr>
      <w:sz w:val="24"/>
      <w:szCs w:val="24"/>
    </w:rPr>
  </w:style>
  <w:style w:type="paragraph" w:styleId="6">
    <w:name w:val="heading 5"/>
    <w:basedOn w:val="5"/>
    <w:next w:val="1"/>
    <w:qFormat/>
    <w:uiPriority w:val="9"/>
    <w:pPr>
      <w:numPr>
        <w:ilvl w:val="4"/>
      </w:numPr>
      <w:outlineLvl w:val="4"/>
    </w:pPr>
    <w:rPr>
      <w:sz w:val="22"/>
      <w:szCs w:val="22"/>
    </w:rPr>
  </w:style>
  <w:style w:type="paragraph" w:styleId="7">
    <w:name w:val="heading 6"/>
    <w:basedOn w:val="1"/>
    <w:next w:val="1"/>
    <w:qFormat/>
    <w:uiPriority w:val="9"/>
    <w:pPr>
      <w:keepNext/>
      <w:keepLines/>
      <w:numPr>
        <w:ilvl w:val="5"/>
        <w:numId w:val="1"/>
      </w:numPr>
      <w:spacing w:before="120"/>
      <w:outlineLvl w:val="5"/>
    </w:pPr>
    <w:rPr>
      <w:rFonts w:cs="Arial"/>
    </w:rPr>
  </w:style>
  <w:style w:type="paragraph" w:styleId="8">
    <w:name w:val="heading 7"/>
    <w:basedOn w:val="1"/>
    <w:next w:val="1"/>
    <w:qFormat/>
    <w:uiPriority w:val="9"/>
    <w:pPr>
      <w:keepNext/>
      <w:keepLines/>
      <w:numPr>
        <w:ilvl w:val="6"/>
        <w:numId w:val="1"/>
      </w:numPr>
      <w:spacing w:before="120"/>
      <w:outlineLvl w:val="6"/>
    </w:pPr>
    <w:rPr>
      <w:rFonts w:cs="Arial"/>
    </w:rPr>
  </w:style>
  <w:style w:type="paragraph" w:styleId="9">
    <w:name w:val="heading 8"/>
    <w:basedOn w:val="8"/>
    <w:next w:val="1"/>
    <w:qFormat/>
    <w:uiPriority w:val="9"/>
    <w:pPr>
      <w:numPr>
        <w:ilvl w:val="7"/>
      </w:numPr>
      <w:outlineLvl w:val="7"/>
    </w:pPr>
  </w:style>
  <w:style w:type="paragraph" w:styleId="10">
    <w:name w:val="heading 9"/>
    <w:basedOn w:val="9"/>
    <w:next w:val="1"/>
    <w:qFormat/>
    <w:uiPriority w:val="9"/>
    <w:pPr>
      <w:numPr>
        <w:ilvl w:val="8"/>
      </w:num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Dotum"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794"/>
        <w:tab w:val="left" w:pos="1077"/>
        <w:tab w:val="left" w:pos="1361"/>
      </w:tabs>
    </w:pPr>
  </w:style>
  <w:style w:type="paragraph" w:styleId="24">
    <w:name w:val="List Bullet 3"/>
    <w:basedOn w:val="25"/>
    <w:qFormat/>
    <w:uiPriority w:val="0"/>
    <w:pPr>
      <w:numPr>
        <w:ilvl w:val="0"/>
        <w:numId w:val="3"/>
      </w:numPr>
      <w:tabs>
        <w:tab w:val="left" w:pos="794"/>
      </w:tabs>
    </w:pPr>
  </w:style>
  <w:style w:type="paragraph" w:styleId="25">
    <w:name w:val="List Bullet 2"/>
    <w:basedOn w:val="26"/>
    <w:qFormat/>
    <w:uiPriority w:val="0"/>
    <w:pPr>
      <w:tabs>
        <w:tab w:val="left" w:pos="794"/>
      </w:tabs>
      <w:ind w:left="794"/>
    </w:pPr>
  </w:style>
  <w:style w:type="paragraph" w:styleId="26">
    <w:name w:val="List Bullet"/>
    <w:basedOn w:val="27"/>
    <w:qFormat/>
    <w:uiPriority w:val="0"/>
    <w:pPr>
      <w:numPr>
        <w:ilvl w:val="0"/>
        <w:numId w:val="4"/>
      </w:numPr>
    </w:pPr>
  </w:style>
  <w:style w:type="paragraph" w:styleId="27">
    <w:name w:val="Body Text"/>
    <w:basedOn w:val="1"/>
    <w:link w:val="67"/>
    <w:qFormat/>
    <w:uiPriority w:val="0"/>
    <w:rPr>
      <w:rFonts w:eastAsia="Dotum"/>
      <w:lang w:val="en-GB"/>
    </w:rPr>
  </w:style>
  <w:style w:type="paragraph" w:styleId="28">
    <w:name w:val="caption"/>
    <w:basedOn w:val="1"/>
    <w:next w:val="1"/>
    <w:link w:val="118"/>
    <w:qFormat/>
    <w:uiPriority w:val="0"/>
    <w:pPr>
      <w:spacing w:after="240"/>
      <w:jc w:val="center"/>
    </w:pPr>
    <w:rPr>
      <w:b/>
      <w:bCs/>
      <w:lang w:val="zh-CN" w:eastAsia="zh-CN"/>
    </w:rPr>
  </w:style>
  <w:style w:type="paragraph" w:styleId="29">
    <w:name w:val="Document Map"/>
    <w:basedOn w:val="1"/>
    <w:semiHidden/>
    <w:qFormat/>
    <w:uiPriority w:val="0"/>
    <w:pPr>
      <w:shd w:val="clear" w:color="auto" w:fill="000080"/>
    </w:pPr>
    <w:rPr>
      <w:rFonts w:ascii="MS UI Gothic" w:hAnsi="MS UI Gothic" w:cs="MS UI Gothic"/>
    </w:rPr>
  </w:style>
  <w:style w:type="paragraph" w:styleId="30">
    <w:name w:val="annotation text"/>
    <w:basedOn w:val="1"/>
    <w:link w:val="161"/>
    <w:semiHidden/>
    <w:qFormat/>
    <w:uiPriority w:val="0"/>
    <w:rPr>
      <w:lang w:val="zh-CN" w:eastAsia="zh-CN"/>
    </w:rPr>
  </w:style>
  <w:style w:type="paragraph" w:styleId="31">
    <w:name w:val="List Bullet 5"/>
    <w:basedOn w:val="23"/>
    <w:qFormat/>
    <w:uiPriority w:val="0"/>
    <w:pPr>
      <w:numPr>
        <w:numId w:val="5"/>
      </w:numPr>
      <w:tabs>
        <w:tab w:val="left" w:pos="1644"/>
      </w:tabs>
    </w:pPr>
  </w:style>
  <w:style w:type="paragraph" w:styleId="32">
    <w:name w:val="toc 8"/>
    <w:basedOn w:val="20"/>
    <w:next w:val="1"/>
    <w:semiHidden/>
    <w:qFormat/>
    <w:uiPriority w:val="0"/>
    <w:pPr>
      <w:spacing w:before="180"/>
      <w:ind w:left="2693" w:hanging="2693"/>
    </w:pPr>
    <w:rPr>
      <w:b/>
      <w:bCs/>
    </w:rPr>
  </w:style>
  <w:style w:type="paragraph" w:styleId="33">
    <w:name w:val="Balloon Text"/>
    <w:basedOn w:val="1"/>
    <w:semiHidden/>
    <w:qFormat/>
    <w:uiPriority w:val="0"/>
    <w:rPr>
      <w:rFonts w:ascii="MS UI Gothic" w:hAnsi="MS UI Gothic" w:cs="MS UI Gothic"/>
      <w:sz w:val="16"/>
      <w:szCs w:val="16"/>
    </w:rPr>
  </w:style>
  <w:style w:type="paragraph" w:styleId="34">
    <w:name w:val="footer"/>
    <w:basedOn w:val="35"/>
    <w:semiHidden/>
    <w:qFormat/>
    <w:uiPriority w:val="0"/>
    <w:pPr>
      <w:jc w:val="center"/>
    </w:pPr>
    <w:rPr>
      <w:i/>
      <w:iCs/>
    </w:rPr>
  </w:style>
  <w:style w:type="paragraph" w:styleId="35">
    <w:name w:val="header"/>
    <w:link w:val="172"/>
    <w:qFormat/>
    <w:uiPriority w:val="99"/>
    <w:pPr>
      <w:widowControl w:val="0"/>
      <w:overflowPunct w:val="0"/>
      <w:autoSpaceDE w:val="0"/>
      <w:autoSpaceDN w:val="0"/>
      <w:adjustRightInd w:val="0"/>
      <w:textAlignment w:val="baseline"/>
    </w:pPr>
    <w:rPr>
      <w:rFonts w:ascii="Arial" w:hAnsi="Arial" w:eastAsia="Dotum" w:cs="Times New Roman"/>
      <w:b/>
      <w:bCs/>
      <w:sz w:val="18"/>
      <w:szCs w:val="18"/>
      <w:lang w:val="en-US" w:eastAsia="zh-CN" w:bidi="ar-SA"/>
    </w:rPr>
  </w:style>
  <w:style w:type="paragraph" w:styleId="36">
    <w:name w:val="List Number 5"/>
    <w:basedOn w:val="1"/>
    <w:qFormat/>
    <w:uiPriority w:val="0"/>
    <w:pPr>
      <w:tabs>
        <w:tab w:val="left" w:pos="2040"/>
      </w:tabs>
      <w:spacing w:after="180"/>
      <w:ind w:left="2040" w:leftChars="800" w:hanging="360" w:hangingChars="200"/>
    </w:pPr>
    <w:rPr>
      <w:rFonts w:ascii="Times New Roman" w:hAnsi="Times New Roman" w:eastAsia="MS Mincho"/>
      <w:lang w:val="en-GB"/>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0"/>
    <w:pPr>
      <w:ind w:left="1418" w:hanging="1418"/>
    </w:pPr>
    <w:rPr>
      <w:b/>
    </w:rPr>
  </w:style>
  <w:style w:type="paragraph" w:styleId="41">
    <w:name w:val="toc 9"/>
    <w:basedOn w:val="32"/>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ascii="Times New Roman" w:hAnsi="Times New Roman"/>
      <w:sz w:val="24"/>
      <w:szCs w:val="24"/>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rPr>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semiHidden/>
    <w:qFormat/>
    <w:uiPriority w:val="0"/>
  </w:style>
  <w:style w:type="character" w:styleId="51">
    <w:name w:val="FollowedHyperlink"/>
    <w:semiHidden/>
    <w:qFormat/>
    <w:uiPriority w:val="0"/>
    <w:rPr>
      <w:color w:val="FF000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szCs w:val="16"/>
    </w:rPr>
  </w:style>
  <w:style w:type="character" w:styleId="55">
    <w:name w:val="footnote reference"/>
    <w:semiHidden/>
    <w:uiPriority w:val="0"/>
    <w:rPr>
      <w:b/>
      <w:bCs/>
      <w:position w:val="6"/>
      <w:sz w:val="16"/>
      <w:szCs w:val="16"/>
    </w:rPr>
  </w:style>
  <w:style w:type="paragraph" w:customStyle="1" w:styleId="56">
    <w:name w:val="Figure"/>
    <w:basedOn w:val="1"/>
    <w:next w:val="28"/>
    <w:qFormat/>
    <w:uiPriority w:val="0"/>
    <w:pPr>
      <w:keepNext/>
      <w:keepLines/>
      <w:spacing w:before="180"/>
      <w:jc w:val="center"/>
    </w:pPr>
  </w:style>
  <w:style w:type="paragraph" w:customStyle="1" w:styleId="57">
    <w:name w:val="3GPP_Header"/>
    <w:basedOn w:val="1"/>
    <w:qFormat/>
    <w:uiPriority w:val="0"/>
    <w:pPr>
      <w:tabs>
        <w:tab w:val="left" w:pos="1701"/>
        <w:tab w:val="right" w:pos="9639"/>
      </w:tabs>
      <w:spacing w:after="240"/>
    </w:pPr>
    <w:rPr>
      <w:b/>
      <w:sz w:val="24"/>
    </w:rPr>
  </w:style>
  <w:style w:type="paragraph" w:customStyle="1" w:styleId="58">
    <w:name w:val="EQ"/>
    <w:basedOn w:val="1"/>
    <w:next w:val="1"/>
    <w:qFormat/>
    <w:uiPriority w:val="0"/>
    <w:pPr>
      <w:keepLines/>
      <w:tabs>
        <w:tab w:val="center" w:pos="4536"/>
        <w:tab w:val="right" w:pos="9072"/>
      </w:tabs>
      <w:spacing w:after="180"/>
    </w:pPr>
  </w:style>
  <w:style w:type="paragraph" w:customStyle="1" w:styleId="59">
    <w:name w:val="Editor's Note"/>
    <w:basedOn w:val="1"/>
    <w:link w:val="109"/>
    <w:qFormat/>
    <w:uiPriority w:val="0"/>
    <w:pPr>
      <w:keepLines/>
      <w:spacing w:after="180"/>
      <w:ind w:left="1135" w:hanging="851"/>
    </w:pPr>
    <w:rPr>
      <w:rFonts w:eastAsia="Dotum"/>
      <w:color w:val="FF0000"/>
      <w:lang w:val="en-GB"/>
    </w:rPr>
  </w:style>
  <w:style w:type="paragraph" w:customStyle="1" w:styleId="60">
    <w:name w:val="Reference"/>
    <w:basedOn w:val="1"/>
    <w:qFormat/>
    <w:uiPriority w:val="0"/>
    <w:pPr>
      <w:numPr>
        <w:ilvl w:val="0"/>
        <w:numId w:val="6"/>
      </w:numPr>
    </w:pPr>
  </w:style>
  <w:style w:type="character" w:customStyle="1" w:styleId="61">
    <w:name w:val="标题 1 字符"/>
    <w:link w:val="2"/>
    <w:qFormat/>
    <w:uiPriority w:val="0"/>
    <w:rPr>
      <w:rFonts w:ascii="Arial" w:hAnsi="Arial"/>
      <w:sz w:val="36"/>
      <w:szCs w:val="36"/>
      <w:lang w:val="en-GB" w:eastAsia="zh-CN"/>
    </w:rPr>
  </w:style>
  <w:style w:type="paragraph" w:customStyle="1" w:styleId="62">
    <w:name w:val="B1"/>
    <w:basedOn w:val="13"/>
    <w:link w:val="93"/>
    <w:qFormat/>
    <w:uiPriority w:val="0"/>
    <w:pPr>
      <w:spacing w:after="180"/>
    </w:pPr>
    <w:rPr>
      <w:rFonts w:eastAsia="Dotum"/>
      <w:lang w:val="en-GB" w:eastAsia="zh-CN"/>
    </w:rPr>
  </w:style>
  <w:style w:type="paragraph" w:customStyle="1" w:styleId="63">
    <w:name w:val="B2"/>
    <w:basedOn w:val="12"/>
    <w:link w:val="105"/>
    <w:qFormat/>
    <w:uiPriority w:val="0"/>
    <w:pPr>
      <w:spacing w:after="180"/>
    </w:pPr>
    <w:rPr>
      <w:rFonts w:eastAsia="Dotum"/>
      <w:lang w:val="en-GB"/>
    </w:rPr>
  </w:style>
  <w:style w:type="paragraph" w:customStyle="1" w:styleId="64">
    <w:name w:val="B3"/>
    <w:basedOn w:val="11"/>
    <w:link w:val="166"/>
    <w:qFormat/>
    <w:uiPriority w:val="0"/>
    <w:pPr>
      <w:spacing w:after="180"/>
    </w:pPr>
    <w:rPr>
      <w:lang w:val="zh-CN"/>
    </w:rPr>
  </w:style>
  <w:style w:type="paragraph" w:customStyle="1" w:styleId="65">
    <w:name w:val="B4"/>
    <w:basedOn w:val="39"/>
    <w:link w:val="167"/>
    <w:qFormat/>
    <w:uiPriority w:val="0"/>
    <w:pPr>
      <w:spacing w:after="180"/>
    </w:pPr>
    <w:rPr>
      <w:lang w:val="zh-CN"/>
    </w:rPr>
  </w:style>
  <w:style w:type="paragraph" w:customStyle="1" w:styleId="66">
    <w:name w:val="Proposal"/>
    <w:basedOn w:val="1"/>
    <w:link w:val="102"/>
    <w:qFormat/>
    <w:uiPriority w:val="0"/>
    <w:pPr>
      <w:numPr>
        <w:ilvl w:val="0"/>
        <w:numId w:val="7"/>
      </w:numPr>
    </w:pPr>
    <w:rPr>
      <w:rFonts w:eastAsia="Dotum"/>
      <w:b/>
      <w:bCs/>
      <w:lang w:val="zh-CN" w:eastAsia="zh-CN"/>
    </w:rPr>
  </w:style>
  <w:style w:type="character" w:customStyle="1" w:styleId="67">
    <w:name w:val="正文文本 字符"/>
    <w:link w:val="27"/>
    <w:qFormat/>
    <w:uiPriority w:val="0"/>
    <w:rPr>
      <w:rFonts w:ascii="Arial" w:hAnsi="Arial"/>
      <w:lang w:val="en-GB" w:eastAsia="zh-CN"/>
    </w:rPr>
  </w:style>
  <w:style w:type="paragraph" w:customStyle="1" w:styleId="68">
    <w:name w:val="B5"/>
    <w:basedOn w:val="38"/>
    <w:qFormat/>
    <w:uiPriority w:val="0"/>
    <w:pPr>
      <w:spacing w:after="180"/>
    </w:pPr>
  </w:style>
  <w:style w:type="paragraph" w:customStyle="1" w:styleId="69">
    <w:name w:val="EX"/>
    <w:basedOn w:val="1"/>
    <w:qFormat/>
    <w:uiPriority w:val="0"/>
    <w:pPr>
      <w:keepLines/>
      <w:spacing w:after="180"/>
      <w:ind w:left="1702" w:hanging="1418"/>
    </w:pPr>
  </w:style>
  <w:style w:type="paragraph" w:customStyle="1" w:styleId="70">
    <w:name w:val="EW"/>
    <w:basedOn w:val="69"/>
    <w:qFormat/>
    <w:uiPriority w:val="0"/>
    <w:pPr>
      <w:spacing w:after="0"/>
    </w:pPr>
  </w:style>
  <w:style w:type="paragraph" w:customStyle="1" w:styleId="71">
    <w:name w:val="TAL"/>
    <w:basedOn w:val="1"/>
    <w:link w:val="92"/>
    <w:qFormat/>
    <w:uiPriority w:val="0"/>
    <w:pPr>
      <w:keepNext/>
      <w:keepLines/>
      <w:spacing w:after="0"/>
    </w:pPr>
    <w:rPr>
      <w:rFonts w:eastAsia="Dotum"/>
      <w:sz w:val="18"/>
      <w:lang w:val="en-GB" w:eastAsia="zh-CN"/>
    </w:rPr>
  </w:style>
  <w:style w:type="paragraph" w:customStyle="1" w:styleId="72">
    <w:name w:val="TAC"/>
    <w:basedOn w:val="71"/>
    <w:link w:val="163"/>
    <w:qFormat/>
    <w:uiPriority w:val="0"/>
    <w:pPr>
      <w:jc w:val="center"/>
    </w:pPr>
  </w:style>
  <w:style w:type="paragraph" w:customStyle="1" w:styleId="73">
    <w:name w:val="TAH"/>
    <w:basedOn w:val="72"/>
    <w:link w:val="164"/>
    <w:qFormat/>
    <w:uiPriority w:val="0"/>
    <w:rPr>
      <w:b/>
    </w:rPr>
  </w:style>
  <w:style w:type="paragraph" w:customStyle="1" w:styleId="74">
    <w:name w:val="TAN"/>
    <w:basedOn w:val="71"/>
    <w:qFormat/>
    <w:uiPriority w:val="0"/>
    <w:pPr>
      <w:ind w:left="851" w:hanging="851"/>
    </w:pPr>
  </w:style>
  <w:style w:type="paragraph" w:customStyle="1" w:styleId="75">
    <w:name w:val="TAR"/>
    <w:basedOn w:val="71"/>
    <w:qFormat/>
    <w:uiPriority w:val="0"/>
    <w:pPr>
      <w:jc w:val="right"/>
    </w:pPr>
  </w:style>
  <w:style w:type="paragraph" w:customStyle="1" w:styleId="76">
    <w:name w:val="TH"/>
    <w:basedOn w:val="1"/>
    <w:link w:val="94"/>
    <w:qFormat/>
    <w:uiPriority w:val="0"/>
    <w:pPr>
      <w:keepNext/>
      <w:keepLines/>
      <w:spacing w:before="60" w:after="180"/>
      <w:jc w:val="center"/>
    </w:pPr>
    <w:rPr>
      <w:rFonts w:eastAsia="Dotum"/>
      <w:b/>
      <w:lang w:val="en-GB" w:eastAsia="zh-CN"/>
    </w:rPr>
  </w:style>
  <w:style w:type="paragraph" w:customStyle="1" w:styleId="77">
    <w:name w:val="TF"/>
    <w:basedOn w:val="76"/>
    <w:link w:val="110"/>
    <w:qFormat/>
    <w:uiPriority w:val="0"/>
    <w:pPr>
      <w:keepNext w:val="0"/>
      <w:spacing w:before="0" w:after="240"/>
    </w:pPr>
  </w:style>
  <w:style w:type="paragraph" w:customStyle="1" w:styleId="78">
    <w:name w:val="TT"/>
    <w:basedOn w:val="2"/>
    <w:next w:val="1"/>
    <w:qFormat/>
    <w:uiPriority w:val="0"/>
    <w:pPr>
      <w:numPr>
        <w:numId w:val="0"/>
      </w:numPr>
      <w:ind w:left="1134" w:hanging="1134"/>
      <w:outlineLvl w:val="9"/>
    </w:pPr>
    <w:rPr>
      <w:szCs w:val="20"/>
      <w:lang w:eastAsia="en-US"/>
    </w:r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Dotum"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Dotum"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Dotum" w:cs="Times New Roman"/>
      <w:sz w:val="32"/>
      <w:lang w:val="en-US" w:eastAsia="en-US" w:bidi="ar-SA"/>
    </w:rPr>
  </w:style>
  <w:style w:type="paragraph" w:customStyle="1" w:styleId="8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Dotum" w:cs="Times New Roman"/>
      <w:lang w:val="en-US" w:eastAsia="en-US" w:bidi="ar-SA"/>
    </w:rPr>
  </w:style>
  <w:style w:type="character" w:customStyle="1" w:styleId="83">
    <w:name w:val="ZGSM"/>
    <w:qFormat/>
    <w:uiPriority w:val="0"/>
  </w:style>
  <w:style w:type="paragraph" w:customStyle="1" w:styleId="8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Dotum" w:cs="Times New Roman"/>
      <w:lang w:val="en-US" w:eastAsia="en-US" w:bidi="ar-SA"/>
    </w:rPr>
  </w:style>
  <w:style w:type="paragraph" w:customStyle="1" w:styleId="8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Dotum" w:cs="Times New Roman"/>
      <w:b/>
      <w:sz w:val="34"/>
      <w:lang w:val="en-GB" w:eastAsia="en-US" w:bidi="ar-SA"/>
    </w:rPr>
  </w:style>
  <w:style w:type="paragraph" w:customStyle="1" w:styleId="86">
    <w:name w:val="ZTD"/>
    <w:basedOn w:val="80"/>
    <w:qFormat/>
    <w:uiPriority w:val="0"/>
    <w:pPr>
      <w:framePr w:hRule="auto" w:y="852"/>
    </w:pPr>
    <w:rPr>
      <w:i w:val="0"/>
      <w:sz w:val="40"/>
    </w:rPr>
  </w:style>
  <w:style w:type="paragraph" w:customStyle="1" w:styleId="8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Dotum" w:cs="Times New Roman"/>
      <w:lang w:val="en-US" w:eastAsia="en-US" w:bidi="ar-SA"/>
    </w:rPr>
  </w:style>
  <w:style w:type="paragraph" w:customStyle="1" w:styleId="88">
    <w:name w:val="ZV"/>
    <w:basedOn w:val="87"/>
    <w:qFormat/>
    <w:uiPriority w:val="0"/>
    <w:pPr>
      <w:framePr w:y="16161"/>
    </w:pPr>
  </w:style>
  <w:style w:type="paragraph" w:customStyle="1" w:styleId="89">
    <w:name w:val="FP"/>
    <w:basedOn w:val="1"/>
    <w:qFormat/>
    <w:uiPriority w:val="0"/>
    <w:pPr>
      <w:spacing w:after="0"/>
    </w:pPr>
  </w:style>
  <w:style w:type="paragraph" w:customStyle="1" w:styleId="90">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eastAsia="Dotum" w:cs="Times New Roman"/>
      <w:sz w:val="16"/>
      <w:szCs w:val="16"/>
      <w:lang w:val="en-GB" w:eastAsia="ja-JP" w:bidi="ar-SA"/>
    </w:rPr>
  </w:style>
  <w:style w:type="character" w:customStyle="1" w:styleId="91">
    <w:name w:val="PL Char"/>
    <w:link w:val="90"/>
    <w:qFormat/>
    <w:uiPriority w:val="0"/>
    <w:rPr>
      <w:rFonts w:ascii="DotumChe" w:hAnsi="DotumChe"/>
      <w:sz w:val="16"/>
      <w:szCs w:val="16"/>
      <w:lang w:val="en-GB" w:eastAsia="ja-JP" w:bidi="ar-SA"/>
    </w:rPr>
  </w:style>
  <w:style w:type="character" w:customStyle="1" w:styleId="92">
    <w:name w:val="TAL Car"/>
    <w:link w:val="71"/>
    <w:qFormat/>
    <w:uiPriority w:val="0"/>
    <w:rPr>
      <w:rFonts w:ascii="Arial" w:hAnsi="Arial"/>
      <w:sz w:val="18"/>
      <w:lang w:val="en-GB"/>
    </w:rPr>
  </w:style>
  <w:style w:type="character" w:customStyle="1" w:styleId="93">
    <w:name w:val="B1 Char1"/>
    <w:link w:val="62"/>
    <w:qFormat/>
    <w:uiPriority w:val="0"/>
    <w:rPr>
      <w:rFonts w:ascii="Arial" w:hAnsi="Arial"/>
      <w:lang w:val="en-GB"/>
    </w:rPr>
  </w:style>
  <w:style w:type="character" w:customStyle="1" w:styleId="94">
    <w:name w:val="TH Char"/>
    <w:link w:val="76"/>
    <w:qFormat/>
    <w:uiPriority w:val="0"/>
    <w:rPr>
      <w:rFonts w:ascii="Arial" w:hAnsi="Arial"/>
      <w:b/>
      <w:lang w:val="en-GB"/>
    </w:rPr>
  </w:style>
  <w:style w:type="paragraph" w:customStyle="1" w:styleId="95">
    <w:name w:val="TAL Char Char"/>
    <w:basedOn w:val="1"/>
    <w:link w:val="96"/>
    <w:qFormat/>
    <w:uiPriority w:val="0"/>
    <w:pPr>
      <w:keepNext/>
      <w:keepLines/>
      <w:spacing w:after="0"/>
    </w:pPr>
    <w:rPr>
      <w:rFonts w:eastAsia="Dotum"/>
      <w:sz w:val="18"/>
      <w:lang w:val="en-GB" w:eastAsia="ja-JP"/>
    </w:rPr>
  </w:style>
  <w:style w:type="character" w:customStyle="1" w:styleId="96">
    <w:name w:val="TAL Char Char Char"/>
    <w:link w:val="95"/>
    <w:qFormat/>
    <w:uiPriority w:val="0"/>
    <w:rPr>
      <w:rFonts w:ascii="Arial" w:hAnsi="Arial"/>
      <w:sz w:val="18"/>
      <w:lang w:val="en-GB" w:eastAsia="ja-JP"/>
    </w:rPr>
  </w:style>
  <w:style w:type="paragraph" w:customStyle="1" w:styleId="97">
    <w:name w:val="Doc-text2"/>
    <w:basedOn w:val="1"/>
    <w:link w:val="98"/>
    <w:qFormat/>
    <w:uiPriority w:val="0"/>
    <w:pPr>
      <w:tabs>
        <w:tab w:val="left" w:pos="1622"/>
      </w:tabs>
      <w:spacing w:after="0"/>
      <w:ind w:left="1622" w:hanging="363"/>
    </w:pPr>
    <w:rPr>
      <w:rFonts w:eastAsia="MS Mincho"/>
      <w:szCs w:val="24"/>
      <w:lang w:val="en-GB"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Heading 1 Char"/>
    <w:qFormat/>
    <w:uiPriority w:val="0"/>
    <w:rPr>
      <w:rFonts w:ascii="Arial" w:hAnsi="Arial" w:cs="Arial"/>
      <w:sz w:val="36"/>
      <w:szCs w:val="36"/>
      <w:lang w:val="en-GB" w:eastAsia="zh-CN" w:bidi="ar-SA"/>
    </w:rPr>
  </w:style>
  <w:style w:type="paragraph" w:customStyle="1" w:styleId="100">
    <w:name w:val="NO"/>
    <w:basedOn w:val="1"/>
    <w:link w:val="101"/>
    <w:qFormat/>
    <w:uiPriority w:val="0"/>
    <w:pPr>
      <w:keepLines/>
      <w:spacing w:after="180"/>
      <w:ind w:left="1135" w:hanging="851"/>
    </w:pPr>
    <w:rPr>
      <w:rFonts w:ascii="楷体_GB2312" w:hAnsi="楷体_GB2312" w:eastAsia="Dotum"/>
      <w:lang w:val="en-GB" w:eastAsia="ja-JP"/>
    </w:rPr>
  </w:style>
  <w:style w:type="character" w:customStyle="1" w:styleId="101">
    <w:name w:val="NO Char"/>
    <w:link w:val="100"/>
    <w:qFormat/>
    <w:uiPriority w:val="0"/>
    <w:rPr>
      <w:lang w:val="en-GB" w:eastAsia="ja-JP" w:bidi="ar-SA"/>
    </w:rPr>
  </w:style>
  <w:style w:type="character" w:customStyle="1" w:styleId="102">
    <w:name w:val="Proposal Char"/>
    <w:link w:val="66"/>
    <w:qFormat/>
    <w:uiPriority w:val="0"/>
    <w:rPr>
      <w:rFonts w:ascii="Arial" w:hAnsi="Arial"/>
      <w:b/>
      <w:bCs/>
      <w:lang w:val="zh-CN" w:eastAsia="zh-CN"/>
    </w:rPr>
  </w:style>
  <w:style w:type="paragraph" w:customStyle="1" w:styleId="103">
    <w:name w:val="CR Cover Page"/>
    <w:link w:val="174"/>
    <w:qFormat/>
    <w:uiPriority w:val="0"/>
    <w:pPr>
      <w:spacing w:after="120"/>
    </w:pPr>
    <w:rPr>
      <w:rFonts w:ascii="Arial" w:hAnsi="Arial" w:eastAsia="MS Mincho" w:cs="Times New Roman"/>
      <w:lang w:val="en-GB" w:eastAsia="en-US" w:bidi="ar-SA"/>
    </w:rPr>
  </w:style>
  <w:style w:type="paragraph" w:customStyle="1" w:styleId="104">
    <w:name w:val="Colorful List - Accent 11"/>
    <w:basedOn w:val="1"/>
    <w:qFormat/>
    <w:uiPriority w:val="0"/>
    <w:pPr>
      <w:spacing w:after="180"/>
      <w:ind w:left="720"/>
      <w:contextualSpacing/>
    </w:pPr>
    <w:rPr>
      <w:rFonts w:ascii="Times New Roman" w:hAnsi="Times New Roman"/>
    </w:rPr>
  </w:style>
  <w:style w:type="character" w:customStyle="1" w:styleId="105">
    <w:name w:val="B2 Char"/>
    <w:link w:val="63"/>
    <w:qFormat/>
    <w:uiPriority w:val="0"/>
    <w:rPr>
      <w:rFonts w:ascii="Arial" w:hAnsi="Arial"/>
      <w:lang w:val="en-GB" w:eastAsia="en-US" w:bidi="ar-SA"/>
    </w:rPr>
  </w:style>
  <w:style w:type="paragraph" w:customStyle="1" w:styleId="106">
    <w:name w:val="Doc-title"/>
    <w:basedOn w:val="1"/>
    <w:next w:val="97"/>
    <w:link w:val="107"/>
    <w:qFormat/>
    <w:uiPriority w:val="0"/>
    <w:pPr>
      <w:spacing w:after="0"/>
      <w:ind w:left="1260" w:hanging="1260"/>
    </w:pPr>
    <w:rPr>
      <w:rFonts w:eastAsia="MS Mincho"/>
      <w:szCs w:val="24"/>
      <w:lang w:val="en-GB" w:eastAsia="en-GB"/>
    </w:rPr>
  </w:style>
  <w:style w:type="character" w:customStyle="1" w:styleId="107">
    <w:name w:val="Doc-title Char"/>
    <w:link w:val="106"/>
    <w:qFormat/>
    <w:uiPriority w:val="0"/>
    <w:rPr>
      <w:rFonts w:ascii="Arial" w:hAnsi="Arial" w:eastAsia="MS Mincho"/>
      <w:szCs w:val="24"/>
      <w:lang w:val="en-GB" w:eastAsia="en-GB"/>
    </w:rPr>
  </w:style>
  <w:style w:type="paragraph" w:customStyle="1" w:styleId="108">
    <w:name w:val="LGTdoc_본문"/>
    <w:basedOn w:val="1"/>
    <w:qFormat/>
    <w:uiPriority w:val="0"/>
    <w:pPr>
      <w:widowControl w:val="0"/>
      <w:snapToGrid w:val="0"/>
      <w:spacing w:afterLines="50" w:line="264" w:lineRule="auto"/>
    </w:pPr>
    <w:rPr>
      <w:rFonts w:ascii="Times New Roman" w:hAnsi="Times New Roman" w:eastAsia="Calibri Light"/>
      <w:kern w:val="2"/>
      <w:szCs w:val="24"/>
      <w:lang w:eastAsia="ko-KR"/>
    </w:rPr>
  </w:style>
  <w:style w:type="character" w:customStyle="1" w:styleId="109">
    <w:name w:val="Editor's Note Char Char"/>
    <w:link w:val="59"/>
    <w:qFormat/>
    <w:uiPriority w:val="0"/>
    <w:rPr>
      <w:rFonts w:ascii="Arial" w:hAnsi="Arial"/>
      <w:color w:val="FF0000"/>
      <w:lang w:val="en-GB" w:eastAsia="en-US"/>
    </w:rPr>
  </w:style>
  <w:style w:type="character" w:customStyle="1" w:styleId="110">
    <w:name w:val="TF Char"/>
    <w:link w:val="77"/>
    <w:qFormat/>
    <w:uiPriority w:val="0"/>
    <w:rPr>
      <w:rFonts w:ascii="Arial" w:hAnsi="Arial"/>
      <w:b/>
      <w:lang w:val="en-GB" w:eastAsia="zh-CN"/>
    </w:rPr>
  </w:style>
  <w:style w:type="paragraph" w:customStyle="1" w:styleId="111">
    <w:name w:val="标题4"/>
    <w:basedOn w:val="1"/>
    <w:uiPriority w:val="0"/>
    <w:pPr>
      <w:numPr>
        <w:ilvl w:val="0"/>
        <w:numId w:val="8"/>
      </w:numPr>
      <w:spacing w:after="180"/>
    </w:pPr>
    <w:rPr>
      <w:rFonts w:ascii="Times New Roman" w:hAnsi="Times New Roman" w:eastAsia="Times New Roman"/>
      <w:lang w:eastAsia="en-GB"/>
    </w:rPr>
  </w:style>
  <w:style w:type="paragraph" w:customStyle="1" w:styleId="112">
    <w:name w:val="表格文本"/>
    <w:uiPriority w:val="0"/>
    <w:pPr>
      <w:tabs>
        <w:tab w:val="decimal" w:pos="0"/>
      </w:tabs>
    </w:pPr>
    <w:rPr>
      <w:rFonts w:ascii="Arial" w:hAnsi="Arial" w:eastAsia="宋体" w:cs="Times New Roman"/>
      <w:sz w:val="21"/>
      <w:szCs w:val="21"/>
      <w:lang w:val="en-US" w:eastAsia="zh-CN" w:bidi="ar-SA"/>
    </w:rPr>
  </w:style>
  <w:style w:type="character" w:customStyle="1" w:styleId="113">
    <w:name w:val="NO Zchn"/>
    <w:qFormat/>
    <w:uiPriority w:val="0"/>
    <w:rPr>
      <w:rFonts w:eastAsia="Times New Roman"/>
      <w:color w:val="000000"/>
      <w:lang w:eastAsia="ja-JP"/>
    </w:rPr>
  </w:style>
  <w:style w:type="character" w:customStyle="1" w:styleId="114">
    <w:name w:val="Editor's Note Char2"/>
    <w:uiPriority w:val="0"/>
    <w:rPr>
      <w:rFonts w:eastAsia="Times New Roman"/>
      <w:color w:val="FF0000"/>
      <w:lang w:eastAsia="ja-JP"/>
    </w:rPr>
  </w:style>
  <w:style w:type="paragraph" w:customStyle="1" w:styleId="115">
    <w:name w:val="图表标题"/>
    <w:basedOn w:val="1"/>
    <w:next w:val="1"/>
    <w:qFormat/>
    <w:uiPriority w:val="0"/>
    <w:pPr>
      <w:spacing w:before="60" w:after="60"/>
      <w:jc w:val="center"/>
    </w:pPr>
    <w:rPr>
      <w:rFonts w:eastAsia="Calibri Light" w:cs="宋体"/>
      <w:lang w:eastAsia="en-GB"/>
    </w:rPr>
  </w:style>
  <w:style w:type="paragraph" w:styleId="116">
    <w:name w:val="List Paragraph"/>
    <w:basedOn w:val="1"/>
    <w:link w:val="168"/>
    <w:qFormat/>
    <w:uiPriority w:val="34"/>
    <w:pPr>
      <w:spacing w:after="0"/>
      <w:ind w:left="720"/>
    </w:pPr>
    <w:rPr>
      <w:rFonts w:ascii="Calibri" w:hAnsi="Calibri"/>
      <w:lang w:val="zh-CN" w:eastAsia="zh-CN"/>
    </w:rPr>
  </w:style>
  <w:style w:type="character" w:customStyle="1" w:styleId="117">
    <w:name w:val="NO Car"/>
    <w:qFormat/>
    <w:uiPriority w:val="0"/>
    <w:rPr>
      <w:rFonts w:eastAsia="MS Mincho"/>
      <w:sz w:val="24"/>
      <w:szCs w:val="24"/>
      <w:lang w:val="en-GB" w:eastAsia="ja-JP" w:bidi="ar-SA"/>
    </w:rPr>
  </w:style>
  <w:style w:type="character" w:customStyle="1" w:styleId="118">
    <w:name w:val="题注 字符"/>
    <w:link w:val="28"/>
    <w:qFormat/>
    <w:uiPriority w:val="0"/>
    <w:rPr>
      <w:rFonts w:ascii="Arial" w:hAnsi="Arial" w:eastAsia="宋体"/>
      <w:b/>
      <w:bCs/>
    </w:rPr>
  </w:style>
  <w:style w:type="paragraph" w:customStyle="1" w:styleId="119">
    <w:name w:val="Observation"/>
    <w:basedOn w:val="66"/>
    <w:qFormat/>
    <w:uiPriority w:val="0"/>
    <w:pPr>
      <w:numPr>
        <w:ilvl w:val="0"/>
        <w:numId w:val="9"/>
      </w:numPr>
      <w:tabs>
        <w:tab w:val="left" w:pos="1701"/>
      </w:tabs>
    </w:pPr>
    <w:rPr>
      <w:rFonts w:eastAsia="宋体"/>
      <w:lang w:val="en-GB" w:eastAsia="zh-CN"/>
    </w:rPr>
  </w:style>
  <w:style w:type="paragraph" w:customStyle="1" w:styleId="120">
    <w:name w:val="Revision"/>
    <w:hidden/>
    <w:semiHidden/>
    <w:qFormat/>
    <w:uiPriority w:val="99"/>
    <w:rPr>
      <w:rFonts w:ascii="Arial" w:hAnsi="Arial" w:eastAsia="宋体" w:cs="Times New Roman"/>
      <w:lang w:val="en-US" w:eastAsia="zh-CN" w:bidi="ar-SA"/>
    </w:rPr>
  </w:style>
  <w:style w:type="paragraph" w:customStyle="1" w:styleId="121">
    <w:name w:val="Comments"/>
    <w:basedOn w:val="1"/>
    <w:link w:val="122"/>
    <w:qFormat/>
    <w:uiPriority w:val="0"/>
    <w:pPr>
      <w:spacing w:before="40" w:after="0"/>
    </w:pPr>
    <w:rPr>
      <w:rFonts w:eastAsia="MS Mincho"/>
      <w:i/>
      <w:sz w:val="18"/>
      <w:szCs w:val="24"/>
      <w:lang w:val="en-GB" w:eastAsia="en-GB"/>
    </w:rPr>
  </w:style>
  <w:style w:type="character" w:customStyle="1" w:styleId="122">
    <w:name w:val="Comments Char"/>
    <w:link w:val="121"/>
    <w:uiPriority w:val="0"/>
    <w:rPr>
      <w:rFonts w:ascii="Arial" w:hAnsi="Arial" w:eastAsia="MS Mincho"/>
      <w:i/>
      <w:sz w:val="18"/>
      <w:szCs w:val="24"/>
      <w:lang w:val="en-GB" w:eastAsia="en-GB"/>
    </w:rPr>
  </w:style>
  <w:style w:type="character" w:customStyle="1" w:styleId="123">
    <w:name w:val="load-more-text1"/>
    <w:uiPriority w:val="0"/>
    <w:rPr>
      <w:color w:val="35AE00"/>
      <w:u w:val="single"/>
    </w:rPr>
  </w:style>
  <w:style w:type="character" w:customStyle="1" w:styleId="124">
    <w:name w:val="im-content1"/>
    <w:qFormat/>
    <w:uiPriority w:val="0"/>
    <w:rPr>
      <w:color w:val="333333"/>
    </w:rPr>
  </w:style>
  <w:style w:type="character" w:customStyle="1" w:styleId="125">
    <w:name w:val="im-content2"/>
    <w:uiPriority w:val="0"/>
    <w:rPr>
      <w:color w:val="333333"/>
    </w:rPr>
  </w:style>
  <w:style w:type="character" w:customStyle="1" w:styleId="126">
    <w:name w:val="im-content3"/>
    <w:qFormat/>
    <w:uiPriority w:val="0"/>
    <w:rPr>
      <w:color w:val="333333"/>
    </w:rPr>
  </w:style>
  <w:style w:type="character" w:customStyle="1" w:styleId="127">
    <w:name w:val="im-content4"/>
    <w:uiPriority w:val="0"/>
    <w:rPr>
      <w:color w:val="333333"/>
    </w:rPr>
  </w:style>
  <w:style w:type="character" w:customStyle="1" w:styleId="128">
    <w:name w:val="im-content7"/>
    <w:qFormat/>
    <w:uiPriority w:val="0"/>
    <w:rPr>
      <w:color w:val="333333"/>
    </w:rPr>
  </w:style>
  <w:style w:type="character" w:customStyle="1" w:styleId="129">
    <w:name w:val="im-content8"/>
    <w:qFormat/>
    <w:uiPriority w:val="0"/>
    <w:rPr>
      <w:color w:val="333333"/>
    </w:rPr>
  </w:style>
  <w:style w:type="character" w:customStyle="1" w:styleId="130">
    <w:name w:val="im-content9"/>
    <w:uiPriority w:val="0"/>
    <w:rPr>
      <w:color w:val="333333"/>
    </w:rPr>
  </w:style>
  <w:style w:type="character" w:customStyle="1" w:styleId="131">
    <w:name w:val="im-content10"/>
    <w:qFormat/>
    <w:uiPriority w:val="0"/>
    <w:rPr>
      <w:color w:val="333333"/>
    </w:rPr>
  </w:style>
  <w:style w:type="character" w:customStyle="1" w:styleId="132">
    <w:name w:val="im-content11"/>
    <w:qFormat/>
    <w:uiPriority w:val="0"/>
    <w:rPr>
      <w:color w:val="333333"/>
    </w:rPr>
  </w:style>
  <w:style w:type="character" w:customStyle="1" w:styleId="133">
    <w:name w:val="im-content12"/>
    <w:qFormat/>
    <w:uiPriority w:val="0"/>
    <w:rPr>
      <w:color w:val="333333"/>
    </w:rPr>
  </w:style>
  <w:style w:type="character" w:customStyle="1" w:styleId="134">
    <w:name w:val="im-content13"/>
    <w:uiPriority w:val="0"/>
    <w:rPr>
      <w:color w:val="333333"/>
    </w:rPr>
  </w:style>
  <w:style w:type="character" w:customStyle="1" w:styleId="135">
    <w:name w:val="im-content14"/>
    <w:uiPriority w:val="0"/>
    <w:rPr>
      <w:color w:val="333333"/>
    </w:rPr>
  </w:style>
  <w:style w:type="character" w:customStyle="1" w:styleId="136">
    <w:name w:val="im-content15"/>
    <w:uiPriority w:val="0"/>
    <w:rPr>
      <w:color w:val="333333"/>
    </w:rPr>
  </w:style>
  <w:style w:type="character" w:customStyle="1" w:styleId="137">
    <w:name w:val="im-content16"/>
    <w:uiPriority w:val="0"/>
    <w:rPr>
      <w:color w:val="333333"/>
    </w:rPr>
  </w:style>
  <w:style w:type="character" w:customStyle="1" w:styleId="138">
    <w:name w:val="call-text1"/>
    <w:basedOn w:val="48"/>
    <w:qFormat/>
    <w:uiPriority w:val="0"/>
  </w:style>
  <w:style w:type="character" w:customStyle="1" w:styleId="139">
    <w:name w:val="call-text-time1"/>
    <w:qFormat/>
    <w:uiPriority w:val="0"/>
    <w:rPr>
      <w:color w:val="717172"/>
    </w:rPr>
  </w:style>
  <w:style w:type="character" w:customStyle="1" w:styleId="140">
    <w:name w:val="im-call-time1"/>
    <w:qFormat/>
    <w:uiPriority w:val="0"/>
    <w:rPr>
      <w:color w:val="717172"/>
    </w:rPr>
  </w:style>
  <w:style w:type="character" w:customStyle="1" w:styleId="141">
    <w:name w:val="im-content17"/>
    <w:qFormat/>
    <w:uiPriority w:val="0"/>
    <w:rPr>
      <w:color w:val="333333"/>
    </w:rPr>
  </w:style>
  <w:style w:type="character" w:customStyle="1" w:styleId="142">
    <w:name w:val="im-content19"/>
    <w:uiPriority w:val="0"/>
    <w:rPr>
      <w:color w:val="333333"/>
    </w:rPr>
  </w:style>
  <w:style w:type="character" w:customStyle="1" w:styleId="143">
    <w:name w:val="im-content20"/>
    <w:qFormat/>
    <w:uiPriority w:val="0"/>
    <w:rPr>
      <w:color w:val="333333"/>
    </w:rPr>
  </w:style>
  <w:style w:type="character" w:customStyle="1" w:styleId="144">
    <w:name w:val="im-content22"/>
    <w:qFormat/>
    <w:uiPriority w:val="0"/>
    <w:rPr>
      <w:color w:val="333333"/>
    </w:rPr>
  </w:style>
  <w:style w:type="character" w:customStyle="1" w:styleId="145">
    <w:name w:val="im-content23"/>
    <w:qFormat/>
    <w:uiPriority w:val="0"/>
    <w:rPr>
      <w:color w:val="333333"/>
    </w:rPr>
  </w:style>
  <w:style w:type="character" w:customStyle="1" w:styleId="146">
    <w:name w:val="im-content24"/>
    <w:qFormat/>
    <w:uiPriority w:val="0"/>
    <w:rPr>
      <w:color w:val="333333"/>
    </w:rPr>
  </w:style>
  <w:style w:type="character" w:customStyle="1" w:styleId="147">
    <w:name w:val="im-content25"/>
    <w:qFormat/>
    <w:uiPriority w:val="0"/>
    <w:rPr>
      <w:color w:val="333333"/>
    </w:rPr>
  </w:style>
  <w:style w:type="character" w:customStyle="1" w:styleId="148">
    <w:name w:val="im-content26"/>
    <w:qFormat/>
    <w:uiPriority w:val="0"/>
    <w:rPr>
      <w:color w:val="333333"/>
    </w:rPr>
  </w:style>
  <w:style w:type="character" w:customStyle="1" w:styleId="149">
    <w:name w:val="im-content28"/>
    <w:uiPriority w:val="0"/>
    <w:rPr>
      <w:color w:val="333333"/>
    </w:rPr>
  </w:style>
  <w:style w:type="character" w:customStyle="1" w:styleId="150">
    <w:name w:val="im-content29"/>
    <w:qFormat/>
    <w:uiPriority w:val="0"/>
    <w:rPr>
      <w:color w:val="333333"/>
    </w:rPr>
  </w:style>
  <w:style w:type="character" w:customStyle="1" w:styleId="151">
    <w:name w:val="im-content30"/>
    <w:uiPriority w:val="0"/>
    <w:rPr>
      <w:color w:val="333333"/>
    </w:rPr>
  </w:style>
  <w:style w:type="character" w:customStyle="1" w:styleId="152">
    <w:name w:val="im-content31"/>
    <w:qFormat/>
    <w:uiPriority w:val="0"/>
    <w:rPr>
      <w:color w:val="333333"/>
    </w:rPr>
  </w:style>
  <w:style w:type="character" w:customStyle="1" w:styleId="153">
    <w:name w:val="im-content32"/>
    <w:uiPriority w:val="0"/>
    <w:rPr>
      <w:color w:val="333333"/>
    </w:rPr>
  </w:style>
  <w:style w:type="character" w:customStyle="1" w:styleId="154">
    <w:name w:val="im-content34"/>
    <w:qFormat/>
    <w:uiPriority w:val="0"/>
    <w:rPr>
      <w:color w:val="333333"/>
    </w:rPr>
  </w:style>
  <w:style w:type="character" w:customStyle="1" w:styleId="155">
    <w:name w:val="im-content35"/>
    <w:uiPriority w:val="0"/>
    <w:rPr>
      <w:color w:val="333333"/>
    </w:rPr>
  </w:style>
  <w:style w:type="character" w:customStyle="1" w:styleId="156">
    <w:name w:val="im-content37"/>
    <w:qFormat/>
    <w:uiPriority w:val="0"/>
    <w:rPr>
      <w:color w:val="333333"/>
    </w:rPr>
  </w:style>
  <w:style w:type="paragraph" w:customStyle="1" w:styleId="157">
    <w:name w:val="references"/>
    <w:qFormat/>
    <w:uiPriority w:val="0"/>
    <w:pPr>
      <w:numPr>
        <w:ilvl w:val="0"/>
        <w:numId w:val="10"/>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8">
    <w:name w:val="Recommend-1"/>
    <w:basedOn w:val="1"/>
    <w:link w:val="160"/>
    <w:qFormat/>
    <w:uiPriority w:val="0"/>
    <w:pPr>
      <w:numPr>
        <w:ilvl w:val="0"/>
        <w:numId w:val="11"/>
      </w:numPr>
      <w:spacing w:after="180"/>
    </w:pPr>
    <w:rPr>
      <w:rFonts w:ascii="Times New Roman" w:hAnsi="Times New Roman"/>
      <w:lang w:val="zh-CN" w:eastAsia="zh-CN"/>
    </w:rPr>
  </w:style>
  <w:style w:type="paragraph" w:customStyle="1" w:styleId="159">
    <w:name w:val="Recommend-2"/>
    <w:basedOn w:val="1"/>
    <w:qFormat/>
    <w:uiPriority w:val="0"/>
    <w:pPr>
      <w:numPr>
        <w:ilvl w:val="1"/>
        <w:numId w:val="11"/>
      </w:numPr>
      <w:spacing w:after="180"/>
    </w:pPr>
    <w:rPr>
      <w:rFonts w:ascii="Times New Roman" w:hAnsi="Times New Roman"/>
      <w:lang w:eastAsia="zh-CN"/>
    </w:rPr>
  </w:style>
  <w:style w:type="character" w:customStyle="1" w:styleId="160">
    <w:name w:val="Recommend-1 Char"/>
    <w:link w:val="158"/>
    <w:qFormat/>
    <w:uiPriority w:val="0"/>
    <w:rPr>
      <w:rFonts w:ascii="Times New Roman" w:hAnsi="Times New Roman" w:eastAsia="宋体"/>
      <w:lang w:val="zh-CN" w:eastAsia="zh-CN"/>
    </w:rPr>
  </w:style>
  <w:style w:type="character" w:customStyle="1" w:styleId="161">
    <w:name w:val="批注文字 字符"/>
    <w:link w:val="30"/>
    <w:semiHidden/>
    <w:uiPriority w:val="0"/>
    <w:rPr>
      <w:rFonts w:ascii="Arial" w:hAnsi="Arial" w:eastAsia="宋体"/>
    </w:rPr>
  </w:style>
  <w:style w:type="paragraph" w:customStyle="1" w:styleId="162">
    <w:name w:val="Agreement"/>
    <w:basedOn w:val="1"/>
    <w:next w:val="1"/>
    <w:qFormat/>
    <w:uiPriority w:val="99"/>
    <w:pPr>
      <w:numPr>
        <w:ilvl w:val="0"/>
        <w:numId w:val="12"/>
      </w:numPr>
      <w:spacing w:before="60" w:after="0"/>
    </w:pPr>
    <w:rPr>
      <w:rFonts w:eastAsia="MS Mincho"/>
      <w:b/>
      <w:szCs w:val="24"/>
      <w:lang w:val="en-GB" w:eastAsia="en-GB"/>
    </w:rPr>
  </w:style>
  <w:style w:type="character" w:customStyle="1" w:styleId="163">
    <w:name w:val="TAC Char"/>
    <w:link w:val="72"/>
    <w:qFormat/>
    <w:uiPriority w:val="0"/>
    <w:rPr>
      <w:rFonts w:ascii="Arial" w:hAnsi="Arial"/>
      <w:sz w:val="18"/>
      <w:lang w:val="en-GB" w:eastAsia="zh-CN"/>
    </w:rPr>
  </w:style>
  <w:style w:type="character" w:customStyle="1" w:styleId="164">
    <w:name w:val="TAH Car"/>
    <w:link w:val="73"/>
    <w:qFormat/>
    <w:uiPriority w:val="0"/>
    <w:rPr>
      <w:rFonts w:ascii="Arial" w:hAnsi="Arial"/>
      <w:b/>
      <w:sz w:val="18"/>
      <w:lang w:val="en-GB" w:eastAsia="zh-CN"/>
    </w:rPr>
  </w:style>
  <w:style w:type="character" w:customStyle="1" w:styleId="165">
    <w:name w:val="B1 Char"/>
    <w:qFormat/>
    <w:uiPriority w:val="0"/>
  </w:style>
  <w:style w:type="character" w:customStyle="1" w:styleId="166">
    <w:name w:val="B3 Char"/>
    <w:link w:val="64"/>
    <w:qFormat/>
    <w:uiPriority w:val="0"/>
    <w:rPr>
      <w:rFonts w:ascii="Arial" w:hAnsi="Arial" w:eastAsia="宋体"/>
      <w:lang w:eastAsia="en-US"/>
    </w:rPr>
  </w:style>
  <w:style w:type="character" w:customStyle="1" w:styleId="167">
    <w:name w:val="B4 Char"/>
    <w:link w:val="65"/>
    <w:qFormat/>
    <w:uiPriority w:val="0"/>
    <w:rPr>
      <w:rFonts w:ascii="Arial" w:hAnsi="Arial" w:eastAsia="宋体"/>
      <w:lang w:eastAsia="en-US"/>
    </w:rPr>
  </w:style>
  <w:style w:type="character" w:customStyle="1" w:styleId="168">
    <w:name w:val="列表段落 字符"/>
    <w:link w:val="116"/>
    <w:qFormat/>
    <w:locked/>
    <w:uiPriority w:val="34"/>
    <w:rPr>
      <w:rFonts w:ascii="Calibri" w:hAnsi="Calibri" w:eastAsia="宋体" w:cs="Calibri"/>
      <w:sz w:val="22"/>
      <w:szCs w:val="22"/>
    </w:rPr>
  </w:style>
  <w:style w:type="paragraph" w:customStyle="1" w:styleId="169">
    <w:name w:val="插图题注"/>
    <w:basedOn w:val="1"/>
    <w:qFormat/>
    <w:uiPriority w:val="0"/>
    <w:pPr>
      <w:spacing w:after="180"/>
    </w:pPr>
    <w:rPr>
      <w:rFonts w:ascii="Times New Roman" w:hAnsi="Times New Roman"/>
      <w:lang w:val="en-GB"/>
    </w:rPr>
  </w:style>
  <w:style w:type="paragraph" w:customStyle="1" w:styleId="170">
    <w:name w:val="表格题注"/>
    <w:basedOn w:val="1"/>
    <w:qFormat/>
    <w:uiPriority w:val="0"/>
    <w:pPr>
      <w:spacing w:after="180"/>
    </w:pPr>
    <w:rPr>
      <w:rFonts w:ascii="Times New Roman" w:hAnsi="Times New Roman"/>
      <w:lang w:val="en-GB"/>
    </w:rPr>
  </w:style>
  <w:style w:type="character" w:customStyle="1" w:styleId="171">
    <w:name w:val="B1 Zchn"/>
    <w:qFormat/>
    <w:uiPriority w:val="0"/>
    <w:rPr>
      <w:lang w:eastAsia="en-US"/>
    </w:rPr>
  </w:style>
  <w:style w:type="character" w:customStyle="1" w:styleId="172">
    <w:name w:val="页眉 字符"/>
    <w:link w:val="35"/>
    <w:qFormat/>
    <w:uiPriority w:val="99"/>
    <w:rPr>
      <w:rFonts w:ascii="Arial" w:hAnsi="Arial"/>
      <w:b/>
      <w:bCs/>
      <w:sz w:val="18"/>
      <w:szCs w:val="18"/>
      <w:lang w:bidi="ar-SA"/>
    </w:rPr>
  </w:style>
  <w:style w:type="paragraph" w:customStyle="1" w:styleId="173">
    <w:name w:val="NF"/>
    <w:basedOn w:val="100"/>
    <w:uiPriority w:val="0"/>
    <w:pPr>
      <w:keepNext/>
      <w:spacing w:after="0"/>
    </w:pPr>
    <w:rPr>
      <w:rFonts w:ascii="Arial" w:hAnsi="Arial" w:eastAsia="MS Mincho"/>
      <w:sz w:val="18"/>
      <w:lang w:eastAsia="en-US"/>
    </w:rPr>
  </w:style>
  <w:style w:type="character" w:customStyle="1" w:styleId="174">
    <w:name w:val="CR Cover Page Zchn"/>
    <w:link w:val="103"/>
    <w:qFormat/>
    <w:uiPriority w:val="0"/>
    <w:rPr>
      <w:rFonts w:ascii="Arial" w:hAnsi="Arial" w:eastAsia="MS Mincho"/>
      <w:lang w:val="en-GB" w:eastAsia="en-US"/>
    </w:rPr>
  </w:style>
  <w:style w:type="paragraph" w:customStyle="1" w:styleId="175">
    <w:name w:val="main text"/>
    <w:basedOn w:val="1"/>
    <w:link w:val="176"/>
    <w:qFormat/>
    <w:uiPriority w:val="0"/>
    <w:pPr>
      <w:spacing w:before="60" w:after="60" w:line="288" w:lineRule="auto"/>
      <w:ind w:firstLine="200" w:firstLineChars="200"/>
    </w:pPr>
    <w:rPr>
      <w:rFonts w:ascii="Times New Roman" w:hAnsi="Times New Roman" w:eastAsia="Dotum" w:cs="Calibri Light"/>
      <w:lang w:val="en-GB" w:eastAsia="ko-KR"/>
    </w:rPr>
  </w:style>
  <w:style w:type="character" w:customStyle="1" w:styleId="176">
    <w:name w:val="main text Char"/>
    <w:link w:val="175"/>
    <w:qFormat/>
    <w:uiPriority w:val="0"/>
    <w:rPr>
      <w:rFonts w:ascii="Times New Roman" w:hAnsi="Times New Roman" w:cs="Calibri Light"/>
      <w:lang w:val="en-GB" w:eastAsia="ko-KR"/>
    </w:rPr>
  </w:style>
  <w:style w:type="paragraph" w:customStyle="1" w:styleId="177">
    <w:name w:val="Char Char Char Char Char Char Char Char Char Char Char Char Char Char1 Char Char Char Char Char Char Char Char"/>
    <w:semiHidden/>
    <w:qFormat/>
    <w:uiPriority w:val="0"/>
    <w:pPr>
      <w:keepNext/>
      <w:numPr>
        <w:ilvl w:val="0"/>
        <w:numId w:val="13"/>
      </w:numPr>
      <w:tabs>
        <w:tab w:val="left" w:pos="510"/>
        <w:tab w:val="clear" w:pos="851"/>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character" w:customStyle="1" w:styleId="178">
    <w:name w:val="标题 3 字符"/>
    <w:link w:val="4"/>
    <w:qFormat/>
    <w:uiPriority w:val="0"/>
    <w:rPr>
      <w:rFonts w:ascii="Arial" w:hAnsi="Arial"/>
      <w:sz w:val="28"/>
      <w:szCs w:val="28"/>
      <w:lang w:val="en-GB"/>
    </w:rPr>
  </w:style>
  <w:style w:type="character" w:customStyle="1" w:styleId="179">
    <w:name w:val="ordinary-span-edit2"/>
    <w:uiPriority w:val="0"/>
  </w:style>
  <w:style w:type="character" w:customStyle="1" w:styleId="180">
    <w:name w:val="标题 2 字符"/>
    <w:basedOn w:val="48"/>
    <w:link w:val="3"/>
    <w:qFormat/>
    <w:uiPriority w:val="9"/>
    <w:rPr>
      <w:rFonts w:ascii="Arial" w:hAnsi="Arial"/>
      <w:sz w:val="32"/>
      <w:szCs w:val="32"/>
      <w:lang w:val="en-GB" w:eastAsia="zh-CN"/>
    </w:rPr>
  </w:style>
  <w:style w:type="paragraph" w:customStyle="1" w:styleId="181">
    <w:name w:val="Defaul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CBAEC-5E1B-4769-809A-CF7045AAED9E}">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Company>Huawei Technologies Co.,Ltd.</Company>
  <Pages>11</Pages>
  <Words>3027</Words>
  <Characters>17256</Characters>
  <Lines>143</Lines>
  <Paragraphs>40</Paragraphs>
  <TotalTime>21</TotalTime>
  <ScaleCrop>false</ScaleCrop>
  <LinksUpToDate>false</LinksUpToDate>
  <CharactersWithSpaces>20243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2022-04-28T05:34:00Z</dcterms:created>
  <dc:creator>Daimingzeng</dc:creator>
  <cp:keywords>Huawei</cp:keywords>
  <cp:lastModifiedBy>Administrator</cp:lastModifiedBy>
  <cp:lastPrinted>2016-09-19T16:11:00Z</cp:lastPrinted>
  <dcterms:modified xsi:type="dcterms:W3CDTF">2022-04-28T08:02:55Z</dcterms:modified>
  <dc:title>Huawei</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(3)/dsXxaFClWrkj7IpZzzXpfovdrZYnO3lAENzmDxU6mi7wosLvjscyEZJOsdLEZuirft98HZ5
mybwdqGmdwfPG25bY1RS/nC9kcZCf/nC1eLNKTDWOSaUZE9K333MrWzgI6VoQ8o1gOVadA4w
RPYkTY2jREYMAQ6z7VctZ8BksQ9KMQk829AGffoiZMD1wOT5BIlO/+t53bu/LAfFpLZ7afVB
kD9yhSWa3sSEB9wUuI</vt:lpwstr>
  </property>
  <property fmtid="{D5CDD505-2E9C-101B-9397-08002B2CF9AE}" pid="25" name="_2015_ms_pID_725343_00">
    <vt:lpwstr>_2015_ms_pID_725343</vt:lpwstr>
  </property>
  <property fmtid="{D5CDD505-2E9C-101B-9397-08002B2CF9AE}" pid="26" name="_2015_ms_pID_7253431">
    <vt:lpwstr>hj1//u/dmFQeQY+wM8UIVx8IRVmNR7DL6fZW26WxlDL5IWMWz1BDvI
3DtxaJZeEWOt7hpX4mM4Lpoc9wmkT9M8ZVfe+SkTM9WRRYh9yfSe2Jl1OI2wWc4BNduBFztV
WWs7wj5qIKjfg4easAU7hnC4Y8t+Rf0cdwI7dWIWo4bir68bCDo0K3fSOqxbupKlLrfat2kM
CEP8iCCKQ0r3NVuAUVn67iBS43P/rUNuap7o</vt:lpwstr>
  </property>
  <property fmtid="{D5CDD505-2E9C-101B-9397-08002B2CF9AE}" pid="27" name="_2015_ms_pID_7253431_00">
    <vt:lpwstr>_2015_ms_pID_7253431</vt:lpwstr>
  </property>
  <property fmtid="{D5CDD505-2E9C-101B-9397-08002B2CF9AE}" pid="28" name="_2015_ms_pID_7253432">
    <vt:lpwstr>bA==</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KSOProductBuildVer">
    <vt:lpwstr>2052-11.8.2.10393</vt:lpwstr>
  </property>
</Properties>
</file>