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Heading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[109-e-Prep-AI8.10-eIAB] based on the contributions [1] – [13] and were prioritized for discussion given their impact on upper layer parameters signaling.</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Heading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ListParagraph"/>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Heading1"/>
      </w:pPr>
      <w:r>
        <w:lastRenderedPageBreak/>
        <w:t>Discussion</w:t>
      </w:r>
    </w:p>
    <w:p w14:paraId="6C3ED084" w14:textId="77777777" w:rsidR="00C92F8E" w:rsidRDefault="00B30E73">
      <w:pPr>
        <w:pStyle w:val="Heading2"/>
      </w:pPr>
      <w:r>
        <w:t>Issue #3. Range of DL power adjustment</w:t>
      </w:r>
    </w:p>
    <w:p w14:paraId="40D23A7C" w14:textId="77777777" w:rsidR="00C92F8E" w:rsidRDefault="00B30E73">
      <w:pPr>
        <w:rPr>
          <w:lang w:eastAsia="zh-CN"/>
        </w:rPr>
      </w:pPr>
      <w:r>
        <w:rPr>
          <w:lang w:eastAsia="zh-CN"/>
        </w:rPr>
        <w:t>This issue relates to the definition of the numerical value for the endpoints of the DL Tx power adjustment, a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1: Reuse the range of powerControlOffset in NZP-CSI-RS-Resource as [-8, 15]</w:t>
            </w:r>
          </w:p>
          <w:p w14:paraId="675993C8"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ListParagraph"/>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powerControlOffset in NZP-CSI-RS-Resource as [-8, 15] </w:t>
      </w:r>
    </w:p>
    <w:p w14:paraId="2083347D"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 the numerical definition of the endpoints does not have a major impact on the signaling design given the bitwidth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RAN1 to wait for reply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lastRenderedPageBreak/>
              <w:t>H</w:t>
            </w:r>
            <w:r>
              <w:rPr>
                <w:rFonts w:eastAsia="DengXian" w:cstheme="minorHAnsi"/>
                <w:lang w:eastAsia="zh-CN"/>
              </w:rPr>
              <w:t>uawei, HiSilicon</w:t>
            </w:r>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r w:rsidR="008A4A75" w14:paraId="1FCF6B06" w14:textId="77777777">
        <w:tc>
          <w:tcPr>
            <w:tcW w:w="2242" w:type="dxa"/>
            <w:shd w:val="clear" w:color="auto" w:fill="auto"/>
          </w:tcPr>
          <w:p w14:paraId="42CE3C27" w14:textId="53F9B77D" w:rsidR="008A4A75" w:rsidRDefault="008A4A75" w:rsidP="008A4A75">
            <w:pPr>
              <w:spacing w:after="0" w:line="240" w:lineRule="auto"/>
              <w:jc w:val="center"/>
              <w:rPr>
                <w:rFonts w:eastAsia="DengXian" w:cstheme="minorHAnsi"/>
                <w:lang w:eastAsia="zh-CN"/>
              </w:rPr>
            </w:pPr>
            <w:r>
              <w:rPr>
                <w:rFonts w:eastAsia="DengXian" w:cstheme="minorHAnsi"/>
                <w:lang w:eastAsia="zh-CN"/>
              </w:rPr>
              <w:t>NTT DOCOMO</w:t>
            </w:r>
          </w:p>
        </w:tc>
        <w:tc>
          <w:tcPr>
            <w:tcW w:w="1981" w:type="dxa"/>
            <w:shd w:val="clear" w:color="auto" w:fill="auto"/>
          </w:tcPr>
          <w:p w14:paraId="7CE66A86" w14:textId="6D9421AA" w:rsidR="008A4A75" w:rsidRPr="008A4A75" w:rsidRDefault="008A4A75" w:rsidP="0000442E">
            <w:pPr>
              <w:spacing w:after="0" w:line="240" w:lineRule="auto"/>
              <w:jc w:val="center"/>
              <w:rPr>
                <w:rFonts w:eastAsiaTheme="minorEastAsia" w:cstheme="minorHAnsi"/>
                <w:lang w:eastAsia="ja-JP"/>
              </w:rPr>
            </w:pPr>
            <w:r>
              <w:rPr>
                <w:rFonts w:eastAsiaTheme="minorEastAsia" w:cstheme="minorHAnsi" w:hint="eastAsia"/>
                <w:lang w:eastAsia="ja-JP"/>
              </w:rPr>
              <w:t>Y</w:t>
            </w:r>
            <w:r>
              <w:rPr>
                <w:rFonts w:eastAsiaTheme="minorEastAsia" w:cstheme="minorHAnsi"/>
                <w:lang w:eastAsia="ja-JP"/>
              </w:rPr>
              <w:t>es</w:t>
            </w:r>
          </w:p>
        </w:tc>
        <w:tc>
          <w:tcPr>
            <w:tcW w:w="5406" w:type="dxa"/>
            <w:shd w:val="clear" w:color="auto" w:fill="auto"/>
          </w:tcPr>
          <w:p w14:paraId="2E918606" w14:textId="77777777" w:rsidR="008A4A75" w:rsidRDefault="008A4A75" w:rsidP="0000442E">
            <w:pPr>
              <w:spacing w:after="0" w:line="240" w:lineRule="auto"/>
              <w:rPr>
                <w:rFonts w:eastAsia="Malgun Gothic" w:cstheme="minorHAnsi"/>
                <w:lang w:eastAsia="ko-KR"/>
              </w:rPr>
            </w:pPr>
          </w:p>
        </w:tc>
      </w:tr>
      <w:tr w:rsidR="00567B24" w14:paraId="12A36697" w14:textId="77777777">
        <w:tc>
          <w:tcPr>
            <w:tcW w:w="2242" w:type="dxa"/>
            <w:shd w:val="clear" w:color="auto" w:fill="auto"/>
          </w:tcPr>
          <w:p w14:paraId="6524C5EB" w14:textId="7DAE93FF" w:rsidR="00567B24" w:rsidRDefault="00567B24"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4EC9C234" w14:textId="5F0B4A59" w:rsidR="00567B24" w:rsidRDefault="00567B24"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2D2C2C11" w14:textId="77777777" w:rsidR="00567B24" w:rsidRDefault="00567B24" w:rsidP="0000442E">
            <w:pPr>
              <w:spacing w:after="0" w:line="240" w:lineRule="auto"/>
              <w:rPr>
                <w:rFonts w:eastAsia="Malgun Gothic" w:cstheme="minorHAnsi"/>
                <w:lang w:eastAsia="ko-KR"/>
              </w:rPr>
            </w:pPr>
          </w:p>
        </w:tc>
      </w:tr>
      <w:tr w:rsidR="00675F12" w14:paraId="099551BD" w14:textId="77777777">
        <w:tc>
          <w:tcPr>
            <w:tcW w:w="2242" w:type="dxa"/>
            <w:shd w:val="clear" w:color="auto" w:fill="auto"/>
          </w:tcPr>
          <w:p w14:paraId="0EBDF043" w14:textId="1372872D"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27B70498" w14:textId="7279EA6C" w:rsidR="00675F12" w:rsidRDefault="00675F12"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33381549" w14:textId="77777777" w:rsidR="00675F12" w:rsidRDefault="00675F12"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Heading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signaling defined by RAN1 as part of the upper layer parameters for eIAB.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No further discussion is necessary for slot index association with any of the Rel-17 eIAB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lastRenderedPageBreak/>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 xml:space="preserve">NA (all </w:t>
            </w:r>
            <w:r w:rsidRPr="00B67985">
              <w:rPr>
                <w:rFonts w:eastAsia="SimSun" w:cstheme="minorHAnsi"/>
                <w:lang w:eastAsia="zh-CN"/>
              </w:rPr>
              <w:lastRenderedPageBreak/>
              <w:t>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H</w:t>
            </w:r>
            <w:r>
              <w:rPr>
                <w:rFonts w:eastAsia="DengXian" w:cstheme="minorHAnsi"/>
                <w:lang w:eastAsia="zh-CN"/>
              </w:rPr>
              <w:t>uawei, HiSi</w:t>
            </w:r>
            <w:r w:rsidR="00DE53B6">
              <w:rPr>
                <w:rFonts w:eastAsia="DengXian" w:cstheme="minorHAnsi"/>
                <w:lang w:eastAsia="zh-CN"/>
              </w:rPr>
              <w:t>licon</w:t>
            </w:r>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DengXian" w:cstheme="minorHAnsi"/>
                <w:lang w:eastAsia="zh-CN"/>
              </w:rPr>
            </w:pPr>
            <w:r>
              <w:rPr>
                <w:rFonts w:eastAsia="DengXian" w:cstheme="minorHAnsi" w:hint="eastAsia"/>
                <w:lang w:eastAsia="zh-CN"/>
              </w:rPr>
              <w:t>For</w:t>
            </w:r>
            <w:r>
              <w:rPr>
                <w:rFonts w:eastAsia="DengXian" w:cstheme="minorHAnsi"/>
                <w:lang w:eastAsia="zh-CN"/>
              </w:rPr>
              <w:t xml:space="preserve"> the </w:t>
            </w:r>
            <w:r w:rsidR="00153881">
              <w:rPr>
                <w:rFonts w:eastAsia="DengXian" w:cstheme="minorHAnsi"/>
                <w:lang w:eastAsia="zh-CN"/>
              </w:rPr>
              <w:t>2</w:t>
            </w:r>
            <w:r w:rsidR="00153881" w:rsidRPr="00153881">
              <w:rPr>
                <w:rFonts w:eastAsia="DengXian" w:cstheme="minorHAnsi"/>
                <w:vertAlign w:val="superscript"/>
                <w:lang w:eastAsia="zh-CN"/>
              </w:rPr>
              <w:t>nd</w:t>
            </w:r>
            <w:r w:rsidR="0000442E">
              <w:rPr>
                <w:rFonts w:eastAsia="DengXian" w:cstheme="minorHAnsi" w:hint="eastAsia"/>
                <w:lang w:eastAsia="zh-CN"/>
              </w:rPr>
              <w:t xml:space="preserve"> </w:t>
            </w:r>
            <w:r w:rsidR="0000442E">
              <w:rPr>
                <w:rFonts w:eastAsia="DengXian" w:cstheme="minorHAnsi"/>
                <w:lang w:eastAsia="zh-CN"/>
              </w:rPr>
              <w:t>and 3</w:t>
            </w:r>
            <w:r w:rsidR="0000442E" w:rsidRPr="004329CB">
              <w:rPr>
                <w:rFonts w:eastAsia="DengXian" w:cstheme="minorHAnsi"/>
                <w:vertAlign w:val="superscript"/>
                <w:lang w:eastAsia="zh-CN"/>
              </w:rPr>
              <w:t>rd</w:t>
            </w:r>
            <w:r w:rsidR="0000442E">
              <w:rPr>
                <w:rFonts w:eastAsia="DengXian" w:cstheme="minorHAnsi"/>
                <w:lang w:eastAsia="zh-CN"/>
              </w:rPr>
              <w:t xml:space="preserve"> </w:t>
            </w:r>
            <w:r>
              <w:rPr>
                <w:rFonts w:eastAsia="DengXian" w:cstheme="minorHAnsi"/>
                <w:lang w:eastAsia="zh-CN"/>
              </w:rPr>
              <w:t>bullets,</w:t>
            </w:r>
            <w:r w:rsidR="0000442E">
              <w:rPr>
                <w:rFonts w:eastAsia="DengXian" w:cstheme="minorHAnsi"/>
                <w:lang w:eastAsia="zh-CN"/>
              </w:rPr>
              <w:t xml:space="preserve"> </w:t>
            </w:r>
            <w:r w:rsidR="00153881">
              <w:rPr>
                <w:rFonts w:eastAsia="DengXian" w:cstheme="minorHAnsi"/>
                <w:lang w:eastAsia="zh-CN"/>
              </w:rPr>
              <w:t xml:space="preserve">given the </w:t>
            </w:r>
            <w:r>
              <w:rPr>
                <w:rFonts w:eastAsia="DengXian" w:cstheme="minorHAnsi"/>
                <w:lang w:eastAsia="zh-CN"/>
              </w:rPr>
              <w:t>“</w:t>
            </w:r>
            <w:r w:rsidR="00153881">
              <w:rPr>
                <w:rFonts w:eastAsia="DengXian" w:cstheme="minorHAnsi"/>
                <w:lang w:eastAsia="zh-CN"/>
              </w:rPr>
              <w:t>slot index</w:t>
            </w:r>
            <w:r>
              <w:rPr>
                <w:rFonts w:eastAsia="DengXian" w:cstheme="minorHAnsi"/>
                <w:lang w:eastAsia="zh-CN"/>
              </w:rPr>
              <w:t>”</w:t>
            </w:r>
            <w:r w:rsidR="00153881">
              <w:rPr>
                <w:rFonts w:eastAsia="DengXian" w:cstheme="minorHAnsi"/>
                <w:lang w:eastAsia="zh-CN"/>
              </w:rPr>
              <w:t xml:space="preserve"> is optional, </w:t>
            </w:r>
            <w:r w:rsidR="0000442E">
              <w:rPr>
                <w:rFonts w:eastAsia="DengXian" w:cstheme="minorHAnsi"/>
                <w:lang w:eastAsia="zh-CN"/>
              </w:rPr>
              <w:t xml:space="preserve">even </w:t>
            </w:r>
            <w:r w:rsidR="00153881">
              <w:rPr>
                <w:rFonts w:eastAsia="DengXian" w:cstheme="minorHAnsi"/>
                <w:lang w:eastAsia="zh-CN"/>
              </w:rPr>
              <w:t>without a</w:t>
            </w:r>
            <w:r w:rsidR="0000442E">
              <w:rPr>
                <w:rFonts w:eastAsia="DengXian" w:cstheme="minorHAnsi"/>
                <w:lang w:eastAsia="zh-CN"/>
              </w:rPr>
              <w:t xml:space="preserve"> time </w:t>
            </w:r>
            <w:r w:rsidR="00153881">
              <w:rPr>
                <w:rFonts w:eastAsia="DengXian" w:cstheme="minorHAnsi"/>
                <w:lang w:eastAsia="zh-CN"/>
              </w:rPr>
              <w:t xml:space="preserve">case </w:t>
            </w:r>
            <w:r w:rsidR="0000442E">
              <w:rPr>
                <w:rFonts w:eastAsia="DengXian" w:cstheme="minorHAnsi"/>
                <w:lang w:eastAsia="zh-CN"/>
              </w:rPr>
              <w:t xml:space="preserve">indication, </w:t>
            </w:r>
            <w:r w:rsidR="00153881">
              <w:rPr>
                <w:rFonts w:eastAsia="DengXian" w:cstheme="minorHAnsi"/>
                <w:lang w:eastAsia="zh-CN"/>
              </w:rPr>
              <w:t>the child IAB-</w:t>
            </w:r>
            <w:r w:rsidR="0000442E">
              <w:rPr>
                <w:rFonts w:eastAsia="DengXian" w:cstheme="minorHAnsi"/>
                <w:lang w:eastAsia="zh-CN"/>
              </w:rPr>
              <w:t xml:space="preserve">MT </w:t>
            </w:r>
            <w:r w:rsidR="00153881">
              <w:rPr>
                <w:rFonts w:eastAsia="DengXian" w:cstheme="minorHAnsi"/>
                <w:lang w:eastAsia="zh-CN"/>
              </w:rPr>
              <w:t xml:space="preserve">still needs to determine the time case for all </w:t>
            </w:r>
            <w:r>
              <w:rPr>
                <w:rFonts w:eastAsia="DengXian" w:cstheme="minorHAnsi"/>
                <w:lang w:eastAsia="zh-CN"/>
              </w:rPr>
              <w:t>the slots. In this case, we think the default value should defined in RAN1 instead of RAN2. One simple way is that</w:t>
            </w:r>
            <w:r w:rsidR="0000442E">
              <w:rPr>
                <w:rFonts w:eastAsia="DengXian" w:cstheme="minorHAnsi"/>
                <w:lang w:eastAsia="zh-CN"/>
              </w:rPr>
              <w:t xml:space="preserve"> all slots are using Case 1 timing.</w:t>
            </w:r>
            <w:r w:rsidR="007E4F49">
              <w:rPr>
                <w:rFonts w:eastAsia="DengXian" w:cstheme="minorHAnsi"/>
                <w:lang w:eastAsia="zh-CN"/>
              </w:rPr>
              <w:t xml:space="preserve"> </w:t>
            </w:r>
            <w:r w:rsidR="0000442E">
              <w:rPr>
                <w:rFonts w:eastAsia="DengXian" w:cstheme="minorHAnsi"/>
                <w:lang w:eastAsia="zh-CN"/>
              </w:rPr>
              <w:t>Hence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Desired DL Tx Power Adjustment</w:t>
            </w:r>
            <w:r>
              <w:rPr>
                <w:rFonts w:eastAsia="Times New Roman" w:cstheme="minorHAnsi"/>
                <w:b/>
                <w:lang w:eastAsia="zh-CN"/>
              </w:rPr>
              <w:t xml:space="preserve">, </w:t>
            </w:r>
            <w:r w:rsidRPr="006C3B75">
              <w:rPr>
                <w:rFonts w:eastAsia="Times New Roman" w:cstheme="minorHAnsi"/>
                <w:b/>
                <w:lang w:eastAsia="zh-CN"/>
              </w:rPr>
              <w:t>DL Tx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ListParagraph"/>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DengXian"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ListParagraph"/>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r w:rsidR="008A4A75" w14:paraId="3650D3DB" w14:textId="77777777">
        <w:tc>
          <w:tcPr>
            <w:tcW w:w="2242" w:type="dxa"/>
            <w:shd w:val="clear" w:color="auto" w:fill="auto"/>
          </w:tcPr>
          <w:p w14:paraId="58772514" w14:textId="3A14FA1E"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6DD65079" w14:textId="51CC1741"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51DA147D" w14:textId="77777777" w:rsidR="008A4A75" w:rsidRDefault="008A4A75" w:rsidP="008A4A75">
            <w:pPr>
              <w:spacing w:after="0" w:line="240" w:lineRule="auto"/>
              <w:jc w:val="both"/>
              <w:rPr>
                <w:rFonts w:eastAsia="DengXian" w:cstheme="minorHAnsi"/>
                <w:lang w:eastAsia="zh-CN"/>
              </w:rPr>
            </w:pPr>
          </w:p>
        </w:tc>
      </w:tr>
      <w:tr w:rsidR="00625FD0" w14:paraId="7DAD7BB9" w14:textId="77777777">
        <w:tc>
          <w:tcPr>
            <w:tcW w:w="2242" w:type="dxa"/>
            <w:shd w:val="clear" w:color="auto" w:fill="auto"/>
          </w:tcPr>
          <w:p w14:paraId="446AF00A" w14:textId="05847735" w:rsidR="00625FD0" w:rsidRDefault="00D74236"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558795E9" w14:textId="0B7CE57A" w:rsidR="00625FD0" w:rsidRDefault="00D74236" w:rsidP="008A4A75">
            <w:pPr>
              <w:spacing w:after="0" w:line="240" w:lineRule="auto"/>
              <w:jc w:val="center"/>
              <w:rPr>
                <w:rFonts w:eastAsia="DengXian" w:cstheme="minorHAnsi"/>
                <w:lang w:eastAsia="zh-CN"/>
              </w:rPr>
            </w:pPr>
            <w:r>
              <w:rPr>
                <w:rFonts w:eastAsia="DengXian" w:cstheme="minorHAnsi"/>
                <w:lang w:eastAsia="zh-CN"/>
              </w:rPr>
              <w:t>Yes in principle</w:t>
            </w:r>
          </w:p>
        </w:tc>
        <w:tc>
          <w:tcPr>
            <w:tcW w:w="5406" w:type="dxa"/>
            <w:shd w:val="clear" w:color="auto" w:fill="auto"/>
          </w:tcPr>
          <w:p w14:paraId="4D8EE329" w14:textId="5E9803A4" w:rsidR="00625FD0" w:rsidRDefault="00D74236" w:rsidP="008A4A75">
            <w:pPr>
              <w:spacing w:after="0" w:line="240" w:lineRule="auto"/>
              <w:jc w:val="both"/>
              <w:rPr>
                <w:rFonts w:eastAsia="DengXian" w:cstheme="minorHAnsi"/>
                <w:lang w:eastAsia="zh-CN"/>
              </w:rPr>
            </w:pPr>
            <w:r>
              <w:rPr>
                <w:rFonts w:eastAsia="DengXian" w:cstheme="minorHAnsi"/>
                <w:lang w:eastAsia="zh-CN"/>
              </w:rPr>
              <w:t xml:space="preserve">We </w:t>
            </w:r>
            <w:r w:rsidR="005820AE">
              <w:rPr>
                <w:rFonts w:eastAsia="DengXian" w:cstheme="minorHAnsi"/>
                <w:lang w:eastAsia="zh-CN"/>
              </w:rPr>
              <w:t>are fine with ETRI’s version (only the first bullet is needed).</w:t>
            </w:r>
            <w:r>
              <w:rPr>
                <w:rFonts w:eastAsia="DengXian" w:cstheme="minorHAnsi"/>
                <w:lang w:eastAsia="zh-CN"/>
              </w:rPr>
              <w:t xml:space="preserve"> </w:t>
            </w:r>
          </w:p>
        </w:tc>
      </w:tr>
      <w:tr w:rsidR="00675F12" w14:paraId="448FA59B" w14:textId="77777777">
        <w:tc>
          <w:tcPr>
            <w:tcW w:w="2242" w:type="dxa"/>
            <w:shd w:val="clear" w:color="auto" w:fill="auto"/>
          </w:tcPr>
          <w:p w14:paraId="0FFBCF29" w14:textId="40D0E90B"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4A470CA5" w14:textId="7C421533" w:rsidR="00675F12" w:rsidRDefault="00675F12"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22BCEAFD" w14:textId="77777777" w:rsidR="00675F12" w:rsidRDefault="00675F12" w:rsidP="008A4A75">
            <w:pPr>
              <w:spacing w:after="0" w:line="240" w:lineRule="auto"/>
              <w:jc w:val="both"/>
              <w:rPr>
                <w:rFonts w:eastAsia="DengXian" w:cstheme="minorHAnsi"/>
                <w:lang w:eastAsia="zh-CN"/>
              </w:rPr>
            </w:pP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Heading2"/>
      </w:pPr>
      <w:r>
        <w:lastRenderedPageBreak/>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NormalWeb"/>
              <w:shd w:val="clear" w:color="auto" w:fill="FFFFFF"/>
              <w:spacing w:before="0" w:beforeAutospacing="0" w:after="0" w:afterAutospacing="0"/>
              <w:rPr>
                <w:rFonts w:cs="Times New Roman"/>
                <w:b/>
                <w:bCs/>
                <w:sz w:val="21"/>
                <w:szCs w:val="21"/>
              </w:rPr>
            </w:pPr>
            <w:r>
              <w:rPr>
                <w:rStyle w:val="Strong"/>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Strong"/>
                <w:rFonts w:cs="Times New Roman"/>
                <w:b w:val="0"/>
                <w:bCs w:val="0"/>
                <w:color w:val="323130"/>
                <w:sz w:val="21"/>
                <w:szCs w:val="21"/>
              </w:rPr>
              <w:t> node. </w:t>
            </w:r>
          </w:p>
          <w:p w14:paraId="4412C809"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TableGrid"/>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r>
                    <w:rPr>
                      <w:i/>
                      <w:iCs/>
                    </w:rPr>
                    <w:t>resourceAvailability</w:t>
                  </w:r>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ListParagraph"/>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lastRenderedPageBreak/>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TableGrid"/>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r>
              <w:rPr>
                <w:i/>
                <w:iCs/>
                <w:lang w:val="en-GB"/>
              </w:rPr>
              <w:t>resourceAvailability</w:t>
            </w:r>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it would mean a completely new purpose for restricted beam indication and an extended interference cancellation relative to gNBs by other means than what is typically the case for gNBs.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lastRenderedPageBreak/>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HiSilicon</w:t>
            </w:r>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DengXian" w:cstheme="minorHAnsi"/>
                <w:lang w:eastAsia="zh-CN"/>
              </w:rPr>
            </w:pPr>
            <w:r>
              <w:rPr>
                <w:rFonts w:eastAsia="DengXian" w:cstheme="minorHAnsi" w:hint="eastAsia"/>
                <w:lang w:eastAsia="zh-CN"/>
              </w:rPr>
              <w:t>W</w:t>
            </w:r>
            <w:r>
              <w:rPr>
                <w:rFonts w:eastAsia="DengXian" w:cstheme="minorHAnsi"/>
                <w:lang w:eastAsia="zh-CN"/>
              </w:rPr>
              <w:t>e are fine with the change.</w:t>
            </w:r>
          </w:p>
        </w:tc>
      </w:tr>
      <w:tr w:rsidR="008A4A75" w14:paraId="787461E6" w14:textId="77777777">
        <w:tc>
          <w:tcPr>
            <w:tcW w:w="2242" w:type="dxa"/>
            <w:shd w:val="clear" w:color="auto" w:fill="auto"/>
          </w:tcPr>
          <w:p w14:paraId="3FFA820F" w14:textId="62CDDD66"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085C5E4E" w14:textId="0EB36F32"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o</w:t>
            </w:r>
          </w:p>
        </w:tc>
        <w:tc>
          <w:tcPr>
            <w:tcW w:w="5406" w:type="dxa"/>
            <w:shd w:val="clear" w:color="auto" w:fill="auto"/>
          </w:tcPr>
          <w:p w14:paraId="5A9A9C8B" w14:textId="14BD7C2D" w:rsidR="008A4A75" w:rsidRDefault="008A4A75" w:rsidP="008A4A75">
            <w:pPr>
              <w:spacing w:after="0" w:line="240" w:lineRule="auto"/>
              <w:rPr>
                <w:rFonts w:eastAsia="DengXian" w:cstheme="minorHAnsi"/>
                <w:lang w:eastAsia="zh-CN"/>
              </w:rPr>
            </w:pPr>
            <w:r>
              <w:rPr>
                <w:rFonts w:eastAsia="DengXian" w:cstheme="minorHAnsi"/>
                <w:lang w:eastAsia="zh-CN"/>
              </w:rPr>
              <w:t>We think restricted beam is only for simultaneous operation.</w:t>
            </w:r>
          </w:p>
        </w:tc>
      </w:tr>
      <w:tr w:rsidR="00F92B7B" w14:paraId="7A14D7B9" w14:textId="77777777">
        <w:tc>
          <w:tcPr>
            <w:tcW w:w="2242" w:type="dxa"/>
            <w:shd w:val="clear" w:color="auto" w:fill="auto"/>
          </w:tcPr>
          <w:p w14:paraId="0F6329A7" w14:textId="77DB8085" w:rsidR="00F92B7B" w:rsidRDefault="00301FA6"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6A41A4C3" w14:textId="43A702E8" w:rsidR="00F92B7B" w:rsidRDefault="00301FA6" w:rsidP="008A4A75">
            <w:pPr>
              <w:spacing w:after="0" w:line="240" w:lineRule="auto"/>
              <w:jc w:val="center"/>
              <w:rPr>
                <w:rFonts w:eastAsia="DengXian" w:cstheme="minorHAnsi"/>
                <w:lang w:eastAsia="zh-CN"/>
              </w:rPr>
            </w:pPr>
            <w:r>
              <w:rPr>
                <w:rFonts w:eastAsia="DengXian" w:cstheme="minorHAnsi"/>
                <w:lang w:eastAsia="zh-CN"/>
              </w:rPr>
              <w:t>Need more discussion</w:t>
            </w:r>
          </w:p>
        </w:tc>
        <w:tc>
          <w:tcPr>
            <w:tcW w:w="5406" w:type="dxa"/>
            <w:shd w:val="clear" w:color="auto" w:fill="auto"/>
          </w:tcPr>
          <w:p w14:paraId="735AB669" w14:textId="5496267A" w:rsidR="00F92B7B" w:rsidRDefault="00301FA6" w:rsidP="008A4A75">
            <w:pPr>
              <w:spacing w:after="0" w:line="240" w:lineRule="auto"/>
              <w:rPr>
                <w:rFonts w:eastAsia="DengXian" w:cstheme="minorHAnsi"/>
                <w:lang w:eastAsia="zh-CN"/>
              </w:rPr>
            </w:pPr>
            <w:r>
              <w:rPr>
                <w:rFonts w:eastAsia="DengXian" w:cstheme="minorHAnsi"/>
                <w:lang w:eastAsia="zh-CN"/>
              </w:rPr>
              <w:t xml:space="preserve">This TP is </w:t>
            </w:r>
            <w:r w:rsidR="001259E6">
              <w:rPr>
                <w:rFonts w:eastAsia="DengXian" w:cstheme="minorHAnsi"/>
                <w:lang w:eastAsia="zh-CN"/>
              </w:rPr>
              <w:t xml:space="preserve">to decouple restricted beam indication with MT/DU simultaneous operation. </w:t>
            </w:r>
            <w:r w:rsidR="00E067D4">
              <w:rPr>
                <w:rFonts w:eastAsia="DengXian" w:cstheme="minorHAnsi"/>
                <w:lang w:eastAsia="zh-CN"/>
              </w:rPr>
              <w:t>Agree with LG that further discussion</w:t>
            </w:r>
            <w:r w:rsidR="00A67545">
              <w:rPr>
                <w:rFonts w:eastAsia="DengXian" w:cstheme="minorHAnsi"/>
                <w:lang w:eastAsia="zh-CN"/>
              </w:rPr>
              <w:t>/clarification</w:t>
            </w:r>
            <w:r w:rsidR="00E067D4">
              <w:rPr>
                <w:rFonts w:eastAsia="DengXian" w:cstheme="minorHAnsi"/>
                <w:lang w:eastAsia="zh-CN"/>
              </w:rPr>
              <w:t xml:space="preserve"> is needed whether restricted beam indication</w:t>
            </w:r>
            <w:r w:rsidR="00A67545">
              <w:rPr>
                <w:rFonts w:eastAsia="DengXian" w:cstheme="minorHAnsi"/>
                <w:lang w:eastAsia="zh-CN"/>
              </w:rPr>
              <w:t xml:space="preserve"> is allowed in TDM mode.</w:t>
            </w:r>
            <w:r w:rsidR="00E067D4">
              <w:rPr>
                <w:rFonts w:eastAsia="DengXian" w:cstheme="minorHAnsi"/>
                <w:lang w:eastAsia="zh-CN"/>
              </w:rPr>
              <w:t xml:space="preserve"> </w:t>
            </w:r>
          </w:p>
        </w:tc>
      </w:tr>
      <w:tr w:rsidR="00675F12" w14:paraId="2C7F7043" w14:textId="77777777">
        <w:tc>
          <w:tcPr>
            <w:tcW w:w="2242" w:type="dxa"/>
            <w:shd w:val="clear" w:color="auto" w:fill="auto"/>
          </w:tcPr>
          <w:p w14:paraId="3ECA61A3" w14:textId="2995A474"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751070A5" w14:textId="6CA75731" w:rsidR="00675F12" w:rsidRDefault="00675F12" w:rsidP="008A4A75">
            <w:pPr>
              <w:spacing w:after="0" w:line="240" w:lineRule="auto"/>
              <w:jc w:val="center"/>
              <w:rPr>
                <w:rFonts w:eastAsia="DengXian" w:cstheme="minorHAnsi"/>
                <w:lang w:eastAsia="zh-CN"/>
              </w:rPr>
            </w:pPr>
            <w:r>
              <w:rPr>
                <w:rFonts w:eastAsia="DengXian" w:cstheme="minorHAnsi"/>
                <w:lang w:eastAsia="zh-CN"/>
              </w:rPr>
              <w:t>No</w:t>
            </w:r>
          </w:p>
        </w:tc>
        <w:tc>
          <w:tcPr>
            <w:tcW w:w="5406" w:type="dxa"/>
            <w:shd w:val="clear" w:color="auto" w:fill="auto"/>
          </w:tcPr>
          <w:p w14:paraId="12BE6042" w14:textId="6BA8F35D" w:rsidR="00675F12" w:rsidRDefault="00675F12" w:rsidP="008A4A75">
            <w:pPr>
              <w:spacing w:after="0" w:line="240" w:lineRule="auto"/>
              <w:rPr>
                <w:rFonts w:eastAsia="DengXian" w:cstheme="minorHAnsi"/>
                <w:lang w:eastAsia="zh-CN"/>
              </w:rPr>
            </w:pPr>
            <w:r>
              <w:rPr>
                <w:rFonts w:cstheme="minorHAnsi"/>
                <w:lang w:eastAsia="ja-JP"/>
              </w:rPr>
              <w:t xml:space="preserve">We prefer to limit beam restriction to non-TDM modes of operation to keep a consistent signaling framework with Rel-17 MAC CEs.  The motivation is not clear and adding additional multiplexing mode associations </w:t>
            </w:r>
            <w:r>
              <w:rPr>
                <w:rFonts w:cstheme="minorHAnsi"/>
                <w:lang w:eastAsia="ja-JP"/>
              </w:rPr>
              <w:t>could</w:t>
            </w:r>
            <w:r>
              <w:rPr>
                <w:rFonts w:cstheme="minorHAnsi"/>
                <w:lang w:eastAsia="ja-JP"/>
              </w:rPr>
              <w:t xml:space="preserve"> result in increased MAC CE payload size.  </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r w:rsidR="008A4A75" w14:paraId="7D7F568B" w14:textId="77777777">
        <w:tc>
          <w:tcPr>
            <w:tcW w:w="2242" w:type="dxa"/>
            <w:shd w:val="clear" w:color="auto" w:fill="auto"/>
          </w:tcPr>
          <w:p w14:paraId="28EC83E5" w14:textId="4F129B5A"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148CA868" w14:textId="17DEA4DD" w:rsidR="008A4A75" w:rsidRDefault="008A4A75" w:rsidP="008A4A75">
            <w:pPr>
              <w:spacing w:after="0" w:line="240" w:lineRule="auto"/>
              <w:jc w:val="center"/>
              <w:rPr>
                <w:rFonts w:eastAsia="DengXian" w:cstheme="minorHAnsi"/>
                <w:lang w:eastAsia="zh-CN"/>
              </w:rPr>
            </w:pPr>
            <w:r>
              <w:rPr>
                <w:rFonts w:eastAsia="Malgun Gothic" w:cstheme="minorHAnsi"/>
                <w:lang w:eastAsia="ko-KR"/>
              </w:rPr>
              <w:t>Yes</w:t>
            </w:r>
          </w:p>
        </w:tc>
        <w:tc>
          <w:tcPr>
            <w:tcW w:w="5406" w:type="dxa"/>
            <w:shd w:val="clear" w:color="auto" w:fill="auto"/>
          </w:tcPr>
          <w:p w14:paraId="73256ACE" w14:textId="77777777" w:rsidR="008A4A75" w:rsidRDefault="008A4A75" w:rsidP="008A4A75">
            <w:pPr>
              <w:spacing w:after="0" w:line="240" w:lineRule="auto"/>
              <w:rPr>
                <w:rFonts w:cstheme="minorHAnsi"/>
              </w:rPr>
            </w:pPr>
          </w:p>
        </w:tc>
      </w:tr>
      <w:tr w:rsidR="004A5ADA" w14:paraId="5415E197" w14:textId="77777777">
        <w:tc>
          <w:tcPr>
            <w:tcW w:w="2242" w:type="dxa"/>
            <w:shd w:val="clear" w:color="auto" w:fill="auto"/>
          </w:tcPr>
          <w:p w14:paraId="6C96DCB0" w14:textId="416A520F" w:rsidR="004A5ADA" w:rsidRDefault="004A5ADA"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729D336A" w14:textId="30901153" w:rsidR="004A5ADA" w:rsidRDefault="004A5ADA"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13CA546F" w14:textId="77777777" w:rsidR="004A5ADA" w:rsidRDefault="004A5ADA" w:rsidP="008A4A75">
            <w:pPr>
              <w:spacing w:after="0" w:line="240" w:lineRule="auto"/>
              <w:rPr>
                <w:rFonts w:cstheme="minorHAnsi"/>
              </w:rPr>
            </w:pPr>
          </w:p>
        </w:tc>
      </w:tr>
      <w:tr w:rsidR="00675F12" w14:paraId="6DD8BCA0" w14:textId="77777777">
        <w:tc>
          <w:tcPr>
            <w:tcW w:w="2242" w:type="dxa"/>
            <w:shd w:val="clear" w:color="auto" w:fill="auto"/>
          </w:tcPr>
          <w:p w14:paraId="3EA19400" w14:textId="4DC898CA"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57B7A987" w14:textId="7AFA08B7" w:rsidR="00675F12" w:rsidRDefault="00675F12"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3BEF7E9A" w14:textId="77777777" w:rsidR="00675F12" w:rsidRDefault="00675F12" w:rsidP="008A4A7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Heading2"/>
      </w:pPr>
      <w:r>
        <w:lastRenderedPageBreak/>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Strong"/>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Strong"/>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yes, what is the reason for such restriction?</w:t>
            </w:r>
          </w:p>
          <w:p w14:paraId="609ACB93"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Tx beam.</w:t>
            </w:r>
          </w:p>
          <w:p w14:paraId="1A94402F"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a SSB index or a CSI-RS index.</w:t>
            </w:r>
          </w:p>
          <w:p w14:paraId="446F1361" w14:textId="77777777" w:rsidR="00C92F8E" w:rsidRPr="0000442E" w:rsidRDefault="00B30E73">
            <w:pPr>
              <w:pStyle w:val="ListParagraph"/>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t>N</w:t>
            </w:r>
            <w:r w:rsidRPr="0000442E">
              <w:rPr>
                <w:rFonts w:eastAsia="DengXian"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lastRenderedPageBreak/>
              <w:t>ZTE, Sanechips</w:t>
            </w:r>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The recommended beam indication includes either a DL Rx beam or an UL Tx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r w:rsidR="008A4A75" w14:paraId="72C8C81D" w14:textId="77777777">
        <w:tc>
          <w:tcPr>
            <w:tcW w:w="2242" w:type="dxa"/>
            <w:shd w:val="clear" w:color="auto" w:fill="auto"/>
          </w:tcPr>
          <w:p w14:paraId="43AC003A" w14:textId="4D8BA874"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389176D4" w14:textId="01CA409D"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3F8880FA" w14:textId="471D6BAD" w:rsidR="008A4A75" w:rsidRDefault="008A4A75" w:rsidP="008A4A75">
            <w:pPr>
              <w:spacing w:after="0" w:line="240" w:lineRule="auto"/>
              <w:jc w:val="both"/>
              <w:rPr>
                <w:rFonts w:cstheme="minorHAnsi"/>
                <w:lang w:eastAsia="ja-JP"/>
              </w:rPr>
            </w:pPr>
            <w:r>
              <w:rPr>
                <w:rFonts w:ascii="Calibri" w:eastAsia="DengXian" w:hAnsi="Calibri" w:cs="Calibri"/>
                <w:sz w:val="20"/>
                <w:szCs w:val="20"/>
                <w:lang w:eastAsia="zh-CN"/>
              </w:rPr>
              <w:t xml:space="preserve"> </w:t>
            </w:r>
          </w:p>
        </w:tc>
      </w:tr>
      <w:tr w:rsidR="00016575" w14:paraId="5EDAA52A" w14:textId="77777777">
        <w:tc>
          <w:tcPr>
            <w:tcW w:w="2242" w:type="dxa"/>
            <w:shd w:val="clear" w:color="auto" w:fill="auto"/>
          </w:tcPr>
          <w:p w14:paraId="48676B09" w14:textId="63960AA1" w:rsidR="00016575" w:rsidRDefault="00016575"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428223B8" w14:textId="5BF000C3" w:rsidR="00016575" w:rsidRDefault="00016575"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15A10F74" w14:textId="77777777" w:rsidR="00016575" w:rsidRDefault="00016575" w:rsidP="008A4A75">
            <w:pPr>
              <w:spacing w:after="0" w:line="240" w:lineRule="auto"/>
              <w:jc w:val="both"/>
              <w:rPr>
                <w:rFonts w:ascii="Calibri" w:eastAsia="DengXian" w:hAnsi="Calibri" w:cs="Calibri"/>
                <w:sz w:val="20"/>
                <w:szCs w:val="20"/>
                <w:lang w:eastAsia="zh-CN"/>
              </w:rPr>
            </w:pPr>
          </w:p>
        </w:tc>
      </w:tr>
      <w:tr w:rsidR="00675F12" w14:paraId="7E768CF5" w14:textId="77777777">
        <w:tc>
          <w:tcPr>
            <w:tcW w:w="2242" w:type="dxa"/>
            <w:shd w:val="clear" w:color="auto" w:fill="auto"/>
          </w:tcPr>
          <w:p w14:paraId="61C40197" w14:textId="0B1D0043"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377DDC44" w14:textId="4B1F085F" w:rsidR="00675F12" w:rsidRDefault="00675F12"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7277F172" w14:textId="77777777" w:rsidR="00675F12" w:rsidRDefault="00675F12" w:rsidP="008A4A75">
            <w:pPr>
              <w:spacing w:after="0" w:line="240" w:lineRule="auto"/>
              <w:jc w:val="both"/>
              <w:rPr>
                <w:rFonts w:ascii="Calibri" w:eastAsia="DengXian" w:hAnsi="Calibri" w:cs="Calibri"/>
                <w:sz w:val="20"/>
                <w:szCs w:val="20"/>
                <w:lang w:eastAsia="zh-CN"/>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10689E9B" w14:textId="77777777" w:rsidR="00C92F8E" w:rsidRDefault="00B30E73">
      <w:pPr>
        <w:rPr>
          <w:rFonts w:ascii="Times" w:hAnsi="Times"/>
          <w:sz w:val="16"/>
          <w:szCs w:val="16"/>
          <w:lang w:val="en-GB" w:eastAsia="zh-CN"/>
        </w:rPr>
      </w:pPr>
      <w:r>
        <w:rPr>
          <w:sz w:val="16"/>
          <w:szCs w:val="16"/>
          <w:lang w:val="en-GB" w:eastAsia="zh-CN"/>
        </w:rPr>
        <w:t>[1] R1-2203078   Remaining issues on R17 IAB enhancements, Huawei, HiSilicon</w:t>
      </w:r>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[3] R1-2203359   Maintenance on enhancements to IAB, ZTE, Sanechips</w:t>
      </w:r>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[5] R1-2203763   Discussions on enhancements to resource multiplexing between child and parent links of an IAB node, CEWiT</w:t>
      </w:r>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[11] R1-2204648 Discussions on eIAB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[13] R1-2204992 Remaining issues on eIAB,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ListParagraph"/>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E26B" w14:textId="77777777" w:rsidR="00145C22" w:rsidRDefault="00145C22">
      <w:pPr>
        <w:spacing w:line="240" w:lineRule="auto"/>
      </w:pPr>
      <w:r>
        <w:separator/>
      </w:r>
    </w:p>
  </w:endnote>
  <w:endnote w:type="continuationSeparator" w:id="0">
    <w:p w14:paraId="49906EE9" w14:textId="77777777" w:rsidR="00145C22" w:rsidRDefault="0014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Sim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385" w14:textId="3488830E" w:rsidR="00C92F8E" w:rsidRDefault="00B30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3050">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30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24A8" w14:textId="77777777" w:rsidR="00145C22" w:rsidRDefault="00145C22">
      <w:pPr>
        <w:spacing w:after="0"/>
      </w:pPr>
      <w:r>
        <w:separator/>
      </w:r>
    </w:p>
  </w:footnote>
  <w:footnote w:type="continuationSeparator" w:id="0">
    <w:p w14:paraId="00EE27E8" w14:textId="77777777" w:rsidR="00145C22" w:rsidRDefault="00145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575"/>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9E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C22"/>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1FA6"/>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ADA"/>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67B24"/>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0AE"/>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5FD0"/>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5F12"/>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A75"/>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545"/>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236"/>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7D4"/>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B7B"/>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Normal"/>
    <w:qFormat/>
    <w:pPr>
      <w:numPr>
        <w:numId w:val="14"/>
      </w:numPr>
      <w:tabs>
        <w:tab w:val="left" w:pos="807"/>
      </w:tabs>
      <w:ind w:leftChars="200" w:left="862" w:hangingChars="200" w:hanging="442"/>
    </w:pPr>
  </w:style>
  <w:style w:type="paragraph" w:customStyle="1" w:styleId="ZTE-Proposal">
    <w:name w:val="ZTE-Proposal"/>
    <w:basedOn w:val="Normal"/>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Normal"/>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Normal"/>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861E6-37AC-446E-BB50-7EE2D286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12</Pages>
  <Words>3546</Words>
  <Characters>17580</Characters>
  <Application>Microsoft Office Word</Application>
  <DocSecurity>0</DocSecurity>
  <Lines>146</Lines>
  <Paragraphs>42</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Wanuga, Kevin (Nokia - US/Murray Hill)</cp:lastModifiedBy>
  <cp:revision>2</cp:revision>
  <cp:lastPrinted>2016-09-19T16:11:00Z</cp:lastPrinted>
  <dcterms:created xsi:type="dcterms:W3CDTF">2022-05-10T01:46:00Z</dcterms:created>
  <dcterms:modified xsi:type="dcterms:W3CDTF">2022-05-10T01:46:00Z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