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5DF08883" w14:textId="7A798A9C"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ListParagraph"/>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5803F662" w14:textId="6E46D515" w:rsidR="00823823" w:rsidRP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hint="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w:t>
            </w:r>
            <w:r w:rsidRPr="000D6F45">
              <w:rPr>
                <w:sz w:val="22"/>
                <w:szCs w:val="22"/>
                <w:highlight w:val="yellow"/>
              </w:rPr>
              <w:t>PUSCH of smaller priority</w:t>
            </w:r>
            <w:r>
              <w:rPr>
                <w:sz w:val="22"/>
                <w:szCs w:val="22"/>
              </w:rPr>
              <w:t xml:space="preserve"> index on a same serving cell</w:t>
            </w:r>
          </w:p>
          <w:p w14:paraId="116DB0C0" w14:textId="1E17AA0E" w:rsidR="000D6F45" w:rsidRDefault="000D6F45" w:rsidP="00E65DCE">
            <w:pPr>
              <w:spacing w:after="240"/>
              <w:ind w:left="0" w:firstLine="0"/>
              <w:jc w:val="both"/>
              <w:rPr>
                <w:rFonts w:eastAsiaTheme="minorEastAsia" w:hint="eastAsia"/>
                <w:lang w:eastAsia="zh-CN"/>
              </w:rPr>
            </w:pPr>
            <w:r>
              <w:rPr>
                <w:rFonts w:eastAsiaTheme="minorEastAsia"/>
                <w:lang w:eastAsia="zh-CN"/>
              </w:rPr>
              <w:t xml:space="preserve">Overall, we think that we should define the same handling for all the cases (error case or HP PUSCH cancelling LP PUSCH), but not do a case by case </w:t>
            </w:r>
            <w:r>
              <w:rPr>
                <w:rFonts w:eastAsiaTheme="minorEastAsia"/>
                <w:lang w:eastAsia="zh-CN"/>
              </w:rPr>
              <w:lastRenderedPageBreak/>
              <w:t xml:space="preserve">specific selection at this rather late stage in the R16 maintenance. </w:t>
            </w:r>
          </w:p>
        </w:tc>
      </w:tr>
      <w:tr w:rsidR="000D6F45" w14:paraId="5A8CF770" w14:textId="77777777" w:rsidTr="00521DB4">
        <w:tc>
          <w:tcPr>
            <w:tcW w:w="2542" w:type="dxa"/>
            <w:shd w:val="clear" w:color="auto" w:fill="auto"/>
          </w:tcPr>
          <w:p w14:paraId="692300E4" w14:textId="77777777" w:rsidR="000D6F45" w:rsidRDefault="000D6F45" w:rsidP="00271BBB">
            <w:pPr>
              <w:spacing w:after="240"/>
              <w:ind w:left="172" w:firstLine="0"/>
              <w:jc w:val="both"/>
              <w:rPr>
                <w:rFonts w:eastAsiaTheme="minorEastAsia"/>
                <w:lang w:eastAsia="zh-CN"/>
              </w:rPr>
            </w:pPr>
          </w:p>
        </w:tc>
        <w:tc>
          <w:tcPr>
            <w:tcW w:w="6474" w:type="dxa"/>
            <w:shd w:val="clear" w:color="auto" w:fill="auto"/>
          </w:tcPr>
          <w:p w14:paraId="7EE60CFB" w14:textId="77777777" w:rsidR="000D6F45" w:rsidRDefault="000D6F45" w:rsidP="00E65DCE">
            <w:pPr>
              <w:spacing w:after="240"/>
              <w:ind w:left="0" w:firstLine="0"/>
              <w:jc w:val="both"/>
              <w:rPr>
                <w:rFonts w:eastAsiaTheme="minorEastAsia"/>
                <w:lang w:eastAsia="zh-CN"/>
              </w:rPr>
            </w:pP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0311" w14:textId="77777777" w:rsidR="00B64ECF" w:rsidRDefault="00B64ECF" w:rsidP="000840D7">
      <w:r>
        <w:separator/>
      </w:r>
    </w:p>
  </w:endnote>
  <w:endnote w:type="continuationSeparator" w:id="0">
    <w:p w14:paraId="193934A6" w14:textId="77777777" w:rsidR="00B64ECF" w:rsidRDefault="00B64ECF"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E8FB" w14:textId="77777777" w:rsidR="00B64ECF" w:rsidRDefault="00B64ECF" w:rsidP="000840D7">
      <w:r>
        <w:separator/>
      </w:r>
    </w:p>
  </w:footnote>
  <w:footnote w:type="continuationSeparator" w:id="0">
    <w:p w14:paraId="7D3F060B" w14:textId="77777777" w:rsidR="00B64ECF" w:rsidRDefault="00B64ECF"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1281</Words>
  <Characters>7307</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2022-05-10T07:42:00Z</dcterms:created>
  <dcterms:modified xsi:type="dcterms:W3CDTF">2022-05-10T07:49:00Z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