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A119D" w14:textId="77777777" w:rsidR="008F6A79" w:rsidRPr="0052548E" w:rsidRDefault="008F6A79" w:rsidP="008F6A7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#107bis-e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86436">
        <w:rPr>
          <w:rFonts w:ascii="Arial" w:hAnsi="Arial" w:cs="Arial"/>
          <w:b/>
          <w:bCs/>
          <w:sz w:val="28"/>
        </w:rPr>
        <w:t>R1-2200386</w:t>
      </w:r>
    </w:p>
    <w:p w14:paraId="4442B0CA" w14:textId="77777777" w:rsidR="008F6A79" w:rsidRPr="009513AC" w:rsidRDefault="008F6A79" w:rsidP="008F6A79">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January 17</w:t>
      </w:r>
      <w:r w:rsidRPr="00B93CF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93CF6">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538AE47" w14:textId="678EF6FE" w:rsidR="00380677" w:rsidRPr="00CA5EDE" w:rsidRDefault="00380677" w:rsidP="00CA5EDE">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 xml:space="preserve">Reliability </w:t>
      </w:r>
      <w:r w:rsidR="00CA7B70">
        <w:rPr>
          <w:rFonts w:ascii="Arial" w:eastAsia="Malgun Gothic" w:hAnsi="Arial" w:cs="Arial"/>
          <w:b/>
          <w:sz w:val="24"/>
          <w:lang w:val="en-US" w:eastAsia="ko-KR"/>
        </w:rPr>
        <w:t>for</w:t>
      </w:r>
      <w:r w:rsidR="00CA5EDE">
        <w:rPr>
          <w:rFonts w:ascii="Arial" w:eastAsia="Malgun Gothic" w:hAnsi="Arial" w:cs="Arial"/>
          <w:b/>
          <w:sz w:val="24"/>
          <w:lang w:val="en-US" w:eastAsia="ko-KR"/>
        </w:rPr>
        <w:t xml:space="preserve"> </w:t>
      </w:r>
      <w:r w:rsidR="00CA7B70">
        <w:rPr>
          <w:rFonts w:ascii="Arial" w:eastAsia="Malgun Gothic" w:hAnsi="Arial" w:cs="Arial"/>
          <w:b/>
          <w:sz w:val="24"/>
          <w:lang w:val="en-US" w:eastAsia="ko-KR"/>
        </w:rPr>
        <w:t>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10515667" w14:textId="0409208B" w:rsidR="00380677" w:rsidRPr="00880FD9" w:rsidRDefault="00C53772" w:rsidP="00783CC4">
      <w:pPr>
        <w:spacing w:before="240"/>
        <w:rPr>
          <w:lang w:val="en-US"/>
        </w:rPr>
      </w:pPr>
      <w:r w:rsidRPr="00880FD9">
        <w:rPr>
          <w:lang w:val="en-US"/>
        </w:rPr>
        <w:t xml:space="preserve">In this paper, </w:t>
      </w:r>
      <w:r w:rsidR="00C6348B">
        <w:rPr>
          <w:lang w:val="en-US"/>
        </w:rPr>
        <w:t xml:space="preserve">remaining aspects for </w:t>
      </w:r>
      <w:r w:rsidR="004B7621" w:rsidRPr="00880FD9">
        <w:rPr>
          <w:lang w:val="en-US"/>
        </w:rPr>
        <w:t>reliability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BDA9753"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E11DEA">
      <w:pPr>
        <w:pStyle w:val="Heading3"/>
        <w:numPr>
          <w:ilvl w:val="2"/>
          <w:numId w:val="1"/>
        </w:numPr>
        <w:spacing w:after="240"/>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5CC3A843" w:rsidR="000D3EA0" w:rsidRPr="00441D62" w:rsidRDefault="00441D62" w:rsidP="00CD4712">
      <w:pPr>
        <w:pStyle w:val="ListParagraph"/>
        <w:numPr>
          <w:ilvl w:val="0"/>
          <w:numId w:val="14"/>
        </w:numPr>
        <w:spacing w:before="240"/>
        <w:ind w:left="360" w:firstLine="0"/>
        <w:rPr>
          <w:rFonts w:ascii="Times New Roman" w:hAnsi="Times New Roman"/>
          <w:b/>
          <w:bCs/>
          <w:i/>
          <w:iCs/>
          <w:sz w:val="20"/>
          <w:szCs w:val="20"/>
        </w:rPr>
      </w:pPr>
      <w:r w:rsidRPr="00441D62">
        <w:rPr>
          <w:rFonts w:ascii="Times New Roman" w:hAnsi="Times New Roman"/>
          <w:b/>
          <w:bCs/>
          <w:i/>
          <w:iCs/>
          <w:sz w:val="20"/>
          <w:szCs w:val="20"/>
        </w:rPr>
        <w:t xml:space="preserve"> </w:t>
      </w:r>
      <w:r w:rsidR="000D3EA0" w:rsidRPr="00441D62">
        <w:rPr>
          <w:rFonts w:ascii="Times New Roman" w:hAnsi="Times New Roman"/>
          <w:b/>
          <w:bCs/>
          <w:i/>
          <w:iCs/>
          <w:sz w:val="20"/>
          <w:szCs w:val="20"/>
        </w:rPr>
        <w:t xml:space="preserve">For </w:t>
      </w:r>
      <w:r w:rsidR="00F33EB6" w:rsidRPr="00441D62">
        <w:rPr>
          <w:rFonts w:ascii="Times New Roman" w:hAnsi="Times New Roman"/>
          <w:b/>
          <w:bCs/>
          <w:i/>
          <w:iCs/>
          <w:sz w:val="20"/>
          <w:szCs w:val="20"/>
        </w:rPr>
        <w:t xml:space="preserve">the case when unicast and MBS PDSCH partially overlap in time on different PRBs, out-of-order HARQ feedback may be supported </w:t>
      </w:r>
      <w:r w:rsidR="00A679AA" w:rsidRPr="00441D62">
        <w:rPr>
          <w:rFonts w:ascii="Times New Roman" w:hAnsi="Times New Roman"/>
          <w:b/>
          <w:bCs/>
          <w:i/>
          <w:iCs/>
          <w:sz w:val="20"/>
          <w:szCs w:val="20"/>
        </w:rPr>
        <w:t>wherein the HARQ feedback corresponding to the PDSCH ending earlier in time may be transmitted after the HARQ feedback for the PDSCH ending later in time</w:t>
      </w:r>
    </w:p>
    <w:p w14:paraId="5C253F9F" w14:textId="77777777" w:rsidR="0036596D" w:rsidRDefault="0036596D" w:rsidP="00054743">
      <w:pPr>
        <w:spacing w:before="240" w:after="0"/>
        <w:rPr>
          <w:lang w:val="en-US"/>
        </w:rPr>
      </w:pPr>
    </w:p>
    <w:p w14:paraId="0B367CFE" w14:textId="61534F02" w:rsidR="00D27C98" w:rsidRDefault="00CF0245"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 Codebook Design</w:t>
      </w:r>
      <w:r w:rsidR="00302123">
        <w:rPr>
          <w:rFonts w:ascii="Arial" w:hAnsi="Arial" w:cs="Arial"/>
          <w:color w:val="000000" w:themeColor="text1"/>
          <w:lang w:val="en-US"/>
        </w:rPr>
        <w:t xml:space="preserve"> and PUCCH Configuration</w:t>
      </w:r>
    </w:p>
    <w:p w14:paraId="408D2C02" w14:textId="7DC21693" w:rsidR="006E1153" w:rsidRDefault="006E1153" w:rsidP="006E1153">
      <w:pPr>
        <w:rPr>
          <w:b/>
          <w:bCs/>
          <w:i/>
          <w:iCs/>
        </w:rPr>
      </w:pPr>
    </w:p>
    <w:p w14:paraId="37A3B927" w14:textId="790043B7" w:rsidR="00037024" w:rsidRPr="00037024" w:rsidRDefault="00BF1A56" w:rsidP="00037024">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 xml:space="preserve">Type 1 </w:t>
      </w:r>
      <w:r w:rsidR="00527F1E">
        <w:rPr>
          <w:rFonts w:ascii="Arial" w:hAnsi="Arial" w:cs="Arial"/>
          <w:i w:val="0"/>
          <w:iCs w:val="0"/>
          <w:color w:val="auto"/>
          <w:sz w:val="22"/>
          <w:szCs w:val="22"/>
          <w:lang w:val="en-US"/>
        </w:rPr>
        <w:t xml:space="preserve">HARQ </w:t>
      </w:r>
      <w:r w:rsidR="00B76627">
        <w:rPr>
          <w:rFonts w:ascii="Arial" w:hAnsi="Arial" w:cs="Arial"/>
          <w:i w:val="0"/>
          <w:iCs w:val="0"/>
          <w:color w:val="auto"/>
          <w:sz w:val="22"/>
          <w:szCs w:val="22"/>
          <w:lang w:val="en-US"/>
        </w:rPr>
        <w:t>Codebook Design</w:t>
      </w:r>
      <w:r w:rsidR="00037024">
        <w:rPr>
          <w:rFonts w:ascii="Arial" w:hAnsi="Arial" w:cs="Arial"/>
          <w:i w:val="0"/>
          <w:iCs w:val="0"/>
          <w:color w:val="auto"/>
          <w:sz w:val="22"/>
          <w:szCs w:val="22"/>
          <w:lang w:val="en-US"/>
        </w:rPr>
        <w:t>:</w:t>
      </w:r>
    </w:p>
    <w:p w14:paraId="208E9D73" w14:textId="54A486AA" w:rsidR="0077734F" w:rsidRDefault="00C20086" w:rsidP="008056FA">
      <w:pPr>
        <w:rPr>
          <w:lang w:val="en-US"/>
        </w:rPr>
      </w:pPr>
      <w:r>
        <w:rPr>
          <w:lang w:val="en-US"/>
        </w:rPr>
        <w:t>ACK/NACK</w:t>
      </w:r>
      <w:r w:rsidR="006C280B">
        <w:rPr>
          <w:lang w:val="en-US"/>
        </w:rPr>
        <w:t>-</w:t>
      </w:r>
      <w:r>
        <w:rPr>
          <w:lang w:val="en-US"/>
        </w:rPr>
        <w:t>based or NACK-only</w:t>
      </w:r>
      <w:r w:rsidR="006C280B">
        <w:rPr>
          <w:lang w:val="en-US"/>
        </w:rPr>
        <w:t>-</w:t>
      </w:r>
      <w:r w:rsidR="007D731C">
        <w:rPr>
          <w:lang w:val="en-US"/>
        </w:rPr>
        <w:t>based feedback can be dynamically disabled by DCI</w:t>
      </w:r>
      <w:r w:rsidR="00B0403A">
        <w:rPr>
          <w:lang w:val="en-US"/>
        </w:rPr>
        <w:t>. However, this may have some non-trivial impact on codebook constr</w:t>
      </w:r>
      <w:r w:rsidR="006C280B">
        <w:rPr>
          <w:lang w:val="en-US"/>
        </w:rPr>
        <w:t xml:space="preserve">uction. </w:t>
      </w:r>
      <w:r w:rsidR="006E5D4F">
        <w:rPr>
          <w:lang w:val="en-US"/>
        </w:rPr>
        <w:t xml:space="preserve"> </w:t>
      </w:r>
      <w:r w:rsidR="006E5D4F" w:rsidRPr="006E5D4F">
        <w:rPr>
          <w:lang w:val="en-US"/>
        </w:rPr>
        <w:t>For Type 1 HARQ Codebook</w:t>
      </w:r>
      <w:r w:rsidR="006E5D4F">
        <w:rPr>
          <w:lang w:val="en-US"/>
        </w:rPr>
        <w:t xml:space="preserve"> </w:t>
      </w:r>
      <w:r w:rsidR="006E5D4F" w:rsidRPr="006E5D4F">
        <w:rPr>
          <w:lang w:val="en-US"/>
        </w:rPr>
        <w:t>disabling the HARQ-ACK for a GC-PDSCH does not change the Type 1 HARQ-ACK codebook generation. For the GC-PDSCHs whose ACK/NACK feedback is disabled, padding NACK can be used such that the CB size is same as in the case if HARQ feedback was enabled</w:t>
      </w:r>
      <w:r w:rsidR="006E5D4F">
        <w:rPr>
          <w:lang w:val="en-US"/>
        </w:rPr>
        <w:t xml:space="preserve">. </w:t>
      </w:r>
    </w:p>
    <w:p w14:paraId="177CB4C9" w14:textId="1BE2DBB1" w:rsidR="006E5D4F" w:rsidRPr="006E5D4F" w:rsidRDefault="006E5D4F" w:rsidP="00CD4712">
      <w:pPr>
        <w:pStyle w:val="ListParagraph"/>
        <w:numPr>
          <w:ilvl w:val="0"/>
          <w:numId w:val="14"/>
        </w:numPr>
        <w:ind w:left="360" w:firstLine="0"/>
      </w:pPr>
      <w:r>
        <w:t xml:space="preserve"> </w:t>
      </w:r>
      <w:r w:rsidR="00960603">
        <w:rPr>
          <w:rFonts w:ascii="Times" w:eastAsia="Batang" w:hAnsi="Times" w:cs="Times"/>
          <w:b/>
          <w:bCs/>
          <w:i/>
          <w:iCs/>
          <w:kern w:val="2"/>
          <w:sz w:val="20"/>
          <w:szCs w:val="20"/>
          <w:lang w:val="en-GB" w:eastAsia="zh-CN"/>
        </w:rPr>
        <w:t>For Type 1 Codebook if HARQ is disabled by DCI for a GC-PDSCH,</w:t>
      </w:r>
      <w:r w:rsidR="00CD4712">
        <w:rPr>
          <w:rFonts w:ascii="Times" w:eastAsia="Batang" w:hAnsi="Times" w:cs="Times"/>
          <w:b/>
          <w:bCs/>
          <w:i/>
          <w:iCs/>
          <w:kern w:val="2"/>
          <w:sz w:val="20"/>
          <w:szCs w:val="20"/>
          <w:lang w:val="en-GB" w:eastAsia="zh-CN"/>
        </w:rPr>
        <w:t xml:space="preserve"> Type 1 codebook generation does not change, and</w:t>
      </w:r>
      <w:r w:rsidR="00960603">
        <w:rPr>
          <w:rFonts w:ascii="Times" w:eastAsia="Batang" w:hAnsi="Times" w:cs="Times"/>
          <w:b/>
          <w:bCs/>
          <w:i/>
          <w:iCs/>
          <w:kern w:val="2"/>
          <w:sz w:val="20"/>
          <w:szCs w:val="20"/>
          <w:lang w:val="en-GB" w:eastAsia="zh-CN"/>
        </w:rPr>
        <w:t xml:space="preserve"> </w:t>
      </w:r>
      <w:r w:rsidR="00437A6D">
        <w:rPr>
          <w:rFonts w:ascii="Times" w:eastAsia="Batang" w:hAnsi="Times" w:cs="Times"/>
          <w:b/>
          <w:bCs/>
          <w:i/>
          <w:iCs/>
          <w:kern w:val="2"/>
          <w:sz w:val="20"/>
          <w:szCs w:val="20"/>
          <w:lang w:val="en-GB" w:eastAsia="zh-CN"/>
        </w:rPr>
        <w:t>padding NACK can be used such that CB size is same as in the case if HARQ-ACK feedback was enabled.</w:t>
      </w:r>
    </w:p>
    <w:p w14:paraId="418AB032" w14:textId="77777777" w:rsidR="0077734F" w:rsidRDefault="0077734F" w:rsidP="008056FA">
      <w:pPr>
        <w:rPr>
          <w:lang w:val="en-US"/>
        </w:rPr>
      </w:pPr>
    </w:p>
    <w:p w14:paraId="5EA3EF44" w14:textId="7B186118" w:rsidR="00C62675" w:rsidRPr="00286D07" w:rsidRDefault="00967160" w:rsidP="00286D07">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Type 2 HARQ Codebook Design:</w:t>
      </w:r>
    </w:p>
    <w:tbl>
      <w:tblPr>
        <w:tblStyle w:val="TableGrid"/>
        <w:tblW w:w="0" w:type="auto"/>
        <w:tblLook w:val="04A0" w:firstRow="1" w:lastRow="0" w:firstColumn="1" w:lastColumn="0" w:noHBand="0" w:noVBand="1"/>
      </w:tblPr>
      <w:tblGrid>
        <w:gridCol w:w="10160"/>
      </w:tblGrid>
      <w:tr w:rsidR="0013637C" w14:paraId="70C0E3BB" w14:textId="77777777" w:rsidTr="0013637C">
        <w:tc>
          <w:tcPr>
            <w:tcW w:w="10160" w:type="dxa"/>
          </w:tcPr>
          <w:p w14:paraId="32ED5F8A" w14:textId="77777777" w:rsidR="0013637C" w:rsidRPr="0013637C" w:rsidRDefault="0013637C" w:rsidP="0013637C">
            <w:pPr>
              <w:spacing w:before="0" w:after="0"/>
              <w:rPr>
                <w:rFonts w:ascii="Times" w:eastAsia="Batang" w:hAnsi="Times"/>
                <w:sz w:val="18"/>
                <w:szCs w:val="18"/>
                <w:lang w:eastAsia="x-none"/>
              </w:rPr>
            </w:pPr>
            <w:r w:rsidRPr="0013637C">
              <w:rPr>
                <w:rFonts w:ascii="Times" w:eastAsia="Batang" w:hAnsi="Times"/>
                <w:sz w:val="18"/>
                <w:szCs w:val="18"/>
                <w:highlight w:val="green"/>
                <w:lang w:eastAsia="x-none"/>
              </w:rPr>
              <w:t>Agreement:</w:t>
            </w:r>
          </w:p>
          <w:p w14:paraId="57770C78" w14:textId="77777777" w:rsidR="0013637C" w:rsidRPr="0013637C" w:rsidRDefault="0013637C" w:rsidP="0013637C">
            <w:pPr>
              <w:spacing w:before="0" w:after="0"/>
              <w:rPr>
                <w:rFonts w:ascii="Times" w:eastAsia="Times New Roman" w:hAnsi="Times"/>
                <w:sz w:val="18"/>
                <w:szCs w:val="18"/>
              </w:rPr>
            </w:pPr>
            <w:r w:rsidRPr="0013637C">
              <w:rPr>
                <w:rFonts w:ascii="Times" w:eastAsia="Times New Roman" w:hAnsi="Times"/>
                <w:sz w:val="18"/>
                <w:szCs w:val="18"/>
              </w:rPr>
              <w:t xml:space="preserve">When UE supports and is configured with more than one G-RNTI, </w:t>
            </w:r>
          </w:p>
          <w:p w14:paraId="02D0C436" w14:textId="77777777" w:rsidR="0013637C" w:rsidRDefault="0013637C" w:rsidP="00CD4712">
            <w:pPr>
              <w:numPr>
                <w:ilvl w:val="1"/>
                <w:numId w:val="17"/>
              </w:numPr>
              <w:autoSpaceDE/>
              <w:autoSpaceDN/>
              <w:adjustRightInd/>
              <w:spacing w:before="0" w:after="0"/>
              <w:contextualSpacing/>
              <w:rPr>
                <w:rFonts w:ascii="Times" w:eastAsia="Times New Roman" w:hAnsi="Times"/>
                <w:sz w:val="18"/>
                <w:szCs w:val="18"/>
              </w:rPr>
            </w:pPr>
            <w:r w:rsidRPr="0013637C">
              <w:rPr>
                <w:rFonts w:ascii="Times" w:eastAsia="Times New Roman" w:hAnsi="Times"/>
                <w:sz w:val="18"/>
                <w:szCs w:val="18"/>
              </w:rPr>
              <w:t xml:space="preserve">for Type-2 codebook construction, DAI is separately counted per G-RNTI. </w:t>
            </w:r>
          </w:p>
          <w:p w14:paraId="5FA68F96" w14:textId="77777777" w:rsidR="0013637C" w:rsidRPr="00712E53" w:rsidRDefault="0013637C" w:rsidP="00712E53">
            <w:pPr>
              <w:numPr>
                <w:ilvl w:val="1"/>
                <w:numId w:val="17"/>
              </w:numPr>
              <w:autoSpaceDE/>
              <w:autoSpaceDN/>
              <w:adjustRightInd/>
              <w:spacing w:before="0"/>
              <w:contextualSpacing/>
              <w:rPr>
                <w:rFonts w:ascii="Times" w:eastAsia="Times New Roman" w:hAnsi="Times"/>
                <w:sz w:val="18"/>
                <w:szCs w:val="18"/>
              </w:rPr>
            </w:pPr>
            <w:r w:rsidRPr="0013637C">
              <w:rPr>
                <w:rFonts w:ascii="Times" w:eastAsia="Times New Roman" w:hAnsi="Times"/>
                <w:sz w:val="18"/>
                <w:szCs w:val="18"/>
              </w:rPr>
              <w:lastRenderedPageBreak/>
              <w:t>Type-2 codebook is constructed by concatenating Type-2 sub-codebook of each RNTI following the ascending order of the G-RNTI value.</w:t>
            </w:r>
            <w:r w:rsidRPr="0013637C">
              <w:rPr>
                <w:rFonts w:ascii="Times" w:eastAsia="Times New Roman" w:hAnsi="Times"/>
                <w:sz w:val="22"/>
                <w:szCs w:val="24"/>
              </w:rPr>
              <w:t xml:space="preserve"> </w:t>
            </w:r>
          </w:p>
          <w:p w14:paraId="1A41FE2E" w14:textId="1D8A59DF" w:rsidR="00712E53" w:rsidRPr="0013637C" w:rsidRDefault="00712E53" w:rsidP="00712E53">
            <w:pPr>
              <w:autoSpaceDE/>
              <w:autoSpaceDN/>
              <w:adjustRightInd/>
              <w:spacing w:before="0"/>
              <w:contextualSpacing/>
              <w:rPr>
                <w:rFonts w:ascii="Times" w:eastAsia="Times New Roman" w:hAnsi="Times"/>
                <w:sz w:val="18"/>
                <w:szCs w:val="18"/>
              </w:rPr>
            </w:pPr>
          </w:p>
        </w:tc>
      </w:tr>
    </w:tbl>
    <w:p w14:paraId="7E7978EA" w14:textId="3A32E3BD" w:rsidR="00967160" w:rsidRDefault="005A6567" w:rsidP="005A6567">
      <w:pPr>
        <w:spacing w:before="240"/>
        <w:rPr>
          <w:lang w:val="en-US"/>
        </w:rPr>
      </w:pPr>
      <w:r>
        <w:rPr>
          <w:lang w:val="en-US"/>
        </w:rPr>
        <w:lastRenderedPageBreak/>
        <w:t xml:space="preserve">In light of the above agreement if different priorities are supported and configured, then the DAI should be counted per G-RNTI per priority index. Similarly, concatenation should also be </w:t>
      </w:r>
      <w:r w:rsidR="00D71974">
        <w:rPr>
          <w:lang w:val="en-US"/>
        </w:rPr>
        <w:t xml:space="preserve">for each priority index. </w:t>
      </w:r>
    </w:p>
    <w:p w14:paraId="4D579B68" w14:textId="53C45C81" w:rsidR="00D71974" w:rsidRPr="00A85DFC" w:rsidRDefault="00D71974" w:rsidP="00FA16F1">
      <w:pPr>
        <w:pStyle w:val="ListParagraph"/>
        <w:numPr>
          <w:ilvl w:val="0"/>
          <w:numId w:val="14"/>
        </w:numPr>
        <w:spacing w:before="240" w:after="240"/>
        <w:ind w:left="360" w:firstLine="0"/>
      </w:pPr>
      <w:r>
        <w:t xml:space="preserve"> </w:t>
      </w:r>
      <w:r w:rsidR="006B3BD4">
        <w:rPr>
          <w:rFonts w:ascii="Times" w:eastAsia="Batang" w:hAnsi="Times" w:cs="Times"/>
          <w:b/>
          <w:bCs/>
          <w:i/>
          <w:iCs/>
          <w:kern w:val="2"/>
          <w:sz w:val="20"/>
          <w:szCs w:val="20"/>
          <w:lang w:val="en-GB" w:eastAsia="zh-CN"/>
        </w:rPr>
        <w:t xml:space="preserve">When UE is configured with more than one G-RNTI as well as more than one priority index, for Type 2 codebooks, DAI is separately counter per </w:t>
      </w:r>
      <w:r w:rsidR="00FA16F1">
        <w:rPr>
          <w:rFonts w:ascii="Times" w:eastAsia="Batang" w:hAnsi="Times" w:cs="Times"/>
          <w:b/>
          <w:bCs/>
          <w:i/>
          <w:iCs/>
          <w:kern w:val="2"/>
          <w:sz w:val="20"/>
          <w:szCs w:val="20"/>
          <w:lang w:val="en-GB" w:eastAsia="zh-CN"/>
        </w:rPr>
        <w:t>G-RNTI per priority index and the codebook concatenation is also per priority index.</w:t>
      </w:r>
      <w:r w:rsidR="0033105E">
        <w:rPr>
          <w:rFonts w:ascii="Times" w:eastAsia="Batang" w:hAnsi="Times" w:cs="Times"/>
          <w:b/>
          <w:bCs/>
          <w:i/>
          <w:iCs/>
          <w:kern w:val="2"/>
          <w:sz w:val="20"/>
          <w:szCs w:val="20"/>
          <w:lang w:val="en-GB" w:eastAsia="zh-CN"/>
        </w:rPr>
        <w:t xml:space="preserve"> Same principle is also followed for NACK only feedback. </w:t>
      </w:r>
    </w:p>
    <w:p w14:paraId="0A9BDB79" w14:textId="6F7AF938" w:rsidR="00037024" w:rsidRPr="00037024" w:rsidRDefault="00037024" w:rsidP="00037024">
      <w:pPr>
        <w:pStyle w:val="Heading4"/>
        <w:spacing w:after="240"/>
        <w:rPr>
          <w:rFonts w:ascii="Arial" w:hAnsi="Arial" w:cs="Arial"/>
          <w:i w:val="0"/>
          <w:iCs w:val="0"/>
          <w:color w:val="auto"/>
          <w:sz w:val="22"/>
          <w:szCs w:val="22"/>
          <w:lang w:val="en-US"/>
        </w:rPr>
      </w:pPr>
      <w:r w:rsidRPr="00037024">
        <w:rPr>
          <w:rFonts w:ascii="Arial" w:hAnsi="Arial" w:cs="Arial"/>
          <w:i w:val="0"/>
          <w:iCs w:val="0"/>
          <w:color w:val="auto"/>
          <w:sz w:val="22"/>
          <w:szCs w:val="22"/>
          <w:lang w:val="en-US"/>
        </w:rPr>
        <w:t>PUCCH C</w:t>
      </w:r>
      <w:r>
        <w:rPr>
          <w:rFonts w:ascii="Arial" w:hAnsi="Arial" w:cs="Arial"/>
          <w:i w:val="0"/>
          <w:iCs w:val="0"/>
          <w:color w:val="auto"/>
          <w:sz w:val="22"/>
          <w:szCs w:val="22"/>
          <w:lang w:val="en-US"/>
        </w:rPr>
        <w:t>o</w:t>
      </w:r>
      <w:r w:rsidRPr="00037024">
        <w:rPr>
          <w:rFonts w:ascii="Arial" w:hAnsi="Arial" w:cs="Arial"/>
          <w:i w:val="0"/>
          <w:iCs w:val="0"/>
          <w:color w:val="auto"/>
          <w:sz w:val="22"/>
          <w:szCs w:val="22"/>
          <w:lang w:val="en-US"/>
        </w:rPr>
        <w:t>nfiguration</w:t>
      </w:r>
      <w:r>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A85DFC" w14:paraId="3BBBDFED" w14:textId="77777777" w:rsidTr="00025DFE">
        <w:tc>
          <w:tcPr>
            <w:tcW w:w="10160" w:type="dxa"/>
          </w:tcPr>
          <w:p w14:paraId="36A39865" w14:textId="77777777" w:rsidR="00BD2E58" w:rsidRPr="00BD2E58" w:rsidRDefault="00BD2E58" w:rsidP="00BD2E58">
            <w:pPr>
              <w:spacing w:after="0"/>
              <w:rPr>
                <w:rFonts w:ascii="Times" w:eastAsia="Batang" w:hAnsi="Times"/>
                <w:sz w:val="18"/>
                <w:szCs w:val="22"/>
                <w:lang w:eastAsia="x-none"/>
              </w:rPr>
            </w:pPr>
            <w:r w:rsidRPr="00BD2E58">
              <w:rPr>
                <w:rFonts w:ascii="Times" w:eastAsia="Batang" w:hAnsi="Times"/>
                <w:sz w:val="18"/>
                <w:szCs w:val="22"/>
                <w:highlight w:val="green"/>
                <w:lang w:eastAsia="x-none"/>
              </w:rPr>
              <w:t>Agreement:</w:t>
            </w:r>
          </w:p>
          <w:p w14:paraId="3D1A37FA" w14:textId="77777777" w:rsidR="00BD2E58" w:rsidRPr="00BD2E58" w:rsidRDefault="00BD2E58" w:rsidP="00BD2E58">
            <w:pPr>
              <w:spacing w:before="0" w:after="0"/>
              <w:rPr>
                <w:rFonts w:ascii="Times" w:eastAsia="Batang" w:hAnsi="Times"/>
                <w:sz w:val="18"/>
                <w:szCs w:val="22"/>
                <w:lang w:eastAsia="x-none"/>
              </w:rPr>
            </w:pPr>
            <w:r w:rsidRPr="00BD2E58">
              <w:rPr>
                <w:rFonts w:ascii="Times" w:eastAsia="Batang" w:hAnsi="Times"/>
                <w:sz w:val="18"/>
                <w:szCs w:val="22"/>
                <w:lang w:eastAsia="x-none"/>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1E25121" w14:textId="77777777" w:rsidR="00BD2E58" w:rsidRPr="00BD2E58" w:rsidRDefault="00BD2E58" w:rsidP="00BD2E58">
            <w:pPr>
              <w:pStyle w:val="ListParagraph"/>
              <w:numPr>
                <w:ilvl w:val="0"/>
                <w:numId w:val="23"/>
              </w:numPr>
              <w:spacing w:before="0"/>
              <w:rPr>
                <w:rFonts w:ascii="Times" w:eastAsia="Batang" w:hAnsi="Times"/>
                <w:sz w:val="18"/>
                <w:lang w:eastAsia="x-none"/>
              </w:rPr>
            </w:pPr>
            <w:r w:rsidRPr="00BD2E58">
              <w:rPr>
                <w:rFonts w:ascii="Times" w:eastAsia="Batang" w:hAnsi="Times"/>
                <w:sz w:val="18"/>
                <w:lang w:eastAsia="x-none"/>
              </w:rPr>
              <w:t xml:space="preserve">This applies to at least the case of the feedback addressing one TB. NACK-only based feedback for more than one TBs is to be handled separately. </w:t>
            </w:r>
          </w:p>
          <w:p w14:paraId="524F3AA0" w14:textId="77777777" w:rsidR="00BD2E58" w:rsidRPr="00BD2E58" w:rsidRDefault="00BD2E58" w:rsidP="00BD2E58">
            <w:pPr>
              <w:pStyle w:val="ListParagraph"/>
              <w:numPr>
                <w:ilvl w:val="0"/>
                <w:numId w:val="23"/>
              </w:numPr>
              <w:spacing w:before="0"/>
              <w:rPr>
                <w:rFonts w:ascii="Times" w:eastAsia="Batang" w:hAnsi="Times"/>
                <w:sz w:val="18"/>
                <w:lang w:eastAsia="x-none"/>
              </w:rPr>
            </w:pPr>
            <w:r w:rsidRPr="00BD2E58">
              <w:rPr>
                <w:rFonts w:ascii="Times" w:eastAsia="Batang" w:hAnsi="Times"/>
                <w:sz w:val="18"/>
                <w:lang w:eastAsia="x-none"/>
              </w:rPr>
              <w:t xml:space="preserve">Note: When the TB is correctly decoded, the ACK will be transmitted and multiplexed with others. </w:t>
            </w:r>
          </w:p>
          <w:p w14:paraId="4488EB95" w14:textId="77777777" w:rsidR="00BD2E58" w:rsidRPr="00BD2E58" w:rsidRDefault="00BD2E58" w:rsidP="00BD2E58">
            <w:pPr>
              <w:pStyle w:val="ListParagraph"/>
              <w:numPr>
                <w:ilvl w:val="0"/>
                <w:numId w:val="23"/>
              </w:numPr>
              <w:spacing w:before="0"/>
              <w:rPr>
                <w:rFonts w:ascii="Times" w:eastAsia="Batang" w:hAnsi="Times"/>
                <w:sz w:val="18"/>
                <w:highlight w:val="yellow"/>
                <w:lang w:eastAsia="x-none"/>
              </w:rPr>
            </w:pPr>
            <w:r w:rsidRPr="00BD2E58">
              <w:rPr>
                <w:rFonts w:ascii="Times" w:eastAsia="Batang" w:hAnsi="Times"/>
                <w:sz w:val="18"/>
                <w:highlight w:val="yellow"/>
                <w:lang w:eastAsia="x-none"/>
              </w:rPr>
              <w:t xml:space="preserve">FFS the case of PUCCH for SR. </w:t>
            </w:r>
          </w:p>
          <w:p w14:paraId="48D558C9" w14:textId="58F7D497" w:rsidR="00A85DFC" w:rsidRPr="00A85DFC" w:rsidRDefault="00A85DFC" w:rsidP="00BD2E58">
            <w:pPr>
              <w:overflowPunct/>
              <w:autoSpaceDE/>
              <w:autoSpaceDN/>
              <w:adjustRightInd/>
              <w:spacing w:before="0" w:after="0"/>
              <w:contextualSpacing/>
              <w:textAlignment w:val="auto"/>
              <w:rPr>
                <w:rFonts w:ascii="Times" w:eastAsia="Batang" w:hAnsi="Times"/>
                <w:szCs w:val="24"/>
              </w:rPr>
            </w:pPr>
          </w:p>
        </w:tc>
      </w:tr>
    </w:tbl>
    <w:p w14:paraId="318A56D3" w14:textId="0A178D03" w:rsidR="00A85DFC" w:rsidRDefault="00A85DFC" w:rsidP="00A85DFC">
      <w:pPr>
        <w:rPr>
          <w:lang w:val="en-US"/>
        </w:rPr>
      </w:pPr>
    </w:p>
    <w:p w14:paraId="448957FF" w14:textId="5D75112A" w:rsidR="00BD2E58" w:rsidRDefault="00BD2E58" w:rsidP="00A85DFC">
      <w:pPr>
        <w:rPr>
          <w:lang w:val="en-US"/>
        </w:rPr>
      </w:pPr>
      <w:r>
        <w:rPr>
          <w:lang w:val="en-US"/>
        </w:rPr>
        <w:t xml:space="preserve">For the above agreement, there is an unresolved FFS for the case when PUCCH-SR </w:t>
      </w:r>
      <w:r w:rsidR="007E39D0">
        <w:rPr>
          <w:lang w:val="en-US"/>
        </w:rPr>
        <w:t>for unicast c</w:t>
      </w:r>
      <w:r>
        <w:rPr>
          <w:lang w:val="en-US"/>
        </w:rPr>
        <w:t>ollides with</w:t>
      </w:r>
      <w:r w:rsidR="007E39D0">
        <w:rPr>
          <w:lang w:val="en-US"/>
        </w:rPr>
        <w:t xml:space="preserve"> PUCCH transmissions for NACK-only feedback</w:t>
      </w:r>
      <w:r w:rsidR="001369A1">
        <w:rPr>
          <w:lang w:val="en-US"/>
        </w:rPr>
        <w:t xml:space="preserve"> for the same priority</w:t>
      </w:r>
      <w:r w:rsidR="007E39D0">
        <w:rPr>
          <w:lang w:val="en-US"/>
        </w:rPr>
        <w:t>.</w:t>
      </w:r>
      <w:r w:rsidR="001369A1">
        <w:rPr>
          <w:lang w:val="en-US"/>
        </w:rPr>
        <w:t xml:space="preserve"> In this case, the multiplexing of SR and </w:t>
      </w:r>
      <w:r w:rsidR="00877C0D">
        <w:rPr>
          <w:lang w:val="en-US"/>
        </w:rPr>
        <w:t>NACK-only can be complicate</w:t>
      </w:r>
      <w:r w:rsidR="00A336D3">
        <w:rPr>
          <w:lang w:val="en-US"/>
        </w:rPr>
        <w:t>d since NACK-only is transmitted on a shared PUCCH resource and there may be multiple hypotheses for the gNB to check. In this case, PUCCH SR can be prio</w:t>
      </w:r>
      <w:r w:rsidR="001155E0">
        <w:rPr>
          <w:lang w:val="en-US"/>
        </w:rPr>
        <w:t xml:space="preserve">ritized and the NACK only feedback can be dropped. </w:t>
      </w:r>
    </w:p>
    <w:p w14:paraId="5EE5990D" w14:textId="2D9A0F89" w:rsidR="00BD2E58" w:rsidRPr="001155E0" w:rsidRDefault="001155E0" w:rsidP="001155E0">
      <w:pPr>
        <w:pStyle w:val="ListParagraph"/>
        <w:numPr>
          <w:ilvl w:val="0"/>
          <w:numId w:val="14"/>
        </w:numPr>
      </w:pPr>
      <w:r>
        <w:rPr>
          <w:rFonts w:ascii="Times" w:eastAsia="Batang" w:hAnsi="Times" w:cs="Times"/>
          <w:b/>
          <w:bCs/>
          <w:i/>
          <w:iCs/>
          <w:kern w:val="2"/>
          <w:sz w:val="20"/>
          <w:szCs w:val="20"/>
          <w:lang w:val="en-GB" w:eastAsia="zh-CN"/>
        </w:rPr>
        <w:t xml:space="preserve">When </w:t>
      </w:r>
      <w:r>
        <w:rPr>
          <w:rFonts w:ascii="Times" w:eastAsia="Batang" w:hAnsi="Times" w:cs="Times"/>
          <w:b/>
          <w:bCs/>
          <w:i/>
          <w:iCs/>
          <w:kern w:val="2"/>
          <w:sz w:val="20"/>
          <w:szCs w:val="20"/>
          <w:lang w:val="en-GB" w:eastAsia="zh-CN"/>
        </w:rPr>
        <w:t xml:space="preserve">a PUCCH-SR for unicast collides with a PUCCH resource carrying NACK-only feedback </w:t>
      </w:r>
      <w:r w:rsidR="00111137">
        <w:rPr>
          <w:rFonts w:ascii="Times" w:eastAsia="Batang" w:hAnsi="Times" w:cs="Times"/>
          <w:b/>
          <w:bCs/>
          <w:i/>
          <w:iCs/>
          <w:kern w:val="2"/>
          <w:sz w:val="20"/>
          <w:szCs w:val="20"/>
          <w:lang w:val="en-GB" w:eastAsia="zh-CN"/>
        </w:rPr>
        <w:t>for multicast with the same priority, the PUCCH-SR for unicast is prioritized.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77E63E96" w14:textId="1FB9A96B" w:rsidR="004F2069" w:rsidRDefault="004F2069" w:rsidP="004F2069">
      <w:pPr>
        <w:pStyle w:val="ListParagraph"/>
        <w:numPr>
          <w:ilvl w:val="0"/>
          <w:numId w:val="21"/>
        </w:numPr>
        <w:spacing w:before="240"/>
        <w:ind w:left="360" w:firstLine="0"/>
        <w:rPr>
          <w:b/>
          <w:bCs/>
          <w:i/>
          <w:iCs/>
          <w:szCs w:val="20"/>
        </w:rPr>
      </w:pPr>
      <w:r w:rsidRPr="00441D62">
        <w:rPr>
          <w:rFonts w:ascii="Times New Roman" w:hAnsi="Times New Roman"/>
          <w:b/>
          <w:bCs/>
          <w:i/>
          <w:iCs/>
          <w:sz w:val="20"/>
          <w:szCs w:val="20"/>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286DA00A" w14:textId="3E5B2D5B" w:rsidR="004F2069" w:rsidRPr="006E5D4F" w:rsidRDefault="004F2069" w:rsidP="00DB6BBB">
      <w:pPr>
        <w:pStyle w:val="bullet1"/>
        <w:numPr>
          <w:ilvl w:val="0"/>
          <w:numId w:val="21"/>
        </w:numPr>
        <w:spacing w:before="240"/>
        <w:ind w:left="360" w:firstLine="0"/>
      </w:pPr>
      <w:r w:rsidRPr="00F56569">
        <w:rPr>
          <w:b/>
          <w:bCs/>
          <w:i/>
          <w:iCs/>
          <w:szCs w:val="20"/>
        </w:rPr>
        <w:t xml:space="preserve"> </w:t>
      </w:r>
      <w:r w:rsidRPr="00F56569">
        <w:rPr>
          <w:rFonts w:ascii="Times" w:eastAsia="Batang" w:hAnsi="Times" w:cs="Times"/>
          <w:b/>
          <w:bCs/>
          <w:i/>
          <w:iCs/>
          <w:sz w:val="20"/>
          <w:szCs w:val="20"/>
        </w:rPr>
        <w:t>For Type 1 Codebook if HARQ is disabled by DCI for a GC-PDSCH, Type 1 codebook generation does not change, and padding NACK can be used such that CB size is same as in the case if HARQ-ACK feedback was enabled.</w:t>
      </w:r>
    </w:p>
    <w:p w14:paraId="1A906D3B" w14:textId="6F6F88D5" w:rsidR="004F2069" w:rsidRPr="00DF48AD" w:rsidRDefault="00F56569" w:rsidP="004F2069">
      <w:pPr>
        <w:pStyle w:val="ListParagraph"/>
        <w:numPr>
          <w:ilvl w:val="0"/>
          <w:numId w:val="21"/>
        </w:numPr>
        <w:spacing w:before="240"/>
        <w:ind w:left="360" w:firstLine="0"/>
        <w:rPr>
          <w:rFonts w:ascii="Times New Roman" w:eastAsiaTheme="minorHAnsi" w:hAnsi="Times New Roman"/>
          <w:b/>
          <w:bCs/>
          <w:i/>
          <w:iCs/>
          <w:szCs w:val="20"/>
        </w:rPr>
      </w:pPr>
      <w:r>
        <w:rPr>
          <w:rFonts w:ascii="Times" w:eastAsia="Batang" w:hAnsi="Times" w:cs="Times"/>
          <w:b/>
          <w:bCs/>
          <w:i/>
          <w:iCs/>
          <w:kern w:val="2"/>
          <w:sz w:val="20"/>
          <w:szCs w:val="20"/>
          <w:lang w:val="en-GB" w:eastAsia="zh-CN"/>
        </w:rPr>
        <w:t xml:space="preserve"> </w:t>
      </w:r>
      <w:r w:rsidR="004F2069">
        <w:rPr>
          <w:rFonts w:ascii="Times" w:eastAsia="Batang" w:hAnsi="Times" w:cs="Times"/>
          <w:b/>
          <w:bCs/>
          <w:i/>
          <w:iCs/>
          <w:kern w:val="2"/>
          <w:sz w:val="20"/>
          <w:szCs w:val="20"/>
          <w:lang w:val="en-GB" w:eastAsia="zh-CN"/>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31BB32D2" w14:textId="78AA5976" w:rsidR="004F2069" w:rsidRPr="006B3EA6" w:rsidRDefault="004F2069" w:rsidP="004F2069">
      <w:pPr>
        <w:pStyle w:val="ListParagraph"/>
        <w:numPr>
          <w:ilvl w:val="0"/>
          <w:numId w:val="21"/>
        </w:numPr>
        <w:spacing w:before="240"/>
        <w:ind w:left="360" w:firstLine="0"/>
        <w:rPr>
          <w:b/>
          <w:bCs/>
          <w:i/>
          <w:iCs/>
          <w:szCs w:val="20"/>
        </w:rPr>
      </w:pPr>
      <w:r>
        <w:rPr>
          <w:b/>
          <w:bCs/>
          <w:i/>
          <w:iCs/>
          <w:szCs w:val="20"/>
        </w:rPr>
        <w:t xml:space="preserve"> </w:t>
      </w:r>
      <w:r w:rsidR="00F56569">
        <w:rPr>
          <w:rFonts w:ascii="Times" w:eastAsia="Batang" w:hAnsi="Times" w:cs="Times"/>
          <w:b/>
          <w:bCs/>
          <w:i/>
          <w:iCs/>
          <w:kern w:val="2"/>
          <w:sz w:val="20"/>
          <w:szCs w:val="20"/>
          <w:lang w:val="en-GB" w:eastAsia="zh-CN"/>
        </w:rPr>
        <w:t>When a PUCCH-SR for unicast collides with a PUCCH resource carrying NACK-only feedback for multicast with the same priority, the PUCCH-SR for unicast is prioritized</w:t>
      </w:r>
    </w:p>
    <w:p w14:paraId="240346DB" w14:textId="40F8B880" w:rsidR="003662A8" w:rsidRPr="00F56569" w:rsidRDefault="003662A8" w:rsidP="00F56569">
      <w:pPr>
        <w:spacing w:before="240"/>
        <w:ind w:left="360"/>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0"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7486FA75"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47541449"/>
      <w:r w:rsidRPr="00091D38">
        <w:rPr>
          <w:rFonts w:ascii="Times New Roman" w:eastAsia="SimSun" w:hAnsi="Times New Roman" w:cs="Times New Roman"/>
          <w:color w:val="auto"/>
          <w:sz w:val="20"/>
          <w:szCs w:val="20"/>
          <w:lang w:eastAsia="zh-CN"/>
        </w:rPr>
        <w:t>3GPP TS 38.211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1"/>
    </w:p>
    <w:p w14:paraId="79434BDE"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Multiplexing and Channel Coding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25C27D1C"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8706"/>
      <w:r w:rsidRPr="00091D38">
        <w:rPr>
          <w:rFonts w:ascii="Times New Roman" w:eastAsia="SimSun" w:hAnsi="Times New Roman" w:cs="Times New Roman"/>
          <w:color w:val="auto"/>
          <w:sz w:val="20"/>
          <w:szCs w:val="20"/>
          <w:lang w:eastAsia="zh-CN"/>
        </w:rPr>
        <w:t>3GPP TS 38.213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Control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2"/>
    </w:p>
    <w:p w14:paraId="31465F95" w14:textId="77777777" w:rsidR="00286D07" w:rsidRPr="00091D38" w:rsidRDefault="00286D07" w:rsidP="00286D07">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Data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FC191" w14:textId="77777777" w:rsidR="00D272F9" w:rsidRDefault="00D272F9" w:rsidP="00380677">
      <w:pPr>
        <w:spacing w:after="0"/>
      </w:pPr>
      <w:r>
        <w:separator/>
      </w:r>
    </w:p>
  </w:endnote>
  <w:endnote w:type="continuationSeparator" w:id="0">
    <w:p w14:paraId="0E6E4C3F" w14:textId="77777777" w:rsidR="00D272F9" w:rsidRDefault="00D272F9"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286D07"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AF653" w14:textId="77777777" w:rsidR="00A85DFC" w:rsidRDefault="00A8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83FAE" w14:textId="77777777" w:rsidR="00D272F9" w:rsidRDefault="00D272F9" w:rsidP="00380677">
      <w:pPr>
        <w:spacing w:after="0"/>
      </w:pPr>
      <w:r>
        <w:separator/>
      </w:r>
    </w:p>
  </w:footnote>
  <w:footnote w:type="continuationSeparator" w:id="0">
    <w:p w14:paraId="53C47477" w14:textId="77777777" w:rsidR="00D272F9" w:rsidRDefault="00D272F9"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09DBA" w14:textId="77777777" w:rsidR="00A85DFC" w:rsidRDefault="00A85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9EEFD" w14:textId="77777777" w:rsidR="00A85DFC" w:rsidRDefault="00A8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46C84"/>
    <w:multiLevelType w:val="hybridMultilevel"/>
    <w:tmpl w:val="A5B2104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8A658B"/>
    <w:multiLevelType w:val="hybridMultilevel"/>
    <w:tmpl w:val="2DBAAD28"/>
    <w:lvl w:ilvl="0" w:tplc="6C66F9D2">
      <w:start w:val="1"/>
      <w:numFmt w:val="decimal"/>
      <w:suff w:val="nothing"/>
      <w:lvlText w:val="Proposal %1:"/>
      <w:lvlJc w:val="left"/>
      <w:pPr>
        <w:ind w:left="63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73834"/>
    <w:multiLevelType w:val="hybridMultilevel"/>
    <w:tmpl w:val="B0D2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8"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0"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342E1843"/>
    <w:multiLevelType w:val="hybridMultilevel"/>
    <w:tmpl w:val="D90A153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1387F"/>
    <w:multiLevelType w:val="hybridMultilevel"/>
    <w:tmpl w:val="AFA0FBB2"/>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5" w15:restartNumberingAfterBreak="0">
    <w:nsid w:val="419B0C3E"/>
    <w:multiLevelType w:val="hybridMultilevel"/>
    <w:tmpl w:val="A05443CC"/>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3">
      <w:start w:val="1"/>
      <w:numFmt w:val="bullet"/>
      <w:lvlText w:val="o"/>
      <w:lvlJc w:val="left"/>
      <w:pPr>
        <w:ind w:left="1310" w:hanging="420"/>
      </w:pPr>
      <w:rPr>
        <w:rFonts w:ascii="Courier New" w:hAnsi="Courier New" w:cs="Courier New"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6071C20"/>
    <w:multiLevelType w:val="hybridMultilevel"/>
    <w:tmpl w:val="468E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62B26"/>
    <w:multiLevelType w:val="hybridMultilevel"/>
    <w:tmpl w:val="E67C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7"/>
  </w:num>
  <w:num w:numId="4">
    <w:abstractNumId w:val="23"/>
  </w:num>
  <w:num w:numId="5">
    <w:abstractNumId w:val="22"/>
  </w:num>
  <w:num w:numId="6">
    <w:abstractNumId w:val="10"/>
  </w:num>
  <w:num w:numId="7">
    <w:abstractNumId w:val="12"/>
  </w:num>
  <w:num w:numId="8">
    <w:abstractNumId w:val="16"/>
  </w:num>
  <w:num w:numId="9">
    <w:abstractNumId w:val="11"/>
  </w:num>
  <w:num w:numId="10">
    <w:abstractNumId w:val="9"/>
  </w:num>
  <w:num w:numId="11">
    <w:abstractNumId w:val="15"/>
  </w:num>
  <w:num w:numId="12">
    <w:abstractNumId w:val="14"/>
  </w:num>
  <w:num w:numId="13">
    <w:abstractNumId w:val="2"/>
  </w:num>
  <w:num w:numId="14">
    <w:abstractNumId w:val="13"/>
  </w:num>
  <w:num w:numId="15">
    <w:abstractNumId w:val="20"/>
  </w:num>
  <w:num w:numId="16">
    <w:abstractNumId w:val="6"/>
  </w:num>
  <w:num w:numId="17">
    <w:abstractNumId w:val="19"/>
  </w:num>
  <w:num w:numId="18">
    <w:abstractNumId w:val="4"/>
  </w:num>
  <w:num w:numId="19">
    <w:abstractNumId w:val="7"/>
  </w:num>
  <w:num w:numId="20">
    <w:abstractNumId w:val="8"/>
  </w:num>
  <w:num w:numId="21">
    <w:abstractNumId w:val="3"/>
  </w:num>
  <w:num w:numId="22">
    <w:abstractNumId w:val="0"/>
  </w:num>
  <w:num w:numId="23">
    <w:abstractNumId w:val="18"/>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2E4"/>
    <w:rsid w:val="00002E0D"/>
    <w:rsid w:val="00005D5C"/>
    <w:rsid w:val="0000703C"/>
    <w:rsid w:val="00022675"/>
    <w:rsid w:val="000305D7"/>
    <w:rsid w:val="00037024"/>
    <w:rsid w:val="0003712F"/>
    <w:rsid w:val="00040F53"/>
    <w:rsid w:val="0004322A"/>
    <w:rsid w:val="0004545E"/>
    <w:rsid w:val="000537D3"/>
    <w:rsid w:val="00054743"/>
    <w:rsid w:val="00060D6F"/>
    <w:rsid w:val="00061DBA"/>
    <w:rsid w:val="000654F0"/>
    <w:rsid w:val="00065EA8"/>
    <w:rsid w:val="0008556C"/>
    <w:rsid w:val="000856B6"/>
    <w:rsid w:val="000A59C5"/>
    <w:rsid w:val="000B0D6C"/>
    <w:rsid w:val="000B3A8C"/>
    <w:rsid w:val="000B3B2C"/>
    <w:rsid w:val="000B6638"/>
    <w:rsid w:val="000B6A82"/>
    <w:rsid w:val="000C0DC5"/>
    <w:rsid w:val="000C39A3"/>
    <w:rsid w:val="000D0CEF"/>
    <w:rsid w:val="000D19E5"/>
    <w:rsid w:val="000D230E"/>
    <w:rsid w:val="000D3EA0"/>
    <w:rsid w:val="000D5BC5"/>
    <w:rsid w:val="000E3C62"/>
    <w:rsid w:val="000E4F07"/>
    <w:rsid w:val="000E6A75"/>
    <w:rsid w:val="000F09EC"/>
    <w:rsid w:val="00101FE9"/>
    <w:rsid w:val="0010415A"/>
    <w:rsid w:val="001043C2"/>
    <w:rsid w:val="00104CBD"/>
    <w:rsid w:val="0011076A"/>
    <w:rsid w:val="00111137"/>
    <w:rsid w:val="001125F6"/>
    <w:rsid w:val="001155E0"/>
    <w:rsid w:val="00115761"/>
    <w:rsid w:val="00115964"/>
    <w:rsid w:val="00125FD1"/>
    <w:rsid w:val="001270A0"/>
    <w:rsid w:val="00131250"/>
    <w:rsid w:val="00132573"/>
    <w:rsid w:val="00133192"/>
    <w:rsid w:val="0013637C"/>
    <w:rsid w:val="001369A1"/>
    <w:rsid w:val="00141C82"/>
    <w:rsid w:val="001536BE"/>
    <w:rsid w:val="0015439E"/>
    <w:rsid w:val="001812F7"/>
    <w:rsid w:val="00182EE9"/>
    <w:rsid w:val="00187911"/>
    <w:rsid w:val="00190EB7"/>
    <w:rsid w:val="001936E6"/>
    <w:rsid w:val="001A1109"/>
    <w:rsid w:val="001A41C6"/>
    <w:rsid w:val="001A54FC"/>
    <w:rsid w:val="001B1921"/>
    <w:rsid w:val="001B620E"/>
    <w:rsid w:val="001B6723"/>
    <w:rsid w:val="001C148C"/>
    <w:rsid w:val="001C1ED7"/>
    <w:rsid w:val="001C2A02"/>
    <w:rsid w:val="001C5207"/>
    <w:rsid w:val="001C6345"/>
    <w:rsid w:val="001D2B88"/>
    <w:rsid w:val="001D4072"/>
    <w:rsid w:val="001D7180"/>
    <w:rsid w:val="001F4F61"/>
    <w:rsid w:val="001F52B0"/>
    <w:rsid w:val="002014D4"/>
    <w:rsid w:val="00201DF7"/>
    <w:rsid w:val="002069F6"/>
    <w:rsid w:val="00212684"/>
    <w:rsid w:val="00213A20"/>
    <w:rsid w:val="00233238"/>
    <w:rsid w:val="00242CE3"/>
    <w:rsid w:val="00243C4D"/>
    <w:rsid w:val="00252029"/>
    <w:rsid w:val="00253FFC"/>
    <w:rsid w:val="00254B44"/>
    <w:rsid w:val="00256694"/>
    <w:rsid w:val="002813A9"/>
    <w:rsid w:val="002833EE"/>
    <w:rsid w:val="00286D07"/>
    <w:rsid w:val="002A23A1"/>
    <w:rsid w:val="002A2E8D"/>
    <w:rsid w:val="002A78DB"/>
    <w:rsid w:val="002B0296"/>
    <w:rsid w:val="002C60A2"/>
    <w:rsid w:val="002D5B7D"/>
    <w:rsid w:val="002D789D"/>
    <w:rsid w:val="002E4352"/>
    <w:rsid w:val="002E51B9"/>
    <w:rsid w:val="002F54C0"/>
    <w:rsid w:val="002F60D8"/>
    <w:rsid w:val="003015F3"/>
    <w:rsid w:val="00301928"/>
    <w:rsid w:val="00302123"/>
    <w:rsid w:val="00306291"/>
    <w:rsid w:val="003122F6"/>
    <w:rsid w:val="00312366"/>
    <w:rsid w:val="003132EA"/>
    <w:rsid w:val="003158DD"/>
    <w:rsid w:val="003204A5"/>
    <w:rsid w:val="0032309B"/>
    <w:rsid w:val="0033105E"/>
    <w:rsid w:val="003324A3"/>
    <w:rsid w:val="00342EAE"/>
    <w:rsid w:val="003462EF"/>
    <w:rsid w:val="003479D1"/>
    <w:rsid w:val="003520FA"/>
    <w:rsid w:val="0035302C"/>
    <w:rsid w:val="00357E8D"/>
    <w:rsid w:val="003608E0"/>
    <w:rsid w:val="00364825"/>
    <w:rsid w:val="0036596D"/>
    <w:rsid w:val="003662A8"/>
    <w:rsid w:val="00367C13"/>
    <w:rsid w:val="00380677"/>
    <w:rsid w:val="0038249B"/>
    <w:rsid w:val="0038313B"/>
    <w:rsid w:val="00384B0D"/>
    <w:rsid w:val="00385AA5"/>
    <w:rsid w:val="00394313"/>
    <w:rsid w:val="00394B0D"/>
    <w:rsid w:val="003A0EEC"/>
    <w:rsid w:val="003C30D0"/>
    <w:rsid w:val="003D2EED"/>
    <w:rsid w:val="003D5463"/>
    <w:rsid w:val="003D77DD"/>
    <w:rsid w:val="003E14B5"/>
    <w:rsid w:val="003F05B1"/>
    <w:rsid w:val="004012AE"/>
    <w:rsid w:val="004019FC"/>
    <w:rsid w:val="00401C5E"/>
    <w:rsid w:val="00413E86"/>
    <w:rsid w:val="00416B4C"/>
    <w:rsid w:val="00416FB4"/>
    <w:rsid w:val="00420087"/>
    <w:rsid w:val="004256A3"/>
    <w:rsid w:val="004335AC"/>
    <w:rsid w:val="00437A6D"/>
    <w:rsid w:val="00441D62"/>
    <w:rsid w:val="00442F27"/>
    <w:rsid w:val="0044714C"/>
    <w:rsid w:val="00450375"/>
    <w:rsid w:val="00460586"/>
    <w:rsid w:val="004674A1"/>
    <w:rsid w:val="00470EBD"/>
    <w:rsid w:val="00473F25"/>
    <w:rsid w:val="00476FAF"/>
    <w:rsid w:val="00480518"/>
    <w:rsid w:val="00491394"/>
    <w:rsid w:val="004A30DF"/>
    <w:rsid w:val="004B4E09"/>
    <w:rsid w:val="004B7621"/>
    <w:rsid w:val="004C0153"/>
    <w:rsid w:val="004C26DD"/>
    <w:rsid w:val="004C65B7"/>
    <w:rsid w:val="004C7CB8"/>
    <w:rsid w:val="004D504A"/>
    <w:rsid w:val="004E1438"/>
    <w:rsid w:val="004E17C2"/>
    <w:rsid w:val="004E3915"/>
    <w:rsid w:val="004E4B70"/>
    <w:rsid w:val="004E52D5"/>
    <w:rsid w:val="004F02B1"/>
    <w:rsid w:val="004F2069"/>
    <w:rsid w:val="004F2D9C"/>
    <w:rsid w:val="004F3EE0"/>
    <w:rsid w:val="00516D64"/>
    <w:rsid w:val="00520C88"/>
    <w:rsid w:val="00522E8A"/>
    <w:rsid w:val="00522EA2"/>
    <w:rsid w:val="005263E5"/>
    <w:rsid w:val="00527F1E"/>
    <w:rsid w:val="0053395E"/>
    <w:rsid w:val="005432DE"/>
    <w:rsid w:val="00546AF4"/>
    <w:rsid w:val="00547FA0"/>
    <w:rsid w:val="005561B8"/>
    <w:rsid w:val="0055715F"/>
    <w:rsid w:val="005600EC"/>
    <w:rsid w:val="005606ED"/>
    <w:rsid w:val="00564931"/>
    <w:rsid w:val="0056649A"/>
    <w:rsid w:val="0056791A"/>
    <w:rsid w:val="00571AA0"/>
    <w:rsid w:val="0058039B"/>
    <w:rsid w:val="0058727D"/>
    <w:rsid w:val="00590530"/>
    <w:rsid w:val="00590C0A"/>
    <w:rsid w:val="00594B40"/>
    <w:rsid w:val="005A25DD"/>
    <w:rsid w:val="005A6567"/>
    <w:rsid w:val="005B2C66"/>
    <w:rsid w:val="005C4B66"/>
    <w:rsid w:val="005D644C"/>
    <w:rsid w:val="005E3A5C"/>
    <w:rsid w:val="005E57C0"/>
    <w:rsid w:val="005E7A30"/>
    <w:rsid w:val="005F0D95"/>
    <w:rsid w:val="00606FBA"/>
    <w:rsid w:val="00613C11"/>
    <w:rsid w:val="00632CA2"/>
    <w:rsid w:val="00633AAC"/>
    <w:rsid w:val="006359F2"/>
    <w:rsid w:val="00636146"/>
    <w:rsid w:val="00636561"/>
    <w:rsid w:val="006474E2"/>
    <w:rsid w:val="0065197F"/>
    <w:rsid w:val="00653FFA"/>
    <w:rsid w:val="0066041E"/>
    <w:rsid w:val="0066297B"/>
    <w:rsid w:val="00665F20"/>
    <w:rsid w:val="00673F1B"/>
    <w:rsid w:val="00674823"/>
    <w:rsid w:val="00680350"/>
    <w:rsid w:val="006814CB"/>
    <w:rsid w:val="00682734"/>
    <w:rsid w:val="0068497F"/>
    <w:rsid w:val="00687B00"/>
    <w:rsid w:val="00690403"/>
    <w:rsid w:val="00691DD4"/>
    <w:rsid w:val="00696F11"/>
    <w:rsid w:val="006A2020"/>
    <w:rsid w:val="006B3BD4"/>
    <w:rsid w:val="006C0273"/>
    <w:rsid w:val="006C280B"/>
    <w:rsid w:val="006C550D"/>
    <w:rsid w:val="006E1153"/>
    <w:rsid w:val="006E3180"/>
    <w:rsid w:val="006E4AEF"/>
    <w:rsid w:val="006E5D4F"/>
    <w:rsid w:val="006E6364"/>
    <w:rsid w:val="006E7A3F"/>
    <w:rsid w:val="006F164D"/>
    <w:rsid w:val="006F7495"/>
    <w:rsid w:val="007106B5"/>
    <w:rsid w:val="00712E53"/>
    <w:rsid w:val="00713B8F"/>
    <w:rsid w:val="00713E39"/>
    <w:rsid w:val="00714C84"/>
    <w:rsid w:val="00721E32"/>
    <w:rsid w:val="0072502C"/>
    <w:rsid w:val="007334F2"/>
    <w:rsid w:val="00743FB6"/>
    <w:rsid w:val="00753591"/>
    <w:rsid w:val="00764A78"/>
    <w:rsid w:val="007652F4"/>
    <w:rsid w:val="007737D2"/>
    <w:rsid w:val="00774B58"/>
    <w:rsid w:val="0077734F"/>
    <w:rsid w:val="00783CC4"/>
    <w:rsid w:val="00786722"/>
    <w:rsid w:val="00790DDB"/>
    <w:rsid w:val="00791335"/>
    <w:rsid w:val="007A36E5"/>
    <w:rsid w:val="007A6923"/>
    <w:rsid w:val="007B2747"/>
    <w:rsid w:val="007B311F"/>
    <w:rsid w:val="007B5870"/>
    <w:rsid w:val="007B79F2"/>
    <w:rsid w:val="007C08F2"/>
    <w:rsid w:val="007C21CC"/>
    <w:rsid w:val="007C6DE7"/>
    <w:rsid w:val="007C77D0"/>
    <w:rsid w:val="007D2C44"/>
    <w:rsid w:val="007D731C"/>
    <w:rsid w:val="007E1D57"/>
    <w:rsid w:val="007E2C1C"/>
    <w:rsid w:val="007E39D0"/>
    <w:rsid w:val="007F17C9"/>
    <w:rsid w:val="007F231D"/>
    <w:rsid w:val="00801526"/>
    <w:rsid w:val="008018FD"/>
    <w:rsid w:val="008056FA"/>
    <w:rsid w:val="00806179"/>
    <w:rsid w:val="0081054B"/>
    <w:rsid w:val="00816642"/>
    <w:rsid w:val="00817E2D"/>
    <w:rsid w:val="00822E09"/>
    <w:rsid w:val="00832135"/>
    <w:rsid w:val="0083351F"/>
    <w:rsid w:val="0084084F"/>
    <w:rsid w:val="00842CD5"/>
    <w:rsid w:val="008555E6"/>
    <w:rsid w:val="00860F97"/>
    <w:rsid w:val="00862998"/>
    <w:rsid w:val="00870C81"/>
    <w:rsid w:val="00873B3F"/>
    <w:rsid w:val="00877C0D"/>
    <w:rsid w:val="00880FD9"/>
    <w:rsid w:val="00887F1E"/>
    <w:rsid w:val="00893601"/>
    <w:rsid w:val="008B397D"/>
    <w:rsid w:val="008B7F94"/>
    <w:rsid w:val="008C0349"/>
    <w:rsid w:val="008C3D4C"/>
    <w:rsid w:val="008C49DD"/>
    <w:rsid w:val="008C68C7"/>
    <w:rsid w:val="008D05F1"/>
    <w:rsid w:val="008D3131"/>
    <w:rsid w:val="008E08B5"/>
    <w:rsid w:val="008E0F0D"/>
    <w:rsid w:val="008E2FC3"/>
    <w:rsid w:val="008E4FF2"/>
    <w:rsid w:val="008F2AC2"/>
    <w:rsid w:val="008F3DA2"/>
    <w:rsid w:val="008F4D5C"/>
    <w:rsid w:val="008F4E80"/>
    <w:rsid w:val="008F6A79"/>
    <w:rsid w:val="008F7F3B"/>
    <w:rsid w:val="00901E83"/>
    <w:rsid w:val="00907BD3"/>
    <w:rsid w:val="00911150"/>
    <w:rsid w:val="00914E63"/>
    <w:rsid w:val="00930E73"/>
    <w:rsid w:val="00936B94"/>
    <w:rsid w:val="009373A5"/>
    <w:rsid w:val="009407BB"/>
    <w:rsid w:val="00953595"/>
    <w:rsid w:val="00960603"/>
    <w:rsid w:val="0096166B"/>
    <w:rsid w:val="00961FE9"/>
    <w:rsid w:val="00967160"/>
    <w:rsid w:val="00972A61"/>
    <w:rsid w:val="00980520"/>
    <w:rsid w:val="0099239D"/>
    <w:rsid w:val="009A245D"/>
    <w:rsid w:val="009B0EDA"/>
    <w:rsid w:val="009B1C9C"/>
    <w:rsid w:val="009B20DA"/>
    <w:rsid w:val="009B2A66"/>
    <w:rsid w:val="009C43E0"/>
    <w:rsid w:val="009C61B1"/>
    <w:rsid w:val="009C7A72"/>
    <w:rsid w:val="009D060B"/>
    <w:rsid w:val="009D1DF5"/>
    <w:rsid w:val="009E0402"/>
    <w:rsid w:val="009E0AD5"/>
    <w:rsid w:val="009E334D"/>
    <w:rsid w:val="009E3D86"/>
    <w:rsid w:val="009F2C91"/>
    <w:rsid w:val="00A03461"/>
    <w:rsid w:val="00A13375"/>
    <w:rsid w:val="00A16EF1"/>
    <w:rsid w:val="00A226BF"/>
    <w:rsid w:val="00A22E71"/>
    <w:rsid w:val="00A32288"/>
    <w:rsid w:val="00A336D3"/>
    <w:rsid w:val="00A33909"/>
    <w:rsid w:val="00A34BD2"/>
    <w:rsid w:val="00A36FF6"/>
    <w:rsid w:val="00A377CE"/>
    <w:rsid w:val="00A37C57"/>
    <w:rsid w:val="00A44673"/>
    <w:rsid w:val="00A52209"/>
    <w:rsid w:val="00A54CAD"/>
    <w:rsid w:val="00A624EC"/>
    <w:rsid w:val="00A635CA"/>
    <w:rsid w:val="00A65F52"/>
    <w:rsid w:val="00A679AA"/>
    <w:rsid w:val="00A83A38"/>
    <w:rsid w:val="00A85710"/>
    <w:rsid w:val="00A85DFC"/>
    <w:rsid w:val="00A93625"/>
    <w:rsid w:val="00A96562"/>
    <w:rsid w:val="00A97E9B"/>
    <w:rsid w:val="00AA1DFE"/>
    <w:rsid w:val="00AA4D60"/>
    <w:rsid w:val="00AB2176"/>
    <w:rsid w:val="00AB2ADF"/>
    <w:rsid w:val="00AB3647"/>
    <w:rsid w:val="00AB39A0"/>
    <w:rsid w:val="00AC3894"/>
    <w:rsid w:val="00AD5CAF"/>
    <w:rsid w:val="00AE11BC"/>
    <w:rsid w:val="00AE1961"/>
    <w:rsid w:val="00AE71CD"/>
    <w:rsid w:val="00AF4CFE"/>
    <w:rsid w:val="00B0219A"/>
    <w:rsid w:val="00B0403A"/>
    <w:rsid w:val="00B11FC7"/>
    <w:rsid w:val="00B36744"/>
    <w:rsid w:val="00B3756C"/>
    <w:rsid w:val="00B42373"/>
    <w:rsid w:val="00B538D8"/>
    <w:rsid w:val="00B63F16"/>
    <w:rsid w:val="00B63FD8"/>
    <w:rsid w:val="00B64DAF"/>
    <w:rsid w:val="00B6774D"/>
    <w:rsid w:val="00B73D41"/>
    <w:rsid w:val="00B75D7F"/>
    <w:rsid w:val="00B76627"/>
    <w:rsid w:val="00B83470"/>
    <w:rsid w:val="00B85D51"/>
    <w:rsid w:val="00B979BF"/>
    <w:rsid w:val="00BA0D78"/>
    <w:rsid w:val="00BA6C87"/>
    <w:rsid w:val="00BD2057"/>
    <w:rsid w:val="00BD2E58"/>
    <w:rsid w:val="00BD590A"/>
    <w:rsid w:val="00BD5C8E"/>
    <w:rsid w:val="00BE051D"/>
    <w:rsid w:val="00BF19BA"/>
    <w:rsid w:val="00BF1A56"/>
    <w:rsid w:val="00BF7AF3"/>
    <w:rsid w:val="00C02BF1"/>
    <w:rsid w:val="00C0583B"/>
    <w:rsid w:val="00C07DFB"/>
    <w:rsid w:val="00C103C9"/>
    <w:rsid w:val="00C1121D"/>
    <w:rsid w:val="00C161A3"/>
    <w:rsid w:val="00C16B7D"/>
    <w:rsid w:val="00C20086"/>
    <w:rsid w:val="00C20E4A"/>
    <w:rsid w:val="00C45B49"/>
    <w:rsid w:val="00C4636C"/>
    <w:rsid w:val="00C53772"/>
    <w:rsid w:val="00C62675"/>
    <w:rsid w:val="00C627AB"/>
    <w:rsid w:val="00C6348B"/>
    <w:rsid w:val="00C64CA4"/>
    <w:rsid w:val="00C6793F"/>
    <w:rsid w:val="00C71DC0"/>
    <w:rsid w:val="00C76D76"/>
    <w:rsid w:val="00C93705"/>
    <w:rsid w:val="00CA05B8"/>
    <w:rsid w:val="00CA1F3D"/>
    <w:rsid w:val="00CA49A4"/>
    <w:rsid w:val="00CA5EDE"/>
    <w:rsid w:val="00CA7B70"/>
    <w:rsid w:val="00CB2CC6"/>
    <w:rsid w:val="00CB7180"/>
    <w:rsid w:val="00CC33FA"/>
    <w:rsid w:val="00CC4A06"/>
    <w:rsid w:val="00CD4712"/>
    <w:rsid w:val="00CD4AA6"/>
    <w:rsid w:val="00CD635C"/>
    <w:rsid w:val="00CE1528"/>
    <w:rsid w:val="00CF0245"/>
    <w:rsid w:val="00CF495A"/>
    <w:rsid w:val="00CF7029"/>
    <w:rsid w:val="00D13948"/>
    <w:rsid w:val="00D14A43"/>
    <w:rsid w:val="00D15CD2"/>
    <w:rsid w:val="00D2466C"/>
    <w:rsid w:val="00D246C3"/>
    <w:rsid w:val="00D272F9"/>
    <w:rsid w:val="00D27C98"/>
    <w:rsid w:val="00D31B49"/>
    <w:rsid w:val="00D31C6B"/>
    <w:rsid w:val="00D35291"/>
    <w:rsid w:val="00D36116"/>
    <w:rsid w:val="00D40837"/>
    <w:rsid w:val="00D4467B"/>
    <w:rsid w:val="00D47C9D"/>
    <w:rsid w:val="00D536BF"/>
    <w:rsid w:val="00D55959"/>
    <w:rsid w:val="00D563C0"/>
    <w:rsid w:val="00D6791E"/>
    <w:rsid w:val="00D67988"/>
    <w:rsid w:val="00D71974"/>
    <w:rsid w:val="00D77BFC"/>
    <w:rsid w:val="00D80E09"/>
    <w:rsid w:val="00D8481C"/>
    <w:rsid w:val="00D922DF"/>
    <w:rsid w:val="00D937C9"/>
    <w:rsid w:val="00D938AC"/>
    <w:rsid w:val="00DA65DC"/>
    <w:rsid w:val="00DB0B92"/>
    <w:rsid w:val="00DB1324"/>
    <w:rsid w:val="00DB15E7"/>
    <w:rsid w:val="00DB4A7D"/>
    <w:rsid w:val="00DB631B"/>
    <w:rsid w:val="00DB6C9A"/>
    <w:rsid w:val="00DC1FC9"/>
    <w:rsid w:val="00DC444E"/>
    <w:rsid w:val="00DD0AEC"/>
    <w:rsid w:val="00DD70D8"/>
    <w:rsid w:val="00DD7BF2"/>
    <w:rsid w:val="00DE78CD"/>
    <w:rsid w:val="00DF03B5"/>
    <w:rsid w:val="00DF1045"/>
    <w:rsid w:val="00E11DEA"/>
    <w:rsid w:val="00E13960"/>
    <w:rsid w:val="00E179E6"/>
    <w:rsid w:val="00E2781A"/>
    <w:rsid w:val="00E32A8C"/>
    <w:rsid w:val="00E3353D"/>
    <w:rsid w:val="00E35943"/>
    <w:rsid w:val="00E52238"/>
    <w:rsid w:val="00E53940"/>
    <w:rsid w:val="00E54007"/>
    <w:rsid w:val="00E561D8"/>
    <w:rsid w:val="00E6062C"/>
    <w:rsid w:val="00E626AF"/>
    <w:rsid w:val="00E7099B"/>
    <w:rsid w:val="00E72848"/>
    <w:rsid w:val="00E72B1D"/>
    <w:rsid w:val="00E770C4"/>
    <w:rsid w:val="00E87FC4"/>
    <w:rsid w:val="00E9006E"/>
    <w:rsid w:val="00E94652"/>
    <w:rsid w:val="00EA1499"/>
    <w:rsid w:val="00EB288C"/>
    <w:rsid w:val="00EB794B"/>
    <w:rsid w:val="00EC35E3"/>
    <w:rsid w:val="00ED0C8A"/>
    <w:rsid w:val="00ED46D7"/>
    <w:rsid w:val="00ED56F1"/>
    <w:rsid w:val="00ED5D96"/>
    <w:rsid w:val="00EE06B9"/>
    <w:rsid w:val="00EE0E19"/>
    <w:rsid w:val="00EE6190"/>
    <w:rsid w:val="00EF0D72"/>
    <w:rsid w:val="00EF6971"/>
    <w:rsid w:val="00F01E57"/>
    <w:rsid w:val="00F062B2"/>
    <w:rsid w:val="00F06B0D"/>
    <w:rsid w:val="00F13617"/>
    <w:rsid w:val="00F17BCE"/>
    <w:rsid w:val="00F30407"/>
    <w:rsid w:val="00F33EB6"/>
    <w:rsid w:val="00F36D9B"/>
    <w:rsid w:val="00F51950"/>
    <w:rsid w:val="00F52CED"/>
    <w:rsid w:val="00F53679"/>
    <w:rsid w:val="00F559B5"/>
    <w:rsid w:val="00F56569"/>
    <w:rsid w:val="00F63F34"/>
    <w:rsid w:val="00F71369"/>
    <w:rsid w:val="00F836AA"/>
    <w:rsid w:val="00F87B61"/>
    <w:rsid w:val="00F977D5"/>
    <w:rsid w:val="00FA16F1"/>
    <w:rsid w:val="00FA2447"/>
    <w:rsid w:val="00FA3AE7"/>
    <w:rsid w:val="00FA624C"/>
    <w:rsid w:val="00FB2061"/>
    <w:rsid w:val="00FB57AB"/>
    <w:rsid w:val="00FB672A"/>
    <w:rsid w:val="00FB798F"/>
    <w:rsid w:val="00FC15A1"/>
    <w:rsid w:val="00FC4F2F"/>
    <w:rsid w:val="00FD2BC5"/>
    <w:rsid w:val="00FE1E4D"/>
    <w:rsid w:val="00FE3A01"/>
    <w:rsid w:val="00FF1320"/>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E3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819</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551</cp:revision>
  <dcterms:created xsi:type="dcterms:W3CDTF">2020-08-06T00:53:00Z</dcterms:created>
  <dcterms:modified xsi:type="dcterms:W3CDTF">2022-01-11T23:42:00Z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