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rFonts w:hint="eastAsia"/>
          <w:lang w:eastAsia="zh-CN"/>
        </w:rPr>
        <w:t>I</w:t>
      </w:r>
      <w:r>
        <w:rPr>
          <w:lang w:eastAsia="zh-CN"/>
        </w:rPr>
        <w:t>n email discussion post RAN1#106-e, there were initial draft of RRC parameters for the WI [1].</w:t>
      </w:r>
    </w:p>
    <w:p>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pPr>
        <w:ind w:left="440" w:leftChars="20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pPr>
        <w:rPr>
          <w:lang w:eastAsia="zh-CN"/>
        </w:rPr>
      </w:pPr>
      <w:r>
        <w:rPr>
          <w:rFonts w:hint="eastAsia"/>
          <w:lang w:eastAsia="zh-CN"/>
        </w:rPr>
        <w:t xml:space="preserve">The RRC parameter list is located at: </w:t>
      </w:r>
    </w:p>
    <w:p>
      <w:pPr>
        <w:pStyle w:val="2"/>
        <w:rPr>
          <w:lang w:eastAsia="zh-CN"/>
        </w:rPr>
      </w:pPr>
      <w:r>
        <w:rPr>
          <w:rFonts w:hint="eastAsia"/>
          <w:lang w:eastAsia="zh-CN"/>
        </w:rPr>
        <w:t>Discussion</w:t>
      </w:r>
    </w:p>
    <w:p>
      <w:pPr>
        <w:pStyle w:val="3"/>
      </w:pPr>
      <w:r>
        <w:rPr>
          <w:lang w:eastAsia="zh-CN"/>
        </w:rPr>
        <w:t>Support of 16-QAM for unicast in UL and DL for NB-IoT</w:t>
      </w:r>
    </w:p>
    <w:p>
      <w:pPr>
        <w:outlineLvl w:val="2"/>
        <w:rPr>
          <w:b/>
        </w:rPr>
      </w:pPr>
      <w:r>
        <w:rPr>
          <w:rFonts w:hint="eastAsia"/>
          <w:b/>
        </w:rPr>
        <w:t>Issue 1</w:t>
      </w:r>
      <w:r>
        <w:rPr>
          <w:b/>
        </w:rPr>
        <w:t>-1</w:t>
      </w:r>
      <w:r>
        <w:rPr>
          <w:rFonts w:hint="eastAsia"/>
          <w:b/>
        </w:rPr>
        <w:t xml:space="preserve">: </w:t>
      </w:r>
      <w:r>
        <w:rPr>
          <w:b/>
        </w:rPr>
        <w:t>Configuration of PUR</w:t>
      </w:r>
    </w:p>
    <w:p>
      <w:r>
        <w:t>F</w:t>
      </w:r>
      <w:r>
        <w:rPr>
          <w:rFonts w:hint="eastAsia"/>
        </w:rPr>
        <w:t xml:space="preserve">or </w:t>
      </w:r>
      <w:r>
        <w:t>the configuration of NPUSCH for PUR, there are two entries in brackets as following in the RRC parameter list.</w:t>
      </w:r>
    </w:p>
    <w:tbl>
      <w:tblPr>
        <w:tblStyle w:val="47"/>
        <w:tblW w:w="9416" w:type="dxa"/>
        <w:tblInd w:w="-5" w:type="dxa"/>
        <w:tblLayout w:type="autofit"/>
        <w:tblCellMar>
          <w:top w:w="0" w:type="dxa"/>
          <w:left w:w="108" w:type="dxa"/>
          <w:bottom w:w="0" w:type="dxa"/>
          <w:right w:w="108" w:type="dxa"/>
        </w:tblCellMar>
      </w:tblPr>
      <w:tblGrid>
        <w:gridCol w:w="1450"/>
        <w:gridCol w:w="556"/>
        <w:gridCol w:w="550"/>
        <w:gridCol w:w="300"/>
        <w:gridCol w:w="300"/>
        <w:gridCol w:w="300"/>
        <w:gridCol w:w="967"/>
        <w:gridCol w:w="556"/>
        <w:gridCol w:w="667"/>
        <w:gridCol w:w="873"/>
        <w:gridCol w:w="734"/>
        <w:gridCol w:w="533"/>
        <w:gridCol w:w="372"/>
        <w:gridCol w:w="550"/>
        <w:gridCol w:w="550"/>
        <w:gridCol w:w="236"/>
      </w:tblGrid>
      <w:tr>
        <w:tblPrEx>
          <w:tblCellMar>
            <w:top w:w="0" w:type="dxa"/>
            <w:left w:w="108" w:type="dxa"/>
            <w:bottom w:w="0" w:type="dxa"/>
            <w:right w:w="108" w:type="dxa"/>
          </w:tblCellMar>
        </w:tblPrEx>
        <w:trPr>
          <w:trHeight w:val="720" w:hRule="atLeast"/>
        </w:trPr>
        <w:tc>
          <w:tcPr>
            <w:tcW w:w="1450" w:type="dxa"/>
            <w:tcBorders>
              <w:top w:val="single" w:color="auto" w:sz="4" w:space="0"/>
              <w:left w:val="single" w:color="auto" w:sz="4" w:space="0"/>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[NB_IOTenh4_LTE_eMTC6</w:t>
            </w:r>
          </w:p>
        </w:tc>
        <w:tc>
          <w:tcPr>
            <w:tcW w:w="556"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16QAM for NB-IoT</w:t>
            </w:r>
          </w:p>
        </w:tc>
        <w:tc>
          <w:tcPr>
            <w:tcW w:w="550"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36.211, 36.213</w:t>
            </w:r>
          </w:p>
        </w:tc>
        <w:tc>
          <w:tcPr>
            <w:tcW w:w="300"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300"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300"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889"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enable16QAM-ul in PUR-config-NB</w:t>
            </w:r>
          </w:p>
        </w:tc>
        <w:tc>
          <w:tcPr>
            <w:tcW w:w="556"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New</w:t>
            </w:r>
          </w:p>
        </w:tc>
        <w:tc>
          <w:tcPr>
            <w:tcW w:w="667"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enable 16QAM for NPUSCH in PUR procedure</w:t>
            </w:r>
          </w:p>
        </w:tc>
        <w:tc>
          <w:tcPr>
            <w:tcW w:w="873"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Enable/disable the use of 16QAM for NPUSCH in PUR procedure</w:t>
            </w:r>
          </w:p>
        </w:tc>
        <w:tc>
          <w:tcPr>
            <w:tcW w:w="734"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Enable</w:t>
            </w:r>
          </w:p>
        </w:tc>
        <w:tc>
          <w:tcPr>
            <w:tcW w:w="533"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disable</w:t>
            </w:r>
          </w:p>
        </w:tc>
        <w:tc>
          <w:tcPr>
            <w:tcW w:w="372"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Per UE</w:t>
            </w:r>
          </w:p>
        </w:tc>
        <w:tc>
          <w:tcPr>
            <w:tcW w:w="550" w:type="dxa"/>
            <w:tcBorders>
              <w:top w:val="single" w:color="auto" w:sz="4" w:space="0"/>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UE specific</w:t>
            </w:r>
          </w:p>
        </w:tc>
        <w:tc>
          <w:tcPr>
            <w:tcW w:w="550"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36.331]</w:t>
            </w:r>
          </w:p>
        </w:tc>
        <w:tc>
          <w:tcPr>
            <w:tcW w:w="236" w:type="dxa"/>
            <w:tcBorders>
              <w:top w:val="single" w:color="auto" w:sz="4" w:space="0"/>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r>
      <w:tr>
        <w:tblPrEx>
          <w:tblCellMar>
            <w:top w:w="0" w:type="dxa"/>
            <w:left w:w="108" w:type="dxa"/>
            <w:bottom w:w="0" w:type="dxa"/>
            <w:right w:w="108" w:type="dxa"/>
          </w:tblCellMar>
        </w:tblPrEx>
        <w:trPr>
          <w:trHeight w:val="480" w:hRule="atLeast"/>
        </w:trPr>
        <w:tc>
          <w:tcPr>
            <w:tcW w:w="1450" w:type="dxa"/>
            <w:tcBorders>
              <w:top w:val="nil"/>
              <w:left w:val="single" w:color="auto" w:sz="4" w:space="0"/>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[NB_IOTenh4_LTE_eMTC6</w:t>
            </w:r>
          </w:p>
        </w:tc>
        <w:tc>
          <w:tcPr>
            <w:tcW w:w="556"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16QAM for NB-IoT</w:t>
            </w:r>
          </w:p>
        </w:tc>
        <w:tc>
          <w:tcPr>
            <w:tcW w:w="550"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36.211, 36.213</w:t>
            </w:r>
          </w:p>
        </w:tc>
        <w:tc>
          <w:tcPr>
            <w:tcW w:w="300" w:type="dxa"/>
            <w:tcBorders>
              <w:top w:val="nil"/>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300" w:type="dxa"/>
            <w:tcBorders>
              <w:top w:val="nil"/>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300" w:type="dxa"/>
            <w:tcBorders>
              <w:top w:val="nil"/>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889"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npusch-MCS</w:t>
            </w:r>
          </w:p>
        </w:tc>
        <w:tc>
          <w:tcPr>
            <w:tcW w:w="556"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FFS New or existing</w:t>
            </w:r>
          </w:p>
        </w:tc>
        <w:tc>
          <w:tcPr>
            <w:tcW w:w="667"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the TBS index for NPUSCH for PUR</w:t>
            </w:r>
          </w:p>
        </w:tc>
        <w:tc>
          <w:tcPr>
            <w:tcW w:w="873"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the TBS index for NPUSCH for PUR when 16QAM is configured</w:t>
            </w:r>
          </w:p>
        </w:tc>
        <w:tc>
          <w:tcPr>
            <w:tcW w:w="734"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14,15,…,21</w:t>
            </w:r>
          </w:p>
        </w:tc>
        <w:tc>
          <w:tcPr>
            <w:tcW w:w="533"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c>
          <w:tcPr>
            <w:tcW w:w="372"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Per UE</w:t>
            </w:r>
          </w:p>
        </w:tc>
        <w:tc>
          <w:tcPr>
            <w:tcW w:w="550" w:type="dxa"/>
            <w:tcBorders>
              <w:top w:val="nil"/>
              <w:left w:val="nil"/>
              <w:bottom w:val="single" w:color="auto" w:sz="4" w:space="0"/>
              <w:right w:val="single" w:color="auto" w:sz="4" w:space="0"/>
            </w:tcBorders>
            <w:shd w:val="clear" w:color="000000" w:fill="FFFF00"/>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UE specific</w:t>
            </w:r>
          </w:p>
        </w:tc>
        <w:tc>
          <w:tcPr>
            <w:tcW w:w="550" w:type="dxa"/>
            <w:tcBorders>
              <w:top w:val="nil"/>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36.331]</w:t>
            </w:r>
          </w:p>
        </w:tc>
        <w:tc>
          <w:tcPr>
            <w:tcW w:w="236" w:type="dxa"/>
            <w:tcBorders>
              <w:top w:val="nil"/>
              <w:left w:val="nil"/>
              <w:bottom w:val="single" w:color="auto" w:sz="4" w:space="0"/>
              <w:right w:val="single" w:color="auto" w:sz="4" w:space="0"/>
            </w:tcBorders>
            <w:shd w:val="clear" w:color="000000" w:fill="FFFF00"/>
            <w:noWrap/>
            <w:vAlign w:val="center"/>
          </w:tcPr>
          <w:p>
            <w:pPr>
              <w:autoSpaceDE/>
              <w:autoSpaceDN/>
              <w:adjustRightInd/>
              <w:snapToGrid/>
              <w:spacing w:after="0" w:line="240" w:lineRule="auto"/>
              <w:jc w:val="left"/>
              <w:rPr>
                <w:rFonts w:ascii="Arial" w:hAnsi="Arial" w:eastAsia="等线" w:cs="Arial"/>
                <w:color w:val="000000"/>
                <w:sz w:val="10"/>
                <w:szCs w:val="18"/>
                <w:lang w:eastAsia="zh-CN"/>
              </w:rPr>
            </w:pPr>
            <w:r>
              <w:rPr>
                <w:rFonts w:ascii="Arial" w:hAnsi="Arial" w:eastAsia="等线" w:cs="Arial"/>
                <w:color w:val="000000"/>
                <w:sz w:val="10"/>
                <w:szCs w:val="18"/>
                <w:lang w:eastAsia="zh-CN"/>
              </w:rPr>
              <w:t>　</w:t>
            </w:r>
          </w:p>
        </w:tc>
      </w:tr>
    </w:tbl>
    <w:p/>
    <w:p>
      <w:r>
        <w:rPr>
          <w:rFonts w:hint="eastAsia"/>
        </w:rPr>
        <w:t xml:space="preserve">The </w:t>
      </w:r>
      <w:r>
        <w:t>following are proposed regarding this issue: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spacing w:after="0"/>
              <w:rPr>
                <w:b/>
                <w:bCs/>
                <w:lang w:eastAsia="en-GB"/>
              </w:rPr>
            </w:pPr>
            <w:r>
              <w:rPr>
                <w:b/>
                <w:bCs/>
                <w:lang w:eastAsia="en-GB"/>
              </w:rPr>
              <w:t xml:space="preserve">Proposal 9: For supporting 16-QAM in PUR procedure, </w:t>
            </w:r>
          </w:p>
          <w:p>
            <w:pPr>
              <w:pStyle w:val="66"/>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6"/>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6"/>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6"/>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rPr>
                <w:lang w:val="en-US"/>
              </w:rPr>
            </w:pPr>
            <w:bookmarkStart w:id="3" w:name="_Toc83293675"/>
            <w:r>
              <w:rPr>
                <w:lang w:val="en-US"/>
              </w:rPr>
              <w:t>Proposal 7 To support 16-QAM for NPDSCH and NPUSCH in PUR procedure,</w:t>
            </w:r>
            <w:bookmarkEnd w:id="3"/>
          </w:p>
          <w:p>
            <w:pPr>
              <w:pStyle w:val="140"/>
              <w:numPr>
                <w:ilvl w:val="0"/>
                <w:numId w:val="12"/>
              </w:numPr>
              <w:spacing w:line="240" w:lineRule="auto"/>
              <w:rPr>
                <w:lang w:val="en-US"/>
              </w:rPr>
            </w:pPr>
            <w:bookmarkStart w:id="4"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4"/>
          </w:p>
          <w:p>
            <w:pPr>
              <w:pStyle w:val="140"/>
              <w:numPr>
                <w:ilvl w:val="1"/>
                <w:numId w:val="12"/>
              </w:numPr>
              <w:spacing w:line="240" w:lineRule="auto"/>
              <w:rPr>
                <w:lang w:val="en-US"/>
              </w:rPr>
            </w:pPr>
            <w:bookmarkStart w:id="5"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5"/>
          </w:p>
          <w:p>
            <w:pPr>
              <w:pStyle w:val="140"/>
              <w:numPr>
                <w:ilvl w:val="2"/>
                <w:numId w:val="12"/>
              </w:numPr>
              <w:spacing w:line="240" w:lineRule="auto"/>
              <w:rPr>
                <w:lang w:val="en-US"/>
              </w:rPr>
            </w:pPr>
            <w:bookmarkStart w:id="6" w:name="_Toc83293678"/>
            <w:r>
              <w:rPr>
                <w:lang w:val="en-US"/>
              </w:rPr>
              <w:t>Note1: It’s up to RAN2 whether a new parameter or the legacy parameter is used to indicate the RU indices.</w:t>
            </w:r>
            <w:bookmarkEnd w:id="6"/>
          </w:p>
          <w:p>
            <w:pPr>
              <w:pStyle w:val="140"/>
              <w:numPr>
                <w:ilvl w:val="2"/>
                <w:numId w:val="12"/>
              </w:numPr>
              <w:spacing w:line="240" w:lineRule="auto"/>
              <w:rPr>
                <w:lang w:val="en-US"/>
              </w:rPr>
            </w:pPr>
            <w:bookmarkStart w:id="7" w:name="_Toc83293679"/>
            <w:r>
              <w:rPr>
                <w:lang w:val="en-US"/>
              </w:rPr>
              <w:t>Note 2: There may be additional parameters if agreed.</w:t>
            </w:r>
            <w:bookmarkEnd w:id="7"/>
          </w:p>
          <w:p>
            <w:pPr>
              <w:pStyle w:val="140"/>
              <w:numPr>
                <w:ilvl w:val="1"/>
                <w:numId w:val="12"/>
              </w:numPr>
              <w:spacing w:line="240" w:lineRule="auto"/>
              <w:rPr>
                <w:lang w:val="en-US"/>
              </w:rPr>
            </w:pPr>
            <w:bookmarkStart w:id="8" w:name="_Toc83293680"/>
            <w:r>
              <w:rPr>
                <w:lang w:val="en-US"/>
              </w:rPr>
              <w:t xml:space="preserve">When 16-QAM is enabled for NPDSCH, the DL power allocation is indicated in </w:t>
            </w:r>
            <w:r>
              <w:rPr>
                <w:i/>
                <w:iCs/>
                <w:lang w:val="en-US"/>
              </w:rPr>
              <w:t>PUR-Config-NB</w:t>
            </w:r>
            <w:r>
              <w:rPr>
                <w:lang w:val="en-US"/>
              </w:rPr>
              <w:t>.</w:t>
            </w:r>
            <w:bookmarkEnd w:id="8"/>
          </w:p>
          <w:p>
            <w:pPr>
              <w:rPr>
                <w:szCs w:val="20"/>
              </w:rPr>
            </w:pPr>
          </w:p>
        </w:tc>
      </w:tr>
    </w:tbl>
    <w:p>
      <w:pPr>
        <w:spacing w:line="240" w:lineRule="auto"/>
      </w:pPr>
    </w:p>
    <w:p>
      <w:pPr>
        <w:spacing w:line="240" w:lineRule="auto"/>
      </w:pPr>
      <w:r>
        <w:t>For the enabler of 16-QAM for NPUSCH in PUR procedure, based on the inputs, the following is proposed:</w:t>
      </w:r>
    </w:p>
    <w:p>
      <w:pPr>
        <w:pStyle w:val="28"/>
        <w:jc w:val="left"/>
        <w:rPr>
          <w:sz w:val="22"/>
        </w:rPr>
      </w:pPr>
      <w:r>
        <w:t xml:space="preserve">Proposal 1: </w:t>
      </w:r>
      <w:r>
        <w:rPr>
          <w:sz w:val="22"/>
        </w:rPr>
        <w:t>16-QAM is enabled/disabled for NPUSCH in PUR procedure by a UE specific RRC signaling</w:t>
      </w:r>
    </w:p>
    <w:p>
      <w:pPr>
        <w:pStyle w:val="28"/>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pPr>
        <w:pStyle w:val="28"/>
        <w:numPr>
          <w:ilvl w:val="0"/>
          <w:numId w:val="13"/>
        </w:numPr>
        <w:jc w:val="left"/>
        <w:rPr>
          <w:i/>
          <w:sz w:val="22"/>
        </w:rPr>
      </w:pPr>
      <w:r>
        <w:rPr>
          <w:rFonts w:hint="eastAsia"/>
          <w:sz w:val="22"/>
        </w:rPr>
        <w:t xml:space="preserve">Option 2: </w:t>
      </w:r>
      <w:r>
        <w:rPr>
          <w:sz w:val="22"/>
        </w:rPr>
        <w:t xml:space="preserve">in </w:t>
      </w:r>
      <w:r>
        <w:rPr>
          <w:i/>
          <w:sz w:val="22"/>
        </w:rPr>
        <w:t>pur-PhysicalConfig</w:t>
      </w:r>
    </w:p>
    <w:p>
      <w:pPr>
        <w:pStyle w:val="28"/>
        <w:numPr>
          <w:ilvl w:val="0"/>
          <w:numId w:val="13"/>
        </w:numPr>
        <w:jc w:val="left"/>
        <w:rPr>
          <w:sz w:val="22"/>
        </w:rPr>
      </w:pPr>
      <w:r>
        <w:rPr>
          <w:sz w:val="22"/>
        </w:rPr>
        <w:t>Option 3: up to RAN2</w:t>
      </w:r>
    </w:p>
    <w:p>
      <w:pPr>
        <w:spacing w:line="240" w:lineRule="auto"/>
      </w:pPr>
      <w:r>
        <w:t>F</w:t>
      </w:r>
      <w:r>
        <w:rPr>
          <w:rFonts w:hint="eastAsia"/>
        </w:rPr>
        <w:t xml:space="preserve">or </w:t>
      </w:r>
      <w:r>
        <w:t>the indication of MCS indices, the following is proposed:</w:t>
      </w:r>
    </w:p>
    <w:p>
      <w:pPr>
        <w:pStyle w:val="28"/>
        <w:jc w:val="left"/>
      </w:pPr>
      <w:r>
        <w:t>Proposal 2: If 16-QAM is enabled, the MCS indices of PUR NPUSCH is signaled by:</w:t>
      </w:r>
    </w:p>
    <w:p>
      <w:pPr>
        <w:pStyle w:val="28"/>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pPr>
        <w:pStyle w:val="28"/>
        <w:numPr>
          <w:ilvl w:val="0"/>
          <w:numId w:val="13"/>
        </w:numPr>
        <w:jc w:val="left"/>
        <w:rPr>
          <w:i/>
          <w:sz w:val="22"/>
        </w:rPr>
      </w:pPr>
      <w:r>
        <w:rPr>
          <w:rFonts w:hint="eastAsia"/>
          <w:sz w:val="22"/>
        </w:rPr>
        <w:t xml:space="preserve">Option 2: </w:t>
      </w:r>
      <w:r>
        <w:rPr>
          <w:sz w:val="22"/>
        </w:rPr>
        <w:t>a new field to signal the MCS 14~21</w:t>
      </w:r>
    </w:p>
    <w:p>
      <w:pPr>
        <w:pStyle w:val="28"/>
        <w:numPr>
          <w:ilvl w:val="0"/>
          <w:numId w:val="13"/>
        </w:numPr>
        <w:jc w:val="left"/>
        <w:rPr>
          <w:sz w:val="22"/>
        </w:rPr>
      </w:pPr>
      <w:r>
        <w:rPr>
          <w:sz w:val="22"/>
        </w:rPr>
        <w:t>Option 3: up to RAN2</w:t>
      </w:r>
    </w:p>
    <w:p>
      <w:pPr>
        <w:spacing w:line="240" w:lineRule="auto"/>
      </w:pPr>
      <w:r>
        <w:rPr>
          <w:rFonts w:hint="eastAsia"/>
        </w:rPr>
        <w:t xml:space="preserve">The details of RRC parameters </w:t>
      </w:r>
      <w:r>
        <w:t>for NPDSCH in PUR procedure can be discussed if it’s agreed.</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 xml:space="preserve">For both Proposal 1 and Proposal 2, we think that Option-3 (i.e., “up to RAN2”) should be selected, especially because in our undestanding there is already a running CRs on TS 36.331 touching upon the PUR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spacing w:line="240" w:lineRule="auto"/>
            </w:pPr>
            <w:r>
              <w:t>We don’t have a strong view here and we are OK to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For both proposals, we are OK to leave it to RAN2.</w:t>
            </w:r>
          </w:p>
        </w:tc>
      </w:tr>
    </w:tbl>
    <w:p>
      <w:pPr>
        <w:rPr>
          <w:b/>
        </w:rPr>
      </w:pPr>
    </w:p>
    <w:p>
      <w:pPr>
        <w:outlineLvl w:val="2"/>
        <w:rPr>
          <w:b/>
        </w:rPr>
      </w:pPr>
      <w:r>
        <w:rPr>
          <w:rFonts w:hint="eastAsia"/>
          <w:b/>
        </w:rPr>
        <w:t>Issue 1</w:t>
      </w:r>
      <w:r>
        <w:rPr>
          <w:b/>
        </w:rPr>
        <w:t>-2</w:t>
      </w:r>
      <w:r>
        <w:rPr>
          <w:rFonts w:hint="eastAsia"/>
          <w:b/>
        </w:rPr>
        <w:t xml:space="preserve">: </w:t>
      </w:r>
      <w:r>
        <w:rPr>
          <w:b/>
        </w:rPr>
        <w:t>Configuration for downlink power allocation</w:t>
      </w:r>
    </w:p>
    <w:p>
      <w:pPr>
        <w:spacing w:line="240" w:lineRule="auto"/>
      </w:pPr>
      <w:r>
        <w:rPr>
          <w:rFonts w:hint="eastAsia"/>
        </w:rPr>
        <w:t>This will be discussed once it</w:t>
      </w:r>
      <w:r>
        <w:t>’s agreed.</w:t>
      </w:r>
    </w:p>
    <w:p>
      <w:pPr>
        <w:spacing w:line="240" w:lineRule="auto"/>
      </w:pPr>
    </w:p>
    <w:p>
      <w:pPr>
        <w:outlineLvl w:val="2"/>
        <w:rPr>
          <w:b/>
        </w:rPr>
      </w:pPr>
      <w:r>
        <w:rPr>
          <w:rFonts w:hint="eastAsia"/>
          <w:b/>
        </w:rPr>
        <w:t>Issue 1</w:t>
      </w:r>
      <w:r>
        <w:rPr>
          <w:b/>
        </w:rPr>
        <w:t>-3</w:t>
      </w:r>
      <w:r>
        <w:rPr>
          <w:rFonts w:hint="eastAsia"/>
          <w:b/>
        </w:rPr>
        <w:t xml:space="preserve">: </w:t>
      </w:r>
      <w:r>
        <w:rPr>
          <w:b/>
        </w:rPr>
        <w:t>Configuration for uplink power control</w:t>
      </w:r>
    </w:p>
    <w:p>
      <w:pPr>
        <w:rPr>
          <w:b/>
        </w:rPr>
      </w:pPr>
      <w:r>
        <w:rPr>
          <w:rFonts w:hint="eastAsia"/>
        </w:rPr>
        <w:t>This will be discussed once it</w:t>
      </w:r>
      <w:r>
        <w:t>’s agreed.</w:t>
      </w:r>
    </w:p>
    <w:p>
      <w:pPr>
        <w:rPr>
          <w:b/>
        </w:rPr>
      </w:pPr>
    </w:p>
    <w:p>
      <w:pPr>
        <w:outlineLvl w:val="2"/>
        <w:rPr>
          <w:b/>
        </w:rPr>
      </w:pPr>
      <w:r>
        <w:rPr>
          <w:rFonts w:hint="eastAsia"/>
          <w:b/>
        </w:rPr>
        <w:t>Issue 1</w:t>
      </w:r>
      <w:r>
        <w:rPr>
          <w:b/>
        </w:rPr>
        <w:t>-4</w:t>
      </w:r>
      <w:r>
        <w:rPr>
          <w:rFonts w:hint="eastAsia"/>
          <w:b/>
        </w:rPr>
        <w:t xml:space="preserve">: </w:t>
      </w:r>
      <w:r>
        <w:rPr>
          <w:b/>
        </w:rPr>
        <w:t>Others</w:t>
      </w:r>
    </w:p>
    <w:p>
      <w:pPr>
        <w:rPr>
          <w:b/>
        </w:rPr>
      </w:pPr>
      <w:r>
        <w:t>Please input your comments on issues other than the above ones: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eastAsia="宋体"/>
                <w:sz w:val="20"/>
                <w:szCs w:val="20"/>
                <w:lang w:val="en-US" w:eastAsia="zh-CN"/>
              </w:rPr>
            </w:pPr>
          </w:p>
        </w:tc>
        <w:tc>
          <w:tcPr>
            <w:tcW w:w="7469" w:type="dxa"/>
          </w:tcPr>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Pr>
        <w:rPr>
          <w:b/>
        </w:rPr>
      </w:pPr>
    </w:p>
    <w:p>
      <w:pPr>
        <w:rPr>
          <w:b/>
        </w:rPr>
      </w:pPr>
    </w:p>
    <w:p>
      <w:pPr>
        <w:pStyle w:val="3"/>
        <w:rPr>
          <w:lang w:eastAsia="zh-CN"/>
        </w:rPr>
      </w:pPr>
      <w:r>
        <w:rPr>
          <w:lang w:eastAsia="zh-CN"/>
        </w:rPr>
        <w:t>Support additional PDSCH scheduling delay for introduction of 14-HARQ processes in DL for eMTC</w:t>
      </w:r>
    </w:p>
    <w:p/>
    <w:p>
      <w:pPr>
        <w:rPr>
          <w:b/>
        </w:rPr>
      </w:pPr>
      <w:r>
        <w:t>Please input your comments in below table: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p>
        </w:tc>
        <w:tc>
          <w:tcPr>
            <w:tcW w:w="7469" w:type="dxa"/>
          </w:tcPr>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
    <w:p>
      <w:pPr>
        <w:pStyle w:val="3"/>
        <w:rPr>
          <w:lang w:eastAsia="zh-CN"/>
        </w:rPr>
      </w:pPr>
      <w:r>
        <w:rPr>
          <w:lang w:eastAsia="zh-CN"/>
        </w:rPr>
        <w:t>Support a maximum DL TBS of 1736 bits as a Rel-17 optional UE capability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[15]</w:t>
            </w:r>
          </w:p>
        </w:tc>
        <w:tc>
          <w:tcPr>
            <w:tcW w:w="7752" w:type="dxa"/>
          </w:tcPr>
          <w:p>
            <w:pPr>
              <w:rPr>
                <w:szCs w:val="20"/>
              </w:rPr>
            </w:pPr>
            <w:r>
              <w:rPr>
                <w:rFonts w:hint="eastAsia"/>
                <w:b/>
                <w:lang w:eastAsia="zh-CN"/>
              </w:rPr>
              <w:t>P</w:t>
            </w:r>
            <w:r>
              <w:rPr>
                <w:b/>
                <w:lang w:eastAsia="zh-CN"/>
              </w:rPr>
              <w:t>roposal 1: Parameters on configuration of the maximum DL TBS for multicast and PUR in eMTC are not needed.</w:t>
            </w:r>
          </w:p>
        </w:tc>
      </w:tr>
    </w:tbl>
    <w:p>
      <w:pPr>
        <w:autoSpaceDE/>
        <w:autoSpaceDN/>
        <w:adjustRightInd/>
        <w:snapToGrid/>
        <w:spacing w:after="0"/>
        <w:rPr>
          <w:b/>
          <w:szCs w:val="21"/>
          <w:lang w:eastAsia="zh-CN"/>
        </w:rPr>
      </w:pPr>
    </w:p>
    <w:p>
      <w:r>
        <w:rPr>
          <w:rFonts w:hint="eastAsia"/>
        </w:rPr>
        <w:t xml:space="preserve">Please input your comments </w:t>
      </w:r>
      <w:r>
        <w:t>in below table</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larger TBS). Thus, we are only OK with supporting the larger TBS for connected mode features +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lang w:eastAsia="zh-CN"/>
              </w:rPr>
            </w:pPr>
            <w:r>
              <w:rPr>
                <w:lang w:eastAsia="zh-CN"/>
              </w:rPr>
              <w:t xml:space="preserve">We share similar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bookmarkStart w:id="9" w:name="_GoBack" w:colFirst="0" w:colLast="1"/>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We are OK to support PUR with 1736 bits. As for the multicast, we think the larger TBS still has some benefits for multicast transmission. However, we do not have the strong view here and can follow the majority views.</w:t>
            </w:r>
          </w:p>
        </w:tc>
      </w:tr>
      <w:bookmarkEnd w:id="9"/>
    </w:tbl>
    <w:p>
      <w:pPr>
        <w:autoSpaceDE/>
        <w:autoSpaceDN/>
        <w:adjustRightInd/>
        <w:snapToGrid/>
        <w:spacing w:after="0"/>
        <w:rPr>
          <w:b/>
          <w:szCs w:val="21"/>
          <w:lang w:eastAsia="zh-CN"/>
        </w:rPr>
      </w:pPr>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R1-2108684, [Post-106-e-Rel17-RRC-09] Summary of email discussion on RRC parameters for Enhancements for NB-IoT and LTE-MTC, Moderator (Huawei), RAN1#106-e, Aug., 16th-27th, 2021.</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r>
      <w:r>
        <w:rPr>
          <w:rFonts w:ascii="Times New Roman" w:hAnsi="Times New Roman" w:cs="Times New Roman"/>
          <w:sz w:val="22"/>
        </w:rPr>
        <w:t>Support of 14-HARQ processes in DL for HD-FDD MTC UEs</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r>
      <w:r>
        <w:rPr>
          <w:rFonts w:ascii="Times New Roman" w:hAnsi="Times New Roman" w:cs="Times New Roman"/>
          <w:sz w:val="22"/>
        </w:rPr>
        <w:t>Support of 14 HARQ processes and scheduling delay</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r>
      <w:r>
        <w:rPr>
          <w:rFonts w:ascii="Times New Roman" w:hAnsi="Times New Roman" w:cs="Times New Roman"/>
          <w:sz w:val="22"/>
        </w:rPr>
        <w:t>Support of 14-HARQ processes in DL for eMTC</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r>
      <w:r>
        <w:rPr>
          <w:rFonts w:ascii="Times New Roman" w:hAnsi="Times New Roman" w:cs="Times New Roman"/>
          <w:sz w:val="22"/>
        </w:rPr>
        <w:t>Remaining issues on 14-HARQ processes in DL for eMTC</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r>
      <w:r>
        <w:rPr>
          <w:rFonts w:ascii="Times New Roman" w:hAnsi="Times New Roman" w:cs="Times New Roman"/>
          <w:sz w:val="22"/>
        </w:rPr>
        <w:t>Support of 14 HARQ processes in DL in LTE-MTC</w:t>
      </w:r>
      <w:r>
        <w:rPr>
          <w:rFonts w:ascii="Times New Roman" w:hAnsi="Times New Roman" w:cs="Times New Roman"/>
          <w:sz w:val="22"/>
        </w:rPr>
        <w:tab/>
      </w:r>
      <w:r>
        <w:rPr>
          <w:rFonts w:ascii="Times New Roman" w:hAnsi="Times New Roman" w:cs="Times New Roman"/>
          <w:sz w:val="22"/>
        </w:rPr>
        <w:t>Ericsson</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r>
      <w:r>
        <w:rPr>
          <w:rFonts w:ascii="Times New Roman" w:hAnsi="Times New Roman" w:cs="Times New Roman"/>
          <w:sz w:val="22"/>
        </w:rPr>
        <w:t>Discussion on RRC parameters for max DL TBS of 1736 bits</w:t>
      </w:r>
      <w:r>
        <w:rPr>
          <w:rFonts w:ascii="Times New Roman" w:hAnsi="Times New Roman" w:cs="Times New Roman"/>
          <w:sz w:val="22"/>
        </w:rPr>
        <w:tab/>
      </w:r>
      <w:r>
        <w:rPr>
          <w:rFonts w:ascii="Times New Roman" w:hAnsi="Times New Roman" w:cs="Times New Roman"/>
          <w:sz w:val="22"/>
        </w:rPr>
        <w:t>Huawei, HiSilicon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3">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4">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8">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2">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3">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0"/>
  </w:num>
  <w:num w:numId="3">
    <w:abstractNumId w:val="5"/>
  </w:num>
  <w:num w:numId="4">
    <w:abstractNumId w:val="12"/>
  </w:num>
  <w:num w:numId="5">
    <w:abstractNumId w:val="6"/>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8"/>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99"/>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34"/>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5EB63-1A57-4B65-A086-6BEE71B15D3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4</Pages>
  <Words>889</Words>
  <Characters>5072</Characters>
  <Lines>42</Lines>
  <Paragraphs>11</Paragraphs>
  <TotalTime>55</TotalTime>
  <ScaleCrop>false</ScaleCrop>
  <LinksUpToDate>false</LinksUpToDate>
  <CharactersWithSpaces>5950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2021-10-11T08:30:00Z</dcterms:created>
  <dc:creator>yangyubo (A)</dc:creator>
  <cp:lastModifiedBy>ZTE-Youjun Hu</cp:lastModifiedBy>
  <dcterms:modified xsi:type="dcterms:W3CDTF">2021-10-12T07:36:15Z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