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F89A26D"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AD351A" w:rsidRPr="00AD351A">
            <w:rPr>
              <w:rFonts w:ascii="Arial" w:hAnsi="Arial" w:cs="Arial"/>
              <w:b/>
              <w:sz w:val="24"/>
            </w:rPr>
            <w:t>R1-21</w:t>
          </w:r>
          <w:r w:rsidR="00054E4B">
            <w:rPr>
              <w:rFonts w:ascii="Arial" w:hAnsi="Arial" w:cs="Arial"/>
              <w:b/>
              <w:sz w:val="24"/>
            </w:rPr>
            <w:t>10404</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0A96B889"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F56384" w:rsidRPr="00F56384">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Specify support for PRACH sequence lengths (</w:t>
            </w:r>
            <w:proofErr w:type="gramStart"/>
            <w:r w:rsidRPr="001513A9">
              <w:rPr>
                <w:rFonts w:hint="eastAsia"/>
                <w:lang w:eastAsia="ja-JP"/>
              </w:rPr>
              <w:t>i.e.</w:t>
            </w:r>
            <w:proofErr w:type="gramEnd"/>
            <w:r w:rsidRPr="001513A9">
              <w:rPr>
                <w:rFonts w:hint="eastAsia"/>
                <w:lang w:eastAsia="ja-JP"/>
              </w:rPr>
              <w:t xml:space="preserv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EA39B8">
        <w:rPr>
          <w:rFonts w:ascii="Times New Roman" w:hAnsi="Times New Roman"/>
          <w:sz w:val="22"/>
          <w:szCs w:val="22"/>
          <w:lang w:eastAsia="zh-CN"/>
        </w:rPr>
        <w:t>1)×</w:t>
      </w:r>
      <w:proofErr w:type="gramEnd"/>
      <w:r w:rsidRPr="00EA39B8">
        <w:rPr>
          <w:rFonts w:ascii="Times New Roman" w:hAnsi="Times New Roman"/>
          <w:sz w:val="22"/>
          <w:szCs w:val="22"/>
          <w:lang w:eastAsia="zh-CN"/>
        </w:rPr>
        <w:t xml:space="preserve">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 xml:space="preserve">should be supported for 120 kHz, 480 </w:t>
      </w:r>
      <w:proofErr w:type="gramStart"/>
      <w:r w:rsidRPr="006F0FEC">
        <w:rPr>
          <w:rFonts w:ascii="Times New Roman" w:hAnsi="Times New Roman"/>
          <w:sz w:val="22"/>
          <w:szCs w:val="22"/>
          <w:lang w:eastAsia="zh-CN"/>
        </w:rPr>
        <w:t>kHz</w:t>
      </w:r>
      <w:proofErr w:type="gramEnd"/>
      <w:r w:rsidRPr="006F0FEC">
        <w:rPr>
          <w:rFonts w:ascii="Times New Roman" w:hAnsi="Times New Roman"/>
          <w:sz w:val="22"/>
          <w:szCs w:val="22"/>
          <w:lang w:eastAsia="zh-CN"/>
        </w:rPr>
        <w:t xml:space="preserve">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2th</w:t>
            </w:r>
            <w:proofErr w:type="gramEnd"/>
            <w:r w:rsidRPr="002644C1">
              <w:rPr>
                <w:sz w:val="18"/>
                <w:lang w:eastAsia="zh-CN"/>
              </w:rPr>
              <w:t xml:space="preserve">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1th</w:t>
            </w:r>
            <w:proofErr w:type="gramEnd"/>
            <w:r w:rsidRPr="002644C1">
              <w:rPr>
                <w:sz w:val="18"/>
                <w:lang w:eastAsia="zh-CN"/>
              </w:rPr>
              <w:t xml:space="preserve">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2th</w:t>
            </w:r>
            <w:proofErr w:type="gramEnd"/>
            <w:r w:rsidRPr="002644C1">
              <w:rPr>
                <w:sz w:val="18"/>
                <w:lang w:eastAsia="zh-CN"/>
              </w:rPr>
              <w:t xml:space="preserve">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1th</w:t>
            </w:r>
            <w:proofErr w:type="gramEnd"/>
            <w:r w:rsidRPr="002644C1">
              <w:rPr>
                <w:sz w:val="18"/>
                <w:lang w:eastAsia="zh-CN"/>
              </w:rPr>
              <w:t xml:space="preserve">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proofErr w:type="gramStart"/>
            <w:r w:rsidRPr="002644C1">
              <w:rPr>
                <w:sz w:val="18"/>
                <w:lang w:eastAsia="zh-CN"/>
              </w:rPr>
              <w:t>3th</w:t>
            </w:r>
            <w:proofErr w:type="gramEnd"/>
            <w:r w:rsidRPr="002644C1">
              <w:rPr>
                <w:sz w:val="18"/>
                <w:lang w:eastAsia="zh-CN"/>
              </w:rPr>
              <w:t xml:space="preserve">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 xml:space="preserve">Confirm the working assumption that the number of </w:t>
      </w:r>
      <w:proofErr w:type="gramStart"/>
      <w:r w:rsidRPr="00422642">
        <w:rPr>
          <w:rFonts w:ascii="Times New Roman" w:hAnsi="Times New Roman"/>
          <w:sz w:val="22"/>
          <w:szCs w:val="22"/>
          <w:lang w:eastAsia="zh-CN"/>
        </w:rPr>
        <w:t>candidate</w:t>
      </w:r>
      <w:proofErr w:type="gramEnd"/>
      <w:r w:rsidRPr="00422642">
        <w:rPr>
          <w:rFonts w:ascii="Times New Roman" w:hAnsi="Times New Roman"/>
          <w:sz w:val="22"/>
          <w:szCs w:val="22"/>
          <w:lang w:eastAsia="zh-CN"/>
        </w:rPr>
        <w:t xml:space="preserve"> SSBs in a half frame is 64 for 120kHz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SCS, the 64 candidate SSBs are located in 32 slots, with </w:t>
      </w:r>
      <w:proofErr w:type="gramStart"/>
      <w:r w:rsidRPr="007002E3">
        <w:rPr>
          <w:rFonts w:ascii="Times New Roman" w:hAnsi="Times New Roman" w:hint="eastAsia"/>
          <w:sz w:val="22"/>
          <w:szCs w:val="22"/>
          <w:lang w:eastAsia="zh-CN"/>
        </w:rPr>
        <w:t>2  slots</w:t>
      </w:r>
      <w:proofErr w:type="gramEnd"/>
      <w:r w:rsidRPr="007002E3">
        <w:rPr>
          <w:rFonts w:ascii="Times New Roman" w:hAnsi="Times New Roman" w:hint="eastAsia"/>
          <w:sz w:val="22"/>
          <w:szCs w:val="22"/>
          <w:lang w:eastAsia="zh-CN"/>
        </w:rPr>
        <w:t xml:space="preserve">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For 960kHz SCS, the 64 candidate SSBs are located in 32 slots, with </w:t>
      </w:r>
      <w:proofErr w:type="gramStart"/>
      <w:r w:rsidRPr="007002E3">
        <w:rPr>
          <w:rFonts w:ascii="Times New Roman" w:hAnsi="Times New Roman"/>
          <w:sz w:val="22"/>
          <w:szCs w:val="22"/>
          <w:lang w:eastAsia="zh-CN"/>
        </w:rPr>
        <w:t>4  slots</w:t>
      </w:r>
      <w:proofErr w:type="gramEnd"/>
      <w:r w:rsidRPr="007002E3">
        <w:rPr>
          <w:rFonts w:ascii="Times New Roman" w:hAnsi="Times New Roman"/>
          <w:sz w:val="22"/>
          <w:szCs w:val="22"/>
          <w:lang w:eastAsia="zh-CN"/>
        </w:rPr>
        <w:t xml:space="preserve">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 xml:space="preserve">should be supported for all approved SSB SCS in FR2-2, including 120 kHz, 480 </w:t>
      </w:r>
      <w:proofErr w:type="gramStart"/>
      <w:r w:rsidRPr="007002E3">
        <w:rPr>
          <w:rFonts w:ascii="Times New Roman" w:hAnsi="Times New Roman" w:hint="eastAsia"/>
          <w:sz w:val="22"/>
          <w:szCs w:val="22"/>
          <w:lang w:eastAsia="zh-CN"/>
        </w:rPr>
        <w:t>kHz</w:t>
      </w:r>
      <w:proofErr w:type="gramEnd"/>
      <w:r w:rsidRPr="007002E3">
        <w:rPr>
          <w:rFonts w:ascii="Times New Roman" w:hAnsi="Times New Roman" w:hint="eastAsia"/>
          <w:sz w:val="22"/>
          <w:szCs w:val="22"/>
          <w:lang w:eastAsia="zh-CN"/>
        </w:rPr>
        <w:t xml:space="preserve">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order to reduce the impact of standardization caused by indicating candidate SSB indices, the maximum number of </w:t>
      </w:r>
      <w:proofErr w:type="gramStart"/>
      <w:r w:rsidRPr="007002E3">
        <w:rPr>
          <w:rFonts w:ascii="Times New Roman" w:hAnsi="Times New Roman" w:hint="eastAsia"/>
          <w:sz w:val="22"/>
          <w:szCs w:val="22"/>
          <w:lang w:eastAsia="zh-CN"/>
        </w:rPr>
        <w:t>candidate</w:t>
      </w:r>
      <w:proofErr w:type="gramEnd"/>
      <w:r w:rsidRPr="007002E3">
        <w:rPr>
          <w:rFonts w:ascii="Times New Roman" w:hAnsi="Times New Roman" w:hint="eastAsia"/>
          <w:sz w:val="22"/>
          <w:szCs w:val="22"/>
          <w:lang w:eastAsia="zh-CN"/>
        </w:rPr>
        <w:t xml:space="preserv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w:t>
      </w:r>
      <w:proofErr w:type="gramStart"/>
      <w:r w:rsidRPr="00207DF5">
        <w:rPr>
          <w:rFonts w:ascii="Times New Roman" w:hAnsi="Times New Roman"/>
          <w:sz w:val="22"/>
          <w:szCs w:val="22"/>
          <w:lang w:eastAsia="zh-CN"/>
        </w:rPr>
        <w:t>long term</w:t>
      </w:r>
      <w:proofErr w:type="gramEnd"/>
      <w:r w:rsidRPr="00207DF5">
        <w:rPr>
          <w:rFonts w:ascii="Times New Roman" w:hAnsi="Times New Roman"/>
          <w:sz w:val="22"/>
          <w:szCs w:val="22"/>
          <w:lang w:eastAsia="zh-CN"/>
        </w:rPr>
        <w:t xml:space="preserve">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w:t>
      </w:r>
      <w:proofErr w:type="gramStart"/>
      <w:r w:rsidRPr="00CC0E3C">
        <w:rPr>
          <w:rFonts w:ascii="Times New Roman" w:hAnsi="Times New Roman" w:hint="eastAsia"/>
          <w:sz w:val="22"/>
          <w:szCs w:val="22"/>
          <w:lang w:eastAsia="zh-CN"/>
        </w:rPr>
        <w:t>down</w:t>
      </w:r>
      <w:r w:rsidRPr="00CC0E3C">
        <w:rPr>
          <w:rFonts w:ascii="Times New Roman" w:hAnsi="Times New Roman"/>
          <w:sz w:val="22"/>
          <w:szCs w:val="22"/>
          <w:lang w:eastAsia="zh-CN"/>
        </w:rPr>
        <w:t>-selected</w:t>
      </w:r>
      <w:proofErr w:type="gramEnd"/>
      <w:r w:rsidRPr="00CC0E3C">
        <w:rPr>
          <w:rFonts w:ascii="Times New Roman" w:hAnsi="Times New Roman"/>
          <w:sz w:val="22"/>
          <w:szCs w:val="22"/>
          <w:lang w:eastAsia="zh-CN"/>
        </w:rPr>
        <w:t>:</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w:t>
      </w:r>
      <w:proofErr w:type="gramStart"/>
      <w:r w:rsidRPr="00CC0E3C">
        <w:rPr>
          <w:rFonts w:ascii="Times New Roman" w:hAnsi="Times New Roman" w:hint="eastAsia"/>
          <w:sz w:val="22"/>
          <w:szCs w:val="22"/>
          <w:lang w:eastAsia="zh-CN"/>
        </w:rPr>
        <w:t>and  move</w:t>
      </w:r>
      <w:proofErr w:type="gramEnd"/>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bit </w:t>
      </w:r>
      <w:r w:rsidRPr="00CC0E3C">
        <w:rPr>
          <w:rFonts w:ascii="Times New Roman" w:hAnsi="Times New Roman"/>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4pt;height:17.25pt" o:ole="">
            <v:imagedata r:id="rId13" o:title=""/>
          </v:shape>
          <o:OLEObject Type="Embed" ProgID="Equation.3" ShapeID="_x0000_i1049" DrawAspect="Content" ObjectID="_1695458325"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for 120 </w:t>
      </w:r>
      <w:proofErr w:type="spellStart"/>
      <w:r w:rsidRPr="00901550">
        <w:rPr>
          <w:rFonts w:ascii="Times New Roman" w:hAnsi="Times New Roman"/>
          <w:sz w:val="22"/>
          <w:szCs w:val="22"/>
          <w:lang w:eastAsia="zh-CN"/>
        </w:rPr>
        <w:t>KHz</w:t>
      </w:r>
      <w:proofErr w:type="spellEnd"/>
      <w:r w:rsidRPr="00901550">
        <w:rPr>
          <w:rFonts w:ascii="Times New Roman" w:hAnsi="Times New Roman"/>
          <w:sz w:val="22"/>
          <w:szCs w:val="22"/>
          <w:lang w:eastAsia="zh-CN"/>
        </w:rPr>
        <w:t xml:space="preserve">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hint="eastAsia"/>
          <w:sz w:val="22"/>
          <w:szCs w:val="22"/>
          <w:lang w:eastAsia="zh-CN"/>
        </w:rPr>
        <w:t xml:space="preserve">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proofErr w:type="spellStart"/>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proofErr w:type="spellEnd"/>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Provide LBT on/off and DBTW indication in SIB1. (Note: licenced/unlicenced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w:t>
      </w:r>
      <w:proofErr w:type="gramStart"/>
      <w:r w:rsidRPr="00795793">
        <w:rPr>
          <w:rFonts w:ascii="Times New Roman" w:hAnsi="Times New Roman"/>
          <w:sz w:val="22"/>
          <w:szCs w:val="22"/>
          <w:lang w:eastAsia="zh-CN"/>
        </w:rPr>
        <w:t>e.g.</w:t>
      </w:r>
      <w:proofErr w:type="gramEnd"/>
      <w:r w:rsidRPr="00795793">
        <w:rPr>
          <w:rFonts w:ascii="Times New Roman" w:hAnsi="Times New Roman"/>
          <w:sz w:val="22"/>
          <w:szCs w:val="22"/>
          <w:lang w:eastAsia="zh-CN"/>
        </w:rPr>
        <w:t xml:space="preserve">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The indication of Q can be in MIB for a best effort, and if not possible, in </w:t>
      </w:r>
      <w:proofErr w:type="gramStart"/>
      <w:r w:rsidRPr="007F4EC0">
        <w:rPr>
          <w:rFonts w:ascii="Times New Roman" w:hAnsi="Times New Roman"/>
          <w:sz w:val="22"/>
          <w:szCs w:val="22"/>
          <w:lang w:eastAsia="zh-CN"/>
        </w:rPr>
        <w:t>SIB1;</w:t>
      </w:r>
      <w:proofErr w:type="gramEnd"/>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The indication of DBTW disabling can be joint coded with the indication of Q, if Q is indicated in MIB; and the indication can use 1 bit in MIB, if Q is not indicated in </w:t>
      </w:r>
      <w:proofErr w:type="gramStart"/>
      <w:r w:rsidRPr="007F4EC0">
        <w:rPr>
          <w:rFonts w:ascii="Times New Roman" w:hAnsi="Times New Roman"/>
          <w:sz w:val="22"/>
          <w:szCs w:val="22"/>
          <w:lang w:eastAsia="zh-CN"/>
        </w:rPr>
        <w:t>MIB;</w:t>
      </w:r>
      <w:proofErr w:type="gramEnd"/>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w:t>
      </w:r>
      <w:proofErr w:type="gramStart"/>
      <w:r w:rsidRPr="007F4EC0">
        <w:rPr>
          <w:rFonts w:ascii="Times New Roman" w:hAnsi="Times New Roman"/>
          <w:sz w:val="22"/>
          <w:szCs w:val="22"/>
          <w:lang w:eastAsia="zh-CN"/>
        </w:rPr>
        <w:t>e.g.</w:t>
      </w:r>
      <w:proofErr w:type="gramEnd"/>
      <w:r w:rsidRPr="007F4EC0">
        <w:rPr>
          <w:rFonts w:ascii="Times New Roman" w:hAnsi="Times New Roman"/>
          <w:sz w:val="22"/>
          <w:szCs w:val="22"/>
          <w:lang w:eastAsia="zh-CN"/>
        </w:rPr>
        <w:t xml:space="preserve">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confirm the working assumption that the number of </w:t>
      </w:r>
      <w:proofErr w:type="gramStart"/>
      <w:r w:rsidRPr="00EF2506">
        <w:rPr>
          <w:rFonts w:ascii="Times New Roman" w:hAnsi="Times New Roman"/>
          <w:sz w:val="22"/>
          <w:szCs w:val="22"/>
          <w:lang w:eastAsia="zh-CN"/>
        </w:rPr>
        <w:t>candidate</w:t>
      </w:r>
      <w:proofErr w:type="gramEnd"/>
      <w:r w:rsidRPr="00EF2506">
        <w:rPr>
          <w:rFonts w:ascii="Times New Roman" w:hAnsi="Times New Roman"/>
          <w:sz w:val="22"/>
          <w:szCs w:val="22"/>
          <w:lang w:eastAsia="zh-CN"/>
        </w:rPr>
        <w:t xml:space="preserv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w:t>
      </w:r>
      <w:proofErr w:type="gramStart"/>
      <w:r w:rsidRPr="00EF2506">
        <w:rPr>
          <w:rFonts w:ascii="Times New Roman" w:hAnsi="Times New Roman"/>
          <w:sz w:val="22"/>
          <w:szCs w:val="22"/>
          <w:lang w:eastAsia="zh-CN"/>
        </w:rPr>
        <w:t>similar to</w:t>
      </w:r>
      <w:proofErr w:type="gramEnd"/>
      <w:r w:rsidRPr="00EF2506">
        <w:rPr>
          <w:rFonts w:ascii="Times New Roman" w:hAnsi="Times New Roman"/>
          <w:sz w:val="22"/>
          <w:szCs w:val="22"/>
          <w:lang w:eastAsia="zh-CN"/>
        </w:rPr>
        <w:t xml:space="preserve">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The number of </w:t>
      </w:r>
      <w:proofErr w:type="gramStart"/>
      <w:r w:rsidRPr="00034E9A">
        <w:rPr>
          <w:rFonts w:ascii="Times New Roman" w:hAnsi="Times New Roman"/>
          <w:sz w:val="22"/>
          <w:szCs w:val="22"/>
          <w:lang w:eastAsia="zh-CN"/>
        </w:rPr>
        <w:t>candidate</w:t>
      </w:r>
      <w:proofErr w:type="gramEnd"/>
      <w:r w:rsidRPr="00034E9A">
        <w:rPr>
          <w:rFonts w:ascii="Times New Roman" w:hAnsi="Times New Roman"/>
          <w:sz w:val="22"/>
          <w:szCs w:val="22"/>
          <w:lang w:eastAsia="zh-CN"/>
        </w:rPr>
        <w:t xml:space="preserv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w:t>
      </w:r>
      <w:proofErr w:type="gramStart"/>
      <w:r w:rsidRPr="0059316F">
        <w:rPr>
          <w:rFonts w:ascii="Times New Roman" w:hAnsi="Times New Roman"/>
          <w:sz w:val="22"/>
          <w:szCs w:val="22"/>
          <w:lang w:eastAsia="zh-CN"/>
        </w:rPr>
        <w:t>off of</w:t>
      </w:r>
      <w:proofErr w:type="gramEnd"/>
      <w:r w:rsidRPr="0059316F">
        <w:rPr>
          <w:rFonts w:ascii="Times New Roman" w:hAnsi="Times New Roman"/>
          <w:sz w:val="22"/>
          <w:szCs w:val="22"/>
          <w:lang w:eastAsia="zh-CN"/>
        </w:rPr>
        <w:t xml:space="preserve">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w:t>
      </w:r>
      <w:proofErr w:type="gramStart"/>
      <w:r w:rsidRPr="0059316F">
        <w:rPr>
          <w:rFonts w:ascii="Times New Roman" w:hAnsi="Times New Roman"/>
          <w:sz w:val="22"/>
          <w:szCs w:val="22"/>
          <w:lang w:eastAsia="zh-CN"/>
        </w:rPr>
        <w:t>actually transmitted</w:t>
      </w:r>
      <w:proofErr w:type="gramEnd"/>
      <w:r w:rsidRPr="0059316F">
        <w:rPr>
          <w:rFonts w:ascii="Times New Roman" w:hAnsi="Times New Roman"/>
          <w:sz w:val="22"/>
          <w:szCs w:val="22"/>
          <w:lang w:eastAsia="zh-CN"/>
        </w:rPr>
        <w:t xml:space="preserve">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 xml:space="preserve">Before confirming the working assumption that the number of candidates SSBs in a half frame is 64 for 120kHz SSB, it would be necessary to consider a method for compensating for the insufficient opportunity of the SSB transmission due to LBT failures </w:t>
      </w:r>
      <w:proofErr w:type="gramStart"/>
      <w:r w:rsidRPr="005452A6">
        <w:rPr>
          <w:rFonts w:ascii="Times New Roman" w:hAnsi="Times New Roman"/>
          <w:sz w:val="22"/>
          <w:szCs w:val="22"/>
          <w:lang w:eastAsia="zh-CN"/>
        </w:rPr>
        <w:t>in order to</w:t>
      </w:r>
      <w:proofErr w:type="gramEnd"/>
      <w:r w:rsidRPr="005452A6">
        <w:rPr>
          <w:rFonts w:ascii="Times New Roman" w:hAnsi="Times New Roman"/>
          <w:sz w:val="22"/>
          <w:szCs w:val="22"/>
          <w:lang w:eastAsia="zh-CN"/>
        </w:rPr>
        <w:t xml:space="preserve">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674A46">
              <w:rPr>
                <w:position w:val="-6"/>
              </w:rPr>
              <w:pict w14:anchorId="043DD183">
                <v:shape id="_x0000_i1026"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74A46">
              <w:rPr>
                <w:position w:val="-6"/>
              </w:rPr>
              <w:pict w14:anchorId="529B3A33">
                <v:shape id="_x0000_i1027" type="#_x0000_t75" style="width:19.5pt;height:14.25pt"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674A46">
              <w:rPr>
                <w:position w:val="-6"/>
              </w:rPr>
              <w:pict w14:anchorId="2814856E">
                <v:shape id="_x0000_i1028"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74A46">
              <w:rPr>
                <w:position w:val="-6"/>
              </w:rPr>
              <w:pict w14:anchorId="364F8AB4">
                <v:shape id="_x0000_i1029" type="#_x0000_t75" style="width:19.5pt;height:14.25pt"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674A46">
              <w:rPr>
                <w:position w:val="-6"/>
              </w:rPr>
              <w:pict w14:anchorId="2488E8A5">
                <v:shape id="_x0000_i1030"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74A46">
              <w:rPr>
                <w:position w:val="-6"/>
              </w:rPr>
              <w:pict w14:anchorId="3351BFD5">
                <v:shape id="_x0000_i1031"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674A46">
              <w:rPr>
                <w:position w:val="-6"/>
              </w:rPr>
              <w:pict w14:anchorId="62392991">
                <v:shape id="_x0000_i1032"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74A46">
              <w:rPr>
                <w:position w:val="-6"/>
              </w:rPr>
              <w:pict w14:anchorId="45FC7BB0">
                <v:shape id="_x0000_i1033"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lastRenderedPageBreak/>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674A46">
              <w:rPr>
                <w:position w:val="-6"/>
              </w:rPr>
              <w:pict w14:anchorId="0221EAE1">
                <v:shape id="_x0000_i1034"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74A46">
              <w:rPr>
                <w:position w:val="-6"/>
              </w:rPr>
              <w:pict w14:anchorId="6A3C6857">
                <v:shape id="_x0000_i1035"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674A46">
              <w:rPr>
                <w:position w:val="-6"/>
              </w:rPr>
              <w:pict w14:anchorId="2A7BD110">
                <v:shape id="_x0000_i1036" type="#_x0000_t75" style="width:19.5pt;height:14.25pt"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674A46">
              <w:rPr>
                <w:position w:val="-6"/>
              </w:rPr>
              <w:pict w14:anchorId="6B101C2A">
                <v:shape id="_x0000_i1037" type="#_x0000_t75" style="width:19.5pt;height:14.25pt"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586BF0F4"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Huawei/</w:t>
      </w:r>
      <w:proofErr w:type="spellStart"/>
      <w:r w:rsidR="00CE20BB">
        <w:rPr>
          <w:rFonts w:ascii="Times New Roman" w:hAnsi="Times New Roman"/>
          <w:sz w:val="22"/>
          <w:szCs w:val="22"/>
          <w:lang w:eastAsia="zh-CN"/>
        </w:rPr>
        <w:t>HiSilicon</w:t>
      </w:r>
      <w:proofErr w:type="spellEnd"/>
      <w:r w:rsidR="00CE20BB">
        <w:rPr>
          <w:rFonts w:ascii="Times New Roman" w:hAnsi="Times New Roman"/>
          <w:sz w:val="22"/>
          <w:szCs w:val="22"/>
          <w:lang w:eastAsia="zh-CN"/>
        </w:rPr>
        <w:t xml:space="preserve">, </w:t>
      </w:r>
      <w:proofErr w:type="spellStart"/>
      <w:r w:rsidR="00CE20BB">
        <w:rPr>
          <w:rFonts w:ascii="Times New Roman" w:hAnsi="Times New Roman"/>
          <w:sz w:val="22"/>
          <w:szCs w:val="22"/>
          <w:lang w:eastAsia="zh-CN"/>
        </w:rPr>
        <w:t>Futurwei</w:t>
      </w:r>
      <w:proofErr w:type="spellEnd"/>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9F4DED2" w14:textId="258D5FA5" w:rsidR="005D6C84"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643EBA4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w:t>
      </w:r>
      <w:proofErr w:type="gramStart"/>
      <w:r>
        <w:rPr>
          <w:rFonts w:ascii="Times New Roman" w:hAnsi="Times New Roman"/>
          <w:sz w:val="22"/>
          <w:szCs w:val="22"/>
          <w:lang w:eastAsia="zh-CN"/>
        </w:rPr>
        <w:t>}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1EA5FBEE" w14:textId="118CB7D4"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lastRenderedPageBreak/>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xml:space="preserve">, Intel (if 2 </w:t>
      </w:r>
      <w:proofErr w:type="gramStart"/>
      <w:r w:rsidR="005C756C">
        <w:rPr>
          <w:rFonts w:ascii="Times New Roman" w:hAnsi="Times New Roman"/>
          <w:sz w:val="22"/>
          <w:szCs w:val="22"/>
          <w:lang w:eastAsia="zh-CN"/>
        </w:rPr>
        <w:t>bit</w:t>
      </w:r>
      <w:proofErr w:type="gramEnd"/>
      <w:r w:rsidR="005C756C">
        <w:rPr>
          <w:rFonts w:ascii="Times New Roman" w:hAnsi="Times New Roman"/>
          <w:sz w:val="22"/>
          <w:szCs w:val="22"/>
          <w:lang w:eastAsia="zh-CN"/>
        </w:rPr>
        <w:t xml:space="preserve">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w:t>
      </w:r>
      <w:proofErr w:type="gramStart"/>
      <w:r>
        <w:rPr>
          <w:rFonts w:ascii="Times New Roman" w:hAnsi="Times New Roman"/>
          <w:sz w:val="22"/>
          <w:szCs w:val="22"/>
          <w:lang w:eastAsia="zh-CN"/>
        </w:rPr>
        <w:t>} :</w:t>
      </w:r>
      <w:proofErr w:type="gramEnd"/>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w:t>
      </w:r>
      <w:proofErr w:type="gramStart"/>
      <w:r w:rsidR="005C756C">
        <w:rPr>
          <w:rFonts w:ascii="Times New Roman" w:hAnsi="Times New Roman"/>
          <w:sz w:val="22"/>
          <w:szCs w:val="22"/>
          <w:lang w:eastAsia="zh-CN"/>
        </w:rPr>
        <w:t>e.g.</w:t>
      </w:r>
      <w:proofErr w:type="gramEnd"/>
      <w:r w:rsidR="005C756C">
        <w:rPr>
          <w:rFonts w:ascii="Times New Roman" w:hAnsi="Times New Roman"/>
          <w:sz w:val="22"/>
          <w:szCs w:val="22"/>
          <w:lang w:eastAsia="zh-CN"/>
        </w:rPr>
        <w:t xml:space="preserve">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58DD3664"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p>
    <w:p w14:paraId="54608560" w14:textId="43B203F3"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p>
    <w:p w14:paraId="1F8F3D72" w14:textId="4B3E371C"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582A3E40"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FA72F0"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622AAB3"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proofErr w:type="gram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19C25B07"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6D05D96A"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7B19FE92"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42887806" w14:textId="33D4B641"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roofErr w:type="spellStart"/>
      <w:r w:rsidR="005A28B6">
        <w:rPr>
          <w:rFonts w:ascii="Times New Roman" w:hAnsi="Times New Roman"/>
          <w:sz w:val="22"/>
          <w:szCs w:val="22"/>
          <w:lang w:eastAsia="zh-CN"/>
        </w:rPr>
        <w:t>Convida</w:t>
      </w:r>
      <w:proofErr w:type="spellEnd"/>
    </w:p>
    <w:p w14:paraId="2B84DAE2" w14:textId="57175370"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128: </w:t>
      </w:r>
      <w:r w:rsidR="00E11000">
        <w:rPr>
          <w:rFonts w:ascii="Times New Roman" w:hAnsi="Times New Roman"/>
          <w:sz w:val="22"/>
          <w:szCs w:val="22"/>
          <w:lang w:eastAsia="zh-CN"/>
        </w:rPr>
        <w:t>Huawei/</w:t>
      </w:r>
      <w:proofErr w:type="spellStart"/>
      <w:r w:rsidR="00E11000">
        <w:rPr>
          <w:rFonts w:ascii="Times New Roman" w:hAnsi="Times New Roman"/>
          <w:sz w:val="22"/>
          <w:szCs w:val="22"/>
          <w:lang w:eastAsia="zh-CN"/>
        </w:rPr>
        <w:t>HiSilicon</w:t>
      </w:r>
      <w:proofErr w:type="spellEnd"/>
      <w:r w:rsidR="00E11000">
        <w:rPr>
          <w:rFonts w:ascii="Times New Roman" w:hAnsi="Times New Roman"/>
          <w:sz w:val="22"/>
          <w:szCs w:val="22"/>
          <w:lang w:eastAsia="zh-CN"/>
        </w:rPr>
        <w:t xml:space="preserve">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7FC6B37A"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support</w:t>
      </w:r>
      <w:r w:rsidR="00DB2E55">
        <w:rPr>
          <w:rFonts w:ascii="Times New Roman" w:hAnsi="Times New Roman"/>
          <w:sz w:val="22"/>
          <w:szCs w:val="22"/>
          <w:lang w:eastAsia="zh-CN"/>
        </w:rPr>
        <w:t>:</w:t>
      </w:r>
      <w:proofErr w:type="gramEnd"/>
      <w:r w:rsidR="00DB2E55">
        <w:rPr>
          <w:rFonts w:ascii="Times New Roman" w:hAnsi="Times New Roman"/>
          <w:sz w:val="22"/>
          <w:szCs w:val="22"/>
          <w:lang w:eastAsia="zh-CN"/>
        </w:rPr>
        <w:t xml:space="preserve"> </w:t>
      </w: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proofErr w:type="spellStart"/>
      <w:r w:rsidR="00F86E13">
        <w:rPr>
          <w:rFonts w:ascii="Times New Roman" w:hAnsi="Times New Roman"/>
          <w:sz w:val="22"/>
          <w:szCs w:val="22"/>
          <w:lang w:eastAsia="zh-CN"/>
        </w:rPr>
        <w:t>Futurewei</w:t>
      </w:r>
      <w:proofErr w:type="spellEnd"/>
      <w:r w:rsidR="00F86E13">
        <w:rPr>
          <w:rFonts w:ascii="Times New Roman" w:hAnsi="Times New Roman"/>
          <w:sz w:val="22"/>
          <w:szCs w:val="22"/>
          <w:lang w:eastAsia="zh-CN"/>
        </w:rPr>
        <w:t xml:space="preserve"> (480/960kHz)</w:t>
      </w:r>
      <w:r w:rsidR="00E2779B">
        <w:rPr>
          <w:rFonts w:ascii="Times New Roman" w:hAnsi="Times New Roman"/>
          <w:sz w:val="22"/>
          <w:szCs w:val="22"/>
          <w:lang w:eastAsia="zh-CN"/>
        </w:rPr>
        <w:t>, [Docomo]</w:t>
      </w:r>
      <w:r w:rsidR="005A28B6">
        <w:rPr>
          <w:rFonts w:ascii="Times New Roman" w:hAnsi="Times New Roman"/>
          <w:sz w:val="22"/>
          <w:szCs w:val="22"/>
          <w:lang w:eastAsia="zh-CN"/>
        </w:rPr>
        <w:t>, Apple (implicit with DBTW)</w:t>
      </w:r>
    </w:p>
    <w:p w14:paraId="7FA01704" w14:textId="2C60391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7C8A4D73"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w:t>
      </w:r>
      <w:proofErr w:type="spellStart"/>
      <w:r w:rsidR="00970C4C">
        <w:rPr>
          <w:rFonts w:ascii="Times New Roman" w:hAnsi="Times New Roman"/>
          <w:sz w:val="22"/>
          <w:szCs w:val="22"/>
          <w:lang w:eastAsia="zh-CN"/>
        </w:rPr>
        <w:t>HiSilicon</w:t>
      </w:r>
      <w:proofErr w:type="spellEnd"/>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 Qualcomm</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w:t>
      </w:r>
      <w:r w:rsidR="00DA68BE">
        <w:rPr>
          <w:rFonts w:ascii="Times New Roman" w:hAnsi="Times New Roman"/>
          <w:sz w:val="22"/>
          <w:szCs w:val="22"/>
          <w:lang w:eastAsia="zh-CN"/>
        </w:rPr>
        <w:t>s listed are not</w:t>
      </w:r>
      <w:r w:rsidR="00DA68BE">
        <w:rPr>
          <w:rFonts w:ascii="Times New Roman" w:hAnsi="Times New Roman"/>
          <w:sz w:val="22"/>
          <w:szCs w:val="22"/>
          <w:lang w:eastAsia="zh-CN"/>
        </w:rPr>
        <w:t xml:space="preserve">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41EBA1B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 suggested for GTW discussion</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75B5C3FF"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r w:rsidR="008F44FA">
        <w:rPr>
          <w:lang w:eastAsia="zh-CN"/>
        </w:rPr>
        <w:t>– suggested for GTW discussion</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Seems to be </w:t>
      </w:r>
      <w:r>
        <w:rPr>
          <w:rFonts w:ascii="Times New Roman" w:hAnsi="Times New Roman"/>
          <w:sz w:val="22"/>
          <w:szCs w:val="22"/>
          <w:lang w:eastAsia="zh-CN"/>
        </w:rPr>
        <w:t>unanimous</w:t>
      </w:r>
      <w:r>
        <w:rPr>
          <w:rFonts w:ascii="Times New Roman" w:hAnsi="Times New Roman"/>
          <w:sz w:val="22"/>
          <w:szCs w:val="22"/>
          <w:lang w:eastAsia="zh-CN"/>
        </w:rPr>
        <w:t xml:space="preserve">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b/>
          <w:bCs/>
          <w:sz w:val="22"/>
          <w:szCs w:val="22"/>
          <w:lang w:eastAsia="zh-CN"/>
        </w:rPr>
        <w:t xml:space="preserve">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4936F497" w14:textId="57CEE90C" w:rsidR="00C80D2F" w:rsidRPr="00AA485E" w:rsidRDefault="00C80D2F" w:rsidP="00C80D2F">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285EFFDD" w14:textId="083530B9" w:rsidR="00C80D2F" w:rsidRDefault="00C80D2F" w:rsidP="00C80D2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w:t>
      </w:r>
      <w:r w:rsidR="00D57A42">
        <w:rPr>
          <w:rFonts w:ascii="Times New Roman" w:hAnsi="Times New Roman"/>
          <w:sz w:val="22"/>
          <w:szCs w:val="22"/>
          <w:lang w:eastAsia="zh-CN"/>
        </w:rPr>
        <w:t xml:space="preserve"> configuration.</w:t>
      </w:r>
    </w:p>
    <w:p w14:paraId="1B195A65" w14:textId="36AD8612" w:rsidR="00620989" w:rsidRDefault="00620989">
      <w:pPr>
        <w:pStyle w:val="BodyText"/>
        <w:spacing w:after="0"/>
        <w:rPr>
          <w:rFonts w:ascii="Times New Roman" w:hAnsi="Times New Roman"/>
          <w:sz w:val="22"/>
          <w:szCs w:val="22"/>
          <w:lang w:eastAsia="zh-CN"/>
        </w:rPr>
      </w:pPr>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b/>
          <w:bCs/>
          <w:sz w:val="22"/>
          <w:szCs w:val="22"/>
          <w:lang w:eastAsia="zh-CN"/>
        </w:rPr>
        <w:t>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0FB07A4A" w14:textId="481EA5D3" w:rsidR="00554C70" w:rsidRDefault="00554C70" w:rsidP="00554C7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w:r>
        <w:rPr>
          <w:rFonts w:ascii="Times New Roman" w:hAnsi="Times New Roman"/>
          <w:sz w:val="22"/>
          <w:szCs w:val="22"/>
          <w:lang w:eastAsia="zh-CN"/>
        </w:rPr>
        <w:t>DCI size</w:t>
      </w:r>
      <w:r>
        <w:rPr>
          <w:rFonts w:ascii="Times New Roman" w:hAnsi="Times New Roman"/>
          <w:sz w:val="22"/>
          <w:szCs w:val="22"/>
          <w:lang w:eastAsia="zh-CN"/>
        </w:rPr>
        <w:t xml:space="preserve"> for DCI 1_0 and 0_0 in CSS</w:t>
      </w:r>
      <w:r>
        <w:rPr>
          <w:rFonts w:ascii="Times New Roman" w:hAnsi="Times New Roman"/>
          <w:sz w:val="22"/>
          <w:szCs w:val="22"/>
          <w:lang w:eastAsia="zh-CN"/>
        </w:rPr>
        <w:t xml:space="preserve"> between licensed and unlicensed</w:t>
      </w:r>
      <w:r>
        <w:rPr>
          <w:rFonts w:ascii="Times New Roman" w:hAnsi="Times New Roman"/>
          <w:sz w:val="22"/>
          <w:szCs w:val="22"/>
          <w:lang w:eastAsia="zh-CN"/>
        </w:rPr>
        <w:t xml:space="preserve"> operation in 60 GHz.</w:t>
      </w:r>
    </w:p>
    <w:p w14:paraId="77DE9AD7" w14:textId="15BF6890"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 will be padded to the format with smaller DCI between licensed and unlicensed operation to match the DCI size between them.</w:t>
      </w:r>
    </w:p>
    <w:p w14:paraId="5ACC7986" w14:textId="164E95D8"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w:t>
      </w:r>
      <w:r>
        <w:rPr>
          <w:rFonts w:ascii="Times New Roman" w:hAnsi="Times New Roman"/>
          <w:b/>
          <w:bCs/>
          <w:sz w:val="22"/>
          <w:szCs w:val="22"/>
          <w:lang w:eastAsia="zh-CN"/>
        </w:rPr>
        <w:t>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r>
        <w:rPr>
          <w:rFonts w:ascii="Times New Roman" w:hAnsi="Times New Roman"/>
          <w:b/>
          <w:bCs/>
          <w:sz w:val="22"/>
          <w:szCs w:val="22"/>
          <w:lang w:eastAsia="zh-CN"/>
        </w:rPr>
        <w:t>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lastRenderedPageBreak/>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w:t>
      </w:r>
      <w:proofErr w:type="gramStart"/>
      <w:r w:rsidRPr="004C6681">
        <w:rPr>
          <w:rFonts w:ascii="Times New Roman" w:hAnsi="Times New Roman"/>
          <w:sz w:val="22"/>
          <w:szCs w:val="22"/>
          <w:lang w:eastAsia="zh-CN"/>
        </w:rPr>
        <w:t>1)×</w:t>
      </w:r>
      <w:proofErr w:type="gramEnd"/>
      <w:r w:rsidRPr="004C6681">
        <w:rPr>
          <w:rFonts w:ascii="Times New Roman" w:hAnsi="Times New Roman"/>
          <w:sz w:val="22"/>
          <w:szCs w:val="22"/>
          <w:lang w:eastAsia="zh-CN"/>
        </w:rPr>
        <w:t xml:space="preserve">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24C8CDE7" w14:textId="468FD81B" w:rsidR="00511706" w:rsidRDefault="00511706">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8" w:name="OLE_LINK163"/>
      <w:r w:rsidRPr="00C83446">
        <w:rPr>
          <w:rFonts w:ascii="Times New Roman" w:hAnsi="Times New Roman"/>
          <w:sz w:val="22"/>
          <w:szCs w:val="22"/>
          <w:lang w:eastAsia="zh-CN"/>
        </w:rPr>
        <w:t>For operations with shared spectrum:</w:t>
      </w:r>
      <w:bookmarkEnd w:id="8"/>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 xml:space="preserve">etween every 8 consecutive slots to avoid prolonged occupation, </w:t>
      </w:r>
      <w:proofErr w:type="gramStart"/>
      <w:r w:rsidRPr="007002E3">
        <w:rPr>
          <w:rFonts w:ascii="Times New Roman" w:hAnsi="Times New Roman"/>
          <w:sz w:val="22"/>
          <w:szCs w:val="22"/>
          <w:lang w:eastAsia="zh-CN"/>
        </w:rPr>
        <w:t>i.e.</w:t>
      </w:r>
      <w:proofErr w:type="gramEnd"/>
      <w:r w:rsidRPr="007002E3">
        <w:rPr>
          <w:rFonts w:ascii="Times New Roman" w:hAnsi="Times New Roman"/>
          <w:sz w:val="22"/>
          <w:szCs w:val="22"/>
          <w:lang w:eastAsia="zh-CN"/>
        </w:rPr>
        <w:t xml:space="preserv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For 960kHz SCS, the 64 candidate SSBs are located in 32 slots, with 4 slots spacing between every 16 consecutive slots to avoid prolonged occupation, </w:t>
      </w:r>
      <w:proofErr w:type="gramStart"/>
      <w:r w:rsidRPr="007002E3">
        <w:rPr>
          <w:rFonts w:ascii="Times New Roman" w:hAnsi="Times New Roman"/>
          <w:sz w:val="22"/>
          <w:szCs w:val="22"/>
          <w:lang w:eastAsia="zh-CN"/>
        </w:rPr>
        <w:t>i.e.</w:t>
      </w:r>
      <w:proofErr w:type="gramEnd"/>
      <w:r w:rsidRPr="007002E3">
        <w:rPr>
          <w:rFonts w:ascii="Times New Roman" w:hAnsi="Times New Roman"/>
          <w:sz w:val="22"/>
          <w:szCs w:val="22"/>
          <w:lang w:eastAsia="zh-CN"/>
        </w:rPr>
        <w:t xml:space="preserv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lastRenderedPageBreak/>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9"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9"/>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0"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0"/>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w:t>
      </w:r>
      <w:proofErr w:type="gramStart"/>
      <w:r w:rsidRPr="007F4EC0">
        <w:rPr>
          <w:rFonts w:ascii="Times New Roman" w:hAnsi="Times New Roman"/>
          <w:sz w:val="22"/>
          <w:szCs w:val="22"/>
          <w:lang w:eastAsia="zh-CN"/>
        </w:rPr>
        <w:t>access;</w:t>
      </w:r>
      <w:proofErr w:type="gramEnd"/>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w:t>
      </w:r>
      <w:proofErr w:type="gramStart"/>
      <w:r w:rsidRPr="007F4EC0">
        <w:rPr>
          <w:rFonts w:ascii="Times New Roman" w:hAnsi="Times New Roman"/>
          <w:sz w:val="22"/>
          <w:szCs w:val="22"/>
          <w:lang w:eastAsia="zh-CN"/>
        </w:rPr>
        <w:t>access;</w:t>
      </w:r>
      <w:proofErr w:type="gramEnd"/>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w:t>
      </w:r>
      <w:proofErr w:type="gramStart"/>
      <w:r w:rsidRPr="007F4EC0">
        <w:rPr>
          <w:rFonts w:ascii="Times New Roman" w:hAnsi="Times New Roman"/>
          <w:sz w:val="22"/>
          <w:szCs w:val="22"/>
          <w:lang w:eastAsia="zh-CN"/>
        </w:rPr>
        <w:t>access;</w:t>
      </w:r>
      <w:proofErr w:type="gramEnd"/>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w:t>
      </w:r>
      <w:proofErr w:type="gramStart"/>
      <w:r w:rsidRPr="00FD1611">
        <w:rPr>
          <w:rFonts w:ascii="Times New Roman" w:hAnsi="Times New Roman"/>
          <w:sz w:val="22"/>
          <w:szCs w:val="22"/>
          <w:lang w:eastAsia="zh-CN"/>
        </w:rPr>
        <w:t>34,  36</w:t>
      </w:r>
      <w:proofErr w:type="gramEnd"/>
      <w:r w:rsidRPr="00FD1611">
        <w:rPr>
          <w:rFonts w:ascii="Times New Roman" w:hAnsi="Times New Roman"/>
          <w:sz w:val="22"/>
          <w:szCs w:val="22"/>
          <w:lang w:eastAsia="zh-CN"/>
        </w:rPr>
        <w:t>,37,38,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The second set of n values could be used to enable larger number of </w:t>
      </w:r>
      <w:proofErr w:type="gramStart"/>
      <w:r w:rsidRPr="00FD1611">
        <w:rPr>
          <w:rFonts w:ascii="Times New Roman" w:hAnsi="Times New Roman"/>
          <w:sz w:val="22"/>
          <w:szCs w:val="22"/>
          <w:lang w:eastAsia="zh-CN"/>
        </w:rPr>
        <w:t>candidate</w:t>
      </w:r>
      <w:proofErr w:type="gramEnd"/>
      <w:r w:rsidRPr="00FD1611">
        <w:rPr>
          <w:rFonts w:ascii="Times New Roman" w:hAnsi="Times New Roman"/>
          <w:sz w:val="22"/>
          <w:szCs w:val="22"/>
          <w:lang w:eastAsia="zh-CN"/>
        </w:rPr>
        <w:t xml:space="preserv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w:t>
      </w:r>
      <w:proofErr w:type="gramStart"/>
      <w:r w:rsidRPr="00EF2506">
        <w:rPr>
          <w:rFonts w:ascii="Times New Roman" w:hAnsi="Times New Roman"/>
          <w:sz w:val="22"/>
          <w:szCs w:val="22"/>
          <w:lang w:eastAsia="zh-CN"/>
        </w:rPr>
        <w:t>best::</w:t>
      </w:r>
      <w:proofErr w:type="gramEnd"/>
      <w:r w:rsidRPr="00EF2506">
        <w:rPr>
          <w:rFonts w:ascii="Times New Roman" w:hAnsi="Times New Roman"/>
          <w:sz w:val="22"/>
          <w:szCs w:val="22"/>
          <w:lang w:eastAsia="zh-CN"/>
        </w:rPr>
        <w:t xml:space="preserve">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 xml:space="preserve">lt 3: Define “n” values with </w:t>
      </w:r>
      <w:proofErr w:type="gramStart"/>
      <w:r w:rsidRPr="00EF2506">
        <w:rPr>
          <w:rFonts w:ascii="Times New Roman" w:hAnsi="Times New Roman"/>
          <w:sz w:val="22"/>
          <w:szCs w:val="22"/>
          <w:lang w:eastAsia="zh-CN"/>
        </w:rPr>
        <w:t>more</w:t>
      </w:r>
      <w:proofErr w:type="gramEnd"/>
      <w:r w:rsidRPr="00EF2506">
        <w:rPr>
          <w:rFonts w:ascii="Times New Roman" w:hAnsi="Times New Roman"/>
          <w:sz w:val="22"/>
          <w:szCs w:val="22"/>
          <w:lang w:eastAsia="zh-CN"/>
        </w:rPr>
        <w:t xml:space="preserv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16"/>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lastRenderedPageBreak/>
        <w:t>Summary of Discussions</w:t>
      </w:r>
    </w:p>
    <w:p w14:paraId="59B51BFA" w14:textId="1F83FF5D"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2CBC958" w14:textId="77777777" w:rsidR="00601E18" w:rsidRPr="00601E18" w:rsidRDefault="00601E18" w:rsidP="00601E18">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B21135">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601E18" w:rsidP="00601E18">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object w:dxaOrig="8735" w:dyaOrig="1142" w14:anchorId="418051B8">
                <v:shape id="_x0000_i1076" type="#_x0000_t75" style="width:437.25pt;height:57pt" o:ole="">
                  <v:imagedata r:id="rId17" o:title=""/>
                </v:shape>
                <o:OLEObject Type="Embed" ProgID="Visio.Drawing.15" ShapeID="_x0000_i1076" DrawAspect="Content" ObjectID="_1695458326" r:id="rId18"/>
              </w:object>
            </w:r>
          </w:p>
          <w:p w14:paraId="2679E7D1" w14:textId="77777777" w:rsidR="00601E18" w:rsidRDefault="00601E18" w:rsidP="00601E18">
            <w:pPr>
              <w:pStyle w:val="BodyText"/>
              <w:spacing w:before="0" w:after="0" w:line="240" w:lineRule="auto"/>
              <w:rPr>
                <w:rFonts w:ascii="Times New Roman" w:hAnsi="Times New Roman"/>
                <w:sz w:val="22"/>
                <w:szCs w:val="22"/>
                <w:lang w:eastAsia="zh-CN"/>
              </w:rPr>
            </w:pPr>
          </w:p>
          <w:p w14:paraId="2DBF0921" w14:textId="77777777" w:rsidR="00601E18" w:rsidRDefault="00601E18" w:rsidP="00B21135">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rsidP="00B21135">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rsidP="00601E18">
            <w:pPr>
              <w:spacing w:before="0" w:after="0" w:line="240" w:lineRule="auto"/>
              <w:rPr>
                <w:iCs/>
                <w:lang w:eastAsia="x-none"/>
              </w:rPr>
            </w:pPr>
          </w:p>
          <w:p w14:paraId="1FFCC887" w14:textId="77777777" w:rsidR="00601E18" w:rsidRPr="00601E18" w:rsidRDefault="00601E18" w:rsidP="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rsidP="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w:t>
      </w:r>
      <w:proofErr w:type="gramStart"/>
      <w:r w:rsidRPr="00FD1611">
        <w:rPr>
          <w:rFonts w:ascii="Times New Roman" w:hAnsi="Times New Roman"/>
          <w:sz w:val="22"/>
          <w:szCs w:val="22"/>
          <w:lang w:eastAsia="zh-CN"/>
        </w:rPr>
        <w:t>34,  36</w:t>
      </w:r>
      <w:proofErr w:type="gramEnd"/>
      <w:r w:rsidRPr="00FD1611">
        <w:rPr>
          <w:rFonts w:ascii="Times New Roman" w:hAnsi="Times New Roman"/>
          <w:sz w:val="22"/>
          <w:szCs w:val="22"/>
          <w:lang w:eastAsia="zh-CN"/>
        </w:rPr>
        <w:t>,37,38,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3 or 4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Continuous slots, </w:t>
      </w:r>
      <w:r w:rsidRPr="00C83446">
        <w:rPr>
          <w:rFonts w:ascii="Times New Roman" w:hAnsi="Times New Roman"/>
          <w:sz w:val="22"/>
          <w:szCs w:val="22"/>
          <w:lang w:eastAsia="zh-CN"/>
        </w:rPr>
        <w:t>{2,</w:t>
      </w:r>
      <w:proofErr w:type="gramStart"/>
      <w:r w:rsidRPr="00C83446">
        <w:rPr>
          <w:rFonts w:ascii="Times New Roman" w:hAnsi="Times New Roman"/>
          <w:sz w:val="22"/>
          <w:szCs w:val="22"/>
          <w:lang w:eastAsia="zh-CN"/>
        </w:rPr>
        <w:t>9}+</w:t>
      </w:r>
      <w:proofErr w:type="gramEnd"/>
      <w:r w:rsidRPr="00C83446">
        <w:rPr>
          <w:rFonts w:ascii="Times New Roman" w:hAnsi="Times New Roman"/>
          <w:sz w:val="22"/>
          <w:szCs w:val="22"/>
          <w:lang w:eastAsia="zh-CN"/>
        </w:rPr>
        <w:t>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w:t>
      </w:r>
      <w:proofErr w:type="gramStart"/>
      <w:r w:rsidRPr="00CC4C7F">
        <w:rPr>
          <w:rFonts w:ascii="Times New Roman" w:hAnsi="Times New Roman"/>
          <w:sz w:val="22"/>
          <w:szCs w:val="22"/>
          <w:lang w:eastAsia="zh-CN"/>
        </w:rPr>
        <w:t>={</w:t>
      </w:r>
      <w:proofErr w:type="gramEnd"/>
      <w:r w:rsidRPr="00CC4C7F">
        <w:rPr>
          <w:rFonts w:ascii="Times New Roman" w:hAnsi="Times New Roman"/>
          <w:sz w:val="22"/>
          <w:szCs w:val="22"/>
          <w:lang w:eastAsia="zh-CN"/>
        </w:rPr>
        <w:t>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 </w:t>
      </w:r>
      <w:proofErr w:type="gramStart"/>
      <w:r>
        <w:rPr>
          <w:rFonts w:ascii="Times New Roman" w:hAnsi="Times New Roman"/>
          <w:sz w:val="22"/>
          <w:szCs w:val="22"/>
          <w:lang w:eastAsia="zh-CN"/>
        </w:rPr>
        <w:t>slot</w:t>
      </w:r>
      <w:proofErr w:type="gramEnd"/>
      <w:r>
        <w:rPr>
          <w:rFonts w:ascii="Times New Roman" w:hAnsi="Times New Roman"/>
          <w:sz w:val="22"/>
          <w:szCs w:val="22"/>
          <w:lang w:eastAsia="zh-CN"/>
        </w:rPr>
        <w:t xml:space="preserve">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proofErr w:type="gramStart"/>
      <w:r>
        <w:rPr>
          <w:rFonts w:ascii="Times New Roman" w:hAnsi="Times New Roman"/>
          <w:sz w:val="22"/>
          <w:szCs w:val="22"/>
          <w:lang w:eastAsia="zh-CN"/>
        </w:rPr>
        <w:t>=</w:t>
      </w:r>
      <w:r w:rsidRPr="00E77AB2">
        <w:rPr>
          <w:rFonts w:ascii="Times New Roman" w:hAnsi="Times New Roman"/>
          <w:sz w:val="22"/>
          <w:szCs w:val="22"/>
          <w:lang w:eastAsia="zh-CN"/>
        </w:rPr>
        <w:t>{</w:t>
      </w:r>
      <w:proofErr w:type="gramEnd"/>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402021E0" w:rsidR="00AA24B6" w:rsidRDefault="00AA24B6" w:rsidP="005C7CFD">
      <w:pPr>
        <w:pStyle w:val="BodyText"/>
        <w:spacing w:after="0"/>
        <w:rPr>
          <w:rFonts w:ascii="Times New Roman" w:hAnsi="Times New Roman"/>
          <w:sz w:val="22"/>
          <w:szCs w:val="22"/>
          <w:lang w:eastAsia="zh-CN"/>
        </w:rPr>
      </w:pPr>
    </w:p>
    <w:p w14:paraId="41EED705" w14:textId="1ECBC67E" w:rsidR="00D72616" w:rsidRPr="00AA485E" w:rsidRDefault="00D72616" w:rsidP="00AA485E">
      <w:pPr>
        <w:pStyle w:val="Heading5"/>
        <w:rPr>
          <w:lang w:eastAsia="zh-CN"/>
        </w:rPr>
      </w:pPr>
      <w:r w:rsidRPr="00AA485E">
        <w:rPr>
          <w:lang w:eastAsia="zh-CN"/>
        </w:rPr>
        <w:t>Proposal 1.2-2</w:t>
      </w:r>
      <w:r w:rsidR="00602DB3">
        <w:rPr>
          <w:lang w:eastAsia="zh-CN"/>
        </w:rPr>
        <w:t xml:space="preserve"> </w:t>
      </w:r>
      <w:r w:rsidR="00602DB3">
        <w:rPr>
          <w:lang w:eastAsia="zh-CN"/>
        </w:rPr>
        <w:t>– suggested for GTW discussion</w:t>
      </w:r>
      <w:r w:rsidR="00602DB3">
        <w:rPr>
          <w:lang w:eastAsia="zh-CN"/>
        </w:rPr>
        <w:t xml:space="preserve"> (with possible down-selection in GTW)</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w:t>
      </w:r>
      <w:proofErr w:type="gramStart"/>
      <w:r w:rsidR="009F66C6">
        <w:rPr>
          <w:rFonts w:ascii="Times New Roman" w:hAnsi="Times New Roman"/>
          <w:sz w:val="22"/>
          <w:szCs w:val="22"/>
          <w:lang w:eastAsia="zh-CN"/>
        </w:rPr>
        <w:t>slots</w:t>
      </w:r>
      <w:proofErr w:type="gramEnd"/>
      <w:r w:rsidR="009F66C6">
        <w:rPr>
          <w:rFonts w:ascii="Times New Roman" w:hAnsi="Times New Roman"/>
          <w:sz w:val="22"/>
          <w:szCs w:val="22"/>
          <w:lang w:eastAsia="zh-CN"/>
        </w:rPr>
        <w:t xml:space="preserve">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w:t>
      </w:r>
      <w:proofErr w:type="gramStart"/>
      <w:r w:rsidR="00BD4305">
        <w:rPr>
          <w:rFonts w:ascii="Times New Roman" w:hAnsi="Times New Roman"/>
          <w:sz w:val="22"/>
          <w:szCs w:val="22"/>
          <w:lang w:eastAsia="zh-CN"/>
        </w:rPr>
        <w:t>i.e.</w:t>
      </w:r>
      <w:proofErr w:type="gramEnd"/>
      <w:r w:rsidR="00BD4305">
        <w:rPr>
          <w:rFonts w:ascii="Times New Roman" w:hAnsi="Times New Roman"/>
          <w:sz w:val="22"/>
          <w:szCs w:val="22"/>
          <w:lang w:eastAsia="zh-CN"/>
        </w:rPr>
        <w:t xml:space="preserv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proofErr w:type="gramStart"/>
      <w:r w:rsidR="006A1C17">
        <w:rPr>
          <w:rFonts w:ascii="Times New Roman" w:hAnsi="Times New Roman"/>
          <w:sz w:val="22"/>
          <w:szCs w:val="22"/>
          <w:lang w:eastAsia="zh-CN"/>
        </w:rPr>
        <w:t>i.e.</w:t>
      </w:r>
      <w:proofErr w:type="gramEnd"/>
      <w:r w:rsidR="006A1C17">
        <w:rPr>
          <w:rFonts w:ascii="Times New Roman" w:hAnsi="Times New Roman"/>
          <w:sz w:val="22"/>
          <w:szCs w:val="22"/>
          <w:lang w:eastAsia="zh-CN"/>
        </w:rPr>
        <w:t xml:space="preserv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Support the following CORESET#0 RB offsets values for {SSB, CORESET#0} SCS</w:t>
      </w:r>
      <w:proofErr w:type="gramStart"/>
      <w:r w:rsidRPr="006F0FEC">
        <w:rPr>
          <w:rFonts w:ascii="Times New Roman" w:hAnsi="Times New Roman"/>
          <w:sz w:val="22"/>
          <w:szCs w:val="22"/>
          <w:lang w:eastAsia="zh-CN"/>
        </w:rPr>
        <w:t>={</w:t>
      </w:r>
      <w:proofErr w:type="gramEnd"/>
      <w:r w:rsidRPr="006F0FEC">
        <w:rPr>
          <w:rFonts w:ascii="Times New Roman" w:hAnsi="Times New Roman"/>
          <w:sz w:val="22"/>
          <w:szCs w:val="22"/>
          <w:lang w:eastAsia="zh-CN"/>
        </w:rPr>
        <w:t xml:space="preserve">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480kHz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11" w:name="_Hlk83193313"/>
      <w:r w:rsidRPr="00320A11">
        <w:rPr>
          <w:rFonts w:ascii="Times New Roman" w:hAnsi="Times New Roman"/>
          <w:sz w:val="22"/>
          <w:szCs w:val="22"/>
          <w:lang w:eastAsia="zh-CN"/>
        </w:rPr>
        <w:t xml:space="preserve">SS/PBCH and CORESET#0 for Type0-PDCCH </w:t>
      </w:r>
      <w:bookmarkEnd w:id="11"/>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(SSB, Type0-PDCCH): SCS (120 kHz, 120 kHz)</w:t>
      </w:r>
    </w:p>
    <w:p w14:paraId="238AE127"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(480 kHz, 480 kHz) </w:t>
      </w:r>
    </w:p>
    <w:p w14:paraId="21EC51CA"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w:t>
      </w:r>
      <w:proofErr w:type="gramStart"/>
      <w:r w:rsidRPr="00C937A7">
        <w:rPr>
          <w:rFonts w:ascii="Times New Roman" w:hAnsi="Times New Roman"/>
          <w:sz w:val="22"/>
          <w:szCs w:val="22"/>
          <w:lang w:eastAsia="zh-CN"/>
        </w:rPr>
        <w:t>designed  with</w:t>
      </w:r>
      <w:proofErr w:type="gramEnd"/>
      <w:r w:rsidRPr="00C937A7">
        <w:rPr>
          <w:rFonts w:ascii="Times New Roman" w:hAnsi="Times New Roman"/>
          <w:sz w:val="22"/>
          <w:szCs w:val="22"/>
          <w:lang w:eastAsia="zh-CN"/>
        </w:rPr>
        <w:t xml:space="preserve">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 xml:space="preserve">For SSB and CORESET#0/Type0-PDCCH with 120 </w:t>
      </w:r>
      <w:proofErr w:type="spellStart"/>
      <w:r w:rsidRPr="00D24B46">
        <w:rPr>
          <w:rFonts w:ascii="Times New Roman" w:hAnsi="Times New Roman"/>
          <w:sz w:val="22"/>
          <w:szCs w:val="22"/>
          <w:lang w:eastAsia="zh-CN"/>
        </w:rPr>
        <w:t>KHz</w:t>
      </w:r>
      <w:proofErr w:type="spellEnd"/>
      <w:r w:rsidRPr="00D24B46">
        <w:rPr>
          <w:rFonts w:ascii="Times New Roman" w:hAnsi="Times New Roman"/>
          <w:sz w:val="22"/>
          <w:szCs w:val="22"/>
          <w:lang w:eastAsia="zh-CN"/>
        </w:rPr>
        <w:t xml:space="preserve">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r w:rsidRPr="00E61A8E">
        <w:rPr>
          <w:rFonts w:ascii="Times New Roman" w:hAnsi="Times New Roman"/>
          <w:i/>
          <w:iCs/>
          <w:sz w:val="22"/>
          <w:szCs w:val="22"/>
          <w:lang w:eastAsia="zh-CN"/>
        </w:rPr>
        <w:t>i</w:t>
      </w:r>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w:t>
      </w:r>
      <w:proofErr w:type="spellStart"/>
      <w:r w:rsidRPr="00E61A8E">
        <w:rPr>
          <w:rFonts w:ascii="Times New Roman" w:hAnsi="Times New Roman" w:hint="eastAsia"/>
          <w:sz w:val="22"/>
          <w:szCs w:val="22"/>
          <w:lang w:eastAsia="zh-CN"/>
        </w:rPr>
        <w:t>KHz</w:t>
      </w:r>
      <w:proofErr w:type="spellEnd"/>
      <w:r w:rsidRPr="00E61A8E">
        <w:rPr>
          <w:rFonts w:ascii="Times New Roman" w:hAnsi="Times New Roman" w:hint="eastAsia"/>
          <w:sz w:val="22"/>
          <w:szCs w:val="22"/>
          <w:lang w:eastAsia="zh-CN"/>
        </w:rPr>
        <w:t xml:space="preserve">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 xml:space="preserve">issue if it </w:t>
      </w:r>
      <w:proofErr w:type="gramStart"/>
      <w:r w:rsidRPr="00E61A8E">
        <w:rPr>
          <w:rFonts w:ascii="Times New Roman" w:hAnsi="Times New Roman"/>
          <w:sz w:val="22"/>
          <w:szCs w:val="22"/>
          <w:lang w:eastAsia="zh-CN"/>
        </w:rPr>
        <w:t>choose</w:t>
      </w:r>
      <w:proofErr w:type="gramEnd"/>
      <w:r w:rsidRPr="00E61A8E">
        <w:rPr>
          <w:rFonts w:ascii="Times New Roman" w:hAnsi="Times New Roman"/>
          <w:sz w:val="22"/>
          <w:szCs w:val="22"/>
          <w:lang w:eastAsia="zh-CN"/>
        </w:rPr>
        <w:t xml:space="preserv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2"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12"/>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13"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13"/>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4"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14"/>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15"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15"/>
    <w:p w14:paraId="79620CDE"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2}</w:t>
      </w:r>
    </w:p>
    <w:p w14:paraId="41948FD8"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{1,2} for the number of search space sets per slot, and values {1, 1/2} for the shift M. Additionally, given room in table also M</w:t>
      </w:r>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sz w:val="22"/>
          <w:szCs w:val="22"/>
          <w:lang w:eastAsia="zh-CN"/>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sz w:val="22"/>
          <w:szCs w:val="22"/>
          <w:lang w:eastAsia="zh-CN"/>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lang w:val="en-GB" w:eastAsia="ko-KR"/>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lang w:val="en-GB" w:eastAsia="ko-KR"/>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additional CORESET#0 RB offsets are </w:t>
      </w:r>
      <w:proofErr w:type="gramStart"/>
      <w:r w:rsidRPr="007F4EC0">
        <w:rPr>
          <w:rFonts w:ascii="Times New Roman" w:hAnsi="Times New Roman"/>
          <w:sz w:val="22"/>
          <w:szCs w:val="22"/>
          <w:lang w:eastAsia="zh-CN"/>
        </w:rPr>
        <w:t>needed;</w:t>
      </w:r>
      <w:proofErr w:type="gramEnd"/>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support multiplexing pattern </w:t>
      </w:r>
      <w:proofErr w:type="gramStart"/>
      <w:r w:rsidRPr="007F4EC0">
        <w:rPr>
          <w:rFonts w:ascii="Times New Roman" w:hAnsi="Times New Roman"/>
          <w:sz w:val="22"/>
          <w:szCs w:val="22"/>
          <w:lang w:eastAsia="zh-CN"/>
        </w:rPr>
        <w:t>3;</w:t>
      </w:r>
      <w:proofErr w:type="gramEnd"/>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w:t>
      </w:r>
      <w:proofErr w:type="gramStart"/>
      <w:r w:rsidRPr="007F4EC0">
        <w:rPr>
          <w:rFonts w:ascii="Times New Roman" w:hAnsi="Times New Roman"/>
          <w:sz w:val="22"/>
          <w:szCs w:val="22"/>
          <w:lang w:eastAsia="zh-CN"/>
        </w:rPr>
        <w:t>0;</w:t>
      </w:r>
      <w:proofErr w:type="gramEnd"/>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w:t>
      </w:r>
      <w:proofErr w:type="gramStart"/>
      <w:r w:rsidRPr="007F4EC0">
        <w:rPr>
          <w:rFonts w:ascii="Times New Roman" w:hAnsi="Times New Roman"/>
          <w:sz w:val="22"/>
          <w:szCs w:val="22"/>
          <w:lang w:eastAsia="zh-CN"/>
        </w:rPr>
        <w:t>cases;</w:t>
      </w:r>
      <w:proofErr w:type="gramEnd"/>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lang w:eastAsia="ko-KR"/>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lang w:eastAsia="ko-KR"/>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lang w:eastAsia="ko-KR"/>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lang w:eastAsia="ko-KR"/>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lang w:eastAsia="ko-KR"/>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proofErr w:type="spellStart"/>
            <w:r w:rsidRPr="00EB69B3">
              <w:rPr>
                <w:rFonts w:eastAsia="SimSun" w:cs="Times"/>
                <w:szCs w:val="20"/>
                <w:lang w:eastAsia="zh-CN"/>
              </w:rPr>
              <w:t>controlResourceSetZero</w:t>
            </w:r>
            <w:proofErr w:type="spellEnd"/>
            <w:r w:rsidRPr="00EB69B3">
              <w:rPr>
                <w:rFonts w:eastAsia="SimSun"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lang w:eastAsia="ko-KR"/>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lang w:eastAsia="ko-KR"/>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lastRenderedPageBreak/>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 xml:space="preserve">Note: the number of entries corresponding the same {mux pattern, number of RB, number of </w:t>
            </w:r>
            <w:proofErr w:type="gramStart"/>
            <w:r w:rsidRPr="00EB69B3">
              <w:rPr>
                <w:rFonts w:cs="Times"/>
                <w:szCs w:val="20"/>
                <w:lang w:eastAsia="zh-CN"/>
              </w:rPr>
              <w:t>symbol</w:t>
            </w:r>
            <w:proofErr w:type="gramEnd"/>
            <w:r w:rsidRPr="00EB69B3">
              <w:rPr>
                <w:rFonts w:cs="Times"/>
                <w:szCs w:val="20"/>
                <w:lang w:eastAsia="zh-CN"/>
              </w:rPr>
              <w:t>}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w:t>
      </w:r>
      <w:proofErr w:type="spellStart"/>
      <w:r w:rsidR="00117866">
        <w:rPr>
          <w:rFonts w:ascii="Times New Roman" w:hAnsi="Times New Roman"/>
          <w:sz w:val="22"/>
          <w:szCs w:val="22"/>
          <w:lang w:eastAsia="zh-CN"/>
        </w:rPr>
        <w:t>HiSilicon</w:t>
      </w:r>
      <w:proofErr w:type="spellEnd"/>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4836D925"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8807A6C"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w:t>
      </w:r>
      <w:proofErr w:type="spellStart"/>
      <w:r>
        <w:rPr>
          <w:rFonts w:ascii="Times New Roman" w:hAnsi="Times New Roman"/>
          <w:sz w:val="22"/>
          <w:szCs w:val="22"/>
          <w:lang w:eastAsia="zh-CN"/>
        </w:rPr>
        <w:t>HiSilicon</w:t>
      </w:r>
      <w:proofErr w:type="spellEnd"/>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w:t>
      </w:r>
      <w:proofErr w:type="spellStart"/>
      <w:r>
        <w:rPr>
          <w:rFonts w:ascii="Times New Roman" w:hAnsi="Times New Roman"/>
          <w:sz w:val="22"/>
          <w:szCs w:val="22"/>
          <w:lang w:eastAsia="zh-CN"/>
        </w:rPr>
        <w:t>HiSilicon</w:t>
      </w:r>
      <w:proofErr w:type="spellEnd"/>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0FDEAA5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w:t>
      </w:r>
      <w:r w:rsidR="00D62F38">
        <w:rPr>
          <w:rFonts w:ascii="Times New Roman" w:hAnsi="Times New Roman"/>
          <w:sz w:val="22"/>
          <w:szCs w:val="22"/>
          <w:lang w:eastAsia="zh-CN"/>
        </w:rPr>
        <w:t>vivo (for 960kHz)</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50B9EC0D"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w:t>
      </w:r>
      <w:proofErr w:type="gramStart"/>
      <w:r>
        <w:rPr>
          <w:rFonts w:ascii="Times New Roman" w:hAnsi="Times New Roman"/>
          <w:sz w:val="22"/>
          <w:szCs w:val="22"/>
          <w:lang w:eastAsia="zh-CN"/>
        </w:rPr>
        <w:t>support:</w:t>
      </w:r>
      <w:proofErr w:type="gramEnd"/>
      <w:r w:rsidR="00DD53EC">
        <w:rPr>
          <w:rFonts w:ascii="Times New Roman" w:hAnsi="Times New Roman"/>
          <w:sz w:val="22"/>
          <w:szCs w:val="22"/>
          <w:lang w:eastAsia="zh-CN"/>
        </w:rPr>
        <w:t xml:space="preserve"> Huawei/</w:t>
      </w:r>
      <w:proofErr w:type="spellStart"/>
      <w:r w:rsidR="00DD53EC">
        <w:rPr>
          <w:rFonts w:ascii="Times New Roman" w:hAnsi="Times New Roman"/>
          <w:sz w:val="22"/>
          <w:szCs w:val="22"/>
          <w:lang w:eastAsia="zh-CN"/>
        </w:rPr>
        <w:t>HiSilicon</w:t>
      </w:r>
      <w:proofErr w:type="spellEnd"/>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proofErr w:type="gramStart"/>
      <w:r>
        <w:rPr>
          <w:rFonts w:ascii="Times New Roman" w:hAnsi="Times New Roman"/>
          <w:sz w:val="22"/>
          <w:szCs w:val="22"/>
          <w:lang w:eastAsia="zh-CN"/>
        </w:rPr>
        <w:t>4 :</w:t>
      </w:r>
      <w:proofErr w:type="gramEnd"/>
      <w:r>
        <w:rPr>
          <w:rFonts w:ascii="Times New Roman" w:hAnsi="Times New Roman"/>
          <w:sz w:val="22"/>
          <w:szCs w:val="22"/>
          <w:lang w:eastAsia="zh-CN"/>
        </w:rPr>
        <w:t xml:space="preserve"> Huawei/</w:t>
      </w:r>
      <w:proofErr w:type="spellStart"/>
      <w:r>
        <w:rPr>
          <w:rFonts w:ascii="Times New Roman" w:hAnsi="Times New Roman"/>
          <w:sz w:val="22"/>
          <w:szCs w:val="22"/>
          <w:lang w:eastAsia="zh-CN"/>
        </w:rPr>
        <w:t>HiSilicon</w:t>
      </w:r>
      <w:proofErr w:type="spellEnd"/>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w:t>
      </w:r>
      <w:proofErr w:type="spellStart"/>
      <w:r>
        <w:rPr>
          <w:rFonts w:ascii="Times New Roman" w:hAnsi="Times New Roman"/>
          <w:sz w:val="22"/>
          <w:szCs w:val="22"/>
          <w:lang w:eastAsia="zh-CN"/>
        </w:rPr>
        <w:t>HiSilicon</w:t>
      </w:r>
      <w:proofErr w:type="spellEnd"/>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0C31DDCC" w:rsidR="00443510" w:rsidRDefault="003072C1"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443510">
        <w:rPr>
          <w:rFonts w:ascii="Times New Roman" w:hAnsi="Times New Roman"/>
          <w:sz w:val="22"/>
          <w:szCs w:val="22"/>
          <w:lang w:eastAsia="zh-CN"/>
        </w:rPr>
        <w:t>, 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2.75, 5, 7.75} for 480 kHz and {0, 1.5, 6, </w:t>
      </w:r>
      <w:proofErr w:type="gramStart"/>
      <w:r>
        <w:rPr>
          <w:rFonts w:ascii="Times New Roman" w:hAnsi="Times New Roman"/>
          <w:sz w:val="22"/>
          <w:szCs w:val="22"/>
          <w:lang w:eastAsia="zh-CN"/>
        </w:rPr>
        <w:t>6.5 }</w:t>
      </w:r>
      <w:proofErr w:type="gramEnd"/>
      <w:r>
        <w:rPr>
          <w:rFonts w:ascii="Times New Roman" w:hAnsi="Times New Roman"/>
          <w:sz w:val="22"/>
          <w:szCs w:val="22"/>
          <w:lang w:eastAsia="zh-CN"/>
        </w:rPr>
        <w:t xml:space="preserve">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w:t>
      </w:r>
      <w:r w:rsidRPr="001408A8">
        <w:rPr>
          <w:rFonts w:ascii="Times New Roman" w:hAnsi="Times New Roman"/>
          <w:b/>
          <w:bCs/>
          <w:sz w:val="22"/>
          <w:szCs w:val="22"/>
          <w:lang w:eastAsia="zh-CN"/>
        </w:rPr>
        <w:t>2</w:t>
      </w:r>
      <w:r w:rsidRPr="001408A8">
        <w:rPr>
          <w:rFonts w:ascii="Times New Roman" w:hAnsi="Times New Roman"/>
          <w:b/>
          <w:bCs/>
          <w:sz w:val="22"/>
          <w:szCs w:val="22"/>
          <w:lang w:eastAsia="zh-CN"/>
        </w:rPr>
        <w:t>)</w:t>
      </w:r>
    </w:p>
    <w:p w14:paraId="5DD9012E" w14:textId="39A8B7FC" w:rsidR="002D0594" w:rsidRDefault="002D0594" w:rsidP="002D0594">
      <w:pPr>
        <w:pStyle w:val="Heading5"/>
        <w:rPr>
          <w:lang w:eastAsia="zh-CN"/>
        </w:rPr>
      </w:pPr>
      <w:r>
        <w:rPr>
          <w:lang w:eastAsia="zh-CN"/>
        </w:rPr>
        <w:t>Proposal 1.3-</w:t>
      </w:r>
      <w:r>
        <w:rPr>
          <w:lang w:eastAsia="zh-CN"/>
        </w:rPr>
        <w:t>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77777777"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w:t>
      </w:r>
      <w:r>
        <w:rPr>
          <w:rFonts w:ascii="Times New Roman" w:hAnsi="Times New Roman"/>
          <w:sz w:val="22"/>
          <w:szCs w:val="22"/>
          <w:lang w:eastAsia="zh-CN"/>
        </w:rPr>
        <w:t>T</w:t>
      </w:r>
      <w:r>
        <w:rPr>
          <w:rFonts w:ascii="Times New Roman" w:hAnsi="Times New Roman"/>
          <w:sz w:val="22"/>
          <w:szCs w:val="22"/>
          <w:lang w:eastAsia="zh-CN"/>
        </w:rPr>
        <w:t xml:space="preserve">able </w:t>
      </w:r>
      <w:r>
        <w:rPr>
          <w:rFonts w:ascii="Times New Roman" w:hAnsi="Times New Roman"/>
          <w:sz w:val="22"/>
          <w:szCs w:val="22"/>
          <w:lang w:eastAsia="zh-CN"/>
        </w:rPr>
        <w:t xml:space="preserve">13-8 in TS38.213 </w:t>
      </w:r>
      <w:r>
        <w:rPr>
          <w:rFonts w:ascii="Times New Roman" w:hAnsi="Times New Roman"/>
          <w:sz w:val="22"/>
          <w:szCs w:val="22"/>
          <w:lang w:eastAsia="zh-CN"/>
        </w:rPr>
        <w:t>for multiplexing pattern 1</w:t>
      </w:r>
      <w:r>
        <w:rPr>
          <w:rFonts w:ascii="Times New Roman" w:hAnsi="Times New Roman"/>
          <w:sz w:val="22"/>
          <w:szCs w:val="22"/>
          <w:lang w:eastAsia="zh-CN"/>
        </w:rPr>
        <w:t>,</w:t>
      </w:r>
    </w:p>
    <w:p w14:paraId="690F2211" w14:textId="038B1582" w:rsidR="002D0594" w:rsidRDefault="00705803"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supported)</w:t>
      </w:r>
      <w:r>
        <w:rPr>
          <w:rFonts w:ascii="Times New Roman" w:hAnsi="Times New Roman"/>
          <w:sz w:val="22"/>
          <w:szCs w:val="22"/>
          <w:lang w:eastAsia="zh-CN"/>
        </w:rPr>
        <w:t xml:space="preserve"> </w:t>
      </w:r>
      <w:r w:rsidR="002D0594">
        <w:rPr>
          <w:rFonts w:ascii="Times New Roman" w:hAnsi="Times New Roman"/>
          <w:sz w:val="22"/>
          <w:szCs w:val="22"/>
          <w:lang w:eastAsia="zh-CN"/>
        </w:rPr>
        <w:t>use Table 13-15 in TS38.213 for multiplexing pattern 3</w:t>
      </w:r>
      <w:r>
        <w:rPr>
          <w:rFonts w:ascii="Times New Roman" w:hAnsi="Times New Roman"/>
          <w:sz w:val="22"/>
          <w:szCs w:val="22"/>
          <w:lang w:eastAsia="zh-CN"/>
        </w:rPr>
        <w:t>.</w:t>
      </w:r>
    </w:p>
    <w:p w14:paraId="26673B14" w14:textId="4A80AE8F" w:rsidR="002D0594" w:rsidRDefault="002D0594">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w:t>
      </w:r>
      <w:r w:rsidRPr="001408A8">
        <w:rPr>
          <w:rFonts w:ascii="Times New Roman" w:hAnsi="Times New Roman"/>
          <w:b/>
          <w:bCs/>
          <w:sz w:val="22"/>
          <w:szCs w:val="22"/>
          <w:lang w:eastAsia="zh-CN"/>
        </w:rPr>
        <w:t>3</w:t>
      </w:r>
      <w:r w:rsidRPr="001408A8">
        <w:rPr>
          <w:rFonts w:ascii="Times New Roman" w:hAnsi="Times New Roman"/>
          <w:b/>
          <w:bCs/>
          <w:sz w:val="22"/>
          <w:szCs w:val="22"/>
          <w:lang w:eastAsia="zh-CN"/>
        </w:rPr>
        <w:t>)</w:t>
      </w:r>
    </w:p>
    <w:p w14:paraId="53EA072E" w14:textId="11E699F2" w:rsidR="003D4045" w:rsidRDefault="003D4045" w:rsidP="003D4045">
      <w:pPr>
        <w:pStyle w:val="Heading5"/>
        <w:rPr>
          <w:lang w:eastAsia="zh-CN"/>
        </w:rPr>
      </w:pPr>
      <w:r>
        <w:rPr>
          <w:lang w:eastAsia="zh-CN"/>
        </w:rPr>
        <w:lastRenderedPageBreak/>
        <w:t>Proposal 1.3-</w:t>
      </w:r>
      <w:r w:rsidR="002D0594">
        <w:rPr>
          <w:lang w:eastAsia="zh-CN"/>
        </w:rPr>
        <w:t>3</w:t>
      </w:r>
    </w:p>
    <w:p w14:paraId="70CB9A21" w14:textId="1FEC414B" w:rsidR="003D4045" w:rsidRDefault="003D4045" w:rsidP="003D4045">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different </w:t>
      </w:r>
      <w:r>
        <w:rPr>
          <w:rFonts w:ascii="Times New Roman" w:hAnsi="Times New Roman"/>
          <w:sz w:val="22"/>
          <w:szCs w:val="22"/>
          <w:lang w:eastAsia="zh-CN"/>
        </w:rPr>
        <w:t>X</w:t>
      </w:r>
      <w:r>
        <w:rPr>
          <w:rFonts w:ascii="Times New Roman" w:hAnsi="Times New Roman"/>
          <w:sz w:val="22"/>
          <w:szCs w:val="22"/>
          <w:lang w:eastAsia="zh-CN"/>
        </w:rPr>
        <w:t xml:space="preserve">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w:t>
      </w:r>
      <w:r>
        <w:rPr>
          <w:lang w:eastAsia="zh-CN"/>
        </w:rPr>
        <w:t>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w:t>
      </w:r>
      <w:r w:rsidRPr="002D0594">
        <w:rPr>
          <w:rFonts w:ascii="Times New Roman" w:hAnsi="Times New Roman"/>
          <w:sz w:val="22"/>
          <w:szCs w:val="22"/>
          <w:lang w:eastAsia="zh-CN"/>
        </w:rPr>
        <w:t>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w:t>
      </w:r>
      <w:r>
        <w:rPr>
          <w:rFonts w:ascii="Times New Roman" w:hAnsi="Times New Roman"/>
          <w:sz w:val="22"/>
          <w:szCs w:val="22"/>
          <w:lang w:eastAsia="zh-CN"/>
        </w:rPr>
        <w:t>3</w:t>
      </w:r>
      <w:r>
        <w:rPr>
          <w:rFonts w:ascii="Times New Roman" w:hAnsi="Times New Roman"/>
          <w:sz w:val="22"/>
          <w:szCs w:val="22"/>
          <w:lang w:eastAsia="zh-CN"/>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840D6A">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840D6A">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840D6A">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840D6A">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840D6A">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840D6A">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840D6A">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840D6A">
            <w:pPr>
              <w:spacing w:after="0"/>
              <w:jc w:val="center"/>
              <w:textAlignment w:val="bottom"/>
            </w:pPr>
            <w:r>
              <w:rPr>
                <w:noProof/>
                <w:position w:val="-12"/>
                <w:szCs w:val="24"/>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840D6A">
            <w:pPr>
              <w:spacing w:after="0"/>
              <w:jc w:val="center"/>
              <w:textAlignment w:val="bottom"/>
              <w:rPr>
                <w:rFonts w:ascii="Arial" w:hAnsi="Arial" w:cs="Arial"/>
                <w:sz w:val="18"/>
                <w:szCs w:val="18"/>
              </w:rPr>
            </w:pPr>
            <w:r>
              <w:rPr>
                <w:noProof/>
                <w:position w:val="-12"/>
                <w:szCs w:val="24"/>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840D6A">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840D6A">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840D6A">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840D6A">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840D6A">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w:t>
      </w:r>
      <w:r w:rsidRPr="001408A8">
        <w:rPr>
          <w:rFonts w:ascii="Times New Roman" w:hAnsi="Times New Roman"/>
          <w:b/>
          <w:bCs/>
          <w:sz w:val="22"/>
          <w:szCs w:val="22"/>
          <w:lang w:eastAsia="zh-CN"/>
        </w:rPr>
        <w:t>4</w:t>
      </w:r>
      <w:r w:rsidRPr="001408A8">
        <w:rPr>
          <w:rFonts w:ascii="Times New Roman" w:hAnsi="Times New Roman"/>
          <w:b/>
          <w:bCs/>
          <w:sz w:val="22"/>
          <w:szCs w:val="22"/>
          <w:lang w:eastAsia="zh-CN"/>
        </w:rPr>
        <w:t>)</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w:t>
      </w:r>
      <w:r w:rsidRPr="001408A8">
        <w:rPr>
          <w:rFonts w:ascii="Times New Roman" w:hAnsi="Times New Roman"/>
          <w:b/>
          <w:bCs/>
          <w:sz w:val="22"/>
          <w:szCs w:val="22"/>
          <w:lang w:eastAsia="zh-CN"/>
        </w:rPr>
        <w:t>5</w:t>
      </w:r>
      <w:r w:rsidRPr="001408A8">
        <w:rPr>
          <w:rFonts w:ascii="Times New Roman" w:hAnsi="Times New Roman"/>
          <w:b/>
          <w:bCs/>
          <w:sz w:val="22"/>
          <w:szCs w:val="22"/>
          <w:lang w:eastAsia="zh-CN"/>
        </w:rPr>
        <w:t>)</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02F1988D" w:rsidR="00684A33" w:rsidRDefault="00684A33" w:rsidP="002D0594">
      <w:pPr>
        <w:pStyle w:val="BodyText"/>
        <w:spacing w:after="0"/>
        <w:rPr>
          <w:rFonts w:ascii="Times New Roman" w:hAnsi="Times New Roman"/>
          <w:sz w:val="22"/>
          <w:szCs w:val="22"/>
          <w:lang w:eastAsia="zh-CN"/>
        </w:rPr>
      </w:pPr>
    </w:p>
    <w:p w14:paraId="0975FF11" w14:textId="0EC6D83E" w:rsidR="00742BAB" w:rsidRDefault="00742BAB" w:rsidP="002D0594">
      <w:pPr>
        <w:pStyle w:val="BodyText"/>
        <w:spacing w:after="0"/>
        <w:rPr>
          <w:rFonts w:ascii="Times New Roman" w:hAnsi="Times New Roman"/>
          <w:sz w:val="22"/>
          <w:szCs w:val="22"/>
          <w:lang w:eastAsia="zh-CN"/>
        </w:rPr>
      </w:pP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 xml:space="preserve">The mechanism of two offsets in MIB defined for NR-U, </w:t>
      </w:r>
      <w:proofErr w:type="gramStart"/>
      <w:r w:rsidRPr="0039434B">
        <w:rPr>
          <w:rFonts w:ascii="Times New Roman" w:hAnsi="Times New Roman"/>
          <w:sz w:val="22"/>
          <w:szCs w:val="22"/>
          <w:lang w:eastAsia="zh-CN"/>
        </w:rPr>
        <w:t>i.e.</w:t>
      </w:r>
      <w:proofErr w:type="gramEnd"/>
      <w:r w:rsidRPr="0039434B">
        <w:rPr>
          <w:rFonts w:ascii="Times New Roman" w:hAnsi="Times New Roman"/>
          <w:sz w:val="22"/>
          <w:szCs w:val="22"/>
          <w:lang w:eastAsia="zh-CN"/>
        </w:rPr>
        <w:t xml:space="preserv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w:t>
      </w:r>
      <w:proofErr w:type="gramStart"/>
      <w:r w:rsidR="00835508">
        <w:rPr>
          <w:rFonts w:ascii="Times New Roman" w:hAnsi="Times New Roman"/>
          <w:sz w:val="22"/>
          <w:szCs w:val="22"/>
          <w:lang w:eastAsia="zh-CN"/>
        </w:rPr>
        <w:t>similar to</w:t>
      </w:r>
      <w:proofErr w:type="gramEnd"/>
      <w:r w:rsidR="00835508">
        <w:rPr>
          <w:rFonts w:ascii="Times New Roman" w:hAnsi="Times New Roman"/>
          <w:sz w:val="22"/>
          <w:szCs w:val="22"/>
          <w:lang w:eastAsia="zh-CN"/>
        </w:rPr>
        <w:t xml:space="preserve">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 xml:space="preserve">SSB with 240kHz SCS can be </w:t>
      </w:r>
      <w:proofErr w:type="gramStart"/>
      <w:r w:rsidRPr="0039434B">
        <w:rPr>
          <w:rFonts w:ascii="Times New Roman" w:hAnsi="Times New Roman"/>
          <w:sz w:val="22"/>
          <w:szCs w:val="22"/>
          <w:lang w:eastAsia="zh-CN"/>
        </w:rPr>
        <w:t>down-prioritized</w:t>
      </w:r>
      <w:proofErr w:type="gramEnd"/>
      <w:r w:rsidRPr="0039434B">
        <w:rPr>
          <w:rFonts w:ascii="Times New Roman" w:hAnsi="Times New Roman"/>
          <w:sz w:val="22"/>
          <w:szCs w:val="22"/>
          <w:lang w:eastAsia="zh-CN"/>
        </w:rPr>
        <w:t>.</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lastRenderedPageBreak/>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w:t>
      </w:r>
      <w:proofErr w:type="gramStart"/>
      <w:r w:rsidRPr="00BC7431">
        <w:rPr>
          <w:rFonts w:ascii="Times New Roman" w:hAnsi="Times New Roman"/>
          <w:sz w:val="22"/>
          <w:szCs w:val="22"/>
          <w:lang w:eastAsia="zh-CN"/>
        </w:rPr>
        <w:t>actually transmitted</w:t>
      </w:r>
      <w:proofErr w:type="gramEnd"/>
      <w:r w:rsidRPr="00BC7431">
        <w:rPr>
          <w:rFonts w:ascii="Times New Roman" w:hAnsi="Times New Roman"/>
          <w:sz w:val="22"/>
          <w:szCs w:val="22"/>
          <w:lang w:eastAsia="zh-CN"/>
        </w:rPr>
        <w:t xml:space="preserve">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roofErr w:type="gramStart"/>
      <w:r w:rsidRPr="00C016C2">
        <w:rPr>
          <w:rFonts w:ascii="Times New Roman" w:hAnsi="Times New Roman"/>
          <w:sz w:val="22"/>
          <w:szCs w:val="22"/>
          <w:lang w:eastAsia="zh-CN"/>
        </w:rPr>
        <w:t>};</w:t>
      </w:r>
      <w:proofErr w:type="gramEnd"/>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roofErr w:type="gramStart"/>
      <w:r w:rsidRPr="00C016C2">
        <w:rPr>
          <w:rFonts w:ascii="Times New Roman" w:hAnsi="Times New Roman"/>
          <w:sz w:val="22"/>
          <w:szCs w:val="22"/>
          <w:lang w:eastAsia="zh-CN"/>
        </w:rPr>
        <w:t>};</w:t>
      </w:r>
      <w:proofErr w:type="gramEnd"/>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roofErr w:type="gramStart"/>
      <w:r w:rsidRPr="00C016C2">
        <w:rPr>
          <w:rFonts w:ascii="Times New Roman" w:hAnsi="Times New Roman"/>
          <w:sz w:val="22"/>
          <w:szCs w:val="22"/>
          <w:lang w:eastAsia="zh-CN"/>
        </w:rPr>
        <w:t>};</w:t>
      </w:r>
      <w:proofErr w:type="gramEnd"/>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C016C2" w:rsidP="00C016C2">
      <w:pPr>
        <w:jc w:val="center"/>
      </w:pPr>
      <w:r>
        <w:object w:dxaOrig="9733" w:dyaOrig="3013" w14:anchorId="404DED80">
          <v:shape id="_x0000_i1054" type="#_x0000_t75" style="width:412.5pt;height:127.5pt" o:ole="">
            <v:imagedata r:id="rId27" o:title=""/>
          </v:shape>
          <o:OLEObject Type="Embed" ProgID="Visio.Drawing.15" ShapeID="_x0000_i1054" DrawAspect="Content" ObjectID="_1695458327" r:id="rId28"/>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16" w:name="_Hlk61098833"/>
      <w:r w:rsidRPr="0059316F">
        <w:rPr>
          <w:rFonts w:ascii="Times New Roman" w:hAnsi="Times New Roman"/>
          <w:sz w:val="22"/>
          <w:szCs w:val="22"/>
          <w:lang w:eastAsia="zh-CN"/>
        </w:rPr>
        <w:t xml:space="preserve">For supporting NR from 52.6 GHz to 71 GHz in Rel. 17, </w:t>
      </w:r>
      <w:bookmarkEnd w:id="16"/>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Moderator</w:t>
      </w:r>
      <w:proofErr w:type="gramEnd"/>
      <w:r>
        <w:rPr>
          <w:rFonts w:ascii="Times New Roman" w:hAnsi="Times New Roman"/>
          <w:sz w:val="22"/>
          <w:szCs w:val="22"/>
          <w:lang w:eastAsia="zh-CN"/>
        </w:rPr>
        <w:t xml:space="preserve">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roofErr w:type="gramStart"/>
      <w:r w:rsidRPr="00C016C2">
        <w:rPr>
          <w:rFonts w:ascii="Times New Roman" w:hAnsi="Times New Roman"/>
          <w:sz w:val="22"/>
          <w:szCs w:val="22"/>
          <w:lang w:eastAsia="zh-CN"/>
        </w:rPr>
        <w:t>};</w:t>
      </w:r>
      <w:proofErr w:type="gramEnd"/>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roofErr w:type="gramStart"/>
      <w:r w:rsidRPr="00C016C2">
        <w:rPr>
          <w:rFonts w:ascii="Times New Roman" w:hAnsi="Times New Roman"/>
          <w:sz w:val="22"/>
          <w:szCs w:val="22"/>
          <w:lang w:eastAsia="zh-CN"/>
        </w:rPr>
        <w:t>};</w:t>
      </w:r>
      <w:proofErr w:type="gramEnd"/>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roofErr w:type="gramStart"/>
      <w:r w:rsidRPr="00C016C2">
        <w:rPr>
          <w:rFonts w:ascii="Times New Roman" w:hAnsi="Times New Roman"/>
          <w:sz w:val="22"/>
          <w:szCs w:val="22"/>
          <w:lang w:eastAsia="zh-CN"/>
        </w:rPr>
        <w:t>};</w:t>
      </w:r>
      <w:proofErr w:type="gramEnd"/>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C47244" w:rsidP="004F4405">
      <w:pPr>
        <w:jc w:val="center"/>
      </w:pPr>
      <w:r>
        <w:object w:dxaOrig="9733" w:dyaOrig="3013" w14:anchorId="50AB920F">
          <v:shape id="_x0000_i1085" type="#_x0000_t75" style="width:412.5pt;height:127.5pt" o:ole="">
            <v:imagedata r:id="rId27" o:title=""/>
          </v:shape>
          <o:OLEObject Type="Embed" ProgID="Visio.Drawing.15" ShapeID="_x0000_i1085" DrawAspect="Content" ObjectID="_1695458328" r:id="rId29"/>
        </w:object>
      </w:r>
    </w:p>
    <w:p w14:paraId="5C2CE5B5" w14:textId="417544BE" w:rsidR="00C47244" w:rsidRDefault="00C47244" w:rsidP="00B06C51">
      <w:pPr>
        <w:pStyle w:val="BodyText"/>
        <w:spacing w:after="0"/>
        <w:rPr>
          <w:rFonts w:ascii="Times New Roman" w:hAnsi="Times New Roman"/>
          <w:sz w:val="22"/>
          <w:szCs w:val="22"/>
          <w:lang w:eastAsia="zh-CN"/>
        </w:rPr>
      </w:pP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proofErr w:type="gramStart"/>
      <w:r w:rsidRPr="00751BD0">
        <w:rPr>
          <w:rFonts w:ascii="Times New Roman" w:hAnsi="Times New Roman"/>
          <w:sz w:val="22"/>
          <w:szCs w:val="22"/>
          <w:lang w:eastAsia="zh-CN"/>
        </w:rPr>
        <w:t>Additionally</w:t>
      </w:r>
      <w:proofErr w:type="gramEnd"/>
      <w:r w:rsidRPr="00751BD0">
        <w:rPr>
          <w:rFonts w:ascii="Times New Roman" w:hAnsi="Times New Roman"/>
          <w:sz w:val="22"/>
          <w:szCs w:val="22"/>
          <w:lang w:eastAsia="zh-CN"/>
        </w:rPr>
        <w:t xml:space="preserve">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17" w:name="_Toc83974945"/>
      <w:r w:rsidRPr="009A26BF">
        <w:rPr>
          <w:rFonts w:ascii="Times New Roman" w:hAnsi="Times New Roman"/>
          <w:sz w:val="22"/>
          <w:szCs w:val="22"/>
          <w:lang w:eastAsia="zh-CN"/>
        </w:rPr>
        <w:t xml:space="preserve">We are open to further discuss </w:t>
      </w:r>
      <w:proofErr w:type="gramStart"/>
      <w:r w:rsidRPr="009A26BF">
        <w:rPr>
          <w:rFonts w:ascii="Times New Roman" w:hAnsi="Times New Roman"/>
          <w:sz w:val="22"/>
          <w:szCs w:val="22"/>
          <w:lang w:eastAsia="zh-CN"/>
        </w:rPr>
        <w:t>whether or not</w:t>
      </w:r>
      <w:proofErr w:type="gramEnd"/>
      <w:r w:rsidRPr="009A26BF">
        <w:rPr>
          <w:rFonts w:ascii="Times New Roman" w:hAnsi="Times New Roman"/>
          <w:sz w:val="22"/>
          <w:szCs w:val="22"/>
          <w:lang w:eastAsia="zh-CN"/>
        </w:rPr>
        <w:t xml:space="preserve"> L = 571 is supported for 480 kHz.</w:t>
      </w:r>
      <w:bookmarkEnd w:id="17"/>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lastRenderedPageBreak/>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492D5BD7"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p>
    <w:p w14:paraId="01AC9139" w14:textId="6230E3D8"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Sharp</w:t>
      </w:r>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Additionally</w:t>
      </w:r>
      <w:proofErr w:type="gramEnd"/>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lastRenderedPageBreak/>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when the LBT is required prior to RACH </w:t>
      </w:r>
      <w:proofErr w:type="gramStart"/>
      <w:r w:rsidRPr="00320A11">
        <w:rPr>
          <w:rFonts w:ascii="Times New Roman" w:hAnsi="Times New Roman"/>
          <w:sz w:val="22"/>
          <w:szCs w:val="22"/>
          <w:lang w:eastAsia="zh-CN"/>
        </w:rPr>
        <w:t>transmissions</w:t>
      </w:r>
      <w:proofErr w:type="gramEnd"/>
      <w:r w:rsidRPr="00320A11">
        <w:rPr>
          <w:rFonts w:ascii="Times New Roman" w:hAnsi="Times New Roman"/>
          <w:sz w:val="22"/>
          <w:szCs w:val="22"/>
          <w:lang w:eastAsia="zh-CN"/>
        </w:rPr>
        <w:t xml:space="preserve">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480KHz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For 960KHz </w:t>
      </w:r>
      <w:proofErr w:type="gramStart"/>
      <w:r w:rsidRPr="000A76BE">
        <w:rPr>
          <w:rFonts w:ascii="Times New Roman" w:hAnsi="Times New Roman"/>
          <w:sz w:val="22"/>
          <w:szCs w:val="22"/>
          <w:lang w:eastAsia="zh-CN"/>
        </w:rPr>
        <w:t>SCS,  PRACH</w:t>
      </w:r>
      <w:proofErr w:type="gramEnd"/>
      <w:r w:rsidRPr="000A76BE">
        <w:rPr>
          <w:rFonts w:ascii="Times New Roman" w:hAnsi="Times New Roman"/>
          <w:sz w:val="22"/>
          <w:szCs w:val="22"/>
          <w:lang w:eastAsia="zh-CN"/>
        </w:rPr>
        <w:t xml:space="preserve">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spellStart"/>
      <w:proofErr w:type="gramStart"/>
      <w:r w:rsidRPr="000A76BE">
        <w:rPr>
          <w:rFonts w:ascii="Times New Roman" w:hAnsi="Times New Roman" w:hint="eastAsia"/>
          <w:sz w:val="22"/>
          <w:szCs w:val="22"/>
          <w:lang w:eastAsia="zh-CN"/>
        </w:rPr>
        <w:t>KHz</w:t>
      </w:r>
      <w:proofErr w:type="spellEnd"/>
      <w:r w:rsidRPr="000A76BE">
        <w:rPr>
          <w:rFonts w:ascii="Times New Roman" w:hAnsi="Times New Roman" w:hint="eastAsia"/>
          <w:sz w:val="22"/>
          <w:szCs w:val="22"/>
          <w:lang w:eastAsia="zh-CN"/>
        </w:rPr>
        <w:t xml:space="preserve">  reference</w:t>
      </w:r>
      <w:proofErr w:type="gramEnd"/>
      <w:r w:rsidRPr="000A76BE">
        <w:rPr>
          <w:rFonts w:ascii="Times New Roman" w:hAnsi="Times New Roman" w:hint="eastAsia"/>
          <w:sz w:val="22"/>
          <w:szCs w:val="22"/>
          <w:lang w:eastAsia="zh-CN"/>
        </w:rPr>
        <w:t xml:space="preserv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18" w:name="_Toc83974962"/>
      <w:bookmarkStart w:id="19"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18"/>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20" w:name="_Ref83914973"/>
      <w:bookmarkStart w:id="21" w:name="_Toc83974963"/>
      <w:bookmarkEnd w:id="19"/>
      <w:r w:rsidRPr="00E5440D">
        <w:rPr>
          <w:rFonts w:ascii="Times New Roman" w:hAnsi="Times New Roman"/>
          <w:sz w:val="22"/>
          <w:szCs w:val="22"/>
          <w:lang w:eastAsia="zh-CN"/>
        </w:rPr>
        <w:t>Do not specify gaps between consecutive PRACH occasions</w:t>
      </w:r>
      <w:bookmarkEnd w:id="20"/>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21"/>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22"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22"/>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23"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23"/>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w:t>
      </w:r>
      <w:proofErr w:type="gramStart"/>
      <w:r w:rsidRPr="00C016C2">
        <w:rPr>
          <w:rFonts w:ascii="Times New Roman" w:hAnsi="Times New Roman" w:hint="eastAsia"/>
          <w:sz w:val="22"/>
          <w:szCs w:val="22"/>
          <w:lang w:eastAsia="zh-CN"/>
        </w:rPr>
        <w:t>has</w:t>
      </w:r>
      <w:proofErr w:type="gramEnd"/>
      <w:r w:rsidRPr="00C016C2">
        <w:rPr>
          <w:rFonts w:ascii="Times New Roman" w:hAnsi="Times New Roman" w:hint="eastAsia"/>
          <w:sz w:val="22"/>
          <w:szCs w:val="22"/>
          <w:lang w:eastAsia="zh-CN"/>
        </w:rPr>
        <w:t xml:space="preserve">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w:t>
      </w:r>
      <w:proofErr w:type="gramStart"/>
      <w:r w:rsidRPr="00FC4A0E">
        <w:rPr>
          <w:rFonts w:ascii="Times New Roman" w:hAnsi="Times New Roman"/>
          <w:sz w:val="22"/>
          <w:szCs w:val="22"/>
          <w:lang w:eastAsia="zh-CN"/>
        </w:rPr>
        <w:t>is able to</w:t>
      </w:r>
      <w:proofErr w:type="gramEnd"/>
      <w:r w:rsidRPr="00FC4A0E">
        <w:rPr>
          <w:rFonts w:ascii="Times New Roman" w:hAnsi="Times New Roman"/>
          <w:sz w:val="22"/>
          <w:szCs w:val="22"/>
          <w:lang w:eastAsia="zh-CN"/>
        </w:rPr>
        <w:t xml:space="preserve">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where X is the number of additional slots to provide a gap between </w:t>
      </w:r>
      <w:proofErr w:type="gramStart"/>
      <w:r w:rsidRPr="00D42056">
        <w:rPr>
          <w:rFonts w:ascii="Times New Roman" w:hAnsi="Times New Roman"/>
          <w:sz w:val="22"/>
          <w:szCs w:val="22"/>
          <w:lang w:eastAsia="zh-CN"/>
        </w:rPr>
        <w:t>all of</w:t>
      </w:r>
      <w:proofErr w:type="gramEnd"/>
      <w:r w:rsidRPr="00D42056">
        <w:rPr>
          <w:rFonts w:ascii="Times New Roman" w:hAnsi="Times New Roman"/>
          <w:sz w:val="22"/>
          <w:szCs w:val="22"/>
          <w:lang w:eastAsia="zh-CN"/>
        </w:rPr>
        <w:t xml:space="preserve"> consecutive RACH occasions corresponding to a PRACH configuration index in Table 6.3.3.2-4 of 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 xml:space="preserve">=6 </m:t>
        </m:r>
        <m:r>
          <m:rPr>
            <m:sty m:val="p"/>
          </m:rPr>
          <w:rPr>
            <w:rFonts w:ascii="Cambria Math" w:hAnsi="Cambria Math"/>
            <w:sz w:val="22"/>
            <w:szCs w:val="22"/>
            <w:lang w:eastAsia="zh-CN"/>
          </w:rPr>
          <m:t>and</m:t>
        </m:r>
        <m:r>
          <m:rPr>
            <m:sty m:val="p"/>
          </m:rPr>
          <w:rPr>
            <w:rFonts w:ascii="Cambria Math" w:hAnsi="Cambria Math"/>
            <w:sz w:val="22"/>
            <w:szCs w:val="22"/>
            <w:lang w:eastAsia="zh-CN"/>
          </w:rPr>
          <m:t xml:space="preserve">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 xml:space="preserve">=7 </m:t>
        </m:r>
        <m:r>
          <m:rPr>
            <m:sty m:val="p"/>
          </m:rPr>
          <w:rPr>
            <w:rFonts w:ascii="Cambria Math" w:hAnsi="Cambria Math"/>
            <w:sz w:val="22"/>
            <w:szCs w:val="22"/>
            <w:lang w:eastAsia="zh-CN"/>
          </w:rPr>
          <m:t>and</m:t>
        </m:r>
        <m:r>
          <m:rPr>
            <m:sty m:val="p"/>
          </m:rPr>
          <w:rPr>
            <w:rFonts w:ascii="Cambria Math" w:hAnsi="Cambria Math"/>
            <w:sz w:val="22"/>
            <w:szCs w:val="22"/>
            <w:lang w:eastAsia="zh-CN"/>
          </w:rPr>
          <m:t xml:space="preserve">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lastRenderedPageBreak/>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0"/>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w:t>
            </w:r>
            <w:proofErr w:type="gramStart"/>
            <w:r w:rsidRPr="00EB69B3">
              <w:rPr>
                <w:rFonts w:cs="Times"/>
                <w:szCs w:val="20"/>
                <w:lang w:eastAsia="zh-CN"/>
              </w:rPr>
              <w:t>i.e.</w:t>
            </w:r>
            <w:proofErr w:type="gramEnd"/>
            <w:r w:rsidRPr="00EB69B3">
              <w:rPr>
                <w:rFonts w:cs="Times"/>
                <w:szCs w:val="20"/>
                <w:lang w:eastAsia="zh-CN"/>
              </w:rPr>
              <w:t xml:space="preserv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2D0594"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242D63C5"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w:t>
      </w:r>
      <w:proofErr w:type="spellStart"/>
      <w:r>
        <w:rPr>
          <w:rFonts w:ascii="Times New Roman" w:hAnsi="Times New Roman"/>
          <w:sz w:val="22"/>
          <w:szCs w:val="22"/>
          <w:lang w:eastAsia="zh-CN"/>
        </w:rPr>
        <w:t>HiSilicon</w:t>
      </w:r>
      <w:proofErr w:type="spellEnd"/>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w:t>
      </w:r>
      <w:proofErr w:type="spellStart"/>
      <w:r w:rsidR="00CA05B7">
        <w:rPr>
          <w:rFonts w:ascii="Times New Roman" w:hAnsi="Times New Roman"/>
          <w:sz w:val="22"/>
          <w:szCs w:val="22"/>
          <w:lang w:eastAsia="zh-CN"/>
        </w:rPr>
        <w:t>Futurewei</w:t>
      </w:r>
      <w:proofErr w:type="spellEnd"/>
      <w:r w:rsidR="00CA05B7">
        <w:rPr>
          <w:rFonts w:ascii="Times New Roman" w:hAnsi="Times New Roman"/>
          <w:sz w:val="22"/>
          <w:szCs w:val="22"/>
          <w:lang w:eastAsia="zh-CN"/>
        </w:rPr>
        <w:t xml:space="preserve">],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5364E1"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m:t>
        </m:r>
        <m:r>
          <m:rPr>
            <m:sty m:val="p"/>
          </m:rPr>
          <w:rPr>
            <w:rFonts w:ascii="Cambria Math" w:hAnsi="Cambria Math"/>
            <w:sz w:val="22"/>
            <w:szCs w:val="22"/>
            <w:lang w:eastAsia="zh-CN"/>
          </w:rPr>
          <m:t>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z w:val="22"/>
            <w:szCs w:val="22"/>
            <w:lang w:eastAsia="zh-CN"/>
          </w:rPr>
          <m:t>3,</m:t>
        </m:r>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z w:val="22"/>
            <w:szCs w:val="22"/>
            <w:lang w:eastAsia="zh-CN"/>
          </w:rPr>
          <m:t>7,</m:t>
        </m:r>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5364E1"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2351429C" w:rsidR="007D7C92" w:rsidRDefault="007D7C92" w:rsidP="007D7C92">
      <w:pPr>
        <w:pStyle w:val="Heading5"/>
        <w:rPr>
          <w:lang w:eastAsia="zh-CN"/>
        </w:rPr>
      </w:pPr>
      <w:r>
        <w:rPr>
          <w:lang w:eastAsia="zh-CN"/>
        </w:rPr>
        <w:t>Proposal 2.1-1</w:t>
      </w:r>
      <w:r w:rsidR="00C05B64">
        <w:rPr>
          <w:lang w:eastAsia="zh-CN"/>
        </w:rPr>
        <w:t xml:space="preserve"> </w:t>
      </w:r>
      <w:r w:rsidR="00C05B64">
        <w:rPr>
          <w:lang w:eastAsia="zh-CN"/>
        </w:rPr>
        <w:t>– suggested for GTW discussion</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00D66270" w14:textId="3B8B0BC0" w:rsidR="007D7C92" w:rsidRDefault="007D7C92">
      <w:pPr>
        <w:pStyle w:val="BodyText"/>
        <w:spacing w:after="0"/>
        <w:rPr>
          <w:rFonts w:ascii="Times New Roman" w:hAnsi="Times New Roman"/>
          <w:sz w:val="22"/>
          <w:szCs w:val="22"/>
          <w:lang w:eastAsia="zh-CN"/>
        </w:rPr>
      </w:pPr>
    </w:p>
    <w:p w14:paraId="604E8CE8" w14:textId="27856A6A" w:rsidR="007D7C92" w:rsidRDefault="007D7C92">
      <w:pPr>
        <w:pStyle w:val="BodyText"/>
        <w:spacing w:after="0"/>
        <w:rPr>
          <w:rFonts w:ascii="Times New Roman" w:hAnsi="Times New Roman"/>
          <w:sz w:val="22"/>
          <w:szCs w:val="22"/>
          <w:lang w:eastAsia="zh-CN"/>
        </w:rPr>
      </w:pPr>
    </w:p>
    <w:p w14:paraId="3E9941BC" w14:textId="3F11EA87" w:rsidR="007D7C92" w:rsidRDefault="007D7C92" w:rsidP="007D7C92">
      <w:pPr>
        <w:pStyle w:val="Heading5"/>
        <w:rPr>
          <w:lang w:eastAsia="zh-CN"/>
        </w:rPr>
      </w:pPr>
      <w:r>
        <w:rPr>
          <w:lang w:eastAsia="zh-CN"/>
        </w:rPr>
        <w:t>Proposal 2.1-2</w:t>
      </w:r>
      <w:r w:rsidR="00C05B64">
        <w:rPr>
          <w:lang w:eastAsia="zh-CN"/>
        </w:rPr>
        <w:t xml:space="preserve"> </w:t>
      </w:r>
      <w:r w:rsidR="00C05B64">
        <w:rPr>
          <w:lang w:eastAsia="zh-CN"/>
        </w:rPr>
        <w:t>– suggested for GTW discussion</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w:t>
      </w:r>
      <w:proofErr w:type="spellStart"/>
      <w:r w:rsidRPr="00152550">
        <w:rPr>
          <w:rFonts w:ascii="Times New Roman" w:hAnsi="Times New Roman"/>
          <w:sz w:val="22"/>
          <w:szCs w:val="22"/>
          <w:lang w:eastAsia="zh-CN"/>
        </w:rPr>
        <w:t>KHz</w:t>
      </w:r>
      <w:proofErr w:type="spellEnd"/>
      <w:r w:rsidRPr="00152550">
        <w:rPr>
          <w:rFonts w:ascii="Times New Roman" w:hAnsi="Times New Roman"/>
          <w:sz w:val="22"/>
          <w:szCs w:val="22"/>
          <w:lang w:eastAsia="zh-CN"/>
        </w:rPr>
        <w:t xml:space="preserve">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P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w:t>
      </w:r>
      <w:proofErr w:type="gramStart"/>
      <w:r w:rsidRPr="00152550">
        <w:rPr>
          <w:rFonts w:ascii="Times New Roman" w:hAnsi="Times New Roman"/>
          <w:sz w:val="22"/>
          <w:szCs w:val="22"/>
          <w:lang w:eastAsia="zh-CN"/>
        </w:rPr>
        <w:t>1 bit</w:t>
      </w:r>
      <w:proofErr w:type="gramEnd"/>
      <w:r w:rsidRPr="00152550">
        <w:rPr>
          <w:rFonts w:ascii="Times New Roman" w:hAnsi="Times New Roman"/>
          <w:sz w:val="22"/>
          <w:szCs w:val="22"/>
          <w:lang w:eastAsia="zh-CN"/>
        </w:rPr>
        <w:t xml:space="preserve">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ra-</w:t>
      </w:r>
      <w:proofErr w:type="spellStart"/>
      <w:r w:rsidRPr="00AA17DF">
        <w:rPr>
          <w:rFonts w:ascii="Times New Roman" w:hAnsi="Times New Roman"/>
          <w:sz w:val="22"/>
          <w:szCs w:val="22"/>
          <w:lang w:eastAsia="zh-CN"/>
        </w:rPr>
        <w:t>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w:t>
      </w:r>
      <w:proofErr w:type="gramStart"/>
      <w:r w:rsidRPr="001C2EBC">
        <w:rPr>
          <w:rFonts w:ascii="Times New Roman" w:hAnsi="Times New Roman"/>
          <w:sz w:val="22"/>
          <w:szCs w:val="22"/>
          <w:lang w:eastAsia="zh-CN"/>
        </w:rPr>
        <w:t>id</w:t>
      </w:r>
      <w:proofErr w:type="spellEnd"/>
      <w:r w:rsidRPr="001C2EBC">
        <w:rPr>
          <w:rFonts w:ascii="Times New Roman" w:hAnsi="Times New Roman"/>
          <w:sz w:val="22"/>
          <w:szCs w:val="22"/>
          <w:lang w:eastAsia="zh-CN"/>
        </w:rPr>
        <w:t>;</w:t>
      </w:r>
      <w:proofErr w:type="gramEnd"/>
      <w:r w:rsidRPr="001C2EBC">
        <w:rPr>
          <w:rFonts w:ascii="Times New Roman" w:hAnsi="Times New Roman"/>
          <w:sz w:val="22"/>
          <w:szCs w:val="22"/>
          <w:lang w:eastAsia="zh-CN"/>
        </w:rPr>
        <w:t xml:space="preserve">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 xml:space="preserve">with 480 </w:t>
      </w:r>
      <w:proofErr w:type="spellStart"/>
      <w:r w:rsidRPr="00DD6B85">
        <w:rPr>
          <w:rFonts w:ascii="Times New Roman" w:hAnsi="Times New Roman"/>
          <w:sz w:val="22"/>
          <w:szCs w:val="22"/>
          <w:lang w:eastAsia="zh-CN"/>
        </w:rPr>
        <w:t>KHz</w:t>
      </w:r>
      <w:proofErr w:type="spellEnd"/>
      <w:r w:rsidRPr="00DD6B85">
        <w:rPr>
          <w:rFonts w:ascii="Times New Roman" w:hAnsi="Times New Roman" w:hint="eastAsia"/>
          <w:sz w:val="22"/>
          <w:szCs w:val="22"/>
          <w:lang w:eastAsia="zh-CN"/>
        </w:rPr>
        <w:t xml:space="preserve">/960 </w:t>
      </w:r>
      <w:proofErr w:type="spellStart"/>
      <w:r w:rsidRPr="00DD6B85">
        <w:rPr>
          <w:rFonts w:ascii="Times New Roman" w:hAnsi="Times New Roman" w:hint="eastAsia"/>
          <w:sz w:val="22"/>
          <w:szCs w:val="22"/>
          <w:lang w:eastAsia="zh-CN"/>
        </w:rPr>
        <w:t>KHz</w:t>
      </w:r>
      <w:proofErr w:type="spellEnd"/>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lastRenderedPageBreak/>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gramStart"/>
      <w:r w:rsidRPr="00DD6B85">
        <w:rPr>
          <w:rFonts w:ascii="Times New Roman" w:hAnsi="Times New Roman"/>
          <w:sz w:val="22"/>
          <w:szCs w:val="22"/>
          <w:lang w:eastAsia="zh-CN"/>
        </w:rPr>
        <w:t>×(</w:t>
      </w:r>
      <w:proofErr w:type="spellStart"/>
      <w:proofErr w:type="gramEnd"/>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m:t>
            </m:r>
            <m:r>
              <m:rPr>
                <m:lit/>
                <m:sty m:val="p"/>
              </m:rPr>
              <w:rPr>
                <w:rFonts w:ascii="Cambria Math" w:hAnsi="Cambria Math"/>
                <w:sz w:val="22"/>
                <w:szCs w:val="22"/>
                <w:lang w:eastAsia="zh-CN"/>
              </w:rPr>
              <m:t>/</m:t>
            </m:r>
            <m:r>
              <m:rPr>
                <m:sty m:val="p"/>
              </m:rPr>
              <w:rPr>
                <w:rFonts w:ascii="Cambria Math" w:hAnsi="Cambria Math"/>
                <w:sz w:val="22"/>
                <w:szCs w:val="22"/>
                <w:lang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hint="eastAsia"/>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hint="eastAsia"/>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24"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24"/>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25" w:name="_Toc83974967"/>
      <w:r w:rsidRPr="00064D64">
        <w:rPr>
          <w:rFonts w:ascii="Times New Roman" w:hAnsi="Times New Roman"/>
          <w:sz w:val="22"/>
          <w:szCs w:val="22"/>
          <w:lang w:eastAsia="zh-CN"/>
        </w:rPr>
        <w:t>Postpone further discussions of RA-RNTI design until the PRACH configuration design is completed.</w:t>
      </w:r>
      <w:bookmarkEnd w:id="25"/>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 xml:space="preserve">Reuse RA-RNTI formula defined for 120 kHz SCS also for the cases PRACH is configured with 480 or 960 kHz SCS </w:t>
      </w:r>
      <w:proofErr w:type="gramStart"/>
      <w:r w:rsidRPr="001B0D56">
        <w:rPr>
          <w:rFonts w:ascii="Times New Roman" w:hAnsi="Times New Roman"/>
          <w:sz w:val="22"/>
          <w:szCs w:val="22"/>
          <w:lang w:eastAsia="zh-CN"/>
        </w:rPr>
        <w:t>where</w:t>
      </w:r>
      <w:proofErr w:type="gramEnd"/>
    </w:p>
    <w:p w14:paraId="2C86EC99" w14:textId="77777777" w:rsidR="001B0D56" w:rsidRPr="001B0D56" w:rsidRDefault="001B0D56"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Pr="001B0D56">
        <w:rPr>
          <w:rFonts w:ascii="Times New Roman" w:hAnsi="Times New Roman"/>
          <w:sz w:val="22"/>
          <w:szCs w:val="22"/>
          <w:lang w:eastAsia="zh-CN"/>
        </w:rPr>
        <w:t xml:space="preserve"> assumes 480/960 kHz SCS</w:t>
      </w:r>
    </w:p>
    <w:p w14:paraId="4F2F7855" w14:textId="77777777" w:rsidR="001B0D56" w:rsidRPr="001B0D56" w:rsidRDefault="001B0D56"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RA-RNTI computation equation should be adjusted to avoid overflow in case of PRACH SCS 480 kHz and 960 </w:t>
      </w:r>
      <w:proofErr w:type="gramStart"/>
      <w:r w:rsidRPr="00FC4A0E">
        <w:rPr>
          <w:rFonts w:ascii="Times New Roman" w:hAnsi="Times New Roman"/>
          <w:sz w:val="22"/>
          <w:szCs w:val="22"/>
          <w:lang w:eastAsia="zh-CN"/>
        </w:rPr>
        <w:t>kHz;</w:t>
      </w:r>
      <w:proofErr w:type="gramEnd"/>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Since the same RO density in time domain as for 120 kHz PRACH in FR2 is maintained regardless of whether there is a gap between ROs, RA-RNTI/MSGB-RNTI associated with the PRACH </w:t>
      </w:r>
      <w:r w:rsidRPr="00D42056">
        <w:rPr>
          <w:rFonts w:ascii="Times New Roman" w:hAnsi="Times New Roman"/>
          <w:sz w:val="22"/>
          <w:szCs w:val="22"/>
          <w:lang w:eastAsia="zh-CN"/>
        </w:rPr>
        <w:lastRenderedPageBreak/>
        <w:t>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Case 3: extra RACH slots needed/configured (with </w:t>
      </w:r>
      <w:proofErr w:type="gramStart"/>
      <w:r w:rsidRPr="00090E59">
        <w:rPr>
          <w:rFonts w:ascii="Times New Roman" w:hAnsi="Times New Roman"/>
          <w:sz w:val="22"/>
          <w:szCs w:val="22"/>
          <w:lang w:eastAsia="zh-CN"/>
        </w:rPr>
        <w:t>more</w:t>
      </w:r>
      <w:proofErr w:type="gramEnd"/>
      <w:r w:rsidRPr="00090E59">
        <w:rPr>
          <w:rFonts w:ascii="Times New Roman" w:hAnsi="Times New Roman"/>
          <w:sz w:val="22"/>
          <w:szCs w:val="22"/>
          <w:lang w:eastAsia="zh-CN"/>
        </w:rPr>
        <w:t xml:space="preserv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m:t>
              </m:r>
              <m:r>
                <m:rPr>
                  <m:sty m:val="p"/>
                </m:rPr>
                <w:rPr>
                  <w:rFonts w:ascii="Cambria Math" w:hAnsi="Cambria Math"/>
                  <w:sz w:val="22"/>
                  <w:szCs w:val="22"/>
                  <w:lang w:eastAsia="zh-CN"/>
                </w:rPr>
                <m:t>-</m:t>
              </m:r>
              <m:r>
                <m:rPr>
                  <m:sty m:val="p"/>
                </m:rPr>
                <w:rPr>
                  <w:rFonts w:ascii="Cambria Math" w:hAnsi="Cambria Math"/>
                  <w:sz w:val="22"/>
                  <w:szCs w:val="22"/>
                  <w:lang w:eastAsia="zh-CN"/>
                </w:rPr>
                <m:t>RNTI</m:t>
              </m:r>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AA17DF"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proofErr w:type="gramStart"/>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roofErr w:type="gramEnd"/>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m:t>
              </m:r>
              <m:r>
                <m:rPr>
                  <m:sty m:val="p"/>
                </m:rPr>
                <w:rPr>
                  <w:rFonts w:ascii="Cambria Math" w:hAnsi="Cambria Math"/>
                  <w:sz w:val="22"/>
                  <w:szCs w:val="22"/>
                  <w:lang w:eastAsia="zh-CN"/>
                </w:rPr>
                <m:t>-</m:t>
              </m:r>
              <m:r>
                <m:rPr>
                  <m:sty m:val="p"/>
                </m:rPr>
                <w:rPr>
                  <w:rFonts w:ascii="Cambria Math" w:hAnsi="Cambria Math"/>
                  <w:sz w:val="22"/>
                  <w:szCs w:val="22"/>
                  <w:lang w:eastAsia="zh-CN"/>
                </w:rPr>
                <m:t>RNTI</m:t>
              </m:r>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AA17DF"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120kHz slot that contains the PRACH occasion in a system </w:t>
            </w:r>
            <w:proofErr w:type="gramStart"/>
            <w:r w:rsidR="00955A97">
              <w:rPr>
                <w:rFonts w:ascii="Times New Roman" w:hAnsi="Times New Roman"/>
                <w:sz w:val="22"/>
                <w:szCs w:val="22"/>
                <w:lang w:eastAsia="zh-CN"/>
              </w:rPr>
              <w:t>frame.</w:t>
            </w:r>
            <w:proofErr w:type="gramEnd"/>
          </w:p>
          <w:p w14:paraId="21E47139" w14:textId="77777777" w:rsidR="00955A97" w:rsidRDefault="00AA17DF"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w:t>
            </w:r>
            <w:proofErr w:type="gramStart"/>
            <w:r w:rsidR="00955A97">
              <w:rPr>
                <w:rFonts w:ascii="Times New Roman" w:hAnsi="Times New Roman"/>
                <w:sz w:val="22"/>
                <w:szCs w:val="22"/>
                <w:lang w:eastAsia="zh-CN"/>
              </w:rPr>
              <w:t>38.211.</w:t>
            </w:r>
            <w:proofErr w:type="gramEnd"/>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w:t>
            </w:r>
            <w:proofErr w:type="gramStart"/>
            <w:r>
              <w:rPr>
                <w:rFonts w:ascii="Times New Roman" w:hAnsi="Times New Roman"/>
                <w:sz w:val="22"/>
                <w:szCs w:val="22"/>
                <w:lang w:eastAsia="zh-CN"/>
              </w:rPr>
              <w:t>floor(</w:t>
            </w:r>
            <w:proofErr w:type="spellStart"/>
            <w:proofErr w:type="gramEnd"/>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xml:space="preserve">, some </w:t>
      </w:r>
      <w:proofErr w:type="gramStart"/>
      <w:r>
        <w:rPr>
          <w:rFonts w:ascii="Times New Roman" w:hAnsi="Times New Roman"/>
          <w:sz w:val="22"/>
          <w:szCs w:val="22"/>
          <w:lang w:eastAsia="zh-CN"/>
        </w:rPr>
        <w:t>example</w:t>
      </w:r>
      <w:proofErr w:type="gramEnd"/>
      <w:r>
        <w:rPr>
          <w:rFonts w:ascii="Times New Roman" w:hAnsi="Times New Roman"/>
          <w:sz w:val="22"/>
          <w:szCs w:val="22"/>
          <w:lang w:eastAsia="zh-CN"/>
        </w:rPr>
        <w:t xml:space="preserv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4B5255D1" w:rsidR="00955A97" w:rsidRDefault="00955A97"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r w:rsidR="004F5D2E">
        <w:rPr>
          <w:rFonts w:ascii="Times New Roman" w:hAnsi="Times New Roman"/>
          <w:sz w:val="22"/>
          <w:szCs w:val="22"/>
          <w:lang w:eastAsia="zh-CN"/>
        </w:rPr>
        <w:t xml:space="preserve">, </w:t>
      </w:r>
      <w:proofErr w:type="spellStart"/>
      <w:r w:rsidR="004C63AD">
        <w:rPr>
          <w:rFonts w:ascii="Times New Roman" w:hAnsi="Times New Roman"/>
          <w:sz w:val="22"/>
          <w:szCs w:val="22"/>
          <w:lang w:eastAsia="zh-CN"/>
        </w:rPr>
        <w:t>Futurewei</w:t>
      </w:r>
      <w:proofErr w:type="spellEnd"/>
      <w:r w:rsidR="004C63AD">
        <w:rPr>
          <w:rFonts w:ascii="Times New Roman" w:hAnsi="Times New Roman"/>
          <w:sz w:val="22"/>
          <w:szCs w:val="22"/>
          <w:lang w:eastAsia="zh-CN"/>
        </w:rPr>
        <w:t>,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1D7300C3" w14:textId="425C4323"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RO design needs to be further progressed </w:t>
      </w:r>
      <w:proofErr w:type="gramStart"/>
      <w:r>
        <w:rPr>
          <w:rFonts w:ascii="Times New Roman" w:hAnsi="Times New Roman"/>
          <w:sz w:val="22"/>
          <w:szCs w:val="22"/>
          <w:lang w:eastAsia="zh-CN"/>
        </w:rPr>
        <w:t>in order to</w:t>
      </w:r>
      <w:proofErr w:type="gramEnd"/>
      <w:r>
        <w:rPr>
          <w:rFonts w:ascii="Times New Roman" w:hAnsi="Times New Roman"/>
          <w:sz w:val="22"/>
          <w:szCs w:val="22"/>
          <w:lang w:eastAsia="zh-CN"/>
        </w:rPr>
        <w:t xml:space="preserve">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lastRenderedPageBreak/>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w:t>
      </w:r>
      <w:proofErr w:type="gramStart"/>
      <w:r>
        <w:rPr>
          <w:lang w:eastAsia="zh-CN"/>
        </w:rPr>
        <w:t>Others</w:t>
      </w:r>
      <w:proofErr w:type="gramEnd"/>
      <w:r>
        <w:rPr>
          <w:lang w:eastAsia="zh-CN"/>
        </w:rPr>
        <w:t xml:space="preserve">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77777777" w:rsidR="00C30604" w:rsidRPr="00171668" w:rsidRDefault="00C30604" w:rsidP="00FB1184">
      <w:pPr>
        <w:pStyle w:val="BodyText"/>
        <w:spacing w:after="0"/>
        <w:rPr>
          <w:rFonts w:ascii="Times New Roman" w:eastAsiaTheme="minorEastAsia" w:hAnsi="Times New Roman" w:hint="eastAsia"/>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 xml:space="preserve">R1-2108767, “Initial access signals and channels for 52-71GHz spectrum,” Huawei, </w:t>
      </w:r>
      <w:proofErr w:type="spellStart"/>
      <w:r>
        <w:rPr>
          <w:lang w:eastAsia="zh-CN"/>
        </w:rPr>
        <w:t>HiSilicon</w:t>
      </w:r>
      <w:proofErr w:type="spellEnd"/>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lastRenderedPageBreak/>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31"/>
      <w:headerReference w:type="default" r:id="rId32"/>
      <w:footerReference w:type="even" r:id="rId33"/>
      <w:footerReference w:type="default" r:id="rId34"/>
      <w:headerReference w:type="first" r:id="rId35"/>
      <w:footerReference w:type="first" r:id="rId3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89876" w14:textId="77777777" w:rsidR="00B21135" w:rsidRDefault="00B21135">
      <w:pPr>
        <w:spacing w:after="0" w:line="240" w:lineRule="auto"/>
      </w:pPr>
      <w:r>
        <w:separator/>
      </w:r>
    </w:p>
  </w:endnote>
  <w:endnote w:type="continuationSeparator" w:id="0">
    <w:p w14:paraId="588CF1CC" w14:textId="77777777" w:rsidR="00B21135" w:rsidRDefault="00B2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3D4045" w:rsidRDefault="003D40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3D4045" w:rsidRDefault="003D40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3D4045" w:rsidRDefault="003D4045">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287104" w14:textId="77777777" w:rsidR="003D4045" w:rsidRDefault="003D4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8B42E" w14:textId="77777777" w:rsidR="00B21135" w:rsidRDefault="00B21135">
      <w:pPr>
        <w:spacing w:after="0" w:line="240" w:lineRule="auto"/>
      </w:pPr>
      <w:r>
        <w:separator/>
      </w:r>
    </w:p>
  </w:footnote>
  <w:footnote w:type="continuationSeparator" w:id="0">
    <w:p w14:paraId="44BE47B9" w14:textId="77777777" w:rsidR="00B21135" w:rsidRDefault="00B21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3D4045" w:rsidRDefault="003D4045">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46A60" w14:textId="77777777" w:rsidR="003D4045" w:rsidRDefault="003D40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E33AD" w14:textId="77777777" w:rsidR="003D4045" w:rsidRDefault="003D4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3"/>
  </w:num>
  <w:num w:numId="7">
    <w:abstractNumId w:val="1"/>
  </w:num>
  <w:num w:numId="8">
    <w:abstractNumId w:val="11"/>
  </w:num>
  <w:num w:numId="9">
    <w:abstractNumId w:val="3"/>
  </w:num>
  <w:num w:numId="10">
    <w:abstractNumId w:val="6"/>
  </w:num>
  <w:num w:numId="11">
    <w:abstractNumId w:val="10"/>
  </w:num>
  <w:num w:numId="12">
    <w:abstractNumId w:val="7"/>
  </w:num>
  <w:num w:numId="13">
    <w:abstractNumId w:val="8"/>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17"/>
    <w:rsid w:val="003D2A2B"/>
    <w:rsid w:val="003D39A6"/>
    <w:rsid w:val="003D4045"/>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D"/>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9D3"/>
    <w:rsid w:val="00D94160"/>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D89"/>
    <w:rsid w:val="00ED5F48"/>
    <w:rsid w:val="00ED6C9C"/>
    <w:rsid w:val="00ED6F2E"/>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cap Char2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package" Target="embeddings/Microsoft_Visio_Drawing.vsdx"/><Relationship Id="rId26" Type="http://schemas.openxmlformats.org/officeDocument/2006/relationships/image" Target="media/image12.w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footer" Target="footer1.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wmf"/><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wmf"/><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wmf"/><Relationship Id="rId28" Type="http://schemas.openxmlformats.org/officeDocument/2006/relationships/package" Target="embeddings/Microsoft_Visio_Drawing1.vsdx"/><Relationship Id="rId36"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3.emf"/><Relationship Id="rId30" Type="http://schemas.openxmlformats.org/officeDocument/2006/relationships/image" Target="media/image14.png"/><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14A50"/>
    <w:rsid w:val="00760785"/>
    <w:rsid w:val="00765800"/>
    <w:rsid w:val="007D1FCD"/>
    <w:rsid w:val="00834558"/>
    <w:rsid w:val="008447D3"/>
    <w:rsid w:val="00896296"/>
    <w:rsid w:val="008A1FA7"/>
    <w:rsid w:val="008B1F9D"/>
    <w:rsid w:val="008E3038"/>
    <w:rsid w:val="0090443B"/>
    <w:rsid w:val="0093396E"/>
    <w:rsid w:val="00956D8C"/>
    <w:rsid w:val="009701FC"/>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D050A"/>
    <w:rsid w:val="00CD74B3"/>
    <w:rsid w:val="00CE4511"/>
    <w:rsid w:val="00D0728B"/>
    <w:rsid w:val="00D17FE7"/>
    <w:rsid w:val="00D36C70"/>
    <w:rsid w:val="00D444BE"/>
    <w:rsid w:val="00D57D5D"/>
    <w:rsid w:val="00D73412"/>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E82C578-8D1C-4856-9DC2-C78C11FF7CF0}">
  <ds:schemaRefs>
    <ds:schemaRef ds:uri="http://schemas.openxmlformats.org/officeDocument/2006/bibliography"/>
  </ds:schemaRefs>
</ds:datastoreItem>
</file>

<file path=customXml/itemProps2.xml><?xml version="1.0" encoding="utf-8"?>
<ds:datastoreItem xmlns:ds="http://schemas.openxmlformats.org/officeDocument/2006/customXml" ds:itemID="{61E0C2B3-3983-4919-8BEC-1D09743ED8D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30207</TotalTime>
  <Pages>46</Pages>
  <Words>15162</Words>
  <Characters>86424</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Issue Summary for initial access aspects of NR extension up to 71 GHz</vt:lpstr>
    </vt:vector>
  </TitlesOfParts>
  <Company>Intel</Company>
  <LinksUpToDate>false</LinksUpToDate>
  <CharactersWithSpaces>101384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R1-2110404</dc:subject>
  <dc:creator>Daewon Lee</dc:creator>
  <cp:keywords>CTPClassification=CTP_PUBLIC:VisualMarkings=, CTPClassification=CTP_NT</cp:keywords>
  <dc:description>e-Meeting, October 11 – 19, 2021</dc:description>
  <cp:lastModifiedBy>Lee, Daewon</cp:lastModifiedBy>
  <cp:revision>1841</cp:revision>
  <cp:lastPrinted>2011-11-09T07:49:00Z</cp:lastPrinted>
  <dcterms:created xsi:type="dcterms:W3CDTF">2020-08-12T08:35:00Z</dcterms:created>
  <dcterms:modified xsi:type="dcterms:W3CDTF">2021-10-11T18:33:00Z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