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GoBack"/>
      <w:bookmarkEnd w:id="0"/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6bis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sz w:val="24"/>
          <w:highlight w:val="yellow"/>
        </w:rPr>
        <w:t>R1-21</w:t>
      </w:r>
      <w:r>
        <w:rPr>
          <w:rFonts w:hint="eastAsia"/>
          <w:b/>
          <w:sz w:val="24"/>
          <w:highlight w:val="yellow"/>
          <w:lang w:val="en-US" w:eastAsia="zh-CN"/>
        </w:rPr>
        <w:t>xxxxx</w:t>
      </w:r>
    </w:p>
    <w:p>
      <w:pPr>
        <w:pStyle w:val="44"/>
        <w:outlineLvl w:val="0"/>
        <w:rPr>
          <w:b/>
          <w:sz w:val="24"/>
        </w:rPr>
      </w:pPr>
      <w:r>
        <w:rPr>
          <w:rFonts w:cs="Arial"/>
          <w:b/>
          <w:sz w:val="24"/>
          <w:szCs w:val="28"/>
          <w:lang w:eastAsia="zh-CN"/>
        </w:rPr>
        <w:t xml:space="preserve">e-Meeting, </w:t>
      </w:r>
      <w:r>
        <w:rPr>
          <w:rFonts w:hint="eastAsia" w:cs="Arial"/>
          <w:b/>
          <w:sz w:val="24"/>
          <w:szCs w:val="28"/>
          <w:lang w:val="en-US" w:eastAsia="zh-CN"/>
        </w:rPr>
        <w:t>October</w:t>
      </w:r>
      <w:r>
        <w:rPr>
          <w:rFonts w:cs="Arial"/>
          <w:b/>
          <w:sz w:val="24"/>
          <w:szCs w:val="28"/>
          <w:lang w:eastAsia="zh-CN"/>
        </w:rPr>
        <w:t xml:space="preserve"> 1</w:t>
      </w:r>
      <w:r>
        <w:rPr>
          <w:rFonts w:hint="eastAsia" w:cs="Arial"/>
          <w:b/>
          <w:sz w:val="24"/>
          <w:szCs w:val="28"/>
          <w:lang w:val="en-US" w:eastAsia="zh-CN"/>
        </w:rPr>
        <w:t>1</w:t>
      </w:r>
      <w:r>
        <w:rPr>
          <w:rFonts w:cs="Arial"/>
          <w:b/>
          <w:sz w:val="24"/>
          <w:szCs w:val="28"/>
          <w:lang w:eastAsia="zh-CN"/>
        </w:rPr>
        <w:t xml:space="preserve">th – </w:t>
      </w:r>
      <w:r>
        <w:rPr>
          <w:rFonts w:hint="eastAsia" w:cs="Arial"/>
          <w:b/>
          <w:sz w:val="24"/>
          <w:szCs w:val="28"/>
          <w:lang w:val="en-US" w:eastAsia="zh-CN"/>
        </w:rPr>
        <w:t>19</w:t>
      </w:r>
      <w:r>
        <w:rPr>
          <w:rFonts w:cs="Arial"/>
          <w:b/>
          <w:sz w:val="24"/>
          <w:szCs w:val="28"/>
          <w:lang w:eastAsia="zh-CN"/>
        </w:rPr>
        <w:t>th, 2021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[D</w:t>
      </w:r>
      <w:r>
        <w:rPr>
          <w:rFonts w:hint="eastAsia" w:ascii="Arial" w:hAnsi="Arial" w:cs="Arial"/>
          <w:b/>
          <w:color w:val="000000"/>
          <w:highlight w:val="yellow"/>
          <w:lang w:val="en-US" w:eastAsia="zh-CN"/>
        </w:rPr>
        <w:t>raft</w:t>
      </w:r>
      <w:r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hint="eastAsia" w:ascii="Arial" w:hAnsi="Arial" w:cs="Arial"/>
          <w:b/>
          <w:color w:val="000000"/>
          <w:lang w:val="en-US" w:eastAsia="zh-CN"/>
        </w:rPr>
        <w:t xml:space="preserve"> Reply </w:t>
      </w:r>
      <w:r>
        <w:rPr>
          <w:rFonts w:ascii="Arial" w:hAnsi="Arial" w:cs="Arial"/>
          <w:b/>
          <w:color w:val="000000"/>
        </w:rPr>
        <w:t xml:space="preserve">LS on the </w:t>
      </w:r>
      <w:r>
        <w:rPr>
          <w:rFonts w:ascii="Arial" w:hAnsi="Arial" w:cs="Arial"/>
          <w:b/>
        </w:rPr>
        <w:t>physical layer aspects of small data transmission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NR_SmallData_INACTIVE-Core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ZTE </w:t>
      </w:r>
      <w:r>
        <w:rPr>
          <w:rFonts w:ascii="Arial" w:hAnsi="Arial" w:cs="Arial"/>
          <w:bCs/>
          <w:color w:val="000000"/>
          <w:highlight w:val="yellow"/>
        </w:rPr>
        <w:t>[</w:t>
      </w:r>
      <w:r>
        <w:rPr>
          <w:rFonts w:ascii="Arial" w:hAnsi="Arial" w:cs="Arial"/>
          <w:bCs/>
          <w:highlight w:val="yellow"/>
        </w:rPr>
        <w:t>RAN1]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Ziyang Li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r>
        <w:rPr>
          <w:rFonts w:hint="eastAsia" w:cs="Arial"/>
          <w:b w:val="0"/>
          <w:bCs/>
          <w:color w:val="auto"/>
          <w:lang w:val="en-US" w:eastAsia="zh-CN"/>
        </w:rPr>
        <w:t>li.ziyang1</w:t>
      </w:r>
      <w:r>
        <w:rPr>
          <w:rFonts w:cs="Arial"/>
          <w:b w:val="0"/>
          <w:bCs/>
          <w:color w:val="auto"/>
        </w:rPr>
        <w:t>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hint="eastAsia" w:ascii="Arial" w:hAnsi="Arial" w:cs="Arial"/>
          <w:color w:val="000000"/>
          <w:lang w:val="en-US" w:eastAsia="zh-CN"/>
        </w:rPr>
        <w:t xml:space="preserve">the remaining physical layer issues for </w:t>
      </w:r>
      <w:r>
        <w:rPr>
          <w:rFonts w:ascii="Arial" w:hAnsi="Arial" w:cs="Arial"/>
          <w:color w:val="000000"/>
          <w:lang w:val="en-US" w:eastAsia="zh-CN"/>
        </w:rPr>
        <w:t>CG-SDT</w:t>
      </w:r>
      <w:r>
        <w:rPr>
          <w:rFonts w:hint="eastAsia" w:ascii="Arial" w:hAnsi="Arial" w:cs="Arial"/>
          <w:color w:val="000000"/>
          <w:lang w:val="en-US" w:eastAsia="zh-CN"/>
        </w:rPr>
        <w:t xml:space="preserve"> and RA-SDT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</w:t>
      </w:r>
      <w:r>
        <w:commentReference w:id="0"/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Mapping ratio and association period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Mapping ratio of SSB to CG PUSCH is confi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gured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per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CG configuration.</w:t>
            </w:r>
          </w:p>
          <w:p>
            <w:pPr>
              <w:widowControl w:val="0"/>
              <w:numPr>
                <w:ilvl w:val="1"/>
                <w:numId w:val="6"/>
              </w:numPr>
              <w:ind w:left="1440" w:leftChars="0" w:hanging="360" w:firstLineChars="0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FFS whether to restrict the same value for all CG configuration and/or allow different value for different CG configurations.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For the candidate value set of SSB to CG PUSCH mapping ratio, support at least {1, 2, 4, 8, 16}</w:t>
            </w:r>
          </w:p>
          <w:p>
            <w:pPr>
              <w:widowControl w:val="0"/>
              <w:numPr>
                <w:ilvl w:val="1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FFS {1/8,1/4,1/2}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single"/>
                <w:lang w:val="en-US" w:eastAsia="zh-CN"/>
              </w:rPr>
              <w:t>Multi-layer PUSCH transmission</w:t>
            </w:r>
          </w:p>
          <w:p>
            <w:pPr>
              <w:numPr>
                <w:ilvl w:val="0"/>
                <w:numId w:val="7"/>
              </w:num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Multi-layer PUSCH transmission is not supported for CG-SDT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</w:p>
          <w:p>
            <w:pPr>
              <w:pStyle w:val="41"/>
              <w:autoSpaceDE w:val="0"/>
              <w:autoSpaceDN w:val="0"/>
              <w:adjustRightInd w:val="0"/>
              <w:snapToGrid w:val="0"/>
              <w:spacing w:line="264" w:lineRule="auto"/>
              <w:ind w:left="0"/>
              <w:rPr>
                <w:highlight w:val="none"/>
                <w:lang w:eastAsia="zh-CN"/>
              </w:rPr>
            </w:pP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64" w:lineRule="auto"/>
              <w:jc w:val="left"/>
              <w:rPr>
                <w:rFonts w:ascii="Times New Roman" w:hAnsi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Repetitions</w:t>
            </w:r>
          </w:p>
          <w:p>
            <w:pPr>
              <w:pStyle w:val="11"/>
              <w:numPr>
                <w:ilvl w:val="0"/>
                <w:numId w:val="7"/>
              </w:numPr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ind w:left="720" w:leftChars="0" w:hanging="360" w:firstLineChars="0"/>
              <w:jc w:val="left"/>
              <w:rPr>
                <w:rFonts w:hint="default" w:ascii="Times New Roman" w:hAnsi="Times New Roman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u w:val="none"/>
                <w:lang w:val="en-US" w:eastAsia="zh-CN"/>
              </w:rPr>
              <w:t>PUSCH repetition is not supported for CG-SDT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hint="default" w:ascii="Times New Roman" w:hAnsi="Times New Roman"/>
                <w:highlight w:val="none"/>
                <w:u w:val="none"/>
                <w:lang w:val="en-US" w:eastAsia="zh-CN"/>
              </w:rPr>
            </w:pP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Validation of PUSCH occasion</w:t>
            </w:r>
          </w:p>
          <w:p>
            <w:pPr>
              <w:numPr>
                <w:ilvl w:val="0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No need to define </w:t>
            </w:r>
            <w:r>
              <w:rPr>
                <w:highlight w:val="none"/>
                <w:lang w:eastAsia="zh-CN"/>
              </w:rPr>
              <w:t xml:space="preserve">UL/DL pattern type of </w:t>
            </w:r>
            <w:r>
              <w:rPr>
                <w:rFonts w:hint="eastAsia"/>
                <w:highlight w:val="none"/>
                <w:lang w:eastAsia="zh-CN"/>
              </w:rPr>
              <w:t>validation rule specific for paired spectrum at least for non-RedCap UEs.</w:t>
            </w:r>
          </w:p>
          <w:p>
            <w:pPr>
              <w:numPr>
                <w:ilvl w:val="1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FFS the case for RedCap UEs</w:t>
            </w:r>
          </w:p>
          <w:p>
            <w:pPr>
              <w:numPr>
                <w:ilvl w:val="0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A</w:t>
            </w:r>
            <w:r>
              <w:rPr>
                <w:highlight w:val="none"/>
              </w:rPr>
              <w:t xml:space="preserve"> CG PUSCH occasion is not valid if it overlaps with any valid PRACH occasion</w:t>
            </w:r>
          </w:p>
          <w:p>
            <w:pPr>
              <w:numPr>
                <w:ilvl w:val="1"/>
                <w:numId w:val="8"/>
              </w:numPr>
              <w:ind w:left="1440" w:leftChars="0" w:hanging="360" w:firstLineChars="0"/>
              <w:rPr>
                <w:highlight w:val="none"/>
              </w:rPr>
            </w:pPr>
            <w:r>
              <w:rPr>
                <w:highlight w:val="none"/>
              </w:rPr>
              <w:t>FFS overlapping between CG PUSCH occasions and MsgA PUSCH occasion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color w:val="FF0000"/>
                <w:highlight w:val="none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Default SSB set</w:t>
            </w:r>
          </w:p>
          <w:p>
            <w:pPr>
              <w:numPr>
                <w:ilvl w:val="0"/>
                <w:numId w:val="9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When </w:t>
            </w:r>
            <w:r>
              <w:rPr>
                <w:highlight w:val="none"/>
                <w:lang w:eastAsia="zh-CN"/>
              </w:rPr>
              <w:t>SSB set indication is absent</w:t>
            </w:r>
            <w:r>
              <w:rPr>
                <w:rFonts w:hint="eastAsia"/>
                <w:highlight w:val="none"/>
                <w:lang w:eastAsia="zh-CN"/>
              </w:rPr>
              <w:t xml:space="preserve">, UE assumes the SSB set includes all </w:t>
            </w:r>
            <w:r>
              <w:rPr>
                <w:highlight w:val="none"/>
                <w:lang w:eastAsia="zh-CN"/>
              </w:rPr>
              <w:t>actually transmitted SSBs configured by SIB1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Search space and CORESET</w:t>
            </w:r>
          </w:p>
          <w:p>
            <w:pPr>
              <w:numPr>
                <w:ilvl w:val="0"/>
                <w:numId w:val="10"/>
              </w:num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 xml:space="preserve">RAN1 confirms </w:t>
            </w:r>
            <w:r>
              <w:rPr>
                <w:rFonts w:hint="eastAsia"/>
                <w:highlight w:val="none"/>
                <w:lang w:eastAsia="zh-CN"/>
              </w:rPr>
              <w:t xml:space="preserve">the working assumption in RAN2 that </w:t>
            </w:r>
            <w:r>
              <w:rPr>
                <w:highlight w:val="none"/>
                <w:lang w:eastAsia="zh-CN"/>
              </w:rPr>
              <w:t>UE-specific search space is configured for UEs performing CG-SDT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 xml:space="preserve"> This does not exclude the configuration of CSS  for UEs performing CG-SDT.</w:t>
            </w:r>
          </w:p>
          <w:p>
            <w:pPr>
              <w:numPr>
                <w:ilvl w:val="0"/>
                <w:numId w:val="10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CORESET for UE performing RA-SDT should be a common CORESET.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L1 feedback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line="264" w:lineRule="auto"/>
              <w:ind w:left="720" w:leftChars="0" w:hanging="360" w:firstLineChars="0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  <w:t>RAN1 cannot reach consensus on reusing CG-DFI mechanism for CG-SDT for operation in licensed band. 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Pathloss determination</w:t>
            </w:r>
          </w:p>
          <w:p>
            <w:pPr>
              <w:widowControl w:val="0"/>
              <w:numPr>
                <w:ilvl w:val="0"/>
                <w:numId w:val="11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pathloss for CG-SDT PUSCH power control can be determined by the mea</w:t>
            </w:r>
            <w:r>
              <w:rPr>
                <w:rFonts w:hint="eastAsia"/>
                <w:color w:val="auto"/>
                <w:lang w:eastAsia="zh-CN"/>
              </w:rPr>
              <w:t>surement of selected S</w:t>
            </w:r>
            <w:r>
              <w:rPr>
                <w:rFonts w:hint="eastAsia"/>
                <w:lang w:eastAsia="zh-CN"/>
              </w:rPr>
              <w:t>SB associated with the  CG PUSCH.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QCL assumption</w:t>
            </w:r>
          </w:p>
          <w:p>
            <w:pPr>
              <w:numPr>
                <w:ilvl w:val="0"/>
                <w:numId w:val="12"/>
              </w:numPr>
              <w:rPr>
                <w:lang w:eastAsia="zh-CN"/>
              </w:rPr>
            </w:pPr>
            <w:r>
              <w:rPr>
                <w:lang w:eastAsia="zh-CN"/>
              </w:rPr>
              <w:t>For CG-SDT, the UE can assume the PDCCH carrying the DCI has the same DM-RS antenna port quasi co-location properties as for a SSB associated to the CG PUSCH transmission e.g. for detection of retransmission DCI in response to a CG PUSCH transmission.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spacing w:after="120"/>
        <w:jc w:val="both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Regarding the five questions from RAN2 in LS R1-2108715, the responses from RAN1 are provided as follows: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Q1: For both RA-SDT and CG-SDT, RAN2 assumes that common PUCCH resources (i.e. those that are shared with non-SDT UEs) can also be used for HARQ-ACK feedback for Msg4 /MsgB and subsequent SDT transmissions. Can RAN1 confirm this?</w:t>
            </w:r>
          </w:p>
          <w:p>
            <w:pPr>
              <w:widowControl w:val="0"/>
              <w:spacing w:after="0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A1:</w:t>
            </w:r>
          </w:p>
          <w:p>
            <w:pPr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confirms that </w:t>
            </w:r>
            <w:r>
              <w:t>common PUCCH resources (i.e. those that are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t>s) can also be used for HARQ-ACK feedback for Msg4 /MsgB and subsequent SDT transmissions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Q2: For RA-SDT and CG-SDT, for Msg4 /MsgB and subsequent SDT transmissions, does RAN1 think there is a need for any other PUCCH resources than the above and if needed, can RAN1 define these?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A2: </w:t>
            </w:r>
          </w:p>
          <w:p>
            <w:pPr>
              <w:numPr>
                <w:ilvl w:val="0"/>
                <w:numId w:val="13"/>
              </w:numPr>
              <w:rPr>
                <w:lang w:eastAsia="zh-CN"/>
              </w:rPr>
            </w:pPr>
            <w:r>
              <w:t>RAN1 think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there is </w:t>
            </w:r>
            <w:r>
              <w:rPr>
                <w:rFonts w:hint="eastAsia"/>
                <w:lang w:eastAsia="zh-CN"/>
              </w:rPr>
              <w:t>no</w:t>
            </w:r>
            <w:r>
              <w:t xml:space="preserve"> need for any other PUCCH resources than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common PUCCH resources</w:t>
            </w:r>
            <w:r>
              <w:rPr>
                <w:rFonts w:hint="eastAsia"/>
                <w:lang w:eastAsia="zh-CN"/>
              </w:rPr>
              <w:t xml:space="preserve">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>s.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Q3: Is there any other L1 configuration needed for both RA-SDT and CG-SDT to support the subsequent data transmissions from RAN1 perspective?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A3:</w:t>
            </w:r>
          </w:p>
          <w:p>
            <w:pPr>
              <w:numPr>
                <w:ilvl w:val="0"/>
                <w:numId w:val="14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From RAN1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perspective, there is no other L1 configuration for RA-SDT and CG-SDT to support subsequent data transmission.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Q4: Do RAN1 have any concerns to support RA-SDT on the non-initial BWP? 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NOTE: It has already been agreed in RAN2 that </w:t>
            </w:r>
            <w:r>
              <w:rPr>
                <w:i/>
                <w:iCs/>
                <w:sz w:val="20"/>
                <w:szCs w:val="20"/>
              </w:rPr>
              <w:t>CG-SDT resource can be configured on either initial BWP or separate SDT BWP</w:t>
            </w:r>
            <w:r>
              <w:rPr>
                <w:sz w:val="20"/>
                <w:szCs w:val="20"/>
              </w:rPr>
              <w:t>, if confirmed by RAN1.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A4:</w:t>
            </w:r>
          </w:p>
          <w:p>
            <w:pPr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RAN1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lang w:eastAsia="zh-CN"/>
              </w:rPr>
              <w:t>RA-SDT resource cannot be configured on non-initial BWP.</w:t>
            </w:r>
          </w:p>
          <w:p>
            <w:pPr>
              <w:numPr>
                <w:ilvl w:val="0"/>
                <w:numId w:val="1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cannot reach a consensus on whether to confirm RAN2 agreement </w:t>
            </w:r>
            <w:r>
              <w:rPr>
                <w:rFonts w:hint="eastAsia"/>
                <w:iCs/>
                <w:lang w:eastAsia="zh-CN"/>
              </w:rPr>
              <w:t xml:space="preserve">that </w:t>
            </w:r>
            <w:r>
              <w:rPr>
                <w:iCs/>
              </w:rPr>
              <w:t>CG-SDT resource can be configured on separate SDT BWP</w:t>
            </w:r>
            <w:r>
              <w:rPr>
                <w:rFonts w:hint="eastAsia"/>
                <w:iCs/>
                <w:lang w:val="en-US" w:eastAsia="zh-CN"/>
              </w:rPr>
              <w:t xml:space="preserve"> with the concern on necessity</w:t>
            </w:r>
            <w:r>
              <w:rPr>
                <w:iCs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Q5: Does RAN1 think that BFD/BFR procedure is required for SDT and if needed, can RAN1 define the necessary procedure to support this? 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  <w:t xml:space="preserve">A5: </w:t>
            </w:r>
          </w:p>
          <w:p>
            <w:pPr>
              <w:widowControl w:val="0"/>
              <w:numPr>
                <w:ilvl w:val="0"/>
                <w:numId w:val="17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It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>s RAN1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color w:val="auto"/>
                <w:lang w:eastAsia="zh-CN"/>
              </w:rPr>
              <w:t>BFD/BFR procedure is not required for SDT in Rel-17.</w:t>
            </w:r>
          </w:p>
          <w:p>
            <w:pPr>
              <w:widowControl w:val="0"/>
              <w:numPr>
                <w:ilvl w:val="1"/>
                <w:numId w:val="17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FFS: whether or not to support </w:t>
            </w:r>
            <w:r>
              <w:rPr>
                <w:color w:val="auto"/>
                <w:lang w:eastAsia="zh-CN"/>
              </w:rPr>
              <w:t>reporting</w:t>
            </w:r>
            <w:r>
              <w:rPr>
                <w:rFonts w:hint="eastAsia"/>
                <w:color w:val="auto"/>
                <w:lang w:eastAsia="zh-CN"/>
              </w:rPr>
              <w:t xml:space="preserve"> the beam change to gNB.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yellow"/>
                <w:u w:val="non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hint="eastAsia" w:ascii="Arial" w:hAnsi="Arial" w:cs="Arial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hint="eastAsia" w:ascii="Arial" w:hAnsi="Arial" w:cs="Arial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hint="eastAsia" w:ascii="Arial" w:hAnsi="Arial" w:cs="Arial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account.</w:t>
      </w:r>
    </w:p>
    <w:p>
      <w:pPr>
        <w:spacing w:after="120"/>
        <w:rPr>
          <w:rFonts w:ascii="Arial" w:hAnsi="Arial" w:cs="Arial"/>
          <w:b/>
          <w:highlight w:val="yellow"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TSG-RAN WG1 Meeting #107-e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– 19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2021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e-meeting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/>
      <w:pgMar w:top="878" w:right="878" w:bottom="734" w:left="878" w:header="720" w:footer="576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Ziyang" w:date="2021-10-18T14:18:40Z" w:initials="1">
    <w:p w14:paraId="11912FEA">
      <w:pPr>
        <w:pStyle w:val="11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The set of agreements is to be updated.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912F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13BA8"/>
    <w:multiLevelType w:val="multilevel"/>
    <w:tmpl w:val="82913B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92E9D2E8"/>
    <w:multiLevelType w:val="multilevel"/>
    <w:tmpl w:val="92E9D2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A06797CA"/>
    <w:multiLevelType w:val="multilevel"/>
    <w:tmpl w:val="A06797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A9363405"/>
    <w:multiLevelType w:val="multilevel"/>
    <w:tmpl w:val="A93634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C2A19912"/>
    <w:multiLevelType w:val="multilevel"/>
    <w:tmpl w:val="C2A199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C8BBC207"/>
    <w:multiLevelType w:val="multilevel"/>
    <w:tmpl w:val="C8BBC2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6826C"/>
    <w:multiLevelType w:val="multilevel"/>
    <w:tmpl w:val="123682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9337213"/>
    <w:multiLevelType w:val="multilevel"/>
    <w:tmpl w:val="19337213"/>
    <w:lvl w:ilvl="0" w:tentative="0">
      <w:start w:val="1"/>
      <w:numFmt w:val="decimal"/>
      <w:pStyle w:val="46"/>
      <w:lvlText w:val="Question 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1344"/>
    <w:multiLevelType w:val="singleLevel"/>
    <w:tmpl w:val="1B0A1344"/>
    <w:lvl w:ilvl="0" w:tentative="0">
      <w:start w:val="1"/>
      <w:numFmt w:val="bullet"/>
      <w:pStyle w:val="3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9">
    <w:nsid w:val="2D35D742"/>
    <w:multiLevelType w:val="multilevel"/>
    <w:tmpl w:val="2D35D7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20D8BE"/>
    <w:multiLevelType w:val="multilevel"/>
    <w:tmpl w:val="3820D8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2">
    <w:nsid w:val="549A69FD"/>
    <w:multiLevelType w:val="multilevel"/>
    <w:tmpl w:val="549A69FD"/>
    <w:lvl w:ilvl="0" w:tentative="0">
      <w:start w:val="5"/>
      <w:numFmt w:val="decimal"/>
      <w:pStyle w:val="3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>
    <w:nsid w:val="58CCF5EF"/>
    <w:multiLevelType w:val="multilevel"/>
    <w:tmpl w:val="58CCF5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1315AA4"/>
    <w:multiLevelType w:val="multilevel"/>
    <w:tmpl w:val="61315A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6">
    <w:nsid w:val="7D528AE0"/>
    <w:multiLevelType w:val="multilevel"/>
    <w:tmpl w:val="7D528A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14"/>
  </w:num>
  <w:num w:numId="14">
    <w:abstractNumId w:val="1"/>
  </w:num>
  <w:num w:numId="15">
    <w:abstractNumId w:val="16"/>
  </w:num>
  <w:num w:numId="16">
    <w:abstractNumId w:val="10"/>
  </w:num>
  <w:num w:numId="1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Ziyang">
    <w15:presenceInfo w15:providerId="None" w15:userId="ZTE-Zi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A7E19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95503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3C8C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16DA7"/>
    <w:rsid w:val="0062010B"/>
    <w:rsid w:val="00621616"/>
    <w:rsid w:val="00624E7D"/>
    <w:rsid w:val="00627B5A"/>
    <w:rsid w:val="00630A53"/>
    <w:rsid w:val="00634891"/>
    <w:rsid w:val="00635344"/>
    <w:rsid w:val="00640BB1"/>
    <w:rsid w:val="0064220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4BFE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3C07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643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030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36D7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57520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6706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0395453E"/>
    <w:rsid w:val="05B3585D"/>
    <w:rsid w:val="1A5C2693"/>
    <w:rsid w:val="261B2032"/>
    <w:rsid w:val="46986498"/>
    <w:rsid w:val="51240431"/>
    <w:rsid w:val="683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qFormat/>
    <w:uiPriority w:val="99"/>
    <w:pPr>
      <w:tabs>
        <w:tab w:val="center" w:pos="4153"/>
        <w:tab w:val="right" w:pos="8306"/>
      </w:tabs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7">
    <w:name w:val="annotation subject"/>
    <w:basedOn w:val="11"/>
    <w:next w:val="11"/>
    <w:link w:val="48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16"/>
    </w:rPr>
  </w:style>
  <w:style w:type="paragraph" w:customStyle="1" w:styleId="26">
    <w:name w:val="B1"/>
    <w:basedOn w:val="1"/>
    <w:link w:val="45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4">
    <w:name w:val="批注框文本 Char"/>
    <w:link w:val="13"/>
    <w:semiHidden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5">
    <w:name w:val="TAH"/>
    <w:basedOn w:val="36"/>
    <w:link w:val="40"/>
    <w:uiPriority w:val="0"/>
    <w:rPr>
      <w:b/>
    </w:rPr>
  </w:style>
  <w:style w:type="paragraph" w:customStyle="1" w:styleId="36">
    <w:name w:val="TAC"/>
    <w:basedOn w:val="1"/>
    <w:link w:val="38"/>
    <w:qFormat/>
    <w:uiPriority w:val="0"/>
    <w:pPr>
      <w:keepNext/>
      <w:keepLines/>
      <w:jc w:val="center"/>
    </w:pPr>
    <w:rPr>
      <w:rFonts w:ascii="Arial" w:hAnsi="Arial"/>
      <w:sz w:val="18"/>
    </w:rPr>
  </w:style>
  <w:style w:type="paragraph" w:customStyle="1" w:styleId="37">
    <w:name w:val="TH"/>
    <w:basedOn w:val="1"/>
    <w:link w:val="39"/>
    <w:qFormat/>
    <w:uiPriority w:val="0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38">
    <w:name w:val="TAC Char"/>
    <w:link w:val="36"/>
    <w:qFormat/>
    <w:uiPriority w:val="0"/>
    <w:rPr>
      <w:rFonts w:ascii="Arial" w:hAnsi="Arial"/>
      <w:sz w:val="18"/>
      <w:lang w:val="en-GB"/>
    </w:rPr>
  </w:style>
  <w:style w:type="character" w:customStyle="1" w:styleId="39">
    <w:name w:val="TH Char"/>
    <w:link w:val="37"/>
    <w:qFormat/>
    <w:uiPriority w:val="0"/>
    <w:rPr>
      <w:rFonts w:ascii="Arial" w:hAnsi="Arial"/>
      <w:b/>
      <w:lang w:val="en-GB"/>
    </w:rPr>
  </w:style>
  <w:style w:type="character" w:customStyle="1" w:styleId="40">
    <w:name w:val="TAH Car"/>
    <w:link w:val="35"/>
    <w:qFormat/>
    <w:uiPriority w:val="0"/>
    <w:rPr>
      <w:rFonts w:ascii="Arial" w:hAnsi="Arial"/>
      <w:b/>
      <w:sz w:val="18"/>
      <w:lang w:val="en-GB"/>
    </w:rPr>
  </w:style>
  <w:style w:type="paragraph" w:styleId="41">
    <w:name w:val="List Paragraph"/>
    <w:basedOn w:val="1"/>
    <w:qFormat/>
    <w:uiPriority w:val="34"/>
    <w:pPr>
      <w:ind w:left="720"/>
    </w:pPr>
  </w:style>
  <w:style w:type="character" w:customStyle="1" w:styleId="42">
    <w:name w:val="批注文字 Char"/>
    <w:link w:val="11"/>
    <w:qFormat/>
    <w:uiPriority w:val="99"/>
    <w:rPr>
      <w:rFonts w:ascii="Arial" w:hAnsi="Arial"/>
      <w:lang w:val="en-GB"/>
    </w:rPr>
  </w:style>
  <w:style w:type="character" w:customStyle="1" w:styleId="43">
    <w:name w:val="页眉 Char"/>
    <w:link w:val="15"/>
    <w:locked/>
    <w:uiPriority w:val="99"/>
    <w:rPr>
      <w:lang w:val="en-GB"/>
    </w:rPr>
  </w:style>
  <w:style w:type="paragraph" w:customStyle="1" w:styleId="4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45">
    <w:name w:val="B1 Char"/>
    <w:link w:val="26"/>
    <w:qFormat/>
    <w:locked/>
    <w:uiPriority w:val="0"/>
    <w:rPr>
      <w:rFonts w:ascii="Arial" w:hAnsi="Arial"/>
      <w:lang w:val="en-GB" w:eastAsia="en-US"/>
    </w:rPr>
  </w:style>
  <w:style w:type="paragraph" w:customStyle="1" w:styleId="46">
    <w:name w:val="Observation"/>
    <w:basedOn w:val="1"/>
    <w:qFormat/>
    <w:uiPriority w:val="0"/>
    <w:pPr>
      <w:numPr>
        <w:ilvl w:val="0"/>
        <w:numId w:val="5"/>
      </w:numPr>
    </w:pPr>
  </w:style>
  <w:style w:type="character" w:customStyle="1" w:styleId="47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主题 Char"/>
    <w:basedOn w:val="42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49">
    <w:name w:val="apple-converted-space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/>
</ds:datastoreItem>
</file>

<file path=customXml/itemProps3.xml><?xml version="1.0" encoding="utf-8"?>
<ds:datastoreItem xmlns:ds="http://schemas.openxmlformats.org/officeDocument/2006/customXml" ds:itemID="{CE85A91E-DBE8-4CA5-A7C8-9B12F0E426E5}">
  <ds:schemaRefs/>
</ds:datastoreItem>
</file>

<file path=customXml/itemProps4.xml><?xml version="1.0" encoding="utf-8"?>
<ds:datastoreItem xmlns:ds="http://schemas.openxmlformats.org/officeDocument/2006/customXml" ds:itemID="{446F3FC5-A3EE-4D3F-B566-97132241A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4276</Characters>
  <Lines>35</Lines>
  <Paragraphs>10</Paragraphs>
  <TotalTime>54</TotalTime>
  <ScaleCrop>false</ScaleCrop>
  <LinksUpToDate>false</LinksUpToDate>
  <CharactersWithSpaces>5016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2021-05-27T23:57:00Z</dcterms:created>
  <dc:creator>Li Tian</dc:creator>
  <cp:lastModifiedBy>ZTE-Ziyang</cp:lastModifiedBy>
  <dcterms:modified xsi:type="dcterms:W3CDTF">2021-10-20T03:44:15Z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