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</w:pPr>
      <w:r>
        <w:t>3GPP TSG-RAN WG1 Meeting #106-e</w:t>
      </w:r>
      <w:r>
        <w:tab/>
      </w:r>
      <w:r>
        <w:t>R1-21xxxxx</w:t>
      </w:r>
    </w:p>
    <w:p>
      <w:pPr>
        <w:pStyle w:val="63"/>
        <w:spacing w:after="60"/>
      </w:pPr>
      <w:r>
        <w:t>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</w:t>
      </w:r>
    </w:p>
    <w:p>
      <w:pPr>
        <w:pStyle w:val="63"/>
      </w:pPr>
    </w:p>
    <w:p>
      <w:pPr>
        <w:pStyle w:val="6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6</w:t>
      </w:r>
    </w:p>
    <w:p>
      <w:pPr>
        <w:pStyle w:val="63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sz w:val="22"/>
          <w:szCs w:val="22"/>
        </w:rPr>
        <w:t>Moderator (Ericsson)</w:t>
      </w:r>
    </w:p>
    <w:p>
      <w:pPr>
        <w:pStyle w:val="63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>Moderator Summary [106-e-LTE-6CRs-03]</w:t>
      </w:r>
    </w:p>
    <w:p>
      <w:pPr>
        <w:pStyle w:val="63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p/>
    <w:p>
      <w:pPr>
        <w:pStyle w:val="2"/>
      </w:pPr>
      <w:r>
        <w:t>1</w:t>
      </w:r>
      <w:r>
        <w:tab/>
      </w:r>
      <w:r>
        <w:t>Introduction</w:t>
      </w:r>
    </w:p>
    <w:p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In [1], it was mentioned that “the higher layer parameter “</w:t>
      </w:r>
      <w:r>
        <w:rPr>
          <w:rFonts w:ascii="Times New Roman" w:hAnsi="Times New Roman"/>
          <w:i/>
          <w:iCs/>
        </w:rPr>
        <w:t>operationModeInfo</w:t>
      </w:r>
      <w:r>
        <w:rPr>
          <w:rFonts w:ascii="Times New Roman" w:hAnsi="Times New Roman"/>
        </w:rPr>
        <w:t>” has been solely used in some clauses of TS 36.213 [2], letting aside the non-anchor carrier” case.</w:t>
      </w:r>
    </w:p>
    <w:p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In relation with the above, the following e-mail discussion has been granted: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hAnsi="Times" w:eastAsia="Batang"/>
                <w:sz w:val="20"/>
                <w:szCs w:val="22"/>
                <w:lang w:val="de-DE" w:eastAsia="ko-KR"/>
              </w:rPr>
            </w:pPr>
            <w:r>
              <w:rPr>
                <w:rFonts w:ascii="Times" w:hAnsi="Times" w:eastAsia="Batang"/>
                <w:sz w:val="22"/>
                <w:szCs w:val="24"/>
                <w:lang w:val="de-DE" w:eastAsia="ko-KR"/>
              </w:rPr>
              <w:t>[</w:t>
            </w:r>
            <w:r>
              <w:rPr>
                <w:rFonts w:ascii="Times" w:hAnsi="Times" w:eastAsia="Batang"/>
                <w:sz w:val="20"/>
                <w:szCs w:val="22"/>
                <w:lang w:val="de-DE" w:eastAsia="ko-KR"/>
              </w:rPr>
              <w:t>106-e-LTE-6CRs-03] Email discussion/approval on Deployment Mode Indicator for anchor and non-anchor carriers (</w:t>
            </w:r>
            <w:r>
              <w:rPr>
                <w:rFonts w:ascii="Times" w:hAnsi="Times" w:eastAsia="Batang"/>
                <w:sz w:val="22"/>
                <w:szCs w:val="22"/>
                <w:lang w:val="de-DE" w:eastAsia="ko-KR"/>
              </w:rPr>
              <w:fldChar w:fldCharType="begin"/>
            </w:r>
            <w:r>
              <w:rPr>
                <w:rFonts w:ascii="Times" w:hAnsi="Times" w:eastAsia="Batang"/>
                <w:sz w:val="20"/>
                <w:szCs w:val="20"/>
                <w:lang w:val="en-GB" w:eastAsia="ko-KR"/>
              </w:rPr>
              <w:instrText xml:space="preserve"> HYPERLINK "file:///D:\\Documents\\3GPP%20documents\\RAN1\\TSGR1_106-e\\Docs\\R1-2108120.zip" </w:instrText>
            </w:r>
            <w:r>
              <w:rPr>
                <w:rFonts w:ascii="Times" w:hAnsi="Times" w:eastAsia="Batang"/>
                <w:sz w:val="22"/>
                <w:szCs w:val="22"/>
                <w:lang w:val="de-DE" w:eastAsia="ko-KR"/>
              </w:rPr>
              <w:fldChar w:fldCharType="separate"/>
            </w:r>
            <w:r>
              <w:rPr>
                <w:rFonts w:ascii="Times" w:hAnsi="Times" w:eastAsia="Batang"/>
                <w:sz w:val="20"/>
                <w:szCs w:val="22"/>
                <w:lang w:val="de-DE" w:eastAsia="ko-KR"/>
              </w:rPr>
              <w:t>R1-2108120</w:t>
            </w:r>
            <w:r>
              <w:rPr>
                <w:rFonts w:ascii="Times" w:hAnsi="Times" w:eastAsia="Batang"/>
                <w:sz w:val="22"/>
                <w:szCs w:val="22"/>
                <w:lang w:val="de-DE" w:eastAsia="ko-KR"/>
              </w:rPr>
              <w:fldChar w:fldCharType="end"/>
            </w:r>
            <w:r>
              <w:rPr>
                <w:rFonts w:ascii="Times" w:hAnsi="Times" w:eastAsia="Batang"/>
                <w:sz w:val="20"/>
                <w:szCs w:val="22"/>
                <w:lang w:val="de-DE" w:eastAsia="ko-KR"/>
              </w:rPr>
              <w:t>) – Gerardo (Ericsson)</w:t>
            </w:r>
          </w:p>
          <w:p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hAnsi="Times" w:eastAsia="Batang"/>
                <w:sz w:val="20"/>
                <w:szCs w:val="22"/>
                <w:lang w:val="de-DE" w:eastAsia="ko-KR"/>
              </w:rPr>
            </w:pPr>
            <w:r>
              <w:rPr>
                <w:rFonts w:ascii="Times" w:hAnsi="Times" w:eastAsia="Batang"/>
                <w:sz w:val="20"/>
                <w:szCs w:val="22"/>
                <w:lang w:val="de-DE" w:eastAsia="ko-KR"/>
              </w:rPr>
              <w:t>Issue 4: Deployment Mode Indicator for anchor and non-anchor carriers</w:t>
            </w:r>
          </w:p>
          <w:p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hAnsi="Times" w:eastAsia="Batang"/>
                <w:sz w:val="22"/>
                <w:szCs w:val="24"/>
                <w:lang w:val="de-DE" w:eastAsia="ko-KR"/>
              </w:rPr>
            </w:pPr>
            <w:r>
              <w:rPr>
                <w:rFonts w:ascii="Times" w:hAnsi="Times" w:eastAsia="Batang"/>
                <w:sz w:val="20"/>
                <w:szCs w:val="22"/>
                <w:lang w:val="de-DE" w:eastAsia="ko-KR"/>
              </w:rPr>
              <w:t>Discussion and decision by 8/18, CR by 8/20, final check by 8/24</w:t>
            </w:r>
          </w:p>
        </w:tc>
      </w:tr>
    </w:tbl>
    <w:p>
      <w:pPr>
        <w:pStyle w:val="2"/>
      </w:pPr>
      <w:bookmarkStart w:id="0" w:name="_Ref178064866"/>
      <w:bookmarkStart w:id="1" w:name="_Hlk528365764"/>
      <w:r>
        <w:t>2</w:t>
      </w:r>
      <w:r>
        <w:tab/>
      </w:r>
      <w:bookmarkEnd w:id="0"/>
      <w:r>
        <w:t>Background</w:t>
      </w:r>
    </w:p>
    <w:p>
      <w:r>
        <w:t>In [1], the following was mentioned:</w:t>
      </w:r>
    </w:p>
    <w:p>
      <w:r>
        <w:t>“In Release-13, the higher layer parameter “</w:t>
      </w:r>
      <w:r>
        <w:rPr>
          <w:i/>
          <w:iCs/>
        </w:rPr>
        <w:t>operationModeInfo</w:t>
      </w:r>
      <w:r>
        <w:t>” was introduced [TS 36.331]: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keepNext/>
              <w:keepLines/>
              <w:spacing w:after="0"/>
              <w:rPr>
                <w:rFonts w:eastAsia="Calibri"/>
                <w:b/>
                <w:i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de-DE"/>
              </w:rPr>
              <w:t>operationModeInfo</w:t>
            </w:r>
          </w:p>
          <w:p>
            <w:pPr>
              <w:keepNext/>
              <w:keepLines/>
              <w:spacing w:after="0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 w:eastAsia="en-GB"/>
              </w:rPr>
              <w:t>Deployment scenario (in-band/guard-band/standalone) and related information. See TS 36.211 [21] and TS 36.213 [23].</w:t>
            </w:r>
          </w:p>
          <w:p>
            <w:pPr>
              <w:keepNext/>
              <w:keepLines/>
              <w:spacing w:after="0"/>
              <w:rPr>
                <w:rFonts w:eastAsia="Calibri"/>
                <w:b/>
                <w:i/>
                <w:sz w:val="20"/>
                <w:szCs w:val="20"/>
                <w:lang w:val="de-DE"/>
              </w:rPr>
            </w:pPr>
            <w:r>
              <w:rPr>
                <w:rFonts w:eastAsia="Calibri"/>
                <w:i/>
                <w:iCs/>
                <w:kern w:val="2"/>
                <w:sz w:val="20"/>
                <w:szCs w:val="20"/>
                <w:lang w:val="de-DE"/>
              </w:rPr>
              <w:t>Inband-SamePCI</w:t>
            </w:r>
            <w:r>
              <w:rPr>
                <w:rFonts w:eastAsia="Calibri"/>
                <w:sz w:val="20"/>
                <w:szCs w:val="20"/>
                <w:lang w:val="de-DE" w:eastAsia="en-GB"/>
              </w:rPr>
              <w:t xml:space="preserve"> indicates an in-band deployment and that the NB-IoT and LTE cell share the same physical cell id and have the same number of NRS and CRS ports.</w:t>
            </w:r>
          </w:p>
          <w:p>
            <w:pPr>
              <w:keepNext/>
              <w:keepLines/>
              <w:spacing w:after="0"/>
              <w:rPr>
                <w:rFonts w:eastAsia="Calibri"/>
                <w:sz w:val="20"/>
                <w:szCs w:val="20"/>
                <w:lang w:val="de-DE" w:eastAsia="en-GB"/>
              </w:rPr>
            </w:pPr>
            <w:r>
              <w:rPr>
                <w:rFonts w:eastAsia="Calibri"/>
                <w:i/>
                <w:iCs/>
                <w:kern w:val="2"/>
                <w:sz w:val="20"/>
                <w:szCs w:val="20"/>
                <w:lang w:val="de-DE"/>
              </w:rPr>
              <w:t>Inband-DifferentPCI</w:t>
            </w:r>
            <w:r>
              <w:rPr>
                <w:rFonts w:eastAsia="Calibri"/>
                <w:sz w:val="20"/>
                <w:szCs w:val="20"/>
                <w:lang w:val="de-DE" w:eastAsia="en-GB"/>
              </w:rPr>
              <w:t xml:space="preserve"> indicates an in-band deployment and that the NB-IoT and LTE cell have different physical cell id.</w:t>
            </w:r>
          </w:p>
          <w:p>
            <w:pPr>
              <w:keepNext/>
              <w:keepLines/>
              <w:spacing w:after="0"/>
              <w:rPr>
                <w:rFonts w:eastAsia="Calibri"/>
                <w:i/>
                <w:kern w:val="2"/>
                <w:sz w:val="20"/>
                <w:szCs w:val="20"/>
                <w:lang w:val="de-DE"/>
              </w:rPr>
            </w:pPr>
            <w:r>
              <w:rPr>
                <w:rFonts w:eastAsia="Calibri"/>
                <w:i/>
                <w:sz w:val="20"/>
                <w:szCs w:val="20"/>
                <w:lang w:val="de-DE" w:eastAsia="en-GB"/>
              </w:rPr>
              <w:t>guard</w:t>
            </w:r>
            <w:r>
              <w:rPr>
                <w:rFonts w:eastAsia="Calibri"/>
                <w:i/>
                <w:kern w:val="2"/>
                <w:sz w:val="20"/>
                <w:szCs w:val="20"/>
                <w:lang w:val="de-DE"/>
              </w:rPr>
              <w:t xml:space="preserve">band </w:t>
            </w:r>
            <w:r>
              <w:rPr>
                <w:rFonts w:eastAsia="Calibri"/>
                <w:kern w:val="2"/>
                <w:sz w:val="20"/>
                <w:szCs w:val="20"/>
                <w:lang w:val="de-DE"/>
              </w:rPr>
              <w:t>indicates</w:t>
            </w:r>
            <w:r>
              <w:rPr>
                <w:rFonts w:eastAsia="Calibri"/>
                <w:i/>
                <w:kern w:val="2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Calibri"/>
                <w:kern w:val="2"/>
                <w:sz w:val="20"/>
                <w:szCs w:val="20"/>
                <w:lang w:val="de-DE"/>
              </w:rPr>
              <w:t>a guard-band deployment.</w:t>
            </w:r>
          </w:p>
          <w:p>
            <w:pPr>
              <w:pStyle w:val="15"/>
              <w:rPr>
                <w:rFonts w:ascii="Times New Roman" w:hAnsi="Times New Roman" w:eastAsia="Calibri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Times New Roman"/>
                <w:i/>
                <w:kern w:val="2"/>
                <w:sz w:val="20"/>
                <w:szCs w:val="20"/>
                <w:lang w:val="en-GB" w:eastAsia="ja-JP"/>
              </w:rPr>
              <w:t xml:space="preserve">standalone </w:t>
            </w:r>
            <w:r>
              <w:rPr>
                <w:rFonts w:ascii="Times New Roman" w:hAnsi="Times New Roman" w:eastAsia="Times New Roman"/>
                <w:kern w:val="2"/>
                <w:sz w:val="20"/>
                <w:szCs w:val="20"/>
                <w:lang w:val="en-GB" w:eastAsia="ja-JP"/>
              </w:rPr>
              <w:t>indicates a standalone deployment.</w:t>
            </w:r>
          </w:p>
        </w:tc>
      </w:tr>
    </w:tbl>
    <w:p>
      <w:pPr>
        <w:pStyle w:val="15"/>
        <w:spacing w:after="0"/>
        <w:rPr>
          <w:rFonts w:ascii="Times New Roman" w:hAnsi="Times New Roman"/>
        </w:rPr>
      </w:pPr>
    </w:p>
    <w:p>
      <w:pPr>
        <w:pStyle w:val="15"/>
        <w:rPr>
          <w:rFonts w:ascii="Times New Roman" w:hAnsi="Times New Roman"/>
        </w:rPr>
      </w:pPr>
      <w:r>
        <w:rPr>
          <w:rFonts w:ascii="Times New Roman" w:hAnsi="Times New Roman"/>
        </w:rPr>
        <w:t>On the other hand, in Release-13 the higher layer parameter “</w:t>
      </w:r>
      <w:r>
        <w:rPr>
          <w:rFonts w:ascii="Times New Roman" w:hAnsi="Times New Roman"/>
          <w:i/>
          <w:iCs/>
        </w:rPr>
        <w:t>inbandCarrierInfo</w:t>
      </w:r>
      <w:r>
        <w:rPr>
          <w:rFonts w:ascii="Times New Roman" w:hAnsi="Times New Roman"/>
        </w:rPr>
        <w:t>” was also introduced [TS 36.331]: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78"/>
              <w:jc w:val="both"/>
              <w:rPr>
                <w:rFonts w:ascii="Times New Roman" w:hAnsi="Times New Roman" w:eastAsia="Calibri"/>
                <w:b/>
                <w:i/>
                <w:sz w:val="20"/>
                <w:szCs w:val="20"/>
                <w:lang w:val="en-GB" w:eastAsia="ja-JP"/>
              </w:rPr>
            </w:pPr>
            <w:r>
              <w:rPr>
                <w:rFonts w:ascii="Times New Roman" w:hAnsi="Times New Roman" w:eastAsia="Calibri"/>
                <w:b/>
                <w:i/>
                <w:sz w:val="20"/>
                <w:szCs w:val="20"/>
                <w:lang w:val="en-GB" w:eastAsia="ja-JP"/>
              </w:rPr>
              <w:t>inbandCarrierInfo</w:t>
            </w:r>
          </w:p>
          <w:p>
            <w:pPr>
              <w:pStyle w:val="15"/>
              <w:rPr>
                <w:rFonts w:ascii="Times New Roman" w:hAnsi="Times New Roman" w:eastAsia="Calibri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en-GB" w:eastAsia="ja-JP"/>
              </w:rPr>
              <w:t>Provides the configuration of a non-anchor inband carrier.</w:t>
            </w:r>
          </w:p>
        </w:tc>
      </w:tr>
    </w:tbl>
    <w:p>
      <w:pPr>
        <w:pStyle w:val="15"/>
        <w:rPr>
          <w:rFonts w:ascii="Times New Roman" w:hAnsi="Times New Roman"/>
        </w:rPr>
      </w:pPr>
    </w:p>
    <w:p>
      <w:r>
        <w:t>One issue that has been recently identified is that the higher layer parameter “</w:t>
      </w:r>
      <w:r>
        <w:rPr>
          <w:i/>
          <w:iCs/>
        </w:rPr>
        <w:t>operationModeInfo</w:t>
      </w:r>
      <w:r>
        <w:t>” has been solely used in some clauses of TS 36.213, letting aside the non-anchor carrier.”</w:t>
      </w:r>
    </w:p>
    <w:p>
      <w:r>
        <w:t>The document in [1] identifies “clauses of TS 36.213 where the non-anchor carrier case covered by the higher layer parameter “</w:t>
      </w:r>
      <w:r>
        <w:rPr>
          <w:i/>
          <w:iCs/>
        </w:rPr>
        <w:t>inbandCarrierInfo</w:t>
      </w:r>
      <w:r>
        <w:t>” has been missed”.</w:t>
      </w:r>
    </w:p>
    <w:p>
      <w:r>
        <w:t>The sections below contain the following information based on [1].</w:t>
      </w:r>
    </w:p>
    <w:p>
      <w:pPr>
        <w:pStyle w:val="133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 2.1: Lists four Rel-13 clauses missing the higher layer parameter “</w:t>
      </w:r>
      <w:r>
        <w:rPr>
          <w:rFonts w:ascii="Times New Roman" w:hAnsi="Times New Roman"/>
          <w:i/>
          <w:iCs/>
          <w:sz w:val="20"/>
          <w:szCs w:val="20"/>
        </w:rPr>
        <w:t>inbandCarrierInfo</w:t>
      </w:r>
      <w:r>
        <w:rPr>
          <w:rFonts w:ascii="Times New Roman" w:hAnsi="Times New Roman"/>
          <w:sz w:val="20"/>
          <w:szCs w:val="20"/>
        </w:rPr>
        <w:t>”. The fix on the identified clauses will require a Rel-13 CR, and their corresponding Rel-14, Rel-15, and Rel-16 mirror CRs.</w:t>
      </w:r>
    </w:p>
    <w:p>
      <w:pPr>
        <w:pStyle w:val="133"/>
        <w:rPr>
          <w:rFonts w:ascii="Times New Roman" w:hAnsi="Times New Roman"/>
          <w:sz w:val="20"/>
          <w:szCs w:val="20"/>
        </w:rPr>
      </w:pPr>
    </w:p>
    <w:p>
      <w:pPr>
        <w:pStyle w:val="133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 2.2: Lists two clauses that only refer to the higher parameter “</w:t>
      </w:r>
      <w:r>
        <w:rPr>
          <w:rFonts w:ascii="Times New Roman" w:hAnsi="Times New Roman"/>
          <w:i/>
          <w:iCs/>
          <w:sz w:val="20"/>
          <w:szCs w:val="20"/>
        </w:rPr>
        <w:t>operationModeInfo</w:t>
      </w:r>
      <w:r>
        <w:rPr>
          <w:rFonts w:ascii="Times New Roman" w:hAnsi="Times New Roman"/>
          <w:sz w:val="20"/>
          <w:szCs w:val="20"/>
        </w:rPr>
        <w:t>”, for which the higher layer parameter “</w:t>
      </w:r>
      <w:r>
        <w:rPr>
          <w:rFonts w:ascii="Times New Roman" w:hAnsi="Times New Roman"/>
          <w:i/>
          <w:iCs/>
          <w:sz w:val="20"/>
          <w:szCs w:val="20"/>
        </w:rPr>
        <w:t>inbandCarrierInfo</w:t>
      </w:r>
      <w:r>
        <w:rPr>
          <w:rFonts w:ascii="Times New Roman" w:hAnsi="Times New Roman"/>
          <w:sz w:val="20"/>
          <w:szCs w:val="20"/>
        </w:rPr>
        <w:t>” does not need to be added.</w:t>
      </w:r>
    </w:p>
    <w:p>
      <w:pPr>
        <w:pStyle w:val="133"/>
        <w:rPr>
          <w:rFonts w:ascii="Times New Roman" w:hAnsi="Times New Roman"/>
          <w:sz w:val="20"/>
          <w:szCs w:val="20"/>
        </w:rPr>
      </w:pPr>
    </w:p>
    <w:bookmarkEnd w:id="1"/>
    <w:p>
      <w:pPr>
        <w:pStyle w:val="3"/>
      </w:pPr>
      <w:bookmarkStart w:id="2" w:name="_Hlk44332602"/>
      <w:r>
        <w:t xml:space="preserve">2.1 </w:t>
      </w:r>
      <w:r>
        <w:tab/>
      </w:r>
      <w:r>
        <w:t>Listing of clauses missing the higher layer parameter “</w:t>
      </w:r>
      <w:r>
        <w:rPr>
          <w:i/>
          <w:iCs/>
        </w:rPr>
        <w:t>inbandCarrierInfo</w:t>
      </w:r>
      <w:r>
        <w:t>”</w:t>
      </w:r>
    </w:p>
    <w:bookmarkEnd w:id="2"/>
    <w:p>
      <w:pPr>
        <w:pStyle w:val="4"/>
      </w:pPr>
      <w:r>
        <w:t>2.1.1</w:t>
      </w:r>
      <w:r>
        <w:tab/>
      </w:r>
      <w:r>
        <w:t>Rel-13: TS 36.213, clause 16.2.2: Downlink Power Allocation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jc w:val="both"/>
              <w:rPr>
                <w:rFonts w:ascii="Arial" w:hAnsi="Arial" w:eastAsia="Calibri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eastAsia="Calibri" w:cs="Arial"/>
                <w:sz w:val="22"/>
                <w:szCs w:val="22"/>
                <w:lang w:val="de-DE"/>
              </w:rPr>
              <w:t xml:space="preserve"> Text Start </w:t>
            </w: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-----------------------------------------------------------</w:t>
            </w:r>
          </w:p>
          <w:p>
            <w:pPr>
              <w:pStyle w:val="4"/>
              <w:outlineLvl w:val="2"/>
              <w:rPr>
                <w:rFonts w:eastAsia="Calibri"/>
                <w:szCs w:val="22"/>
                <w:lang w:val="de-DE" w:eastAsia="en-GB"/>
              </w:rPr>
            </w:pPr>
            <w:r>
              <w:rPr>
                <w:rFonts w:eastAsia="Calibri"/>
                <w:szCs w:val="22"/>
                <w:lang w:val="de-DE"/>
              </w:rPr>
              <w:t>16.2.2</w:t>
            </w:r>
            <w:r>
              <w:rPr>
                <w:rFonts w:eastAsia="Calibri"/>
                <w:szCs w:val="22"/>
                <w:lang w:val="de-DE"/>
              </w:rPr>
              <w:tab/>
            </w:r>
            <w:r>
              <w:rPr>
                <w:rFonts w:eastAsia="Calibri"/>
                <w:szCs w:val="22"/>
                <w:lang w:val="de-DE"/>
              </w:rPr>
              <w:t>Downlink power allocation</w:t>
            </w:r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The eNodeB determines the downlink transmit energy per resource element.</w:t>
            </w:r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For a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NB-IoT 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cell, the UE may assume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NRS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EPRE is constant across the downlink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NB-IoT 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system bandwidth and constant across all subframes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that contain NRS, 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until different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RS power information is received. </w:t>
            </w:r>
          </w:p>
          <w:p>
            <w:pPr>
              <w:rPr>
                <w:rFonts w:eastAsia="宋体"/>
                <w:sz w:val="22"/>
                <w:szCs w:val="22"/>
                <w:lang w:val="de-DE" w:eastAsia="zh-CN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The downlink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NRS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EPRE can be derived from the downlink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narrowband 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reference-signal transmit power given by </w:t>
            </w:r>
            <w:r>
              <w:rPr>
                <w:rFonts w:hint="eastAsia" w:eastAsia="Calibri"/>
                <w:i/>
                <w:sz w:val="22"/>
                <w:szCs w:val="22"/>
                <w:lang w:val="de-DE"/>
              </w:rPr>
              <w:t>nrs-Power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hint="eastAsia" w:eastAsia="Calibri"/>
                <w:sz w:val="22"/>
                <w:szCs w:val="22"/>
                <w:lang w:val="de-DE"/>
              </w:rPr>
              <w:t xml:space="preserve">+ </w:t>
            </w:r>
            <w:r>
              <w:rPr>
                <w:rFonts w:hint="eastAsia" w:eastAsia="Calibri"/>
                <w:i/>
                <w:sz w:val="22"/>
                <w:szCs w:val="22"/>
                <w:lang w:val="de-DE"/>
              </w:rPr>
              <w:t>nrs-Power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>Offset</w:t>
            </w:r>
            <w:r>
              <w:rPr>
                <w:rFonts w:hint="eastAsia" w:eastAsia="Calibri"/>
                <w:i/>
                <w:sz w:val="22"/>
                <w:szCs w:val="22"/>
                <w:lang w:val="de-DE"/>
              </w:rPr>
              <w:t>NonAnchor</w:t>
            </w:r>
            <w:r>
              <w:rPr>
                <w:rFonts w:hint="eastAsia" w:eastAsia="Calibri"/>
                <w:i/>
                <w:sz w:val="22"/>
                <w:szCs w:val="22"/>
                <w:lang w:val="de-DE" w:eastAsia="zh-CN"/>
              </w:rPr>
              <w:t xml:space="preserve">, </w:t>
            </w: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>where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the parameter </w:t>
            </w:r>
            <w:r>
              <w:rPr>
                <w:rFonts w:hint="eastAsia" w:eastAsia="宋体"/>
                <w:i/>
                <w:sz w:val="22"/>
                <w:szCs w:val="22"/>
                <w:lang w:val="de-DE" w:eastAsia="zh-CN"/>
              </w:rPr>
              <w:t>nrs-Power</w:t>
            </w:r>
            <w:r>
              <w:rPr>
                <w:rFonts w:eastAsia="Calibri"/>
                <w:iCs/>
                <w:sz w:val="22"/>
                <w:szCs w:val="22"/>
                <w:lang w:val="de-DE"/>
              </w:rPr>
              <w:t xml:space="preserve"> is </w:t>
            </w:r>
            <w:r>
              <w:rPr>
                <w:rFonts w:eastAsia="Calibri"/>
                <w:sz w:val="22"/>
                <w:szCs w:val="22"/>
                <w:lang w:val="de-DE"/>
              </w:rPr>
              <w:t>provided by higher layers</w:t>
            </w: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 xml:space="preserve"> and </w:t>
            </w:r>
            <w:r>
              <w:rPr>
                <w:rFonts w:hint="eastAsia" w:eastAsia="Calibri"/>
                <w:i/>
                <w:sz w:val="22"/>
                <w:szCs w:val="22"/>
                <w:lang w:val="de-DE" w:eastAsia="zh-CN"/>
              </w:rPr>
              <w:t>nrs-powerOffsetNonAnchor</w:t>
            </w: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 xml:space="preserve"> is zero if it is not provided by higher layers</w:t>
            </w:r>
            <w:r>
              <w:rPr>
                <w:rFonts w:eastAsia="Calibri"/>
                <w:sz w:val="22"/>
                <w:szCs w:val="22"/>
                <w:lang w:val="de-DE"/>
              </w:rPr>
              <w:t>. The downlink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narrowband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reference-signal transmit power is defined as the linear average over the power contributions (in [W]) of all resource elements that carry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narrowband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reference signals within the operating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NB-IoT </w:t>
            </w:r>
            <w:r>
              <w:rPr>
                <w:rFonts w:eastAsia="Calibri"/>
                <w:sz w:val="22"/>
                <w:szCs w:val="22"/>
                <w:lang w:val="de-DE"/>
              </w:rPr>
              <w:t>system bandwidth.</w:t>
            </w:r>
          </w:p>
          <w:p>
            <w:pPr>
              <w:rPr>
                <w:rFonts w:eastAsia="宋体"/>
                <w:sz w:val="22"/>
                <w:szCs w:val="22"/>
                <w:lang w:val="de-DE" w:eastAsia="zh-CN"/>
              </w:rPr>
            </w:pPr>
            <w:r>
              <w:rPr>
                <w:rFonts w:eastAsia="宋体"/>
                <w:sz w:val="22"/>
                <w:szCs w:val="22"/>
                <w:lang w:val="de-DE" w:eastAsia="zh-CN"/>
              </w:rPr>
              <w:t>A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UE may assume t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he ratio of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PDSCH EPRE to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RS EPRE among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PDSCH REs (not applicable to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>PDSCH REs with zero EPRE)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>
            <w:pPr>
              <w:rPr>
                <w:rFonts w:eastAsia="宋体"/>
                <w:sz w:val="22"/>
                <w:szCs w:val="22"/>
                <w:lang w:val="de-DE" w:eastAsia="zh-CN"/>
              </w:rPr>
            </w:pPr>
            <w:r>
              <w:rPr>
                <w:rFonts w:eastAsia="宋体"/>
                <w:sz w:val="22"/>
                <w:szCs w:val="22"/>
                <w:lang w:val="de-DE" w:eastAsia="zh-CN"/>
              </w:rPr>
              <w:t>A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UE may assume t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he ratio of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NPBCH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EPRE to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RS EPRE among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NPBCH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REs (not applicable to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NPBCH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REs with zero EPRE)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>
            <w:pPr>
              <w:rPr>
                <w:rFonts w:eastAsia="宋体"/>
                <w:sz w:val="22"/>
                <w:szCs w:val="22"/>
                <w:lang w:val="de-DE" w:eastAsia="zh-CN"/>
              </w:rPr>
            </w:pPr>
            <w:r>
              <w:rPr>
                <w:rFonts w:eastAsia="宋体"/>
                <w:sz w:val="22"/>
                <w:szCs w:val="22"/>
                <w:lang w:val="de-DE" w:eastAsia="zh-CN"/>
              </w:rPr>
              <w:t>A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UE may assume t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he ratio of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NPDCCH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EPRE to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RS EPRE among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NPDCCH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REs (not applicable to 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>NPDCCH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REs with zero EPRE)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>
            <w:pPr>
              <w:rPr>
                <w:rFonts w:eastAsia="宋体"/>
                <w:sz w:val="22"/>
                <w:szCs w:val="22"/>
                <w:lang w:val="de-DE" w:eastAsia="zh-CN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If higher layer parameter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operationModeInfo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indicates '00'</w:t>
            </w:r>
            <w:ins w:id="0" w:author="Ericsson" w:date="2021-06-08T21:23:00Z">
              <w:r>
                <w:rPr>
                  <w:rFonts w:eastAsia="Calibri"/>
                  <w:sz w:val="22"/>
                  <w:szCs w:val="22"/>
                  <w:lang w:val="de-DE"/>
                </w:rPr>
                <w:t xml:space="preserve">, and when the higher layer parameter </w:t>
              </w:r>
            </w:ins>
            <w:ins w:id="1" w:author="Ericsson" w:date="2021-06-08T21:23:00Z">
              <w:r>
                <w:rPr>
                  <w:rFonts w:eastAsia="Calibri"/>
                  <w:i/>
                  <w:iCs/>
                  <w:sz w:val="22"/>
                  <w:szCs w:val="22"/>
                  <w:lang w:val="de-DE"/>
                </w:rPr>
                <w:t>inbandCarrierInfo</w:t>
              </w:r>
            </w:ins>
            <w:ins w:id="2" w:author="Ericsson" w:date="2021-06-08T21:23:00Z">
              <w:r>
                <w:rPr>
                  <w:rFonts w:eastAsia="Calibri"/>
                  <w:sz w:val="22"/>
                  <w:szCs w:val="22"/>
                  <w:lang w:val="de-DE"/>
                </w:rPr>
                <w:t xml:space="preserve"> is present</w:t>
              </w:r>
            </w:ins>
            <w:r>
              <w:rPr>
                <w:rFonts w:eastAsia="Calibri"/>
                <w:sz w:val="22"/>
                <w:szCs w:val="22"/>
                <w:lang w:val="de-DE"/>
              </w:rPr>
              <w:t xml:space="preserve"> for a cell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 w:eastAsia="宋体"/>
                <w:i/>
                <w:sz w:val="22"/>
                <w:szCs w:val="22"/>
                <w:lang w:val="de-DE" w:eastAsia="zh-CN"/>
              </w:rPr>
              <w:t>nrs-CRS-</w:t>
            </w:r>
            <w:r>
              <w:rPr>
                <w:rFonts w:eastAsia="宋体"/>
                <w:i/>
                <w:sz w:val="22"/>
                <w:szCs w:val="22"/>
                <w:lang w:val="de-DE" w:eastAsia="zh-CN"/>
              </w:rPr>
              <w:t>PowerOffset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if the parameter </w:t>
            </w:r>
            <w:r>
              <w:rPr>
                <w:rFonts w:hint="eastAsia" w:eastAsia="Calibri"/>
                <w:i/>
                <w:sz w:val="22"/>
                <w:szCs w:val="22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2"/>
                <w:szCs w:val="22"/>
                <w:lang w:val="de-DE" w:eastAsia="zh-CN"/>
              </w:rPr>
              <w:t>PowerOffset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is provided by higher layers, and the ratio of NRS EPRE to CRS EPRE </w:t>
            </w:r>
            <w:r>
              <w:rPr>
                <w:rFonts w:eastAsia="宋体"/>
                <w:sz w:val="22"/>
                <w:szCs w:val="22"/>
                <w:lang w:val="de-DE" w:eastAsia="zh-CN"/>
              </w:rPr>
              <w:t>may be assumed to be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0 dB if the parameter </w:t>
            </w:r>
            <w:r>
              <w:rPr>
                <w:rFonts w:hint="eastAsia" w:eastAsia="Calibri"/>
                <w:i/>
                <w:sz w:val="22"/>
                <w:szCs w:val="22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2"/>
                <w:szCs w:val="22"/>
                <w:lang w:val="de-DE" w:eastAsia="zh-CN"/>
              </w:rPr>
              <w:t>PowerOffset</w:t>
            </w:r>
            <w:r>
              <w:rPr>
                <w:rFonts w:hint="eastAsia" w:eastAsia="宋体"/>
                <w:sz w:val="22"/>
                <w:szCs w:val="22"/>
                <w:lang w:val="de-DE" w:eastAsia="zh-CN"/>
              </w:rPr>
              <w:t xml:space="preserve"> is not provided by higher layers.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 If </w:t>
            </w:r>
            <w:r>
              <w:rPr>
                <w:rFonts w:eastAsia="Calibri"/>
                <w:i/>
                <w:sz w:val="22"/>
                <w:szCs w:val="22"/>
                <w:lang w:val="de-DE" w:eastAsia="zh-CN"/>
              </w:rPr>
              <w:t>nrs-CRS-PowerOffset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rFonts w:eastAsia="Calibri"/>
                <w:i/>
                <w:sz w:val="22"/>
                <w:szCs w:val="22"/>
                <w:lang w:val="de-DE" w:eastAsia="zh-CN"/>
              </w:rPr>
              <w:t>nrs-Power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 is 0.23 dBm higher than indicated.</w:t>
            </w:r>
          </w:p>
          <w:p>
            <w:pPr>
              <w:jc w:val="both"/>
              <w:rPr>
                <w:rFonts w:ascii="Arial" w:hAnsi="Arial" w:eastAsia="Calibri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eastAsia="Calibri" w:cs="Arial"/>
                <w:sz w:val="22"/>
                <w:szCs w:val="22"/>
                <w:lang w:val="de-DE"/>
              </w:rPr>
              <w:t xml:space="preserve"> Text End </w:t>
            </w: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------------------------------------------------------------</w:t>
            </w:r>
          </w:p>
        </w:tc>
      </w:tr>
    </w:tbl>
    <w:p>
      <w:pPr>
        <w:jc w:val="both"/>
        <w:rPr>
          <w:rFonts w:ascii="Arial" w:hAnsi="Arial" w:cs="Arial"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16"/>
        <w:gridCol w:w="6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 TS 36.213 clause 16.2.2?</w:t>
            </w:r>
          </w:p>
        </w:tc>
        <w:tc>
          <w:tcPr>
            <w:tcW w:w="6111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Lenovo</w:t>
            </w:r>
            <w:r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  <w:t>,MotoM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We understand the motivation of the CR. Please correct my understanding</w:t>
            </w:r>
          </w:p>
          <w:p>
            <w:pPr>
              <w:keepNext/>
              <w:keepLines/>
              <w:rPr>
                <w:rFonts w:eastAsia="Calibri" w:asciiTheme="minorHAnsi" w:hAnsiTheme="minorHAnsi"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NRS </w:t>
            </w:r>
            <w:r>
              <w:rPr>
                <w:rFonts w:eastAsia="Calibri" w:asciiTheme="minorHAnsi" w:hAnsiTheme="minorHAnsi"/>
                <w:sz w:val="22"/>
                <w:szCs w:val="22"/>
                <w:lang w:val="de-DE"/>
              </w:rPr>
              <w:t xml:space="preserve">EPRE in anchor carriers is deteremined by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lang w:val="de-DE"/>
              </w:rPr>
              <w:t>nrs-Power.</w:t>
            </w:r>
          </w:p>
          <w:p>
            <w:pPr>
              <w:keepNext/>
              <w:keepLines/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NRS </w:t>
            </w:r>
            <w:r>
              <w:rPr>
                <w:rFonts w:eastAsia="Calibri" w:asciiTheme="minorHAnsi" w:hAnsiTheme="minorHAnsi"/>
                <w:sz w:val="22"/>
                <w:szCs w:val="22"/>
                <w:lang w:val="de-DE"/>
              </w:rPr>
              <w:t xml:space="preserve">EPRE in non-anchor carriers is deteremined by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lang w:val="de-DE"/>
              </w:rPr>
              <w:t>nrs-Power+ nrs-PowerOffsetNonAnchor.</w:t>
            </w:r>
          </w:p>
          <w:p>
            <w:pPr>
              <w:keepNext/>
              <w:keepLines/>
              <w:rPr>
                <w:rFonts w:eastAsia="Calibri" w:asciiTheme="minorHAnsi" w:hAnsiTheme="minorHAnsi"/>
                <w:i/>
                <w:sz w:val="22"/>
                <w:szCs w:val="22"/>
                <w:lang w:val="de-DE" w:eastAsia="zh-CN"/>
              </w:rPr>
            </w:pPr>
            <w:r>
              <w:rPr>
                <w:rFonts w:eastAsia="宋体" w:asciiTheme="minorHAnsi" w:hAnsiTheme="minorHAnsi"/>
                <w:sz w:val="22"/>
                <w:szCs w:val="22"/>
                <w:lang w:val="de-DE" w:eastAsia="zh-CN"/>
              </w:rPr>
              <w:t xml:space="preserve">In anchor carrier,  the ratio of NRS EPRE to CRS EPRE is deteremined by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lang w:val="de-DE" w:eastAsia="zh-CN"/>
              </w:rPr>
              <w:t xml:space="preserve">nrs-CRS-PowerOffset,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highlight w:val="yellow"/>
                <w:lang w:val="de-DE" w:eastAsia="zh-CN"/>
              </w:rPr>
              <w:t xml:space="preserve">so the CRS EPRE is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highlight w:val="yellow"/>
                <w:lang w:val="de-DE"/>
              </w:rPr>
              <w:t>nrs-Power+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lang w:val="de-DE" w:eastAsia="zh-CN"/>
              </w:rPr>
              <w:t>.</w:t>
            </w:r>
          </w:p>
          <w:p>
            <w:pPr>
              <w:keepNext/>
              <w:keepLines/>
              <w:rPr>
                <w:rFonts w:eastAsia="等线" w:asciiTheme="minorHAnsi" w:hAnsiTheme="minorHAnsi"/>
                <w:i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If in non-anchor carrier, the </w:t>
            </w:r>
            <w:r>
              <w:rPr>
                <w:rFonts w:eastAsia="宋体" w:asciiTheme="minorHAnsi" w:hAnsiTheme="minorHAnsi"/>
                <w:sz w:val="22"/>
                <w:szCs w:val="22"/>
                <w:lang w:val="de-DE" w:eastAsia="zh-CN"/>
              </w:rPr>
              <w:t xml:space="preserve">ratio of NRS EPRE to CRS EPRE is deteremined is deteremined by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lang w:val="de-DE" w:eastAsia="zh-CN"/>
              </w:rPr>
              <w:t xml:space="preserve">nrs-CRS-PowerOffset,, so the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highlight w:val="yellow"/>
                <w:lang w:val="de-DE" w:eastAsia="zh-CN"/>
              </w:rPr>
              <w:t xml:space="preserve">CRS EPRE is 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highlight w:val="yellow"/>
                <w:lang w:val="de-DE"/>
              </w:rPr>
              <w:t>nrs-Power+ nrs-PowerOffsetNonAnchor +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eastAsia="Calibri" w:asciiTheme="minorHAnsi" w:hAnsiTheme="minorHAnsi"/>
                <w:i/>
                <w:sz w:val="22"/>
                <w:szCs w:val="22"/>
                <w:lang w:val="de-DE" w:eastAsia="zh-CN"/>
              </w:rPr>
              <w:t>.</w:t>
            </w:r>
          </w:p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In inband+inband deployment, do you mean the two CRS has different power configuration?</w:t>
            </w: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 xml:space="preserve"> </w:t>
            </w:r>
          </w:p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</w:p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If so, we can follow the Rel.16 spec as</w:t>
            </w:r>
          </w:p>
          <w:p>
            <w:pPr>
              <w:rPr>
                <w:rFonts w:eastAsia="宋体"/>
                <w:sz w:val="20"/>
                <w:szCs w:val="20"/>
                <w:lang w:val="de-DE" w:eastAsia="zh-CN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 xml:space="preserve">If higher layer parameter </w:t>
            </w:r>
            <w:r>
              <w:rPr>
                <w:rFonts w:eastAsia="Calibri"/>
                <w:i/>
                <w:iCs/>
                <w:sz w:val="20"/>
                <w:szCs w:val="20"/>
                <w:lang w:val="de-DE"/>
              </w:rPr>
              <w:t>operationModeInfo</w: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 indicates '00' </w:t>
            </w:r>
            <w:r>
              <w:rPr>
                <w:rFonts w:hint="eastAsia" w:eastAsia="MS Mincho"/>
                <w:sz w:val="20"/>
                <w:szCs w:val="20"/>
                <w:highlight w:val="yellow"/>
                <w:lang w:val="de-DE"/>
              </w:rPr>
              <w:t xml:space="preserve">or </w:t>
            </w:r>
            <w:r>
              <w:rPr>
                <w:rFonts w:eastAsia="MS Mincho"/>
                <w:i/>
                <w:sz w:val="20"/>
                <w:szCs w:val="20"/>
                <w:highlight w:val="yellow"/>
                <w:lang w:val="de-DE"/>
              </w:rPr>
              <w:t>samePCI-Indicator</w:t>
            </w:r>
            <w:r>
              <w:rPr>
                <w:rFonts w:hint="eastAsia" w:eastAsia="MS Mincho"/>
                <w:sz w:val="20"/>
                <w:szCs w:val="20"/>
                <w:highlight w:val="yellow"/>
                <w:lang w:val="de-DE"/>
              </w:rPr>
              <w:t xml:space="preserve"> indicate</w:t>
            </w:r>
            <w:r>
              <w:rPr>
                <w:rFonts w:eastAsia="MS Mincho"/>
                <w:sz w:val="20"/>
                <w:szCs w:val="20"/>
                <w:highlight w:val="yellow"/>
                <w:lang w:val="de-DE"/>
              </w:rPr>
              <w:t>s</w:t>
            </w:r>
            <w:r>
              <w:rPr>
                <w:rFonts w:hint="eastAsia" w:eastAsia="MS Mincho"/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'</w:t>
            </w:r>
            <w:r>
              <w:rPr>
                <w:rFonts w:eastAsia="Calibri"/>
                <w:i/>
                <w:sz w:val="20"/>
                <w:szCs w:val="20"/>
                <w:highlight w:val="yellow"/>
                <w:lang w:val="de-DE"/>
              </w:rPr>
              <w:t>samePCI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' for a cell</w:t>
            </w:r>
            <w:r>
              <w:rPr>
                <w:rFonts w:hint="eastAsia" w:eastAsia="宋体"/>
                <w:sz w:val="20"/>
                <w:szCs w:val="20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 w:eastAsia="宋体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宋体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 w:eastAsia="宋体"/>
                <w:sz w:val="20"/>
                <w:szCs w:val="20"/>
                <w:lang w:val="de-DE" w:eastAsia="zh-CN"/>
              </w:rPr>
              <w:t xml:space="preserve"> if the parameter </w:t>
            </w:r>
            <w:r>
              <w:rPr>
                <w:rFonts w:hint="eastAsia" w:eastAsia="Calibri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 w:eastAsia="宋体"/>
                <w:sz w:val="20"/>
                <w:szCs w:val="20"/>
                <w:lang w:val="de-DE" w:eastAsia="zh-CN"/>
              </w:rPr>
              <w:t xml:space="preserve"> is provided by higher layers, and the ratio of NRS EPRE to CRS EPRE </w:t>
            </w:r>
            <w:r>
              <w:rPr>
                <w:rFonts w:eastAsia="宋体"/>
                <w:sz w:val="20"/>
                <w:szCs w:val="20"/>
                <w:lang w:val="de-DE" w:eastAsia="zh-CN"/>
              </w:rPr>
              <w:t>may be assumed to be</w:t>
            </w:r>
            <w:r>
              <w:rPr>
                <w:rFonts w:hint="eastAsia" w:eastAsia="宋体"/>
                <w:sz w:val="20"/>
                <w:szCs w:val="20"/>
                <w:lang w:val="de-DE" w:eastAsia="zh-CN"/>
              </w:rPr>
              <w:t xml:space="preserve"> 0 dB if the parameter </w:t>
            </w:r>
            <w:r>
              <w:rPr>
                <w:rFonts w:hint="eastAsia" w:eastAsia="Calibri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 w:eastAsia="宋体"/>
                <w:sz w:val="20"/>
                <w:szCs w:val="20"/>
                <w:lang w:val="de-DE" w:eastAsia="zh-CN"/>
              </w:rPr>
              <w:t xml:space="preserve"> is not provided by higher layers.</w:t>
            </w:r>
            <w:r>
              <w:rPr>
                <w:rFonts w:eastAsia="Calibri"/>
                <w:sz w:val="20"/>
                <w:szCs w:val="20"/>
                <w:lang w:val="de-DE" w:eastAsia="zh-CN"/>
              </w:rPr>
              <w:t xml:space="preserve"> If 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nrs-CRS-PowerOffset</w:t>
            </w:r>
            <w:r>
              <w:rPr>
                <w:rFonts w:eastAsia="Calibri"/>
                <w:sz w:val="20"/>
                <w:szCs w:val="20"/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eastAsia="Calibri"/>
                <w:sz w:val="20"/>
                <w:szCs w:val="20"/>
                <w:lang w:val="de-DE" w:eastAsia="zh-CN"/>
              </w:rPr>
              <w:t xml:space="preserve"> is 0.23 dBm higher than indicated.</w:t>
            </w:r>
          </w:p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en-GB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en-GB" w:eastAsia="zh-CN"/>
              </w:rPr>
              <w:t>Qualcomm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iCs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Probably we need to discuss a bit more. If we have several in-band carriers (same PCI), our understanding is that the CRS EPRE will be constant for the whole set of carriers. Then, if </w:t>
            </w:r>
            <w:r>
              <w:rPr>
                <w:rFonts w:hint="eastAsia" w:eastAsia="Calibri"/>
                <w:i/>
                <w:sz w:val="22"/>
                <w:szCs w:val="22"/>
                <w:lang w:val="de-DE"/>
              </w:rPr>
              <w:t>nrs-Power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>Offset</w:t>
            </w:r>
            <w:r>
              <w:rPr>
                <w:rFonts w:hint="eastAsia" w:eastAsia="Calibri"/>
                <w:i/>
                <w:sz w:val="22"/>
                <w:szCs w:val="22"/>
                <w:lang w:val="de-DE"/>
              </w:rPr>
              <w:t>NonAnchor</w:t>
            </w:r>
            <w:r>
              <w:rPr>
                <w:rFonts w:eastAsia="Calibri"/>
                <w:iCs/>
                <w:sz w:val="22"/>
                <w:szCs w:val="22"/>
                <w:lang w:val="de-DE"/>
              </w:rPr>
              <w:t xml:space="preserve"> is configured, the NRS to CRS ratio cannot be constant across carriers.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>H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uawei, HiSilicon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N</w:t>
            </w: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 xml:space="preserve">ot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OK</w:t>
            </w: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</w:t>
            </w: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 xml:space="preserve">imilar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to the comments of Lenovo and QC, the power of CRS should be constant within the LTE band, the change seems to be unnecessary.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top"/>
          </w:tcPr>
          <w:p>
            <w:pPr>
              <w:keepNext/>
              <w:keepLines/>
              <w:rPr>
                <w:rFonts w:hint="eastAsia"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en-US" w:eastAsia="zh-CN"/>
              </w:rPr>
              <w:t>ZTE, Sanechips</w:t>
            </w:r>
          </w:p>
        </w:tc>
        <w:tc>
          <w:tcPr>
            <w:tcW w:w="1916" w:type="dxa"/>
            <w:vAlign w:val="top"/>
          </w:tcPr>
          <w:p>
            <w:pPr>
              <w:keepNext/>
              <w:keepLines/>
              <w:jc w:val="center"/>
              <w:rPr>
                <w:rFonts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</w:p>
        </w:tc>
        <w:tc>
          <w:tcPr>
            <w:tcW w:w="6111" w:type="dxa"/>
            <w:vAlign w:val="top"/>
          </w:tcPr>
          <w:p>
            <w:pPr>
              <w:keepNext/>
              <w:keepLines/>
              <w:rPr>
                <w:rFonts w:eastAsia="Calibri"/>
                <w:iCs/>
                <w:sz w:val="22"/>
                <w:szCs w:val="22"/>
                <w:lang w:val="de-DE"/>
              </w:rPr>
            </w:pPr>
            <w:r>
              <w:rPr>
                <w:rFonts w:hint="eastAsia" w:eastAsia="Calibri"/>
                <w:i w:val="0"/>
                <w:iCs/>
                <w:sz w:val="22"/>
                <w:szCs w:val="22"/>
                <w:lang w:val="en-US" w:eastAsia="zh-CN"/>
              </w:rPr>
              <w:t xml:space="preserve">We show similar view with Qualcomm and a further discussion is needed. From our understanding, the CRS EPRE can be obtained according to </w:t>
            </w:r>
            <w:r>
              <w:rPr>
                <w:rFonts w:hint="eastAsia" w:eastAsia="Calibri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 w:eastAsia="Calibri"/>
                <w:i/>
                <w:sz w:val="20"/>
                <w:szCs w:val="20"/>
                <w:lang w:val="en-US" w:eastAsia="zh-CN"/>
              </w:rPr>
              <w:t xml:space="preserve"> +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hint="eastAsia" w:eastAsia="Calibri"/>
                <w:i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 w:eastAsia="Calibri"/>
                <w:i w:val="0"/>
                <w:iCs/>
                <w:sz w:val="20"/>
                <w:szCs w:val="20"/>
                <w:lang w:val="en-US" w:eastAsia="zh-CN"/>
              </w:rPr>
              <w:t>and f</w:t>
            </w:r>
            <w:r>
              <w:rPr>
                <w:rFonts w:hint="eastAsia" w:eastAsia="Calibri"/>
                <w:i w:val="0"/>
                <w:iCs/>
                <w:sz w:val="22"/>
                <w:szCs w:val="22"/>
                <w:lang w:val="en-US" w:eastAsia="zh-CN"/>
              </w:rPr>
              <w:t xml:space="preserve">or non-anchor carrier, the power ration between CRS and NRS can be derived by CRS EPRE and NRS EPRE determined by 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hint="eastAsia" w:eastAsia="Calibri"/>
                <w:i/>
                <w:sz w:val="20"/>
                <w:szCs w:val="20"/>
                <w:lang w:val="en-US" w:eastAsia="zh-CN"/>
              </w:rPr>
              <w:t>+nrs-PowerOffsetNonAnchor.</w:t>
            </w:r>
            <w:r>
              <w:rPr>
                <w:rFonts w:eastAsia="Calibri"/>
                <w:iCs/>
                <w:sz w:val="22"/>
                <w:szCs w:val="22"/>
                <w:lang w:val="de-DE"/>
              </w:rPr>
              <w:t xml:space="preserve"> </w:t>
            </w:r>
          </w:p>
          <w:p>
            <w:pPr>
              <w:keepNext/>
              <w:keepLines/>
              <w:rPr>
                <w:rFonts w:hint="default" w:ascii="Times New Roman" w:hAnsi="Times New Roman" w:eastAsia="Calibri" w:cs="Times New Roman"/>
                <w:iCs/>
                <w:sz w:val="22"/>
                <w:szCs w:val="22"/>
                <w:lang w:val="de-DE" w:eastAsia="zh-CN" w:bidi="ar-SA"/>
              </w:rPr>
            </w:pPr>
            <w:r>
              <w:rPr>
                <w:rFonts w:hint="eastAsia" w:eastAsia="Calibri"/>
                <w:i w:val="0"/>
                <w:iCs/>
                <w:sz w:val="22"/>
                <w:szCs w:val="22"/>
                <w:lang w:val="en-US" w:eastAsia="zh-CN"/>
              </w:rPr>
              <w:t>It is seen that t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he parameter </w:t>
            </w:r>
            <w:r>
              <w:rPr>
                <w:rFonts w:hint="eastAsia" w:eastAsia="Calibri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rFonts w:eastAsia="Calibri"/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 w:eastAsia="Calibri"/>
                <w:i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Calibri"/>
                <w:i w:val="0"/>
                <w:iCs/>
                <w:sz w:val="22"/>
                <w:szCs w:val="22"/>
                <w:lang w:val="en-US" w:eastAsia="zh-CN"/>
              </w:rPr>
              <w:t>is not needed for non-anchor carrier and this parameter can be only applied on anchor carrier.</w:t>
            </w:r>
          </w:p>
        </w:tc>
      </w:tr>
    </w:tbl>
    <w:p>
      <w:pPr>
        <w:jc w:val="both"/>
        <w:rPr>
          <w:rFonts w:ascii="Arial" w:hAnsi="Arial" w:cs="Arial"/>
        </w:rPr>
      </w:pPr>
    </w:p>
    <w:p>
      <w:pPr>
        <w:pStyle w:val="4"/>
      </w:pPr>
      <w:r>
        <w:t>2.1.2</w:t>
      </w:r>
      <w:r>
        <w:tab/>
      </w:r>
      <w:r>
        <w:t>Rel-13: TS 36.213, clause 16.4.1.4 NPDSCH starting position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5"/>
              <w:outlineLvl w:val="3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 w:cs="Arial"/>
                <w:szCs w:val="22"/>
                <w:highlight w:val="yellow"/>
                <w:lang w:val="de-DE"/>
              </w:rPr>
              <w:t>--------------------------------------------------</w:t>
            </w:r>
            <w:r>
              <w:rPr>
                <w:rFonts w:eastAsia="Calibri" w:cs="Arial"/>
                <w:szCs w:val="22"/>
                <w:lang w:val="de-DE"/>
              </w:rPr>
              <w:t xml:space="preserve"> Text Start </w:t>
            </w:r>
            <w:r>
              <w:rPr>
                <w:rFonts w:eastAsia="Calibri" w:cs="Arial"/>
                <w:szCs w:val="22"/>
                <w:highlight w:val="yellow"/>
                <w:lang w:val="de-DE"/>
              </w:rPr>
              <w:t>-----------------------------------------------------</w:t>
            </w:r>
          </w:p>
          <w:p>
            <w:pPr>
              <w:pStyle w:val="5"/>
              <w:outlineLvl w:val="3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/>
                <w:szCs w:val="22"/>
                <w:lang w:val="de-DE"/>
              </w:rPr>
              <w:t>16.4.1.4</w:t>
            </w:r>
            <w:r>
              <w:rPr>
                <w:rFonts w:eastAsia="Calibri"/>
                <w:szCs w:val="22"/>
                <w:lang w:val="de-DE"/>
              </w:rPr>
              <w:tab/>
            </w:r>
            <w:r>
              <w:rPr>
                <w:rFonts w:eastAsia="Calibri"/>
                <w:szCs w:val="22"/>
                <w:lang w:val="de-DE"/>
              </w:rPr>
              <w:t>NPDSCH starting position</w:t>
            </w:r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The starting OFDM symbol for NPDSCH is given by index </w:t>
            </w:r>
            <w:r>
              <w:rPr>
                <w:rFonts w:eastAsia="Calibri"/>
                <w:position w:val="-10"/>
                <w:sz w:val="22"/>
                <w:szCs w:val="22"/>
                <w:lang w:val="en-US" w:eastAsia="zh-CN"/>
              </w:rPr>
              <w:drawing>
                <wp:inline distT="0" distB="0" distL="0" distR="0">
                  <wp:extent cx="45720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in the first slot in a subframe </w:t>
            </w:r>
            <w:r>
              <w:rPr>
                <w:rFonts w:eastAsia="Times New Roman"/>
                <w:position w:val="-6"/>
                <w:sz w:val="20"/>
                <w:szCs w:val="20"/>
                <w:lang w:val="en-GB"/>
              </w:rPr>
              <w:object>
                <v:shape id="_x0000_i1025" o:spt="75" type="#_x0000_t75" style="height:14.5pt;width:7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and is determined as follows</w:t>
            </w:r>
          </w:p>
          <w:p>
            <w:pPr>
              <w:pStyle w:val="69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MS Mincho"/>
                <w:sz w:val="22"/>
                <w:szCs w:val="22"/>
                <w:lang w:val="de-DE"/>
              </w:rPr>
              <w:t>-</w:t>
            </w:r>
            <w:r>
              <w:rPr>
                <w:rFonts w:eastAsia="MS Mincho"/>
                <w:sz w:val="22"/>
                <w:szCs w:val="22"/>
                <w:lang w:val="de-DE"/>
              </w:rPr>
              <w:tab/>
            </w:r>
            <w:r>
              <w:rPr>
                <w:rFonts w:eastAsia="MS Mincho"/>
                <w:sz w:val="22"/>
                <w:szCs w:val="22"/>
                <w:lang w:val="de-DE"/>
              </w:rPr>
              <w:t xml:space="preserve">if subframe </w:t>
            </w:r>
            <w:r>
              <w:rPr>
                <w:rFonts w:eastAsia="Calibri"/>
                <w:position w:val="-6"/>
                <w:sz w:val="22"/>
                <w:szCs w:val="22"/>
                <w:lang w:val="en-US"/>
              </w:rPr>
              <w:drawing>
                <wp:inline distT="0" distB="0" distL="0" distR="0">
                  <wp:extent cx="9525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is a subframe used for receiving SIB1-NB</w:t>
            </w:r>
          </w:p>
          <w:p>
            <w:pPr>
              <w:pStyle w:val="7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-</w:t>
            </w:r>
            <w:r>
              <w:rPr>
                <w:rFonts w:eastAsia="Calibri"/>
                <w:sz w:val="22"/>
                <w:szCs w:val="22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>
                <v:shape id="_x0000_i1026" o:spt="75" type="#_x0000_t75" style="height:14.5pt;width:51.0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0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>operationModeInfo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is set to ‚00‘ or ‚01‘</w:t>
            </w:r>
            <w:ins w:id="3" w:author="Ericsson" w:date="2021-06-08T21:28:00Z">
              <w:r>
                <w:rPr>
                  <w:rFonts w:eastAsia="Calibri"/>
                  <w:sz w:val="22"/>
                  <w:szCs w:val="22"/>
                  <w:lang w:val="de-DE"/>
                </w:rPr>
                <w:t xml:space="preserve">, and when the higher layer parameter </w:t>
              </w:r>
            </w:ins>
            <w:ins w:id="4" w:author="Ericsson" w:date="2021-06-08T21:28:00Z">
              <w:r>
                <w:rPr>
                  <w:rFonts w:eastAsia="Calibri"/>
                  <w:i/>
                  <w:iCs/>
                  <w:sz w:val="22"/>
                  <w:szCs w:val="22"/>
                  <w:lang w:val="de-DE"/>
                </w:rPr>
                <w:t>inbandCarrierInfo</w:t>
              </w:r>
            </w:ins>
            <w:ins w:id="5" w:author="Ericsson" w:date="2021-06-08T21:28:00Z">
              <w:r>
                <w:rPr>
                  <w:rFonts w:eastAsia="Calibri"/>
                  <w:sz w:val="22"/>
                  <w:szCs w:val="22"/>
                  <w:lang w:val="de-DE"/>
                </w:rPr>
                <w:t xml:space="preserve"> is present</w:t>
              </w:r>
            </w:ins>
          </w:p>
          <w:p>
            <w:pPr>
              <w:pStyle w:val="7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-</w:t>
            </w:r>
            <w:r>
              <w:rPr>
                <w:rFonts w:eastAsia="Calibri"/>
                <w:sz w:val="22"/>
                <w:szCs w:val="22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>
                <v:shape id="_x0000_i1027" o:spt="75" type="#_x0000_t75" style="height:14.5pt;width:50.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2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/>
              </w:rPr>
              <w:t>otherwise</w:t>
            </w:r>
          </w:p>
          <w:p>
            <w:pPr>
              <w:pStyle w:val="69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宋体"/>
                <w:sz w:val="22"/>
                <w:szCs w:val="22"/>
                <w:lang w:val="de-DE"/>
              </w:rPr>
              <w:t>-</w:t>
            </w:r>
            <w:r>
              <w:rPr>
                <w:rFonts w:eastAsia="宋体"/>
                <w:sz w:val="22"/>
                <w:szCs w:val="22"/>
                <w:lang w:val="de-DE"/>
              </w:rPr>
              <w:tab/>
            </w:r>
            <w:r>
              <w:rPr>
                <w:rFonts w:hint="eastAsia" w:eastAsia="宋体"/>
                <w:sz w:val="22"/>
                <w:szCs w:val="22"/>
                <w:lang w:val="de-DE"/>
              </w:rPr>
              <w:t>else</w:t>
            </w:r>
          </w:p>
          <w:p>
            <w:pPr>
              <w:pStyle w:val="7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-</w:t>
            </w:r>
            <w:r>
              <w:rPr>
                <w:rFonts w:eastAsia="Calibri"/>
                <w:sz w:val="22"/>
                <w:szCs w:val="22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>
                <v:shape id="_x0000_i1028" o:spt="75" type="#_x0000_t75" style="height:14.5pt;width:36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4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is given by the higher layer parameter </w:t>
            </w:r>
            <w:r>
              <w:rPr>
                <w:rFonts w:eastAsia="Calibri"/>
                <w:i/>
                <w:sz w:val="22"/>
                <w:szCs w:val="22"/>
                <w:lang w:val="en-US"/>
              </w:rPr>
              <w:t xml:space="preserve">eutraControlRegionSize 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sz w:val="22"/>
                <w:szCs w:val="22"/>
                <w:lang w:val="en-US"/>
              </w:rPr>
              <w:t>eutraControlRegionSize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is present</w:t>
            </w:r>
          </w:p>
          <w:p>
            <w:pPr>
              <w:pStyle w:val="7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-</w:t>
            </w:r>
            <w:r>
              <w:rPr>
                <w:rFonts w:eastAsia="Calibri"/>
                <w:sz w:val="22"/>
                <w:szCs w:val="22"/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>
                <v:shape id="_x0000_i1029" o:spt="75" type="#_x0000_t75" style="height:14.5pt;width:50.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6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/>
              </w:rPr>
              <w:t>otherwise</w:t>
            </w:r>
          </w:p>
          <w:p>
            <w:pPr>
              <w:jc w:val="both"/>
              <w:rPr>
                <w:rFonts w:ascii="Arial" w:hAnsi="Arial" w:eastAsia="Calibri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eastAsia="Calibri" w:cs="Arial"/>
                <w:sz w:val="22"/>
                <w:szCs w:val="22"/>
                <w:lang w:val="de-DE"/>
              </w:rPr>
              <w:t xml:space="preserve"> Text End </w:t>
            </w: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------------------------------------------------------------</w:t>
            </w:r>
          </w:p>
        </w:tc>
      </w:tr>
    </w:tbl>
    <w:p>
      <w:pPr>
        <w:jc w:val="both"/>
        <w:rPr>
          <w:rFonts w:ascii="Arial" w:hAnsi="Arial" w:cs="Arial"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16"/>
        <w:gridCol w:w="6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 TS 36.213 clause 16.4.1.4?</w:t>
            </w:r>
          </w:p>
        </w:tc>
        <w:tc>
          <w:tcPr>
            <w:tcW w:w="6111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Lenovo</w:t>
            </w:r>
            <w:r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  <w:t>,MotoM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If we want to specify the data start index for anchor carrier and non-anchor carrier separately, the logic AND is not correct. </w:t>
            </w: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>H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ow about the following CR</w:t>
            </w:r>
          </w:p>
          <w:p>
            <w:pPr>
              <w:keepNext/>
              <w:keepLines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>
                <v:shape id="_x0000_i1030" o:spt="75" type="#_x0000_t75" style="height:14.5pt;width:51.0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7">
                  <o:LockedField>false</o:LockedField>
                </o:OLEObject>
              </w:objec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 is set to ‚00‘ or ‚01‘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>
            <w:pPr>
              <w:keepNext/>
              <w:keepLines/>
              <w:rPr>
                <w:rFonts w:eastAsia="等线"/>
                <w:b/>
                <w:bCs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  <w:lang w:val="en-GB"/>
              </w:rPr>
              <w:object>
                <v:shape id="_x0000_i1031" o:spt="75" type="#_x0000_t75" style="height:14.5pt;width:51.0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8">
                  <o:LockedField>false</o:LockedField>
                </o:OLEObject>
              </w:objec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 indicates ‚</w:t>
            </w: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val="de-DE"/>
              </w:rPr>
              <w:t>samePCI-Indicator-r13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‘ for </w:t>
            </w:r>
            <w:r>
              <w:rPr>
                <w:rFonts w:eastAsia="Calibri"/>
                <w:sz w:val="20"/>
                <w:szCs w:val="20"/>
                <w:highlight w:val="yellow"/>
                <w:lang w:val="de-DE" w:eastAsia="zh-CN"/>
              </w:rPr>
              <w:t xml:space="preserve">a higher layer configured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Probably the </w:t>
            </w:r>
            <w:r>
              <w:rPr>
                <w:rFonts w:eastAsia="等线" w:asciiTheme="minorHAnsi" w:hAnsiTheme="minorHAnsi"/>
                <w:i/>
                <w:iCs/>
                <w:sz w:val="22"/>
                <w:szCs w:val="22"/>
                <w:lang w:val="de-DE" w:eastAsia="zh-CN"/>
              </w:rPr>
              <w:t>and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 should be </w:t>
            </w:r>
            <w:r>
              <w:rPr>
                <w:rFonts w:eastAsia="等线" w:asciiTheme="minorHAnsi" w:hAnsiTheme="minorHAnsi"/>
                <w:i/>
                <w:iCs/>
                <w:sz w:val="22"/>
                <w:szCs w:val="22"/>
                <w:lang w:val="de-DE" w:eastAsia="zh-CN"/>
              </w:rPr>
              <w:t>or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. We are not sure of the text from Lenovo, since even for in-band same PCI we should start in the 3rd symbol. Probably a text as follows would work:</w:t>
            </w:r>
          </w:p>
          <w:p>
            <w:pPr>
              <w:keepNext/>
              <w:keepLines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>
                <v:shape id="_x0000_i1032" o:spt="75" type="#_x0000_t75" style="height:14.5pt;width:51.0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9">
                  <o:LockedField>false</o:LockedField>
                </o:OLEObject>
              </w:objec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rFonts w:eastAsia="Calibri"/>
                <w:sz w:val="20"/>
                <w:szCs w:val="20"/>
                <w:lang w:val="de-DE"/>
              </w:rPr>
              <w:t xml:space="preserve"> is set to ‚00‘ or ‚01‘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>
            <w:pPr>
              <w:keepNext/>
              <w:keepLines/>
              <w:rPr>
                <w:rFonts w:eastAsia="等线" w:asciiTheme="minorHAnsi" w:hAnsiTheme="minorHAnsi"/>
                <w:i/>
                <w:iCs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  <w:lang w:val="en-GB"/>
              </w:rPr>
              <w:object>
                <v:shape id="_x0000_i1033" o:spt="75" type="#_x0000_t75" style="height:14.5pt;width:51.0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rFonts w:eastAsia="Calibri"/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rFonts w:eastAsia="Calibri"/>
                <w:color w:val="FF0000"/>
                <w:sz w:val="20"/>
                <w:szCs w:val="20"/>
                <w:highlight w:val="yellow"/>
                <w:lang w:val="de-DE"/>
              </w:rPr>
              <w:t>is configured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 xml:space="preserve"> for </w:t>
            </w:r>
            <w:r>
              <w:rPr>
                <w:rFonts w:eastAsia="Calibri"/>
                <w:sz w:val="20"/>
                <w:szCs w:val="20"/>
                <w:highlight w:val="yellow"/>
                <w:lang w:val="de-DE" w:eastAsia="zh-CN"/>
              </w:rPr>
              <w:t xml:space="preserve">a higher layer configured </w:t>
            </w:r>
            <w:r>
              <w:rPr>
                <w:rFonts w:eastAsia="Calibri"/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>Huawei,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 HiSilicon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N</w:t>
            </w: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 xml:space="preserve">ot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OK</w:t>
            </w: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 xml:space="preserve">This is for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SIB1 transmission, which should be in anchor carrier, therefore, the change is not needed.</w:t>
            </w:r>
          </w:p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</w:p>
          <w:p>
            <w:pPr>
              <w:keepNext/>
              <w:keepLines/>
              <w:ind w:left="400" w:leftChars="200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MS Mincho"/>
                <w:sz w:val="22"/>
                <w:szCs w:val="22"/>
                <w:lang w:val="de-DE"/>
              </w:rPr>
              <w:t xml:space="preserve">if subframe </w:t>
            </w:r>
            <w:r>
              <w:rPr>
                <w:rFonts w:eastAsia="Calibri"/>
                <w:position w:val="-6"/>
                <w:sz w:val="22"/>
                <w:szCs w:val="22"/>
                <w:lang w:val="en-US" w:eastAsia="zh-CN"/>
              </w:rPr>
              <w:drawing>
                <wp:inline distT="0" distB="0" distL="0" distR="0">
                  <wp:extent cx="95250" cy="180975"/>
                  <wp:effectExtent l="0" t="0" r="0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is a subframe </w:t>
            </w:r>
            <w:r>
              <w:rPr>
                <w:rFonts w:eastAsia="Calibri"/>
                <w:sz w:val="22"/>
                <w:szCs w:val="22"/>
                <w:highlight w:val="yellow"/>
                <w:lang w:val="de-DE"/>
              </w:rPr>
              <w:t>used for receiving SIB1-NB</w:t>
            </w:r>
          </w:p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top"/>
          </w:tcPr>
          <w:p>
            <w:pPr>
              <w:keepNext/>
              <w:keepLines/>
              <w:jc w:val="center"/>
              <w:rPr>
                <w:rFonts w:hint="eastAsia"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en-US" w:eastAsia="zh-CN"/>
              </w:rPr>
              <w:t>ZTE, Sanechips</w:t>
            </w:r>
          </w:p>
        </w:tc>
        <w:tc>
          <w:tcPr>
            <w:tcW w:w="1916" w:type="dxa"/>
            <w:vAlign w:val="top"/>
          </w:tcPr>
          <w:p>
            <w:pPr>
              <w:keepNext/>
              <w:keepLines/>
              <w:jc w:val="center"/>
              <w:rPr>
                <w:rFonts w:hint="default"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eastAsia="等线" w:cs="Times New Roman" w:asciiTheme="minorHAnsi" w:hAnsiTheme="minorHAnsi"/>
                <w:sz w:val="22"/>
                <w:szCs w:val="22"/>
                <w:lang w:val="en-US" w:eastAsia="zh-CN" w:bidi="ar-SA"/>
              </w:rPr>
              <w:t>N</w:t>
            </w:r>
          </w:p>
        </w:tc>
        <w:tc>
          <w:tcPr>
            <w:tcW w:w="6111" w:type="dxa"/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2"/>
                <w:szCs w:val="22"/>
                <w:lang w:val="de-DE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From our understanding, the description, 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“if subframe is a subframe used for receiving SIB1-NB”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, is used for anchor carrier. Therefore, this text proposal is not needed.</w:t>
            </w:r>
          </w:p>
        </w:tc>
      </w:tr>
    </w:tbl>
    <w:p>
      <w:pPr>
        <w:jc w:val="both"/>
        <w:rPr>
          <w:rFonts w:ascii="Arial" w:hAnsi="Arial" w:cs="Arial"/>
        </w:rPr>
      </w:pPr>
    </w:p>
    <w:p>
      <w:pPr>
        <w:pStyle w:val="4"/>
      </w:pPr>
      <w:r>
        <w:t>2.1.3</w:t>
      </w:r>
      <w:r>
        <w:tab/>
      </w:r>
      <w:r>
        <w:t xml:space="preserve">Rel-13: TS 36.213, clause 16.4.1.5.1 Transport blocks not mapped for </w:t>
      </w:r>
      <w:r>
        <w:rPr>
          <w:i/>
          <w:iCs/>
        </w:rPr>
        <w:t>SystemInformationBlockType1-NB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5"/>
              <w:outlineLvl w:val="3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 w:cs="Arial"/>
                <w:szCs w:val="22"/>
                <w:highlight w:val="yellow"/>
                <w:lang w:val="de-DE"/>
              </w:rPr>
              <w:t>--------------------------------------------------</w:t>
            </w:r>
            <w:r>
              <w:rPr>
                <w:rFonts w:eastAsia="Calibri" w:cs="Arial"/>
                <w:szCs w:val="22"/>
                <w:lang w:val="de-DE"/>
              </w:rPr>
              <w:t xml:space="preserve"> Text Start </w:t>
            </w:r>
            <w:r>
              <w:rPr>
                <w:rFonts w:eastAsia="Calibri" w:cs="Arial"/>
                <w:szCs w:val="22"/>
                <w:highlight w:val="yellow"/>
                <w:lang w:val="de-DE"/>
              </w:rPr>
              <w:t>-----------------------------------------------------</w:t>
            </w:r>
          </w:p>
          <w:p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 w:eastAsia="Calibri"/>
                <w:sz w:val="22"/>
                <w:szCs w:val="22"/>
                <w:lang w:val="de-DE" w:eastAsia="en-GB"/>
              </w:rPr>
            </w:pPr>
            <w:r>
              <w:rPr>
                <w:rFonts w:ascii="Arial" w:hAnsi="Arial" w:eastAsia="Calibri"/>
                <w:sz w:val="22"/>
                <w:szCs w:val="22"/>
                <w:lang w:val="de-DE" w:eastAsia="en-GB"/>
              </w:rPr>
              <w:t>16.4.1.5.1</w:t>
            </w:r>
            <w:r>
              <w:rPr>
                <w:rFonts w:ascii="Arial" w:hAnsi="Arial" w:eastAsia="Calibri"/>
                <w:sz w:val="22"/>
                <w:szCs w:val="22"/>
                <w:lang w:val="de-DE" w:eastAsia="en-GB"/>
              </w:rPr>
              <w:tab/>
            </w:r>
            <w:r>
              <w:rPr>
                <w:rFonts w:hint="eastAsia" w:ascii="Arial" w:hAnsi="Arial" w:eastAsia="Calibri"/>
                <w:sz w:val="22"/>
                <w:szCs w:val="22"/>
                <w:lang w:val="de-DE" w:eastAsia="en-GB"/>
              </w:rPr>
              <w:t>Transport blocks</w:t>
            </w:r>
            <w:r>
              <w:rPr>
                <w:rFonts w:ascii="Arial" w:hAnsi="Arial" w:eastAsia="Calibri"/>
                <w:sz w:val="22"/>
                <w:szCs w:val="22"/>
                <w:lang w:val="de-DE" w:eastAsia="en-GB"/>
              </w:rPr>
              <w:t xml:space="preserve"> not </w:t>
            </w:r>
            <w:r>
              <w:rPr>
                <w:rFonts w:hint="eastAsia" w:ascii="Arial" w:hAnsi="Arial" w:eastAsia="Calibri"/>
                <w:sz w:val="22"/>
                <w:szCs w:val="22"/>
                <w:lang w:val="de-DE" w:eastAsia="en-GB"/>
              </w:rPr>
              <w:t xml:space="preserve">mapped </w:t>
            </w:r>
            <w:r>
              <w:rPr>
                <w:rFonts w:ascii="Arial" w:hAnsi="Arial" w:eastAsia="Calibri"/>
                <w:sz w:val="22"/>
                <w:szCs w:val="22"/>
                <w:lang w:val="de-DE" w:eastAsia="en-GB"/>
              </w:rPr>
              <w:t xml:space="preserve">for </w:t>
            </w:r>
            <w:r>
              <w:rPr>
                <w:rFonts w:ascii="Arial" w:hAnsi="Arial" w:eastAsia="Calibri"/>
                <w:i/>
                <w:sz w:val="22"/>
                <w:szCs w:val="22"/>
                <w:lang w:val="de-DE" w:eastAsia="en-GB"/>
              </w:rPr>
              <w:t>SystemInformationBlockType1-NB</w:t>
            </w:r>
          </w:p>
          <w:p>
            <w:pPr>
              <w:rPr>
                <w:rFonts w:eastAsia="Calibri"/>
                <w:sz w:val="22"/>
                <w:szCs w:val="22"/>
                <w:lang w:val="de-DE" w:eastAsia="en-GB"/>
              </w:rPr>
            </w:pPr>
            <w:r>
              <w:rPr>
                <w:rFonts w:eastAsia="Calibri"/>
                <w:sz w:val="22"/>
                <w:szCs w:val="22"/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>
                <v:shape id="_x0000_i1034" o:spt="75" type="#_x0000_t75" style="height:14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1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>
                <v:shape id="_x0000_i1035" o:spt="75" type="#_x0000_t75" style="height:22pt;width:1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3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rFonts w:eastAsia="Calibri"/>
                <w:i/>
                <w:sz w:val="22"/>
                <w:szCs w:val="22"/>
                <w:lang w:val="de-DE" w:eastAsia="en-GB"/>
              </w:rPr>
              <w:t>operationModeInfo</w: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 xml:space="preserve"> set to '00' or '01'</w:t>
            </w:r>
            <w:ins w:id="6" w:author="Ericsson" w:date="2021-06-08T21:33:00Z">
              <w:r>
                <w:rPr>
                  <w:rFonts w:eastAsia="Calibri"/>
                  <w:sz w:val="22"/>
                  <w:szCs w:val="22"/>
                  <w:lang w:val="de-DE" w:eastAsia="en-GB"/>
                </w:rPr>
                <w:t xml:space="preserve">, and when the higher layer parameter </w:t>
              </w:r>
            </w:ins>
            <w:ins w:id="7" w:author="Ericsson" w:date="2021-06-08T21:33:00Z">
              <w:r>
                <w:rPr>
                  <w:rFonts w:eastAsia="Calibri"/>
                  <w:i/>
                  <w:iCs/>
                  <w:sz w:val="22"/>
                  <w:szCs w:val="22"/>
                  <w:lang w:val="de-DE" w:eastAsia="en-GB"/>
                </w:rPr>
                <w:t>inbandCarrierInfo</w:t>
              </w:r>
            </w:ins>
            <w:ins w:id="8" w:author="Ericsson" w:date="2021-06-08T21:33:00Z">
              <w:r>
                <w:rPr>
                  <w:rFonts w:eastAsia="Calibri"/>
                  <w:sz w:val="22"/>
                  <w:szCs w:val="22"/>
                  <w:lang w:val="de-DE" w:eastAsia="en-GB"/>
                </w:rPr>
                <w:t xml:space="preserve"> is present</w:t>
              </w:r>
            </w:ins>
            <w:r>
              <w:rPr>
                <w:rFonts w:eastAsia="Calibri"/>
                <w:sz w:val="22"/>
                <w:szCs w:val="22"/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>
                <v:shape id="_x0000_i1036" o:spt="75" type="#_x0000_t75" style="height:14pt;width:57.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5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>.</w:t>
            </w:r>
          </w:p>
          <w:p>
            <w:pPr>
              <w:rPr>
                <w:rFonts w:eastAsia="Calibri"/>
                <w:sz w:val="22"/>
                <w:szCs w:val="22"/>
                <w:lang w:val="de-DE" w:eastAsia="en-GB"/>
              </w:rPr>
            </w:pPr>
          </w:p>
          <w:p>
            <w:pPr>
              <w:keepNext/>
              <w:keepLines/>
              <w:spacing w:before="60"/>
              <w:jc w:val="center"/>
              <w:rPr>
                <w:rFonts w:ascii="Arial" w:hAnsi="Arial" w:eastAsia="Calibri"/>
                <w:b/>
                <w:sz w:val="22"/>
                <w:szCs w:val="22"/>
                <w:lang w:val="de-DE" w:eastAsia="en-GB"/>
              </w:rPr>
            </w:pPr>
            <w:r>
              <w:rPr>
                <w:rFonts w:ascii="Arial" w:hAnsi="Arial" w:eastAsia="Calibri"/>
                <w:b/>
                <w:sz w:val="22"/>
                <w:szCs w:val="22"/>
                <w:lang w:val="de-DE" w:eastAsia="en-GB"/>
              </w:rPr>
              <w:t>Table 16.4.1.5.1-1: Transport block size (TBS) table.</w:t>
            </w:r>
          </w:p>
          <w:tbl>
            <w:tblPr>
              <w:tblStyle w:val="51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6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vMerge w:val="restart"/>
                  <w:tcBorders>
                    <w:right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position w:val="-10"/>
                      <w:sz w:val="18"/>
                      <w:szCs w:val="18"/>
                      <w:lang w:eastAsia="en-US"/>
                    </w:rPr>
                    <w:object>
                      <v:shape id="_x0000_i1037" o:spt="75" type="#_x0000_t75" style="height:14pt;width:22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2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7" DrawAspect="Content" ObjectID="_1468075737" r:id="rId27">
                        <o:LockedField>false</o:LockedField>
                      </o:OLEObject>
                    </w:object>
                  </w:r>
                </w:p>
              </w:tc>
              <w:tc>
                <w:tcPr>
                  <w:tcW w:w="0" w:type="auto"/>
                  <w:gridSpan w:val="8"/>
                  <w:tcBorders>
                    <w:left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position w:val="-12"/>
                      <w:sz w:val="18"/>
                      <w:lang w:eastAsia="en-US"/>
                    </w:rPr>
                    <w:object>
                      <v:shape id="_x0000_i1038" o:spt="75" type="#_x0000_t75" style="height:22pt;width:14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4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38" DrawAspect="Content" ObjectID="_1468075738" r:id="rId28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vMerge w:val="continue"/>
                  <w:tcBorders>
                    <w:bottom w:val="double" w:color="auto" w:sz="4" w:space="0"/>
                    <w:right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left w:val="double" w:color="auto" w:sz="4" w:space="0"/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double" w:color="auto" w:sz="4" w:space="0"/>
                  </w:tcBorders>
                  <w:shd w:val="clear" w:color="auto" w:fill="E0E0E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top w:val="double" w:color="auto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344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552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472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536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296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456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616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376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left w:val="doub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>
            <w:pPr>
              <w:jc w:val="both"/>
              <w:rPr>
                <w:rFonts w:ascii="Arial" w:hAnsi="Arial" w:eastAsia="Calibri" w:cs="Arial"/>
                <w:sz w:val="22"/>
                <w:szCs w:val="22"/>
                <w:lang w:val="de-DE"/>
              </w:rPr>
            </w:pPr>
          </w:p>
          <w:p>
            <w:pPr>
              <w:jc w:val="both"/>
              <w:rPr>
                <w:rFonts w:ascii="Arial" w:hAnsi="Arial" w:eastAsia="Calibri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--------------------------------------------------------</w:t>
            </w:r>
            <w:r>
              <w:rPr>
                <w:rFonts w:ascii="Arial" w:hAnsi="Arial" w:eastAsia="Calibri" w:cs="Arial"/>
                <w:sz w:val="22"/>
                <w:szCs w:val="22"/>
                <w:lang w:val="de-DE"/>
              </w:rPr>
              <w:t xml:space="preserve"> Text end </w:t>
            </w: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>
      <w:pPr>
        <w:jc w:val="both"/>
        <w:rPr>
          <w:rFonts w:ascii="Arial" w:hAnsi="Arial" w:cs="Arial"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16"/>
        <w:gridCol w:w="6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 TS 36.213 clause 16.4.1.5.1?</w:t>
            </w:r>
          </w:p>
        </w:tc>
        <w:tc>
          <w:tcPr>
            <w:tcW w:w="6111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Lenovo</w:t>
            </w:r>
            <w:r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  <w:t>,MotoM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Calibri" w:asciiTheme="minorHAnsi" w:hAnsiTheme="minorHAnsi"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See</w:t>
            </w:r>
            <w:r>
              <w:rPr>
                <w:rFonts w:eastAsia="Calibri" w:asciiTheme="minorHAnsi" w:hAnsiTheme="minorHAnsi"/>
                <w:sz w:val="22"/>
                <w:szCs w:val="22"/>
                <w:lang w:val="de-DE"/>
              </w:rPr>
              <w:t xml:space="preserve">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above</w:t>
            </w:r>
            <w:r>
              <w:rPr>
                <w:rFonts w:eastAsia="Calibri" w:asciiTheme="minorHAnsi" w:hAnsiTheme="minorHAnsi"/>
                <w:sz w:val="22"/>
                <w:szCs w:val="22"/>
                <w:lang w:val="de-DE"/>
              </w:rPr>
              <w:t xml:space="preserve">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Same comment as previous question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Theme="minorEastAsia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de-DE"/>
              </w:rPr>
              <w:t>S</w:t>
            </w:r>
            <w:r>
              <w:rPr>
                <w:rFonts w:hint="eastAsia" w:eastAsiaTheme="minorEastAsia"/>
                <w:b/>
                <w:bCs/>
                <w:sz w:val="22"/>
                <w:szCs w:val="22"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sz w:val="22"/>
                <w:szCs w:val="22"/>
                <w:lang w:val="de-DE"/>
              </w:rPr>
              <w:t>comments</w:t>
            </w: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T</w:t>
            </w: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 xml:space="preserve">his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is a constriction for eNB scheduler, which can be up to implementation. Without the change, it’s not an issue for the network. As Rel-13 has been there for years, the change may result in issues on compability.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top"/>
          </w:tcPr>
          <w:p>
            <w:pPr>
              <w:keepNext/>
              <w:keepLines/>
              <w:jc w:val="center"/>
              <w:rPr>
                <w:rFonts w:hint="eastAsia"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en-US" w:eastAsia="zh-CN"/>
              </w:rPr>
              <w:t>ZTE, Sanechips</w:t>
            </w:r>
          </w:p>
        </w:tc>
        <w:tc>
          <w:tcPr>
            <w:tcW w:w="1916" w:type="dxa"/>
            <w:vAlign w:val="top"/>
          </w:tcPr>
          <w:p>
            <w:pPr>
              <w:keepNext/>
              <w:keepLines/>
              <w:jc w:val="center"/>
              <w:rPr>
                <w:rFonts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</w:p>
        </w:tc>
        <w:tc>
          <w:tcPr>
            <w:tcW w:w="6111" w:type="dxa"/>
            <w:vAlign w:val="top"/>
          </w:tcPr>
          <w:p>
            <w:pPr>
              <w:keepNext/>
              <w:keepLines/>
              <w:rPr>
                <w:rFonts w:hint="default" w:eastAsia="等线" w:asciiTheme="minorHAnsi" w:hAnsiTheme="minorHAnsi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en-US" w:eastAsia="zh-CN"/>
              </w:rPr>
              <w:t>The change is kind of clarification and the following modification is more clearer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  <w:szCs w:val="22"/>
                <w:lang w:val="de-DE" w:eastAsia="zh-CN" w:bidi="ar-SA"/>
              </w:rPr>
            </w:pPr>
            <w:r>
              <w:rPr>
                <w:rFonts w:eastAsia="Calibri"/>
                <w:sz w:val="22"/>
                <w:szCs w:val="22"/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>
                <v:shape id="_x0000_i1044" o:spt="75" type="#_x0000_t75" style="height:14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39" r:id="rId29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>
                <v:shape id="_x0000_i1045" o:spt="75" type="#_x0000_t75" style="height:22pt;width:1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0" r:id="rId30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rFonts w:eastAsia="Calibri"/>
                <w:i/>
                <w:sz w:val="22"/>
                <w:szCs w:val="22"/>
                <w:lang w:val="de-DE" w:eastAsia="en-GB"/>
              </w:rPr>
              <w:t>operationModeInfo</w: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 xml:space="preserve"> set to '00' or '01'</w:t>
            </w:r>
            <w:ins w:id="9" w:author="Ericsson" w:date="2021-06-08T21:33:00Z">
              <w:r>
                <w:rPr>
                  <w:rFonts w:eastAsia="Calibri"/>
                  <w:sz w:val="22"/>
                  <w:szCs w:val="22"/>
                  <w:lang w:val="de-DE" w:eastAsia="en-GB"/>
                </w:rPr>
                <w:t xml:space="preserve">, </w:t>
              </w:r>
            </w:ins>
            <w:ins w:id="10" w:author="Ericsson" w:date="2021-06-08T21:33:00Z">
              <w:del w:id="11" w:author="ZTE" w:date="2021-08-17T11:49:47Z">
                <w:r>
                  <w:rPr>
                    <w:rFonts w:hint="default" w:eastAsia="Calibri"/>
                    <w:sz w:val="22"/>
                    <w:szCs w:val="22"/>
                    <w:lang w:val="en-US" w:eastAsia="en-GB"/>
                  </w:rPr>
                  <w:delText xml:space="preserve">and </w:delText>
                </w:r>
              </w:del>
            </w:ins>
            <w:ins w:id="12" w:author="ZTE" w:date="2021-08-17T11:49:47Z">
              <w:r>
                <w:rPr>
                  <w:rFonts w:hint="eastAsia"/>
                  <w:sz w:val="22"/>
                  <w:szCs w:val="22"/>
                  <w:lang w:val="en-US" w:eastAsia="zh-CN"/>
                </w:rPr>
                <w:t>or</w:t>
              </w:r>
            </w:ins>
            <w:ins w:id="13" w:author="ZTE" w:date="2021-08-17T11:49:48Z">
              <w:r>
                <w:rPr>
                  <w:rFonts w:hint="eastAsia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14" w:author="Ericsson" w:date="2021-06-08T21:33:00Z">
              <w:del w:id="15" w:author="ZTE" w:date="2021-08-17T11:49:51Z">
                <w:r>
                  <w:rPr>
                    <w:rFonts w:eastAsia="Calibri"/>
                    <w:sz w:val="22"/>
                    <w:szCs w:val="22"/>
                    <w:lang w:val="de-DE" w:eastAsia="en-GB"/>
                  </w:rPr>
                  <w:delText xml:space="preserve">when </w:delText>
                </w:r>
              </w:del>
            </w:ins>
            <w:ins w:id="16" w:author="Ericsson" w:date="2021-06-08T21:33:00Z">
              <w:r>
                <w:rPr>
                  <w:rFonts w:eastAsia="Calibri"/>
                  <w:sz w:val="22"/>
                  <w:szCs w:val="22"/>
                  <w:lang w:val="de-DE" w:eastAsia="en-GB"/>
                </w:rPr>
                <w:t xml:space="preserve">the higher layer parameter </w:t>
              </w:r>
            </w:ins>
            <w:ins w:id="17" w:author="Ericsson" w:date="2021-06-08T21:33:00Z">
              <w:r>
                <w:rPr>
                  <w:rFonts w:eastAsia="Calibri"/>
                  <w:i/>
                  <w:iCs/>
                  <w:sz w:val="22"/>
                  <w:szCs w:val="22"/>
                  <w:lang w:val="de-DE" w:eastAsia="en-GB"/>
                </w:rPr>
                <w:t>inbandCarrierInfo</w:t>
              </w:r>
            </w:ins>
            <w:ins w:id="18" w:author="Ericsson" w:date="2021-06-08T21:33:00Z">
              <w:r>
                <w:rPr>
                  <w:rFonts w:eastAsia="Calibri"/>
                  <w:sz w:val="22"/>
                  <w:szCs w:val="22"/>
                  <w:lang w:val="de-DE" w:eastAsia="en-GB"/>
                </w:rPr>
                <w:t xml:space="preserve"> is present</w:t>
              </w:r>
            </w:ins>
            <w:r>
              <w:rPr>
                <w:rFonts w:eastAsia="Calibri"/>
                <w:sz w:val="22"/>
                <w:szCs w:val="22"/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>
                <v:shape id="_x0000_i1046" o:spt="75" type="#_x0000_t75" style="height:14pt;width:57.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1" r:id="rId31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 w:eastAsia="en-GB"/>
              </w:rPr>
              <w:t>.</w:t>
            </w:r>
          </w:p>
        </w:tc>
      </w:tr>
    </w:tbl>
    <w:p>
      <w:pPr>
        <w:jc w:val="both"/>
        <w:rPr>
          <w:rFonts w:ascii="Arial" w:hAnsi="Arial" w:cs="Arial"/>
        </w:rPr>
      </w:pPr>
    </w:p>
    <w:p>
      <w:pPr>
        <w:pStyle w:val="4"/>
      </w:pPr>
      <w:r>
        <w:t>2.1.4</w:t>
      </w:r>
      <w:r>
        <w:tab/>
      </w:r>
      <w:r>
        <w:t>Rel-13: TS 36.213, clause 16.8 UE procedure for acquiring cell-specific reference signal sequence and raster offset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5"/>
              <w:outlineLvl w:val="3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 w:cs="Arial"/>
                <w:szCs w:val="22"/>
                <w:highlight w:val="yellow"/>
                <w:lang w:val="de-DE"/>
              </w:rPr>
              <w:t>--------------------------------------------------</w:t>
            </w:r>
            <w:r>
              <w:rPr>
                <w:rFonts w:eastAsia="Calibri" w:cs="Arial"/>
                <w:szCs w:val="22"/>
                <w:lang w:val="de-DE"/>
              </w:rPr>
              <w:t xml:space="preserve"> Text Start </w:t>
            </w:r>
            <w:r>
              <w:rPr>
                <w:rFonts w:eastAsia="Calibri" w:cs="Arial"/>
                <w:szCs w:val="22"/>
                <w:highlight w:val="yellow"/>
                <w:lang w:val="de-DE"/>
              </w:rPr>
              <w:t>-----------------------------------------------------</w:t>
            </w:r>
          </w:p>
          <w:p>
            <w:pPr>
              <w:pStyle w:val="3"/>
              <w:outlineLvl w:val="1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/>
                <w:szCs w:val="22"/>
                <w:lang w:val="de-DE"/>
              </w:rPr>
              <w:t>16.8</w:t>
            </w:r>
            <w:r>
              <w:rPr>
                <w:rFonts w:eastAsia="Calibri"/>
                <w:szCs w:val="22"/>
                <w:lang w:val="de-DE"/>
              </w:rPr>
              <w:tab/>
            </w:r>
            <w:bookmarkStart w:id="3" w:name="_Hlk74080726"/>
            <w:r>
              <w:rPr>
                <w:rFonts w:eastAsia="Calibri"/>
                <w:szCs w:val="22"/>
                <w:lang w:val="de-DE"/>
              </w:rPr>
              <w:t>UE procedure for acquiring cell-specific reference signal sequence and raster offset</w:t>
            </w:r>
            <w:bookmarkEnd w:id="3"/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If the higher layer parameter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operationModeInfo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indicates </w:t>
            </w:r>
            <w:r>
              <w:rPr>
                <w:rFonts w:eastAsia="Calibri"/>
                <w:i/>
                <w:iCs/>
                <w:kern w:val="2"/>
                <w:sz w:val="22"/>
                <w:szCs w:val="22"/>
                <w:lang w:val="de-DE"/>
              </w:rPr>
              <w:t>inband-SamePCI</w:t>
            </w:r>
            <w:ins w:id="19" w:author="Ericsson" w:date="2021-06-08T21:39:00Z">
              <w:r>
                <w:rPr>
                  <w:rFonts w:eastAsia="Calibri"/>
                  <w:sz w:val="22"/>
                  <w:szCs w:val="22"/>
                  <w:lang w:val="de-DE" w:eastAsia="en-GB"/>
                </w:rPr>
                <w:t xml:space="preserve">, and when the higher layer parameter </w:t>
              </w:r>
            </w:ins>
            <w:ins w:id="20" w:author="Ericsson" w:date="2021-06-08T21:39:00Z">
              <w:r>
                <w:rPr>
                  <w:rFonts w:eastAsia="Calibri"/>
                  <w:i/>
                  <w:iCs/>
                  <w:sz w:val="22"/>
                  <w:szCs w:val="22"/>
                  <w:lang w:val="de-DE" w:eastAsia="en-GB"/>
                </w:rPr>
                <w:t>inbandCarrierInfo</w:t>
              </w:r>
            </w:ins>
            <w:ins w:id="21" w:author="Ericsson" w:date="2021-06-08T21:39:00Z">
              <w:r>
                <w:rPr>
                  <w:rFonts w:eastAsia="Calibri"/>
                  <w:sz w:val="22"/>
                  <w:szCs w:val="22"/>
                  <w:lang w:val="de-DE" w:eastAsia="en-GB"/>
                </w:rPr>
                <w:t xml:space="preserve"> is present</w:t>
              </w:r>
            </w:ins>
            <w:r>
              <w:rPr>
                <w:rFonts w:eastAsia="Calibri"/>
                <w:sz w:val="22"/>
                <w:szCs w:val="22"/>
                <w:lang w:val="de-DE"/>
              </w:rPr>
              <w:t xml:space="preserve"> for a cell, the UE may derive cell-specific reference signal sequence and raster offset from the higher layer parameter </w:t>
            </w:r>
            <w:r>
              <w:rPr>
                <w:rFonts w:eastAsia="Calibri"/>
                <w:i/>
                <w:color w:val="000000"/>
                <w:sz w:val="22"/>
                <w:szCs w:val="22"/>
                <w:lang w:val="de-DE"/>
              </w:rPr>
              <w:t>eutra-CRS-SequenceInfo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according to Table 16.8-1, where E-UTRA PRB index </w:t>
            </w:r>
            <w:r>
              <w:rPr>
                <w:rFonts w:eastAsia="Times New Roman"/>
                <w:position w:val="-10"/>
                <w:sz w:val="20"/>
                <w:szCs w:val="20"/>
                <w:lang w:val="en-GB" w:eastAsia="en-US"/>
              </w:rPr>
              <w:object>
                <v:shape id="_x0000_i1039" o:spt="75" type="#_x0000_t75" style="height:14.5pt;width:20.9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42" r:id="rId32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 w:eastAsia="en-US"/>
              </w:rPr>
              <w:t xml:space="preserve"> is defined as </w:t>
            </w:r>
            <w:r>
              <w:rPr>
                <w:rFonts w:eastAsia="Times New Roman"/>
                <w:position w:val="-10"/>
                <w:sz w:val="20"/>
                <w:szCs w:val="20"/>
                <w:lang w:val="en-GB" w:eastAsia="en-US"/>
              </w:rPr>
              <w:object>
                <v:shape id="_x0000_i1040" o:spt="75" type="#_x0000_t75" style="height:14.5pt;width:92.9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3" r:id="rId34">
                  <o:LockedField>false</o:LockedField>
                </o:OLEObject>
              </w:object>
            </w:r>
            <w:r>
              <w:rPr>
                <w:rFonts w:eastAsia="Calibri"/>
                <w:sz w:val="22"/>
                <w:szCs w:val="22"/>
                <w:lang w:val="de-DE"/>
              </w:rPr>
              <w:t>.</w:t>
            </w:r>
          </w:p>
          <w:p>
            <w:pPr>
              <w:jc w:val="both"/>
              <w:rPr>
                <w:rFonts w:ascii="Arial" w:hAnsi="Arial" w:eastAsia="Calibri" w:cs="Arial"/>
                <w:sz w:val="22"/>
                <w:szCs w:val="22"/>
                <w:lang w:val="de-DE"/>
              </w:rPr>
            </w:pP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--------------------------------------------------------</w:t>
            </w:r>
            <w:r>
              <w:rPr>
                <w:rFonts w:ascii="Arial" w:hAnsi="Arial" w:eastAsia="Calibri" w:cs="Arial"/>
                <w:sz w:val="22"/>
                <w:szCs w:val="22"/>
                <w:lang w:val="de-DE"/>
              </w:rPr>
              <w:t xml:space="preserve"> Text end </w:t>
            </w:r>
            <w:r>
              <w:rPr>
                <w:rFonts w:ascii="Arial" w:hAnsi="Arial" w:eastAsia="Calibri" w:cs="Arial"/>
                <w:sz w:val="22"/>
                <w:szCs w:val="22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>
      <w:pPr>
        <w:jc w:val="both"/>
        <w:rPr>
          <w:rFonts w:ascii="Arial" w:hAnsi="Arial" w:cs="Arial"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16"/>
        <w:gridCol w:w="6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OK with incorporating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 TS 36.213 clause 16.8?</w:t>
            </w:r>
          </w:p>
        </w:tc>
        <w:tc>
          <w:tcPr>
            <w:tcW w:w="6111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Lenovo</w:t>
            </w:r>
            <w:r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  <w:t>,MotoM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See</w:t>
            </w:r>
            <w:r>
              <w:rPr>
                <w:rFonts w:eastAsia="Calibri" w:asciiTheme="minorHAnsi" w:hAnsiTheme="minorHAnsi"/>
                <w:sz w:val="22"/>
                <w:szCs w:val="22"/>
                <w:lang w:val="de-DE"/>
              </w:rPr>
              <w:t xml:space="preserve">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above</w:t>
            </w:r>
            <w:r>
              <w:rPr>
                <w:rFonts w:eastAsia="Calibri" w:asciiTheme="minorHAnsi" w:hAnsiTheme="minorHAnsi"/>
                <w:sz w:val="22"/>
                <w:szCs w:val="22"/>
                <w:lang w:val="de-DE"/>
              </w:rPr>
              <w:t xml:space="preserve"> 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Same as above.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keepNext/>
              <w:keepLines/>
              <w:jc w:val="center"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>
            <w:pPr>
              <w:keepNext/>
              <w:keepLines/>
              <w:jc w:val="center"/>
              <w:rPr>
                <w:rFonts w:eastAsiaTheme="minorEastAsia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de-DE"/>
              </w:rPr>
              <w:t>S</w:t>
            </w:r>
            <w:r>
              <w:rPr>
                <w:rFonts w:hint="eastAsia" w:eastAsiaTheme="minorEastAsia"/>
                <w:b/>
                <w:bCs/>
                <w:sz w:val="22"/>
                <w:szCs w:val="22"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sz w:val="22"/>
                <w:szCs w:val="22"/>
                <w:lang w:val="de-DE"/>
              </w:rPr>
              <w:t>comments</w:t>
            </w:r>
          </w:p>
        </w:tc>
        <w:tc>
          <w:tcPr>
            <w:tcW w:w="6111" w:type="dxa"/>
          </w:tcPr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  <w:t>T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 xml:space="preserve">his section in spec is for the derivation of PRB index and raster offset for anchor carrier. However, for non-anchor carrier, the PRB index is given by the IE 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 xml:space="preserve">indexToMidPRB-r13, </w:t>
            </w:r>
            <w:r>
              <w:rPr>
                <w:rFonts w:eastAsia="Calibri"/>
                <w:sz w:val="22"/>
                <w:szCs w:val="22"/>
                <w:lang w:val="de-DE"/>
              </w:rPr>
              <w:t>no need to use the tabel derive it</w:t>
            </w: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.</w:t>
            </w:r>
          </w:p>
          <w:p>
            <w:pPr>
              <w:keepNext/>
              <w:keepLines/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And the frequency carrier for a non-anchor carrier is directly given by the following IE, so the raster offset is not needed.</w:t>
            </w:r>
          </w:p>
          <w:p>
            <w:pPr>
              <w:pStyle w:val="137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CarrierFreq-NB-r13 ::=</w:t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SEQUENCE {</w:t>
            </w:r>
          </w:p>
          <w:p>
            <w:pPr>
              <w:pStyle w:val="137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carrierFreq-r13</w:t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ARFCN-ValueEUTRA-r9,</w:t>
            </w:r>
          </w:p>
          <w:p>
            <w:pPr>
              <w:pStyle w:val="137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carrierFreqOffset-r13</w:t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ENUMERATED {</w:t>
            </w:r>
          </w:p>
          <w:p>
            <w:pPr>
              <w:pStyle w:val="137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v-10, v-9, v-8,</w:t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v-7, v-6, v-5, v-4, v-3, v-2, v-1, v-0dot5,</w:t>
            </w:r>
          </w:p>
          <w:p>
            <w:pPr>
              <w:pStyle w:val="137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 xml:space="preserve"> v0, v1, v2, v3, v4, v5, v6, v7, v8, v9</w:t>
            </w:r>
          </w:p>
          <w:p>
            <w:pPr>
              <w:pStyle w:val="137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}</w:t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OPTIONAL</w:t>
            </w:r>
            <w:r>
              <w:rPr>
                <w:szCs w:val="22"/>
                <w:lang w:val="de-DE"/>
              </w:rPr>
              <w:tab/>
            </w:r>
            <w:r>
              <w:rPr>
                <w:szCs w:val="22"/>
                <w:lang w:val="de-DE"/>
              </w:rPr>
              <w:t>-- Need ON</w:t>
            </w:r>
          </w:p>
          <w:p>
            <w:pPr>
              <w:pStyle w:val="137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}</w:t>
            </w:r>
          </w:p>
          <w:p>
            <w:pPr>
              <w:keepNext/>
              <w:keepLines/>
              <w:rPr>
                <w:rFonts w:hint="eastAsia" w:eastAsia="等线" w:asciiTheme="minorHAnsi" w:hAnsiTheme="minorHAnsi"/>
                <w:sz w:val="22"/>
                <w:szCs w:val="22"/>
                <w:lang w:val="de-D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top"/>
          </w:tcPr>
          <w:p>
            <w:pPr>
              <w:keepNext/>
              <w:keepLines/>
              <w:jc w:val="center"/>
              <w:rPr>
                <w:rFonts w:hint="eastAsia"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en-US" w:eastAsia="zh-CN"/>
              </w:rPr>
              <w:t>ZTE, Sanechips</w:t>
            </w:r>
          </w:p>
        </w:tc>
        <w:tc>
          <w:tcPr>
            <w:tcW w:w="1916" w:type="dxa"/>
            <w:vAlign w:val="top"/>
          </w:tcPr>
          <w:p>
            <w:pPr>
              <w:keepNext/>
              <w:keepLines/>
              <w:jc w:val="center"/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lang w:val="de-DE" w:eastAsia="ja-JP" w:bidi="ar-SA"/>
              </w:rPr>
            </w:pPr>
          </w:p>
        </w:tc>
        <w:tc>
          <w:tcPr>
            <w:tcW w:w="6111" w:type="dxa"/>
            <w:vAlign w:val="top"/>
          </w:tcPr>
          <w:p>
            <w:pPr>
              <w:keepNext/>
              <w:keepLines/>
              <w:rPr>
                <w:rFonts w:hint="eastAsia" w:eastAsia="等线" w:cs="Times New Roman" w:asciiTheme="minorHAnsi" w:hAnsiTheme="minorHAnsi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eastAsia="等线" w:asciiTheme="minorHAnsi" w:hAnsiTheme="minorHAnsi"/>
                <w:sz w:val="22"/>
                <w:szCs w:val="22"/>
                <w:lang w:val="en-US" w:eastAsia="zh-CN"/>
              </w:rPr>
              <w:t>We agree the comment from Huawei.</w:t>
            </w:r>
            <w:bookmarkStart w:id="8" w:name="_GoBack"/>
            <w:bookmarkEnd w:id="8"/>
          </w:p>
        </w:tc>
      </w:tr>
    </w:tbl>
    <w:p>
      <w:pPr>
        <w:jc w:val="both"/>
        <w:rPr>
          <w:rFonts w:ascii="Arial" w:hAnsi="Arial" w:cs="Arial"/>
        </w:rPr>
      </w:pPr>
    </w:p>
    <w:p>
      <w:pPr>
        <w:pStyle w:val="3"/>
      </w:pPr>
      <w:r>
        <w:t>2.2</w:t>
      </w:r>
      <w:r>
        <w:tab/>
      </w:r>
      <w:r>
        <w:t>Listing of unaffected clauses by not including the higher layer parameter “</w:t>
      </w:r>
      <w:r>
        <w:rPr>
          <w:i/>
          <w:iCs/>
        </w:rPr>
        <w:t>inbandCarrierInfo</w:t>
      </w:r>
      <w:r>
        <w:t>”</w:t>
      </w:r>
    </w:p>
    <w:p>
      <w:pPr>
        <w:pStyle w:val="4"/>
      </w:pPr>
      <w:r>
        <w:t>2.2.1</w:t>
      </w:r>
      <w:r>
        <w:tab/>
      </w:r>
      <w:r>
        <w:t>Rel-13: TS 36.213, clause 16.1.1: Cell search</w:t>
      </w:r>
    </w:p>
    <w:p>
      <w:r>
        <w:t>According with [1], for clause 16.1.1, the cell search does not need a change to include the higher layer parameter “</w:t>
      </w:r>
      <w:r>
        <w:rPr>
          <w:i/>
          <w:iCs/>
        </w:rPr>
        <w:t>inbandCarrierInfo</w:t>
      </w:r>
      <w:r>
        <w:t>” as the cell search is only used on the anchor carrier. Thus, the use of the higher layer parameter “</w:t>
      </w:r>
      <w:r>
        <w:rPr>
          <w:i/>
          <w:iCs/>
          <w:highlight w:val="yellow"/>
        </w:rPr>
        <w:t>operationModeInfo</w:t>
      </w:r>
      <w:r>
        <w:t>” in clause 16.1.1 is sufficient.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4"/>
              <w:outlineLvl w:val="2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/>
                <w:szCs w:val="22"/>
                <w:lang w:val="de-DE"/>
              </w:rPr>
              <w:t>16.1.1</w:t>
            </w:r>
            <w:r>
              <w:rPr>
                <w:rFonts w:eastAsia="Calibri"/>
                <w:szCs w:val="22"/>
                <w:lang w:val="de-DE"/>
              </w:rPr>
              <w:tab/>
            </w:r>
            <w:r>
              <w:rPr>
                <w:rFonts w:eastAsia="Calibri"/>
                <w:szCs w:val="22"/>
                <w:lang w:val="de-DE"/>
              </w:rPr>
              <w:t>Cell search</w:t>
            </w:r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Cell search is the procedure by which a UE acquires time and frequency synchronization with a cell and detects the narrowband physical layer Cell ID. </w:t>
            </w:r>
          </w:p>
          <w:p>
            <w:pPr>
              <w:rPr>
                <w:rFonts w:ascii="Times" w:hAnsi="Times" w:eastAsia="MS Mincho" w:cs="Times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If the higher layer parameter </w:t>
            </w:r>
            <w:r>
              <w:rPr>
                <w:rFonts w:eastAsia="Calibri"/>
                <w:i/>
                <w:iCs/>
                <w:sz w:val="22"/>
                <w:szCs w:val="22"/>
                <w:highlight w:val="yellow"/>
                <w:lang w:val="de-DE"/>
              </w:rPr>
              <w:t>operationModeInfo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indicates '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>inband-SamePCI</w:t>
            </w:r>
            <w:r>
              <w:rPr>
                <w:rFonts w:eastAsia="Calibri"/>
                <w:sz w:val="22"/>
                <w:szCs w:val="22"/>
                <w:lang w:val="de-DE"/>
              </w:rPr>
              <w:t>'</w:t>
            </w:r>
            <w:r>
              <w:rPr>
                <w:rFonts w:hint="eastAsia" w:eastAsia="MS Mincho"/>
                <w:sz w:val="22"/>
                <w:szCs w:val="22"/>
                <w:lang w:val="de-DE"/>
              </w:rPr>
              <w:t xml:space="preserve"> or </w:t>
            </w:r>
            <w:r>
              <w:rPr>
                <w:rFonts w:eastAsia="MS Mincho"/>
                <w:i/>
                <w:sz w:val="22"/>
                <w:szCs w:val="22"/>
                <w:lang w:val="de-DE"/>
              </w:rPr>
              <w:t>samePCI-Indicator</w:t>
            </w:r>
            <w:r>
              <w:rPr>
                <w:rFonts w:hint="eastAsia" w:eastAsia="MS Mincho"/>
                <w:sz w:val="22"/>
                <w:szCs w:val="22"/>
                <w:lang w:val="de-DE"/>
              </w:rPr>
              <w:t xml:space="preserve"> indicate</w:t>
            </w:r>
            <w:r>
              <w:rPr>
                <w:rFonts w:eastAsia="MS Mincho"/>
                <w:sz w:val="22"/>
                <w:szCs w:val="22"/>
                <w:lang w:val="de-DE"/>
              </w:rPr>
              <w:t>s</w:t>
            </w:r>
            <w:r>
              <w:rPr>
                <w:rFonts w:hint="eastAsia" w:eastAsia="MS Mincho"/>
                <w:sz w:val="22"/>
                <w:szCs w:val="22"/>
                <w:lang w:val="de-DE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de-DE"/>
              </w:rPr>
              <w:t>'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>samePCI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'' for a cell, the UE may assume that the physical layer cell ID is same as the </w:t>
            </w:r>
            <w:r>
              <w:rPr>
                <w:rFonts w:hint="eastAsia" w:eastAsia="MS Mincho"/>
                <w:sz w:val="22"/>
                <w:szCs w:val="22"/>
                <w:lang w:val="de-DE"/>
              </w:rPr>
              <w:t xml:space="preserve">narrowband </w:t>
            </w:r>
            <w:r>
              <w:rPr>
                <w:rFonts w:eastAsia="Calibri"/>
                <w:sz w:val="22"/>
                <w:szCs w:val="22"/>
                <w:lang w:val="de-DE"/>
              </w:rPr>
              <w:t>physical layer cell ID for the cell.</w:t>
            </w:r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The following signals are transmitted in the downlink to facilitate cell search for Narrowband IoT: the narrowband primary and narrowband secondary synchronization signals. </w:t>
            </w:r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A UE may assume the antenna ports </w:t>
            </w:r>
            <w:r>
              <w:rPr>
                <w:rFonts w:hint="eastAsia" w:eastAsia="MS Mincho"/>
                <w:sz w:val="22"/>
                <w:szCs w:val="22"/>
                <w:lang w:val="de-DE"/>
              </w:rPr>
              <w:t>2000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– </w:t>
            </w:r>
            <w:r>
              <w:rPr>
                <w:rFonts w:hint="eastAsia" w:eastAsia="MS Mincho"/>
                <w:sz w:val="22"/>
                <w:szCs w:val="22"/>
                <w:lang w:val="de-DE"/>
              </w:rPr>
              <w:t>2001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and the antenna port for the </w:t>
            </w:r>
            <w:r>
              <w:rPr>
                <w:rFonts w:hint="eastAsia" w:eastAsia="MS Mincho"/>
                <w:sz w:val="22"/>
                <w:szCs w:val="22"/>
                <w:lang w:val="de-DE"/>
              </w:rPr>
              <w:t xml:space="preserve">narrowband </w:t>
            </w:r>
            <w:r>
              <w:rPr>
                <w:rFonts w:eastAsia="Calibri"/>
                <w:sz w:val="22"/>
                <w:szCs w:val="22"/>
                <w:lang w:val="de-DE"/>
              </w:rPr>
              <w:t>primary/secondary synchronization signals of a serving cell are quasi co-located (as defined in [3]) with respect to Doppler shift and average delay.</w:t>
            </w:r>
          </w:p>
        </w:tc>
      </w:tr>
    </w:tbl>
    <w:p/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16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1839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OK with 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  <w:lang w:val="de-DE"/>
              </w:rPr>
              <w:t>no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incorporating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 TS 36.213 clause 16.1.1?</w:t>
            </w:r>
          </w:p>
        </w:tc>
        <w:tc>
          <w:tcPr>
            <w:tcW w:w="6657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>
            <w:pPr>
              <w:keepNext/>
              <w:keepLines/>
              <w:jc w:val="center"/>
              <w:rPr>
                <w:rFonts w:eastAsia="Calibri" w:asciiTheme="minorHAnsi" w:hAnsiTheme="min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Lenovo</w:t>
            </w:r>
            <w:r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  <w:t>,MotoM</w:t>
            </w:r>
          </w:p>
        </w:tc>
        <w:tc>
          <w:tcPr>
            <w:tcW w:w="1839" w:type="dxa"/>
          </w:tcPr>
          <w:p>
            <w:pPr>
              <w:keepNext/>
              <w:keepLines/>
              <w:jc w:val="center"/>
              <w:rPr>
                <w:rFonts w:eastAsia="Calibri" w:asciiTheme="minorHAnsi" w:hAnsiTheme="minorHAnsi"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OK</w:t>
            </w:r>
          </w:p>
        </w:tc>
        <w:tc>
          <w:tcPr>
            <w:tcW w:w="6657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</w:p>
        </w:tc>
      </w:tr>
    </w:tbl>
    <w:p/>
    <w:p>
      <w:pPr>
        <w:pStyle w:val="4"/>
      </w:pPr>
      <w:r>
        <w:t>2.2.1</w:t>
      </w:r>
      <w:r>
        <w:tab/>
      </w:r>
      <w:r>
        <w:t>Rel-14: TS 36.213, clause 16.4: Narrowband physical downlink shared channel related procedures</w:t>
      </w:r>
    </w:p>
    <w:p>
      <w:pPr>
        <w:jc w:val="both"/>
      </w:pPr>
      <w:r>
        <w:t>According with [1], for clause 16.4 introduced in Rel-14 [3], the higher layer parameter “</w:t>
      </w:r>
      <w:r>
        <w:rPr>
          <w:i/>
          <w:iCs/>
        </w:rPr>
        <w:t>inbandCarrierInfo</w:t>
      </w:r>
      <w:r>
        <w:t>” would need to be added if the third bullet in clause 16.4 were not present. Nonetheless, the higher layer parameter “</w:t>
      </w:r>
      <w:r>
        <w:rPr>
          <w:i/>
          <w:iCs/>
          <w:highlight w:val="yellow"/>
        </w:rPr>
        <w:t>downlinkBitmapNonAnchor</w:t>
      </w:r>
      <w:r>
        <w:t>” is not an optional field (i.e., it will always be present) which covers the non-anchor carrier case making the inclusion of the higher layer parameter “</w:t>
      </w:r>
      <w:r>
        <w:rPr>
          <w:i/>
          <w:iCs/>
        </w:rPr>
        <w:t>inbandCarrierInfo</w:t>
      </w:r>
      <w:r>
        <w:t>” in the second bullet of clause 16.4 unnecessary.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3"/>
              <w:outlineLvl w:val="1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/>
                <w:szCs w:val="22"/>
                <w:lang w:val="de-DE"/>
              </w:rPr>
              <w:t>16.4</w:t>
            </w:r>
            <w:r>
              <w:rPr>
                <w:rFonts w:eastAsia="Calibri"/>
                <w:szCs w:val="22"/>
                <w:lang w:val="de-DE"/>
              </w:rPr>
              <w:tab/>
            </w:r>
            <w:r>
              <w:rPr>
                <w:rFonts w:eastAsia="Calibri"/>
                <w:szCs w:val="22"/>
                <w:lang w:val="de-DE"/>
              </w:rPr>
              <w:t>Narrowband physical downlink shared channel related procedures</w:t>
            </w:r>
          </w:p>
          <w:p>
            <w:pPr>
              <w:rPr>
                <w:rFonts w:eastAsia="Calibri"/>
                <w:sz w:val="22"/>
                <w:szCs w:val="22"/>
                <w:lang w:val="de-DE" w:eastAsia="zh-CN"/>
              </w:rPr>
            </w:pPr>
            <w:r>
              <w:rPr>
                <w:rFonts w:eastAsia="Calibri"/>
                <w:sz w:val="22"/>
                <w:szCs w:val="22"/>
                <w:lang w:val="de-DE" w:eastAsia="zh-CN"/>
              </w:rPr>
              <w:t>A NB-IoT UE shall assume a subframe as a NB-IoT DL subframe if</w:t>
            </w:r>
          </w:p>
          <w:p>
            <w:pPr>
              <w:pStyle w:val="69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-</w:t>
            </w:r>
            <w:r>
              <w:rPr>
                <w:rFonts w:eastAsia="Calibri"/>
                <w:sz w:val="22"/>
                <w:szCs w:val="22"/>
                <w:lang w:val="de-DE"/>
              </w:rPr>
              <w:tab/>
            </w:r>
            <w:r>
              <w:rPr>
                <w:rFonts w:eastAsia="Calibri"/>
                <w:sz w:val="22"/>
                <w:szCs w:val="22"/>
                <w:lang w:val="de-DE"/>
              </w:rPr>
              <w:t>the UE determines that the subframe does not contain N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>PSS/NSSS/NPBCH/</w:t>
            </w:r>
            <w:r>
              <w:rPr>
                <w:rFonts w:ascii="Times" w:hAnsi="Times" w:eastAsia="MS Mincho" w:cs="Times"/>
                <w:i/>
                <w:sz w:val="22"/>
                <w:szCs w:val="22"/>
                <w:lang w:val="en-US"/>
              </w:rPr>
              <w:t xml:space="preserve"> SystemInformationBlockType1-NB 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>transmission, and</w:t>
            </w:r>
          </w:p>
          <w:p>
            <w:pPr>
              <w:pStyle w:val="69"/>
              <w:rPr>
                <w:rFonts w:ascii="Times" w:hAnsi="Times" w:eastAsia="MS Mincho" w:cs="Times"/>
                <w:sz w:val="22"/>
                <w:szCs w:val="22"/>
                <w:lang w:val="en-US"/>
              </w:rPr>
            </w:pP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>-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ab/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>for a NB-IoT carrier that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a UE receives higher layer parameter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operationModeInfo,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 xml:space="preserve"> the subframe is configured as NB-IoT DL subframe after the UE has obtained </w:t>
            </w:r>
            <w:r>
              <w:rPr>
                <w:rFonts w:ascii="Times" w:hAnsi="Times" w:eastAsia="MS Mincho" w:cs="Times"/>
                <w:i/>
                <w:sz w:val="22"/>
                <w:szCs w:val="22"/>
                <w:lang w:val="en-US"/>
              </w:rPr>
              <w:t>SystemInformationBlockType1-NB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69"/>
              <w:rPr>
                <w:rFonts w:ascii="Times" w:hAnsi="Times" w:eastAsia="MS Mincho" w:cs="Times"/>
                <w:sz w:val="22"/>
                <w:szCs w:val="22"/>
                <w:lang w:val="en-US"/>
              </w:rPr>
            </w:pP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>-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ab/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 xml:space="preserve">the subframe is configured as NB-IoT DL subframe by the higher layer parameter </w:t>
            </w:r>
            <w:r>
              <w:rPr>
                <w:rFonts w:ascii="Times" w:hAnsi="Times" w:eastAsia="MS Mincho" w:cs="Times"/>
                <w:i/>
                <w:sz w:val="22"/>
                <w:szCs w:val="22"/>
                <w:highlight w:val="yellow"/>
                <w:lang w:val="en-US"/>
              </w:rPr>
              <w:t>downlinkBitmapNonAnchor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>.</w:t>
            </w:r>
          </w:p>
          <w:p>
            <w:pPr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 xml:space="preserve">For a NB-IoT UE that supports 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>twoHARQ-Processes-r14</w:t>
            </w:r>
            <w:r>
              <w:rPr>
                <w:rFonts w:ascii="Times" w:hAnsi="Times" w:eastAsia="MS Mincho" w:cs="Times"/>
                <w:sz w:val="22"/>
                <w:szCs w:val="22"/>
                <w:lang w:val="en-US"/>
              </w:rPr>
              <w:t xml:space="preserve">, there shall be </w:t>
            </w:r>
            <w:r>
              <w:rPr>
                <w:rFonts w:eastAsia="Calibri"/>
                <w:sz w:val="22"/>
                <w:szCs w:val="22"/>
                <w:lang w:val="de-DE"/>
              </w:rPr>
              <w:t>a maximum of 2 downlink HARQ processes.</w:t>
            </w:r>
          </w:p>
        </w:tc>
      </w:tr>
    </w:tbl>
    <w:p>
      <w:pPr>
        <w:jc w:val="both"/>
        <w:rPr>
          <w:b/>
          <w:bCs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916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1839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OK with 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  <w:lang w:val="de-DE"/>
              </w:rPr>
              <w:t>no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incorporating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de-DE"/>
              </w:rPr>
              <w:t>inbandCarrierInfo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 xml:space="preserve"> in TS 36.213 clause 16.4?</w:t>
            </w:r>
          </w:p>
        </w:tc>
        <w:tc>
          <w:tcPr>
            <w:tcW w:w="6657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>
            <w:pPr>
              <w:keepNext/>
              <w:keepLines/>
              <w:jc w:val="center"/>
              <w:rPr>
                <w:rFonts w:eastAsia="Calibri" w:asciiTheme="minorHAnsi" w:hAnsiTheme="min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Lenovo</w:t>
            </w:r>
            <w:r>
              <w:rPr>
                <w:rFonts w:asciiTheme="minorHAnsi" w:hAnsiTheme="minorHAnsi" w:eastAsiaTheme="minorEastAsia"/>
                <w:sz w:val="22"/>
                <w:szCs w:val="22"/>
                <w:lang w:val="de-DE"/>
              </w:rPr>
              <w:t>,MotoM</w:t>
            </w:r>
          </w:p>
        </w:tc>
        <w:tc>
          <w:tcPr>
            <w:tcW w:w="1839" w:type="dxa"/>
          </w:tcPr>
          <w:p>
            <w:pPr>
              <w:keepNext/>
              <w:keepLines/>
              <w:jc w:val="center"/>
              <w:rPr>
                <w:rFonts w:eastAsia="Calibri" w:asciiTheme="minorHAnsi" w:hAnsiTheme="minorHAnsi"/>
                <w:sz w:val="22"/>
                <w:szCs w:val="22"/>
                <w:lang w:val="de-DE"/>
              </w:rPr>
            </w:pPr>
            <w:r>
              <w:rPr>
                <w:rFonts w:eastAsia="等线" w:asciiTheme="minorHAnsi" w:hAnsiTheme="minorHAnsi"/>
                <w:sz w:val="22"/>
                <w:szCs w:val="22"/>
                <w:lang w:val="de-DE" w:eastAsia="zh-CN"/>
              </w:rPr>
              <w:t>OK</w:t>
            </w:r>
          </w:p>
        </w:tc>
        <w:tc>
          <w:tcPr>
            <w:tcW w:w="6657" w:type="dxa"/>
          </w:tcPr>
          <w:p>
            <w:pPr>
              <w:keepNext/>
              <w:keepLines/>
              <w:jc w:val="center"/>
              <w:rPr>
                <w:rFonts w:eastAsia="Calibri"/>
                <w:b/>
                <w:bCs/>
                <w:sz w:val="22"/>
                <w:szCs w:val="22"/>
                <w:lang w:val="de-DE"/>
              </w:rPr>
            </w:pPr>
          </w:p>
        </w:tc>
      </w:tr>
    </w:tbl>
    <w:p>
      <w:pPr>
        <w:jc w:val="both"/>
        <w:rPr>
          <w:b/>
          <w:bCs/>
        </w:rPr>
      </w:pPr>
    </w:p>
    <w:p>
      <w:pPr>
        <w:pStyle w:val="2"/>
      </w:pPr>
      <w:r>
        <w:t>5</w:t>
      </w:r>
      <w:r>
        <w:tab/>
      </w:r>
      <w:r>
        <w:t>References</w:t>
      </w:r>
    </w:p>
    <w:p>
      <w:pPr>
        <w:pStyle w:val="67"/>
      </w:pPr>
      <w:bookmarkStart w:id="4" w:name="_Ref174151459"/>
      <w:bookmarkStart w:id="5" w:name="_Ref525824664"/>
      <w:bookmarkStart w:id="6" w:name="_Ref189809556"/>
      <w:bookmarkStart w:id="7" w:name="_Hlk4751152"/>
      <w:r>
        <w:fldChar w:fldCharType="begin"/>
      </w:r>
      <w:r>
        <w:instrText xml:space="preserve">HYPERLINK "https://www.3gpp.org/ftp/TSG_RAN/WG1_RL1/TSGR1_106-e/Docs/R1-2108120.zip"</w:instrText>
      </w:r>
      <w:r>
        <w:fldChar w:fldCharType="separate"/>
      </w:r>
      <w:r>
        <w:rPr>
          <w:rStyle w:val="58"/>
        </w:rPr>
        <w:t>R1-2108120</w:t>
      </w:r>
      <w:r>
        <w:fldChar w:fldCharType="end"/>
      </w:r>
      <w:r>
        <w:t>, “Deployment Mode Indicator for anchor and non-anchor carriers,” Ericsson, 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bookmarkEnd w:id="4"/>
    <w:bookmarkEnd w:id="5"/>
    <w:bookmarkEnd w:id="6"/>
    <w:bookmarkEnd w:id="7"/>
    <w:p>
      <w:pPr>
        <w:pStyle w:val="67"/>
      </w:pPr>
      <w:r>
        <w:fldChar w:fldCharType="begin"/>
      </w:r>
      <w:r>
        <w:instrText xml:space="preserve"> HYPERLINK "https://www.3gpp.org/ftp/Specs/archive/36_series/36.213/36213-eg0.zip" </w:instrText>
      </w:r>
      <w:r>
        <w:fldChar w:fldCharType="separate"/>
      </w:r>
      <w:r>
        <w:rPr>
          <w:rStyle w:val="58"/>
        </w:rPr>
        <w:t>TS 36.213</w:t>
      </w:r>
      <w:r>
        <w:rPr>
          <w:rStyle w:val="58"/>
        </w:rPr>
        <w:fldChar w:fldCharType="end"/>
      </w:r>
      <w:r>
        <w:t>, Evolved Universal Terrestrial Radio Access (E-UTRA); Physical layer procedures, v13.16.0.</w:t>
      </w:r>
    </w:p>
    <w:p>
      <w:pPr>
        <w:pStyle w:val="67"/>
      </w:pPr>
      <w:r>
        <w:fldChar w:fldCharType="begin"/>
      </w:r>
      <w:r>
        <w:instrText xml:space="preserve"> HYPERLINK "https://www.3gpp.org/ftp/Specs/archive/36_series/36.213/36213-eg0.zip" </w:instrText>
      </w:r>
      <w:r>
        <w:fldChar w:fldCharType="separate"/>
      </w:r>
      <w:r>
        <w:rPr>
          <w:rStyle w:val="58"/>
        </w:rPr>
        <w:t>TS 36.213</w:t>
      </w:r>
      <w:r>
        <w:rPr>
          <w:rStyle w:val="58"/>
        </w:rPr>
        <w:fldChar w:fldCharType="end"/>
      </w:r>
      <w:r>
        <w:t>, Evolved Universal Terrestrial Radio Access (E-UTRA); Physical layer procedures, v14.16.0.</w:t>
      </w: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lassicoURW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9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9</w:t>
    </w:r>
    <w:r>
      <w:rPr>
        <w:rStyle w:val="55"/>
      </w:rPr>
      <w:fldChar w:fldCharType="end"/>
    </w:r>
    <w:r>
      <w:rPr>
        <w:rStyle w:val="5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30501E44"/>
    <w:multiLevelType w:val="multilevel"/>
    <w:tmpl w:val="30501E44"/>
    <w:lvl w:ilvl="0" w:tentative="0">
      <w:start w:val="1"/>
      <w:numFmt w:val="decimal"/>
      <w:pStyle w:val="152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A55685D"/>
    <w:multiLevelType w:val="singleLevel"/>
    <w:tmpl w:val="4A55685D"/>
    <w:lvl w:ilvl="0" w:tentative="0">
      <w:start w:val="1"/>
      <w:numFmt w:val="bullet"/>
      <w:pStyle w:val="159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11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146DC0"/>
    <w:multiLevelType w:val="multilevel"/>
    <w:tmpl w:val="70146DC0"/>
    <w:lvl w:ilvl="0" w:tentative="0">
      <w:start w:val="1"/>
      <w:numFmt w:val="bullet"/>
      <w:pStyle w:val="157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5">
    <w:nsid w:val="79364DAB"/>
    <w:multiLevelType w:val="multilevel"/>
    <w:tmpl w:val="79364DA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155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6"/>
  </w:num>
  <w:num w:numId="15">
    <w:abstractNumId w:val="13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3EF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5D24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5AC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4EB3"/>
    <w:rsid w:val="002252C3"/>
    <w:rsid w:val="0022543F"/>
    <w:rsid w:val="0022548F"/>
    <w:rsid w:val="00225C54"/>
    <w:rsid w:val="00225DBA"/>
    <w:rsid w:val="0022613A"/>
    <w:rsid w:val="002269F8"/>
    <w:rsid w:val="00226BC3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407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0B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01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79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040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EAB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4A6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8F6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615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926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9CE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461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8B8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14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318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599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5CB0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6D57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1E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2E3C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899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8C8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3D79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6B3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1CD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  <w:rsid w:val="05A775DC"/>
    <w:rsid w:val="0C731D40"/>
    <w:rsid w:val="21400D88"/>
    <w:rsid w:val="39874ED3"/>
    <w:rsid w:val="704B1C87"/>
    <w:rsid w:val="7B2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ja-JP" w:bidi="ar-SA"/>
    </w:rPr>
  </w:style>
  <w:style w:type="paragraph" w:styleId="2">
    <w:name w:val="heading 1"/>
    <w:next w:val="1"/>
    <w:link w:val="68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2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7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8"/>
    <w:qFormat/>
    <w:uiPriority w:val="0"/>
    <w:pPr>
      <w:outlineLvl w:val="5"/>
    </w:pPr>
  </w:style>
  <w:style w:type="paragraph" w:styleId="9">
    <w:name w:val="heading 7"/>
    <w:basedOn w:val="8"/>
    <w:next w:val="1"/>
    <w:link w:val="129"/>
    <w:qFormat/>
    <w:uiPriority w:val="0"/>
    <w:pPr>
      <w:outlineLvl w:val="6"/>
    </w:pPr>
  </w:style>
  <w:style w:type="paragraph" w:styleId="10">
    <w:name w:val="heading 8"/>
    <w:basedOn w:val="2"/>
    <w:next w:val="1"/>
    <w:link w:val="13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1"/>
    <w:qFormat/>
    <w:uiPriority w:val="0"/>
    <w:p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uiPriority w:val="0"/>
    <w:pPr>
      <w:ind w:left="568" w:hanging="284"/>
    </w:pPr>
  </w:style>
  <w:style w:type="paragraph" w:styleId="15">
    <w:name w:val="Body Text"/>
    <w:basedOn w:val="1"/>
    <w:link w:val="74"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uiPriority w:val="0"/>
    <w:pPr>
      <w:numPr>
        <w:ilvl w:val="0"/>
        <w:numId w:val="1"/>
      </w:numPr>
    </w:pPr>
  </w:style>
  <w:style w:type="paragraph" w:styleId="24">
    <w:name w:val="List Number"/>
    <w:basedOn w:val="14"/>
    <w:qFormat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3"/>
      </w:numPr>
    </w:pPr>
  </w:style>
  <w:style w:type="paragraph" w:styleId="26">
    <w:name w:val="List Bullet 3"/>
    <w:basedOn w:val="27"/>
    <w:qFormat/>
    <w:uiPriority w:val="0"/>
    <w:pPr>
      <w:numPr>
        <w:numId w:val="4"/>
      </w:numPr>
    </w:pPr>
  </w:style>
  <w:style w:type="paragraph" w:styleId="27">
    <w:name w:val="List Bullet 2"/>
    <w:basedOn w:val="28"/>
    <w:qFormat/>
    <w:uiPriority w:val="0"/>
    <w:pPr>
      <w:numPr>
        <w:ilvl w:val="0"/>
        <w:numId w:val="5"/>
      </w:numPr>
    </w:pPr>
  </w:style>
  <w:style w:type="paragraph" w:styleId="28">
    <w:name w:val="List Bullet"/>
    <w:basedOn w:val="14"/>
    <w:qFormat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5"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09"/>
    <w:qFormat/>
    <w:uiPriority w:val="99"/>
  </w:style>
  <w:style w:type="paragraph" w:styleId="32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39"/>
    <w:qFormat/>
    <w:uiPriority w:val="0"/>
    <w:rPr>
      <w:rFonts w:ascii="Courier New" w:hAnsi="Courier New"/>
      <w:lang w:val="nb-NO"/>
    </w:rPr>
  </w:style>
  <w:style w:type="paragraph" w:styleId="35">
    <w:name w:val="List Bullet 5"/>
    <w:basedOn w:val="25"/>
    <w:qFormat/>
    <w:uiPriority w:val="0"/>
    <w:pPr>
      <w:numPr>
        <w:numId w:val="8"/>
      </w:numPr>
    </w:pPr>
  </w:style>
  <w:style w:type="paragraph" w:styleId="36">
    <w:name w:val="toc 8"/>
    <w:basedOn w:val="22"/>
    <w:next w:val="1"/>
    <w:uiPriority w:val="39"/>
    <w:pPr>
      <w:spacing w:before="180"/>
      <w:ind w:left="2693" w:hanging="2693"/>
    </w:pPr>
    <w:rPr>
      <w:b/>
    </w:rPr>
  </w:style>
  <w:style w:type="paragraph" w:styleId="37">
    <w:name w:val="Balloon Text"/>
    <w:basedOn w:val="1"/>
    <w:link w:val="108"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1"/>
    <w:qFormat/>
    <w:uiPriority w:val="0"/>
    <w:pPr>
      <w:jc w:val="center"/>
    </w:pPr>
    <w:rPr>
      <w:i/>
    </w:rPr>
  </w:style>
  <w:style w:type="paragraph" w:styleId="39">
    <w:name w:val="header"/>
    <w:link w:val="120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1">
    <w:name w:val="footnote text"/>
    <w:basedOn w:val="1"/>
    <w:link w:val="122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15"/>
    <w:next w:val="1"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qFormat/>
    <w:uiPriority w:val="39"/>
    <w:pPr>
      <w:ind w:left="1418" w:hanging="1418"/>
    </w:pPr>
  </w:style>
  <w:style w:type="paragraph" w:styleId="46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48">
    <w:name w:val="index 1"/>
    <w:basedOn w:val="1"/>
    <w:next w:val="1"/>
    <w:uiPriority w:val="0"/>
    <w:pPr>
      <w:keepLines/>
      <w:spacing w:after="0"/>
    </w:pPr>
  </w:style>
  <w:style w:type="paragraph" w:styleId="49">
    <w:name w:val="index 2"/>
    <w:basedOn w:val="48"/>
    <w:next w:val="1"/>
    <w:uiPriority w:val="0"/>
    <w:pPr>
      <w:ind w:left="284"/>
    </w:pPr>
  </w:style>
  <w:style w:type="paragraph" w:styleId="50">
    <w:name w:val="annotation subject"/>
    <w:basedOn w:val="31"/>
    <w:next w:val="31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5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99"/>
    <w:rPr>
      <w:sz w:val="16"/>
      <w:szCs w:val="16"/>
    </w:rPr>
  </w:style>
  <w:style w:type="character" w:styleId="61">
    <w:name w:val="footnote reference"/>
    <w:uiPriority w:val="0"/>
    <w:rPr>
      <w:b/>
      <w:position w:val="6"/>
      <w:sz w:val="16"/>
    </w:rPr>
  </w:style>
  <w:style w:type="paragraph" w:customStyle="1" w:styleId="62">
    <w:name w:val="Figure"/>
    <w:basedOn w:val="1"/>
    <w:next w:val="29"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qFormat/>
    <w:uiPriority w:val="0"/>
    <w:rPr>
      <w:color w:val="FF0000"/>
      <w:lang w:val="zh-CN" w:eastAsia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uiPriority w:val="0"/>
    <w:pPr>
      <w:numPr>
        <w:ilvl w:val="0"/>
        <w:numId w:val="9"/>
      </w:numPr>
    </w:pPr>
  </w:style>
  <w:style w:type="character" w:customStyle="1" w:styleId="68">
    <w:name w:val="标题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uiPriority w:val="0"/>
    <w:rPr>
      <w:rFonts w:ascii="Times New Roman" w:hAnsi="Times New Roman"/>
    </w:rPr>
  </w:style>
  <w:style w:type="paragraph" w:customStyle="1" w:styleId="72">
    <w:name w:val="B4"/>
    <w:basedOn w:val="43"/>
    <w:link w:val="101"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0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4">
    <w:name w:val="正文文本 Char"/>
    <w:link w:val="15"/>
    <w:uiPriority w:val="0"/>
    <w:rPr>
      <w:rFonts w:ascii="Arial" w:hAnsi="Arial"/>
      <w:lang w:eastAsia="zh-CN"/>
    </w:rPr>
  </w:style>
  <w:style w:type="paragraph" w:customStyle="1" w:styleId="75">
    <w:name w:val="B5"/>
    <w:basedOn w:val="42"/>
    <w:link w:val="102"/>
    <w:uiPriority w:val="0"/>
    <w:rPr>
      <w:rFonts w:ascii="Times New Roman" w:hAnsi="Times New Roman"/>
    </w:rPr>
  </w:style>
  <w:style w:type="paragraph" w:customStyle="1" w:styleId="76">
    <w:name w:val="EX"/>
    <w:basedOn w:val="1"/>
    <w:qFormat/>
    <w:uiPriority w:val="0"/>
    <w:pPr>
      <w:keepLines/>
      <w:ind w:left="1702" w:hanging="1418"/>
    </w:pPr>
  </w:style>
  <w:style w:type="paragraph" w:customStyle="1" w:styleId="77">
    <w:name w:val="EW"/>
    <w:basedOn w:val="76"/>
    <w:qFormat/>
    <w:uiPriority w:val="0"/>
    <w:pPr>
      <w:spacing w:after="0"/>
    </w:pPr>
  </w:style>
  <w:style w:type="paragraph" w:customStyle="1" w:styleId="78">
    <w:name w:val="TAL"/>
    <w:basedOn w:val="1"/>
    <w:link w:val="140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79">
    <w:name w:val="TAC"/>
    <w:basedOn w:val="78"/>
    <w:link w:val="160"/>
    <w:qFormat/>
    <w:uiPriority w:val="0"/>
    <w:pPr>
      <w:jc w:val="center"/>
    </w:pPr>
  </w:style>
  <w:style w:type="paragraph" w:customStyle="1" w:styleId="80">
    <w:name w:val="TAH"/>
    <w:basedOn w:val="79"/>
    <w:link w:val="141"/>
    <w:qFormat/>
    <w:uiPriority w:val="0"/>
    <w:rPr>
      <w:b/>
    </w:rPr>
  </w:style>
  <w:style w:type="paragraph" w:customStyle="1" w:styleId="81">
    <w:name w:val="TAN"/>
    <w:basedOn w:val="78"/>
    <w:qFormat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2"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4">
    <w:name w:val="TF"/>
    <w:basedOn w:val="83"/>
    <w:link w:val="146"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uiPriority w:val="0"/>
    <w:pPr>
      <w:outlineLvl w:val="9"/>
    </w:pPr>
  </w:style>
  <w:style w:type="paragraph" w:customStyle="1" w:styleId="86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uiPriority w:val="0"/>
  </w:style>
  <w:style w:type="paragraph" w:customStyle="1" w:styleId="91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uiPriority w:val="0"/>
    <w:pPr>
      <w:framePr w:y="16161"/>
    </w:pPr>
  </w:style>
  <w:style w:type="paragraph" w:customStyle="1" w:styleId="96">
    <w:name w:val="FP"/>
    <w:basedOn w:val="1"/>
    <w:uiPriority w:val="0"/>
    <w:pPr>
      <w:spacing w:after="0"/>
    </w:pPr>
  </w:style>
  <w:style w:type="paragraph" w:customStyle="1" w:styleId="97">
    <w:name w:val="Observation"/>
    <w:basedOn w:val="73"/>
    <w:qFormat/>
    <w:uiPriority w:val="0"/>
    <w:pPr>
      <w:numPr>
        <w:ilvl w:val="0"/>
        <w:numId w:val="11"/>
      </w:numPr>
    </w:pPr>
    <w:rPr>
      <w:lang w:eastAsia="ja-JP"/>
    </w:r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uiPriority w:val="0"/>
    <w:pPr>
      <w:ind w:left="1985"/>
    </w:pPr>
  </w:style>
  <w:style w:type="character" w:customStyle="1" w:styleId="104">
    <w:name w:val="B6 Char"/>
    <w:link w:val="103"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uiPriority w:val="0"/>
    <w:pPr>
      <w:ind w:left="2269"/>
    </w:pPr>
  </w:style>
  <w:style w:type="character" w:customStyle="1" w:styleId="106">
    <w:name w:val="B7 Char"/>
    <w:basedOn w:val="104"/>
    <w:link w:val="105"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批注框文本 Char"/>
    <w:link w:val="37"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9">
    <w:name w:val="批注文字 Char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10">
    <w:name w:val="批注主题 Char"/>
    <w:link w:val="50"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4">
    <w:name w:val="Doc-text2 Char"/>
    <w:link w:val="113"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文档结构图 Char"/>
    <w:link w:val="3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9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20">
    <w:name w:val="页眉 Char"/>
    <w:link w:val="39"/>
    <w:qFormat/>
    <w:uiPriority w:val="0"/>
    <w:rPr>
      <w:rFonts w:ascii="Arial" w:hAnsi="Arial"/>
      <w:b/>
      <w:sz w:val="18"/>
      <w:lang w:eastAsia="ja-JP"/>
    </w:rPr>
  </w:style>
  <w:style w:type="character" w:customStyle="1" w:styleId="121">
    <w:name w:val="页脚 Char"/>
    <w:link w:val="38"/>
    <w:uiPriority w:val="0"/>
    <w:rPr>
      <w:rFonts w:ascii="Arial" w:hAnsi="Arial"/>
      <w:b/>
      <w:i/>
      <w:sz w:val="18"/>
      <w:lang w:eastAsia="ja-JP"/>
    </w:rPr>
  </w:style>
  <w:style w:type="character" w:customStyle="1" w:styleId="122">
    <w:name w:val="脚注文本 Char"/>
    <w:link w:val="41"/>
    <w:uiPriority w:val="0"/>
    <w:rPr>
      <w:rFonts w:ascii="Times New Roman" w:hAnsi="Times New Roman"/>
      <w:sz w:val="16"/>
      <w:lang w:eastAsia="ja-JP"/>
    </w:rPr>
  </w:style>
  <w:style w:type="paragraph" w:customStyle="1" w:styleId="123">
    <w:name w:val="Guidance"/>
    <w:basedOn w:val="1"/>
    <w:uiPriority w:val="0"/>
    <w:rPr>
      <w:i/>
      <w:color w:val="0000FF"/>
    </w:rPr>
  </w:style>
  <w:style w:type="character" w:customStyle="1" w:styleId="124">
    <w:name w:val="标题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5">
    <w:name w:val="标题 3 Char"/>
    <w:link w:val="4"/>
    <w:uiPriority w:val="0"/>
    <w:rPr>
      <w:rFonts w:ascii="Arial" w:hAnsi="Arial"/>
      <w:sz w:val="28"/>
      <w:lang w:eastAsia="ja-JP"/>
    </w:rPr>
  </w:style>
  <w:style w:type="character" w:customStyle="1" w:styleId="126">
    <w:name w:val="标题 4 Char"/>
    <w:link w:val="5"/>
    <w:uiPriority w:val="0"/>
    <w:rPr>
      <w:rFonts w:ascii="Arial" w:hAnsi="Arial"/>
      <w:sz w:val="24"/>
      <w:lang w:eastAsia="ja-JP"/>
    </w:rPr>
  </w:style>
  <w:style w:type="character" w:customStyle="1" w:styleId="127">
    <w:name w:val="标题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8">
    <w:name w:val="标题 6 Char"/>
    <w:link w:val="7"/>
    <w:uiPriority w:val="0"/>
    <w:rPr>
      <w:rFonts w:ascii="Arial" w:hAnsi="Arial"/>
      <w:lang w:eastAsia="ja-JP"/>
    </w:rPr>
  </w:style>
  <w:style w:type="character" w:customStyle="1" w:styleId="129">
    <w:name w:val="标题 7 Char"/>
    <w:link w:val="9"/>
    <w:uiPriority w:val="0"/>
    <w:rPr>
      <w:rFonts w:ascii="Arial" w:hAnsi="Arial"/>
      <w:lang w:eastAsia="ja-JP"/>
    </w:rPr>
  </w:style>
  <w:style w:type="character" w:customStyle="1" w:styleId="130">
    <w:name w:val="标题 8 Char"/>
    <w:link w:val="10"/>
    <w:uiPriority w:val="0"/>
    <w:rPr>
      <w:rFonts w:ascii="Arial" w:hAnsi="Arial"/>
      <w:sz w:val="36"/>
      <w:lang w:eastAsia="ja-JP"/>
    </w:rPr>
  </w:style>
  <w:style w:type="character" w:customStyle="1" w:styleId="131">
    <w:name w:val="标题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3">
    <w:name w:val="List Paragraph"/>
    <w:basedOn w:val="1"/>
    <w:link w:val="134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34">
    <w:name w:val="列出段落 Char"/>
    <w:link w:val="133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5">
    <w:name w:val="NF"/>
    <w:basedOn w:val="66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6">
    <w:name w:val="NW"/>
    <w:basedOn w:val="66"/>
    <w:qFormat/>
    <w:uiPriority w:val="0"/>
    <w:pPr>
      <w:spacing w:after="0"/>
    </w:pPr>
  </w:style>
  <w:style w:type="paragraph" w:customStyle="1" w:styleId="137">
    <w:name w:val="PL"/>
    <w:link w:val="138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8">
    <w:name w:val="PL Char"/>
    <w:link w:val="137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39">
    <w:name w:val="纯文本 Char"/>
    <w:link w:val="34"/>
    <w:qFormat/>
    <w:uiPriority w:val="0"/>
    <w:rPr>
      <w:rFonts w:ascii="Courier New" w:hAnsi="Courier New"/>
      <w:lang w:val="nb-NO" w:eastAsia="ja-JP"/>
    </w:rPr>
  </w:style>
  <w:style w:type="character" w:customStyle="1" w:styleId="140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1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2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3">
    <w:name w:val="TAJ"/>
    <w:basedOn w:val="83"/>
    <w:qFormat/>
    <w:uiPriority w:val="0"/>
  </w:style>
  <w:style w:type="paragraph" w:customStyle="1" w:styleId="144">
    <w:name w:val="TAL Char Char"/>
    <w:basedOn w:val="1"/>
    <w:link w:val="145"/>
    <w:qFormat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145">
    <w:name w:val="TAL Char Char Char"/>
    <w:link w:val="144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6">
    <w:name w:val="TF Char"/>
    <w:link w:val="84"/>
    <w:qFormat/>
    <w:uiPriority w:val="0"/>
    <w:rPr>
      <w:rFonts w:ascii="Arial" w:hAnsi="Arial"/>
      <w:b/>
      <w:lang w:val="zh-CN" w:eastAsia="zh-CN"/>
    </w:rPr>
  </w:style>
  <w:style w:type="paragraph" w:customStyle="1" w:styleId="147">
    <w:name w:val="Pa10"/>
    <w:basedOn w:val="1"/>
    <w:next w:val="1"/>
    <w:qFormat/>
    <w:uiPriority w:val="99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148">
    <w:name w:val="IvD Instructiontext Char"/>
    <w:link w:val="149"/>
    <w:qFormat/>
    <w:locked/>
    <w:uiPriority w:val="99"/>
    <w:rPr>
      <w:rFonts w:ascii="Arial" w:hAnsi="Arial" w:cs="Arial"/>
      <w:i/>
      <w:color w:val="808080" w:themeColor="text1" w:themeTint="80"/>
      <w:spacing w:val="2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49">
    <w:name w:val="IvD Instructiontext"/>
    <w:basedOn w:val="15"/>
    <w:link w:val="148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808080" w:themeColor="text1" w:themeTint="80"/>
      <w:spacing w:val="2"/>
      <w:sz w:val="18"/>
      <w:szCs w:val="18"/>
      <w:lang w:eastAsia="en-GB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0">
    <w:name w:val="IvD bodytext Char"/>
    <w:basedOn w:val="53"/>
    <w:link w:val="151"/>
    <w:qFormat/>
    <w:locked/>
    <w:uiPriority w:val="0"/>
    <w:rPr>
      <w:rFonts w:ascii="Arial" w:hAnsi="Arial" w:cs="Arial"/>
      <w:spacing w:val="2"/>
    </w:rPr>
  </w:style>
  <w:style w:type="paragraph" w:customStyle="1" w:styleId="151">
    <w:name w:val="IvD bodytext"/>
    <w:basedOn w:val="15"/>
    <w:link w:val="150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152">
    <w:name w:val="PropObs"/>
    <w:basedOn w:val="1"/>
    <w:link w:val="153"/>
    <w:qFormat/>
    <w:uiPriority w:val="0"/>
    <w:pPr>
      <w:numPr>
        <w:ilvl w:val="0"/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hAnsi="Calibri" w:eastAsia="MS Mincho"/>
      <w:b/>
      <w:lang w:eastAsia="sv-SE"/>
    </w:rPr>
  </w:style>
  <w:style w:type="character" w:customStyle="1" w:styleId="153">
    <w:name w:val="PropObs Char"/>
    <w:link w:val="152"/>
    <w:qFormat/>
    <w:uiPriority w:val="0"/>
    <w:rPr>
      <w:rFonts w:ascii="Calibri" w:hAnsi="Calibri" w:eastAsia="MS Mincho"/>
      <w:b/>
      <w:lang w:eastAsia="sv-SE"/>
    </w:rPr>
  </w:style>
  <w:style w:type="paragraph" w:styleId="154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GB" w:eastAsia="ja-JP" w:bidi="ar-SA"/>
    </w:rPr>
  </w:style>
  <w:style w:type="paragraph" w:customStyle="1" w:styleId="155">
    <w:name w:val="Char Char Char Char Char Char"/>
    <w:semiHidden/>
    <w:qFormat/>
    <w:uiPriority w:val="0"/>
    <w:pPr>
      <w:keepNext/>
      <w:numPr>
        <w:ilvl w:val="0"/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56">
    <w:name w:val="Unresolved Mention1"/>
    <w:basedOn w:val="5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7">
    <w:name w:val="Agreement"/>
    <w:basedOn w:val="1"/>
    <w:qFormat/>
    <w:uiPriority w:val="0"/>
    <w:pPr>
      <w:numPr>
        <w:ilvl w:val="0"/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hAnsi="Arial" w:cs="Arial" w:eastAsiaTheme="minorHAnsi"/>
      <w:b/>
      <w:bCs/>
      <w:lang w:val="sv-SE" w:eastAsia="sv-SE"/>
    </w:rPr>
  </w:style>
  <w:style w:type="character" w:styleId="158">
    <w:name w:val="Placeholder Text"/>
    <w:basedOn w:val="53"/>
    <w:semiHidden/>
    <w:qFormat/>
    <w:uiPriority w:val="99"/>
    <w:rPr>
      <w:color w:val="808080"/>
    </w:rPr>
  </w:style>
  <w:style w:type="paragraph" w:customStyle="1" w:styleId="159">
    <w:name w:val="text intend 1"/>
    <w:basedOn w:val="1"/>
    <w:qFormat/>
    <w:uiPriority w:val="0"/>
    <w:pPr>
      <w:numPr>
        <w:ilvl w:val="0"/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160">
    <w:name w:val="TAC Char"/>
    <w:link w:val="79"/>
    <w:qFormat/>
    <w:locked/>
    <w:uiPriority w:val="0"/>
    <w:rPr>
      <w:rFonts w:ascii="Arial" w:hAnsi="Arial"/>
      <w:sz w:val="18"/>
      <w:lang w:val="zh-CN" w:eastAsia="zh-CN"/>
    </w:rPr>
  </w:style>
  <w:style w:type="paragraph" w:customStyle="1" w:styleId="161">
    <w:name w:val="Instruction text"/>
    <w:basedOn w:val="15"/>
    <w:link w:val="162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struction text Char"/>
    <w:link w:val="161"/>
    <w:qFormat/>
    <w:uiPriority w:val="99"/>
    <w:rPr>
      <w:rFonts w:ascii="Arial" w:hAnsi="Arial" w:eastAsia="宋体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63">
    <w:name w:val="IvD tabletext"/>
    <w:basedOn w:val="15"/>
    <w:link w:val="164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164">
    <w:name w:val="IvD tabletext Char"/>
    <w:basedOn w:val="53"/>
    <w:link w:val="163"/>
    <w:qFormat/>
    <w:uiPriority w:val="0"/>
    <w:rPr>
      <w:rFonts w:ascii="Arial" w:hAnsi="Arial" w:eastAsia="宋体"/>
      <w:spacing w:val="2"/>
      <w:lang w:val="en-US" w:eastAsia="en-US"/>
    </w:rPr>
  </w:style>
  <w:style w:type="character" w:customStyle="1" w:styleId="165">
    <w:name w:val="Unresolved Mention"/>
    <w:basedOn w:val="5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3" Type="http://schemas.microsoft.com/office/2011/relationships/people" Target="people.xml"/><Relationship Id="rId42" Type="http://schemas.openxmlformats.org/officeDocument/2006/relationships/fontTable" Target="fontTable.xml"/><Relationship Id="rId41" Type="http://schemas.openxmlformats.org/officeDocument/2006/relationships/customXml" Target="../customXml/item5.xml"/><Relationship Id="rId40" Type="http://schemas.openxmlformats.org/officeDocument/2006/relationships/customXml" Target="../customXml/item4.xml"/><Relationship Id="rId4" Type="http://schemas.openxmlformats.org/officeDocument/2006/relationships/footer" Target="footer1.xml"/><Relationship Id="rId39" Type="http://schemas.openxmlformats.org/officeDocument/2006/relationships/customXml" Target="../customXml/item3.xml"/><Relationship Id="rId38" Type="http://schemas.openxmlformats.org/officeDocument/2006/relationships/customXml" Target="../customXml/item2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11.wmf"/><Relationship Id="rId34" Type="http://schemas.openxmlformats.org/officeDocument/2006/relationships/oleObject" Target="embeddings/oleObject19.bin"/><Relationship Id="rId33" Type="http://schemas.openxmlformats.org/officeDocument/2006/relationships/image" Target="media/image10.wmf"/><Relationship Id="rId32" Type="http://schemas.openxmlformats.org/officeDocument/2006/relationships/oleObject" Target="embeddings/oleObject18.bin"/><Relationship Id="rId31" Type="http://schemas.openxmlformats.org/officeDocument/2006/relationships/oleObject" Target="embeddings/oleObject17.bin"/><Relationship Id="rId30" Type="http://schemas.openxmlformats.org/officeDocument/2006/relationships/oleObject" Target="embeddings/oleObject16.bin"/><Relationship Id="rId3" Type="http://schemas.openxmlformats.org/officeDocument/2006/relationships/header" Target="header1.xml"/><Relationship Id="rId29" Type="http://schemas.openxmlformats.org/officeDocument/2006/relationships/oleObject" Target="embeddings/oleObject15.bin"/><Relationship Id="rId28" Type="http://schemas.openxmlformats.org/officeDocument/2006/relationships/oleObject" Target="embeddings/oleObject14.bin"/><Relationship Id="rId27" Type="http://schemas.openxmlformats.org/officeDocument/2006/relationships/oleObject" Target="embeddings/oleObject13.bin"/><Relationship Id="rId26" Type="http://schemas.openxmlformats.org/officeDocument/2006/relationships/image" Target="media/image9.wmf"/><Relationship Id="rId25" Type="http://schemas.openxmlformats.org/officeDocument/2006/relationships/oleObject" Target="embeddings/oleObject12.bin"/><Relationship Id="rId24" Type="http://schemas.openxmlformats.org/officeDocument/2006/relationships/image" Target="media/image8.wmf"/><Relationship Id="rId23" Type="http://schemas.openxmlformats.org/officeDocument/2006/relationships/oleObject" Target="embeddings/oleObject11.bin"/><Relationship Id="rId22" Type="http://schemas.openxmlformats.org/officeDocument/2006/relationships/image" Target="media/image7.wmf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oleObject" Target="embeddings/oleObject7.bin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599D3-9433-43AF-81AA-EE742AB8DE9C}">
  <ds:schemaRefs/>
</ds:datastoreItem>
</file>

<file path=customXml/itemProps3.xml><?xml version="1.0" encoding="utf-8"?>
<ds:datastoreItem xmlns:ds="http://schemas.openxmlformats.org/officeDocument/2006/customXml" ds:itemID="{71AF857D-A60B-49AC-B83D-F946BC3B93C9}">
  <ds:schemaRefs/>
</ds:datastoreItem>
</file>

<file path=customXml/itemProps4.xml><?xml version="1.0" encoding="utf-8"?>
<ds:datastoreItem xmlns:ds="http://schemas.openxmlformats.org/officeDocument/2006/customXml" ds:itemID="{240A84D9-A239-48BB-9EF8-246DD26FA435}">
  <ds:schemaRefs/>
</ds:datastoreItem>
</file>

<file path=customXml/itemProps5.xml><?xml version="1.0" encoding="utf-8"?>
<ds:datastoreItem xmlns:ds="http://schemas.openxmlformats.org/officeDocument/2006/customXml" ds:itemID="{F2FBAA47-8D3F-40BF-B406-7025F8311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Company>Ericsson</Company>
  <Pages>9</Pages>
  <Words>2317</Words>
  <Characters>13208</Characters>
  <Lines>110</Lines>
  <Paragraphs>30</Paragraphs>
  <TotalTime>24</TotalTime>
  <ScaleCrop>false</ScaleCrop>
  <LinksUpToDate>false</LinksUpToDate>
  <CharactersWithSpaces>15495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2021-04-15T15:39:00Z</dcterms:created>
  <dc:creator>Gerardo Agni Medina Acosta</dc:creator>
  <cp:keywords>3GPP; Ericsson; TDoc</cp:keywords>
  <cp:lastModifiedBy>ZTE</cp:lastModifiedBy>
  <cp:lastPrinted>2008-01-30T22:09:00Z</cp:lastPrinted>
  <dcterms:modified xsi:type="dcterms:W3CDTF">2021-08-17T11:20:18Z</dcterms:modified>
  <dc:title>Ericsson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(2)cglUW9zlpBqGFSPe5d40TuuJFzRitzxlaEhDOG7lK5sQjt5jS/dZLM7s989tyh8r/6kIFk7G
0+W50feE+Ncsyva+h23aSdrbL8Lg381sO/uKeZcFFr4puCIoIpNAHyptkMJZFbU9Q043Qv2T
DbPAzAiNqSLDaNxVD4c09ucPrNkreR+ArYsO13A1ENBspxnbvLiJe9az1ZHM0GnXutehRnIT
XFeoo+e1/bHAFxbhoG</vt:lpwstr>
  </property>
  <property fmtid="{D5CDD505-2E9C-101B-9397-08002B2CF9AE}" pid="5" name="_2015_ms_pID_7253431">
    <vt:lpwstr>8RbycD1fkSVKpdotzHNHFeX8GLLORBjbg/mexayksv7rNmONl53RVV
69EPRNXZDUIUDgyQrdAmcuuOdHwrFX2btL6wLHsonhXCB5DJcqTeXxBAXD1wkIUlUvK7rDsh
Ya5SCbjvijbNvPXEJjQiokTBn4s/YRU52p8jv3Kxz3kw6WCVuEFkBpXI1NtT62OHYSPwZz0r
2Tc3Z903Ary4kDPs</vt:lpwstr>
  </property>
  <property fmtid="{D5CDD505-2E9C-101B-9397-08002B2CF9AE}" pid="6" name="KSOProductBuildVer">
    <vt:lpwstr>2052-11.8.2.9022</vt:lpwstr>
  </property>
</Properties>
</file>