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764BF6">
            <w:pPr>
              <w:rPr>
                <w:sz w:val="20"/>
              </w:rPr>
            </w:pPr>
            <w:r>
              <w:rPr>
                <w:sz w:val="20"/>
              </w:rPr>
              <w:t>vivo</w:t>
            </w:r>
          </w:p>
        </w:tc>
        <w:tc>
          <w:tcPr>
            <w:tcW w:w="2835" w:type="dxa"/>
          </w:tcPr>
          <w:p w14:paraId="1CBB3BD6" w14:textId="77777777" w:rsidR="00345C0F" w:rsidRDefault="00345C0F" w:rsidP="00764BF6">
            <w:pPr>
              <w:rPr>
                <w:sz w:val="20"/>
                <w:lang w:eastAsia="zh-CN"/>
              </w:rPr>
            </w:pPr>
          </w:p>
        </w:tc>
        <w:tc>
          <w:tcPr>
            <w:tcW w:w="9356" w:type="dxa"/>
          </w:tcPr>
          <w:p w14:paraId="55F33DA8" w14:textId="77777777" w:rsidR="00345C0F" w:rsidRDefault="00345C0F" w:rsidP="00764BF6">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764BF6">
            <w:pPr>
              <w:rPr>
                <w:sz w:val="20"/>
                <w:lang w:eastAsia="zh-CN"/>
              </w:rPr>
            </w:pPr>
          </w:p>
          <w:p w14:paraId="33C60311" w14:textId="77777777" w:rsidR="00345C0F" w:rsidRDefault="00345C0F" w:rsidP="00764BF6">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764BF6">
            <w:pPr>
              <w:rPr>
                <w:sz w:val="20"/>
              </w:rPr>
            </w:pPr>
            <w:r>
              <w:rPr>
                <w:rFonts w:hint="eastAsia"/>
                <w:sz w:val="20"/>
              </w:rPr>
              <w:t>Huawei, HiSilicon</w:t>
            </w:r>
          </w:p>
        </w:tc>
        <w:tc>
          <w:tcPr>
            <w:tcW w:w="2835" w:type="dxa"/>
          </w:tcPr>
          <w:p w14:paraId="3A6963EA" w14:textId="115E7E5A" w:rsidR="008540E2" w:rsidRDefault="008540E2" w:rsidP="00764BF6">
            <w:pPr>
              <w:rPr>
                <w:sz w:val="20"/>
                <w:lang w:eastAsia="zh-CN"/>
              </w:rPr>
            </w:pPr>
            <w:r>
              <w:rPr>
                <w:rFonts w:hint="eastAsia"/>
                <w:sz w:val="20"/>
                <w:lang w:eastAsia="zh-CN"/>
              </w:rPr>
              <w:t>Agree</w:t>
            </w:r>
          </w:p>
        </w:tc>
        <w:tc>
          <w:tcPr>
            <w:tcW w:w="9356" w:type="dxa"/>
          </w:tcPr>
          <w:p w14:paraId="782AD0C3" w14:textId="557D2E8D" w:rsidR="008540E2" w:rsidRDefault="008540E2" w:rsidP="00764BF6">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lastRenderedPageBreak/>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lastRenderedPageBreak/>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3B47CE">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764BF6">
            <w:pPr>
              <w:rPr>
                <w:sz w:val="20"/>
              </w:rPr>
            </w:pPr>
            <w:r>
              <w:rPr>
                <w:sz w:val="20"/>
              </w:rPr>
              <w:lastRenderedPageBreak/>
              <w:t>vivo</w:t>
            </w:r>
          </w:p>
        </w:tc>
        <w:tc>
          <w:tcPr>
            <w:tcW w:w="2835" w:type="dxa"/>
          </w:tcPr>
          <w:p w14:paraId="178A67E4" w14:textId="77777777" w:rsidR="00345C0F" w:rsidRDefault="00345C0F" w:rsidP="00764BF6">
            <w:pPr>
              <w:rPr>
                <w:rFonts w:eastAsia="MS Mincho"/>
                <w:sz w:val="20"/>
                <w:lang w:eastAsia="ja-JP"/>
              </w:rPr>
            </w:pPr>
          </w:p>
        </w:tc>
        <w:tc>
          <w:tcPr>
            <w:tcW w:w="9356" w:type="dxa"/>
          </w:tcPr>
          <w:p w14:paraId="33C05A63" w14:textId="77777777" w:rsidR="00345C0F" w:rsidRDefault="00345C0F" w:rsidP="00764BF6">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764BF6">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764BF6">
            <w:pPr>
              <w:rPr>
                <w:sz w:val="20"/>
              </w:rPr>
            </w:pPr>
            <w:r>
              <w:rPr>
                <w:sz w:val="20"/>
              </w:rPr>
              <w:t>Apple</w:t>
            </w:r>
          </w:p>
        </w:tc>
        <w:tc>
          <w:tcPr>
            <w:tcW w:w="2835" w:type="dxa"/>
          </w:tcPr>
          <w:p w14:paraId="357FD4B0" w14:textId="6EB120CF" w:rsidR="000F42A4" w:rsidRDefault="000F42A4" w:rsidP="00764BF6">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 xml:space="preserve">Thanks for bringing up the potential concerns. Our intention is not to force RAN1 to change previous releases and achieve 100% consistency across all the releases. Similar to Nokia, we simply want to point out this aspect of redefining existing FR2 as one of the observation/conclusion from RAN1 perspective and leave the decision and solution, if needed, to RAN. If I understood Intel’s concern correctly, Intel don’t think updating previous releases </w:t>
            </w:r>
            <w:r>
              <w:rPr>
                <w:rFonts w:eastAsia="MS Mincho"/>
                <w:sz w:val="20"/>
                <w:lang w:eastAsia="ja-JP"/>
              </w:rPr>
              <w:lastRenderedPageBreak/>
              <w:t>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24.26-71GHz  or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To:Samsung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as  “c</w:t>
            </w:r>
            <w:r w:rsidRPr="00FC6774">
              <w:rPr>
                <w:sz w:val="20"/>
                <w:szCs w:val="20"/>
                <w:lang w:val="en-GB" w:eastAsia="x-none"/>
              </w:rPr>
              <w:t>hanging the existing FR2 definition (24.25-52.6 GHz)</w:t>
            </w:r>
            <w:r>
              <w:rPr>
                <w:sz w:val="20"/>
                <w:szCs w:val="20"/>
                <w:lang w:val="en-GB" w:eastAsia="x-none"/>
              </w:rPr>
              <w:t xml:space="preserve">”. To be more clear, maybe the following wording can address the concern? I also use “non-3GPP literature”, which is used in Nokia’s Tdoc,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lastRenderedPageBreak/>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764BF6">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764BF6">
            <w:pPr>
              <w:rPr>
                <w:rFonts w:eastAsia="MS Mincho"/>
                <w:sz w:val="20"/>
                <w:lang w:eastAsia="ja-JP"/>
              </w:rPr>
            </w:pPr>
          </w:p>
        </w:tc>
        <w:tc>
          <w:tcPr>
            <w:tcW w:w="9356" w:type="dxa"/>
          </w:tcPr>
          <w:p w14:paraId="150FA7C3" w14:textId="77777777" w:rsidR="00345C0F" w:rsidRDefault="00345C0F" w:rsidP="00764BF6">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764BF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764BF6">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764BF6">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764BF6">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764BF6">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764BF6">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764BF6">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hint="eastAsia"/>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hint="eastAsia"/>
                <w:sz w:val="20"/>
                <w:lang w:eastAsia="ja-JP"/>
              </w:rPr>
            </w:pPr>
          </w:p>
        </w:tc>
        <w:tc>
          <w:tcPr>
            <w:tcW w:w="9356" w:type="dxa"/>
          </w:tcPr>
          <w:p w14:paraId="7FBBC603" w14:textId="20A1F1B3" w:rsidR="003B1855" w:rsidRDefault="003B1855" w:rsidP="003B1855">
            <w:pPr>
              <w:rPr>
                <w:rFonts w:eastAsia="MS Mincho" w:hint="eastAsia"/>
                <w:sz w:val="20"/>
                <w:lang w:eastAsia="ja-JP"/>
              </w:rPr>
            </w:pPr>
            <w:r>
              <w:rPr>
                <w:rFonts w:eastAsia="MS Mincho"/>
                <w:sz w:val="20"/>
                <w:lang w:eastAsia="ja-JP"/>
              </w:rPr>
              <w:t>We are ok to capture it either as a conclusion or a note and we also agree that this statement doesn’t need to be captured in the LS to RAN</w:t>
            </w:r>
            <w:bookmarkStart w:id="1" w:name="_GoBack"/>
            <w:bookmarkEnd w:id="1"/>
            <w:r>
              <w:rPr>
                <w:rFonts w:eastAsia="MS Mincho"/>
                <w:sz w:val="20"/>
                <w:lang w:eastAsia="ja-JP"/>
              </w:rPr>
              <w:t xml:space="preserve">.   </w:t>
            </w:r>
          </w:p>
        </w:tc>
      </w:tr>
    </w:tbl>
    <w:p w14:paraId="2FF59715" w14:textId="77777777"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lastRenderedPageBreak/>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w:t>
            </w:r>
            <w:r>
              <w:lastRenderedPageBreak/>
              <w:t xml:space="preserve">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lastRenderedPageBreak/>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lastRenderedPageBreak/>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3B47C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w:t>
            </w:r>
            <w:r>
              <w:rPr>
                <w:rFonts w:eastAsia="Malgun Gothic"/>
                <w:szCs w:val="20"/>
                <w:lang w:val="en-GB"/>
              </w:rPr>
              <w:lastRenderedPageBreak/>
              <w:t xml:space="preserve">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w:t>
            </w:r>
            <w:r>
              <w:rPr>
                <w:rFonts w:eastAsia="SimSun"/>
                <w:b/>
                <w:bCs/>
                <w:szCs w:val="20"/>
                <w:lang w:val="en-GB" w:eastAsia="zh-CN"/>
              </w:rPr>
              <w:lastRenderedPageBreak/>
              <w:t xml:space="preserve">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lastRenderedPageBreak/>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lastRenderedPageBreak/>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lastRenderedPageBreak/>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lastRenderedPageBreak/>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lastRenderedPageBreak/>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Easy for spec maintenance if majority of existing FR2 requirements and features can </w:t>
                  </w:r>
                  <w:r w:rsidRPr="0067423F">
                    <w:rPr>
                      <w:sz w:val="20"/>
                      <w:szCs w:val="20"/>
                      <w:lang w:val="en-GB"/>
                    </w:rPr>
                    <w:lastRenderedPageBreak/>
                    <w:t xml:space="preserve">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It is difficult to handle the existing FR2 requirements which may not be extended to 52.6-71GHz. These </w:t>
                  </w:r>
                  <w:r w:rsidRPr="0067423F">
                    <w:rPr>
                      <w:sz w:val="20"/>
                      <w:szCs w:val="20"/>
                      <w:lang w:val="en-GB"/>
                    </w:rPr>
                    <w:lastRenderedPageBreak/>
                    <w:t>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lastRenderedPageBreak/>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w:t>
                  </w:r>
                  <w:r w:rsidRPr="00E815BD">
                    <w:rPr>
                      <w:color w:val="000000"/>
                      <w:sz w:val="20"/>
                      <w:szCs w:val="20"/>
                    </w:rPr>
                    <w:lastRenderedPageBreak/>
                    <w:t>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lastRenderedPageBreak/>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 xml:space="preserve">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w:t>
            </w:r>
            <w:r>
              <w:lastRenderedPageBreak/>
              <w:t>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3B47CE">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TW"/>
                    </w:rPr>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lastRenderedPageBreak/>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 xml:space="preserve">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w:t>
            </w:r>
            <w:r>
              <w:lastRenderedPageBreak/>
              <w:t>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w:t>
            </w:r>
            <w:r>
              <w:lastRenderedPageBreak/>
              <w:t xml:space="preserve">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 xml:space="preserve">On the other hand, any enhancement or modification introduced for frequency range 52.6-71GHz can be differentiated from range 24.25-52.6GHz by using </w:t>
            </w:r>
            <w:r w:rsidRPr="00BF148C">
              <w:rPr>
                <w:rFonts w:ascii="Times" w:eastAsia="Batang" w:hAnsi="Times"/>
                <w:szCs w:val="24"/>
                <w:lang w:eastAsia="x-none"/>
              </w:rPr>
              <w:lastRenderedPageBreak/>
              <w:t>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2AE4A" w14:textId="77777777" w:rsidR="005B4268" w:rsidRDefault="005B4268" w:rsidP="00642FCD">
      <w:pPr>
        <w:spacing w:after="0" w:line="240" w:lineRule="auto"/>
      </w:pPr>
      <w:r>
        <w:separator/>
      </w:r>
    </w:p>
  </w:endnote>
  <w:endnote w:type="continuationSeparator" w:id="0">
    <w:p w14:paraId="06D2D43A" w14:textId="77777777" w:rsidR="005B4268" w:rsidRDefault="005B4268"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37FCA" w14:textId="77777777" w:rsidR="005B4268" w:rsidRDefault="005B4268" w:rsidP="00642FCD">
      <w:pPr>
        <w:spacing w:after="0" w:line="240" w:lineRule="auto"/>
      </w:pPr>
      <w:r>
        <w:separator/>
      </w:r>
    </w:p>
  </w:footnote>
  <w:footnote w:type="continuationSeparator" w:id="0">
    <w:p w14:paraId="54A280DA" w14:textId="77777777" w:rsidR="005B4268" w:rsidRDefault="005B4268"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89FC99-F8D3-4E07-B0E1-E5E74B9A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11725</Words>
  <Characters>66835</Characters>
  <Application>Microsoft Office Word</Application>
  <DocSecurity>0</DocSecurity>
  <Lines>556</Lines>
  <Paragraphs>156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Hsien-Ping Lin</cp:lastModifiedBy>
  <cp:revision>3</cp:revision>
  <cp:lastPrinted>2016-08-13T07:06:00Z</cp:lastPrinted>
  <dcterms:created xsi:type="dcterms:W3CDTF">2021-05-26T04:22:00Z</dcterms:created>
  <dcterms:modified xsi:type="dcterms:W3CDTF">2021-05-26T04:26:00Z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