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f1"/>
        <w:tblW w:w="9209" w:type="dxa"/>
        <w:tblLayout w:type="fixed"/>
        <w:tblLook w:val="04A0" w:firstRow="1" w:lastRow="0" w:firstColumn="1" w:lastColumn="0" w:noHBand="0" w:noVBand="1"/>
      </w:tblPr>
      <w:tblGrid>
        <w:gridCol w:w="846"/>
        <w:gridCol w:w="4536"/>
        <w:gridCol w:w="3827"/>
      </w:tblGrid>
      <w:tr w:rsidR="00F820B8" w14:paraId="3217D2B5" w14:textId="77777777" w:rsidTr="00526C60">
        <w:tc>
          <w:tcPr>
            <w:tcW w:w="846" w:type="dxa"/>
          </w:tcPr>
          <w:p w14:paraId="1E6EDB65" w14:textId="77777777" w:rsidR="00F820B8" w:rsidRDefault="00F820B8" w:rsidP="00526C60">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526C60">
            <w:pPr>
              <w:spacing w:after="0"/>
            </w:pPr>
            <w:r>
              <w:rPr>
                <w:rFonts w:hint="eastAsia"/>
              </w:rPr>
              <w:t>Description</w:t>
            </w:r>
          </w:p>
        </w:tc>
        <w:tc>
          <w:tcPr>
            <w:tcW w:w="3827" w:type="dxa"/>
          </w:tcPr>
          <w:p w14:paraId="37E39D57" w14:textId="77777777" w:rsidR="00F820B8" w:rsidRDefault="00F820B8" w:rsidP="00526C60">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526C60">
        <w:trPr>
          <w:trHeight w:val="90"/>
        </w:trPr>
        <w:tc>
          <w:tcPr>
            <w:tcW w:w="846" w:type="dxa"/>
          </w:tcPr>
          <w:p w14:paraId="56FB3F79" w14:textId="77777777" w:rsidR="00F820B8" w:rsidRDefault="00F820B8" w:rsidP="00526C60">
            <w:pPr>
              <w:spacing w:after="0"/>
            </w:pPr>
            <w:r>
              <w:t>1</w:t>
            </w:r>
          </w:p>
        </w:tc>
        <w:tc>
          <w:tcPr>
            <w:tcW w:w="4536" w:type="dxa"/>
          </w:tcPr>
          <w:p w14:paraId="7FBED700" w14:textId="77777777" w:rsidR="00F820B8" w:rsidRPr="00C26C74" w:rsidRDefault="00F820B8" w:rsidP="00526C60">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526C60">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526C60" w:rsidP="00526C60">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526C60" w:rsidP="00526C60">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526C60" w:rsidP="00526C60">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526C60" w:rsidP="00526C60">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526C60"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526C60">
        <w:trPr>
          <w:trHeight w:val="320"/>
        </w:trPr>
        <w:tc>
          <w:tcPr>
            <w:tcW w:w="846" w:type="dxa"/>
          </w:tcPr>
          <w:p w14:paraId="17AAD6CC" w14:textId="77777777" w:rsidR="00F820B8" w:rsidRDefault="00F820B8" w:rsidP="00526C60">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526C60">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526C60" w:rsidP="00526C60">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526C60" w:rsidP="00526C60">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526C60" w:rsidP="00526C60">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526C60" w:rsidP="00526C60">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526C60" w:rsidP="00526C60">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526C60">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526C60" w:rsidP="00526C60">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526C60" w:rsidP="00526C60">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526C60" w:rsidP="00526C60">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526C60" w:rsidP="00526C60">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526C60">
        <w:tc>
          <w:tcPr>
            <w:tcW w:w="846" w:type="dxa"/>
          </w:tcPr>
          <w:p w14:paraId="3623D523" w14:textId="77777777" w:rsidR="00F820B8" w:rsidRDefault="00F820B8" w:rsidP="00526C60">
            <w:pPr>
              <w:spacing w:after="0"/>
              <w:rPr>
                <w:lang w:eastAsia="zh-CN"/>
              </w:rPr>
            </w:pPr>
            <w:r>
              <w:rPr>
                <w:rFonts w:hint="eastAsia"/>
                <w:lang w:eastAsia="zh-CN"/>
              </w:rPr>
              <w:t>3</w:t>
            </w:r>
          </w:p>
        </w:tc>
        <w:tc>
          <w:tcPr>
            <w:tcW w:w="4536" w:type="dxa"/>
          </w:tcPr>
          <w:p w14:paraId="17B47789" w14:textId="77777777" w:rsidR="00D53108" w:rsidRPr="00C26C74" w:rsidRDefault="00D53108" w:rsidP="00526C60">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aff4"/>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aff4"/>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aff4"/>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526C60" w:rsidP="00526C60">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526C60" w:rsidP="00526C60">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526C60" w:rsidP="00526C60">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526C6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526C6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526C60" w:rsidRPr="008C1D01" w:rsidRDefault="00526C60"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526C60" w:rsidRPr="008C1D01" w:rsidRDefault="00526C60"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526C60" w:rsidRPr="008C1D01" w:rsidRDefault="00526C60"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526C60" w:rsidRPr="008C1D01" w:rsidRDefault="00526C60"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526C60" w:rsidRPr="008C1D01" w:rsidRDefault="00526C60"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526C60" w:rsidRPr="008C1D01" w:rsidRDefault="00526C60"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526C60" w:rsidRPr="008C1D01" w:rsidRDefault="00526C60"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526C60" w:rsidRPr="008C1D01" w:rsidRDefault="00526C60"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f4"/>
        <w:autoSpaceDE/>
        <w:autoSpaceDN/>
        <w:adjustRightInd/>
        <w:snapToGrid/>
        <w:ind w:firstLineChars="0" w:firstLine="0"/>
        <w:rPr>
          <w:lang w:eastAsia="zh-CN"/>
        </w:rPr>
      </w:pPr>
    </w:p>
    <w:p w14:paraId="482A1C03" w14:textId="77777777" w:rsidR="00DB2B95" w:rsidRDefault="00DB2B95" w:rsidP="00030242">
      <w:pPr>
        <w:pStyle w:val="aff4"/>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f4"/>
        <w:autoSpaceDE/>
        <w:autoSpaceDN/>
        <w:adjustRightInd/>
        <w:snapToGrid/>
        <w:ind w:firstLineChars="0" w:firstLine="0"/>
        <w:rPr>
          <w:lang w:eastAsia="zh-CN"/>
        </w:rPr>
      </w:pPr>
    </w:p>
    <w:p w14:paraId="0BA478AA" w14:textId="77777777" w:rsidR="00151C22" w:rsidRPr="004D6714" w:rsidRDefault="0063170A" w:rsidP="00030242">
      <w:pPr>
        <w:pStyle w:val="aff4"/>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f4"/>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aff4"/>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aff4"/>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aff4"/>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w:t>
      </w:r>
      <w:proofErr w:type="gramStart"/>
      <w:r>
        <w:rPr>
          <w:rFonts w:ascii="Times New Roman" w:hAnsi="Times New Roman" w:cs="Times New Roman"/>
          <w:b w:val="0"/>
          <w:color w:val="000000"/>
        </w:rPr>
        <w:t>second round</w:t>
      </w:r>
      <w:proofErr w:type="gramEnd"/>
      <w:r>
        <w:rPr>
          <w:rFonts w:ascii="Times New Roman" w:hAnsi="Times New Roman" w:cs="Times New Roman"/>
          <w:b w:val="0"/>
          <w:color w:val="000000"/>
        </w:rPr>
        <w:t xml:space="preserve">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f1"/>
        <w:tblW w:w="9307" w:type="dxa"/>
        <w:tblLayout w:type="fixed"/>
        <w:tblLook w:val="04A0" w:firstRow="1" w:lastRow="0" w:firstColumn="1" w:lastColumn="0" w:noHBand="0" w:noVBand="1"/>
      </w:tblPr>
      <w:tblGrid>
        <w:gridCol w:w="1696"/>
        <w:gridCol w:w="7611"/>
      </w:tblGrid>
      <w:tr w:rsidR="00030242" w14:paraId="1624AEF8" w14:textId="77777777" w:rsidTr="00526C60">
        <w:tc>
          <w:tcPr>
            <w:tcW w:w="1696" w:type="dxa"/>
          </w:tcPr>
          <w:p w14:paraId="67CD39A5" w14:textId="77777777" w:rsidR="00030242" w:rsidRDefault="00030242" w:rsidP="00526C60">
            <w:r>
              <w:rPr>
                <w:rFonts w:hint="eastAsia"/>
              </w:rPr>
              <w:t>Company</w:t>
            </w:r>
          </w:p>
        </w:tc>
        <w:tc>
          <w:tcPr>
            <w:tcW w:w="7611" w:type="dxa"/>
          </w:tcPr>
          <w:p w14:paraId="47294ABA" w14:textId="77777777" w:rsidR="00030242" w:rsidRDefault="00030242" w:rsidP="00526C60">
            <w:r>
              <w:rPr>
                <w:rFonts w:hint="eastAsia"/>
              </w:rPr>
              <w:t>Comment</w:t>
            </w:r>
          </w:p>
        </w:tc>
      </w:tr>
      <w:tr w:rsidR="00030242" w14:paraId="3EA71193" w14:textId="77777777" w:rsidTr="00526C60">
        <w:tc>
          <w:tcPr>
            <w:tcW w:w="1696" w:type="dxa"/>
          </w:tcPr>
          <w:p w14:paraId="18591B11" w14:textId="77777777" w:rsidR="00030242" w:rsidRPr="00ED00F5" w:rsidRDefault="00ED00F5" w:rsidP="00526C60">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526C60">
        <w:tc>
          <w:tcPr>
            <w:tcW w:w="1696" w:type="dxa"/>
          </w:tcPr>
          <w:p w14:paraId="2A5A01BB" w14:textId="77777777" w:rsidR="00030242" w:rsidRPr="00B160C5" w:rsidRDefault="00B160C5" w:rsidP="00526C60">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526C60">
            <w:pPr>
              <w:rPr>
                <w:lang w:eastAsia="zh-CN"/>
              </w:rPr>
            </w:pPr>
            <w:r>
              <w:rPr>
                <w:lang w:eastAsia="zh-CN"/>
              </w:rPr>
              <w:t>O</w:t>
            </w:r>
            <w:r>
              <w:rPr>
                <w:rFonts w:hint="eastAsia"/>
                <w:lang w:eastAsia="zh-CN"/>
              </w:rPr>
              <w:t>ption 1 seems suitable.</w:t>
            </w:r>
          </w:p>
        </w:tc>
      </w:tr>
      <w:tr w:rsidR="00887FCC" w14:paraId="2E38C7A5" w14:textId="77777777" w:rsidTr="00526C60">
        <w:tc>
          <w:tcPr>
            <w:tcW w:w="1696" w:type="dxa"/>
          </w:tcPr>
          <w:p w14:paraId="7A81F93E" w14:textId="0731B376" w:rsidR="00887FCC" w:rsidRDefault="00887FCC" w:rsidP="00526C60">
            <w:pPr>
              <w:rPr>
                <w:lang w:eastAsia="zh-CN"/>
              </w:rPr>
            </w:pPr>
            <w:r>
              <w:rPr>
                <w:lang w:eastAsia="zh-CN"/>
              </w:rPr>
              <w:t>Nokia</w:t>
            </w:r>
          </w:p>
        </w:tc>
        <w:tc>
          <w:tcPr>
            <w:tcW w:w="7611" w:type="dxa"/>
          </w:tcPr>
          <w:p w14:paraId="6743C711" w14:textId="42BFF44E" w:rsidR="00887FCC" w:rsidRDefault="00887FCC" w:rsidP="00526C60">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526C60">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526C60">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526C60">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5F2853" w14:paraId="385DF139" w14:textId="77777777" w:rsidTr="00526C60">
        <w:tc>
          <w:tcPr>
            <w:tcW w:w="1696" w:type="dxa"/>
          </w:tcPr>
          <w:p w14:paraId="4535B81B" w14:textId="6C847BC6" w:rsidR="005F2853" w:rsidRPr="005F2853" w:rsidRDefault="005F2853" w:rsidP="00D55678">
            <w:pPr>
              <w:rPr>
                <w:rFonts w:hint="eastAsia"/>
                <w:lang w:eastAsia="zh-CN"/>
              </w:rPr>
            </w:pPr>
            <w:r>
              <w:rPr>
                <w:rFonts w:hint="eastAsia"/>
                <w:lang w:eastAsia="zh-CN"/>
              </w:rPr>
              <w:t>v</w:t>
            </w:r>
            <w:r>
              <w:rPr>
                <w:lang w:eastAsia="zh-CN"/>
              </w:rPr>
              <w:t>ivo</w:t>
            </w:r>
          </w:p>
        </w:tc>
        <w:tc>
          <w:tcPr>
            <w:tcW w:w="7611" w:type="dxa"/>
          </w:tcPr>
          <w:p w14:paraId="38E4B0C3" w14:textId="3004C9E9" w:rsidR="005F2853" w:rsidRDefault="005F2853" w:rsidP="00000A8E">
            <w:pPr>
              <w:rPr>
                <w:rFonts w:hint="eastAsia"/>
                <w:lang w:eastAsia="zh-CN"/>
              </w:rPr>
            </w:pPr>
            <w:r>
              <w:rPr>
                <w:lang w:eastAsia="zh-CN"/>
              </w:rPr>
              <w:t xml:space="preserve">We prefer Option </w:t>
            </w:r>
            <w:r w:rsidR="00A2463E">
              <w:rPr>
                <w:lang w:eastAsia="zh-CN"/>
              </w:rPr>
              <w:t xml:space="preserve">2, </w:t>
            </w:r>
            <w:r w:rsidR="009C0B06">
              <w:rPr>
                <w:lang w:eastAsia="zh-CN"/>
              </w:rPr>
              <w:t>which is similar to the legacy behavior in IDLE/INACTIVE states.</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6C23DC65" w14:textId="77777777" w:rsidR="00030242" w:rsidRDefault="00741A77" w:rsidP="00030242">
      <w:pPr>
        <w:pStyle w:val="aff4"/>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proofErr w:type="gramStart"/>
      <w:r>
        <w:rPr>
          <w:sz w:val="20"/>
          <w:szCs w:val="20"/>
        </w:rPr>
        <w:t>t</w:t>
      </w:r>
      <w:proofErr w:type="spellStart"/>
      <w:r>
        <w:rPr>
          <w:sz w:val="20"/>
          <w:szCs w:val="20"/>
          <w:lang w:val="en-GB"/>
        </w:rPr>
        <w:t>ime</w:t>
      </w:r>
      <w:proofErr w:type="spellEnd"/>
      <w:r>
        <w:rPr>
          <w:sz w:val="20"/>
          <w:szCs w:val="20"/>
          <w:lang w:val="en-GB"/>
        </w:rPr>
        <w:t xml:space="preserve"> based</w:t>
      </w:r>
      <w:proofErr w:type="gramEnd"/>
      <w:r>
        <w:rPr>
          <w:sz w:val="20"/>
          <w:szCs w:val="20"/>
          <w:lang w:val="en-GB"/>
        </w:rPr>
        <w:t xml:space="preserve">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proofErr w:type="gramStart"/>
      <w:r>
        <w:rPr>
          <w:sz w:val="20"/>
          <w:szCs w:val="20"/>
          <w:lang w:eastAsia="zh-CN"/>
        </w:rPr>
        <w:t>Also</w:t>
      </w:r>
      <w:proofErr w:type="gramEnd"/>
      <w:r>
        <w:rPr>
          <w:sz w:val="20"/>
          <w:szCs w:val="20"/>
          <w:lang w:eastAsia="zh-CN"/>
        </w:rPr>
        <w:t xml:space="preserve">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f1"/>
        <w:tblW w:w="9307" w:type="dxa"/>
        <w:tblLayout w:type="fixed"/>
        <w:tblLook w:val="04A0" w:firstRow="1" w:lastRow="0" w:firstColumn="1" w:lastColumn="0" w:noHBand="0" w:noVBand="1"/>
      </w:tblPr>
      <w:tblGrid>
        <w:gridCol w:w="1696"/>
        <w:gridCol w:w="7611"/>
      </w:tblGrid>
      <w:tr w:rsidR="00030242" w14:paraId="3BAA9200" w14:textId="77777777" w:rsidTr="00526C60">
        <w:tc>
          <w:tcPr>
            <w:tcW w:w="1696" w:type="dxa"/>
          </w:tcPr>
          <w:p w14:paraId="2C12B914" w14:textId="77777777" w:rsidR="00030242" w:rsidRDefault="00030242" w:rsidP="00526C60">
            <w:r>
              <w:rPr>
                <w:rFonts w:hint="eastAsia"/>
              </w:rPr>
              <w:t>Company</w:t>
            </w:r>
          </w:p>
        </w:tc>
        <w:tc>
          <w:tcPr>
            <w:tcW w:w="7611" w:type="dxa"/>
          </w:tcPr>
          <w:p w14:paraId="6552FC6B" w14:textId="77777777" w:rsidR="00030242" w:rsidRDefault="00030242" w:rsidP="00526C60">
            <w:r>
              <w:rPr>
                <w:rFonts w:hint="eastAsia"/>
              </w:rPr>
              <w:t>Comment</w:t>
            </w:r>
          </w:p>
        </w:tc>
      </w:tr>
      <w:tr w:rsidR="00030242" w14:paraId="006924A9" w14:textId="77777777" w:rsidTr="00526C60">
        <w:tc>
          <w:tcPr>
            <w:tcW w:w="1696" w:type="dxa"/>
          </w:tcPr>
          <w:p w14:paraId="19AFF0E1" w14:textId="77777777" w:rsidR="00030242" w:rsidRPr="00AD24F8" w:rsidRDefault="00AD24F8" w:rsidP="00526C60">
            <w:pPr>
              <w:rPr>
                <w:lang w:eastAsia="zh-CN"/>
              </w:rPr>
            </w:pPr>
            <w:r>
              <w:rPr>
                <w:rFonts w:hint="eastAsia"/>
                <w:lang w:eastAsia="zh-CN"/>
              </w:rPr>
              <w:t>CATT</w:t>
            </w:r>
          </w:p>
        </w:tc>
        <w:tc>
          <w:tcPr>
            <w:tcW w:w="7611" w:type="dxa"/>
          </w:tcPr>
          <w:p w14:paraId="0DB8AA47" w14:textId="77777777" w:rsidR="00030242" w:rsidRPr="00AD24F8" w:rsidRDefault="00AD24F8" w:rsidP="00526C60">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526C60">
        <w:tc>
          <w:tcPr>
            <w:tcW w:w="1696" w:type="dxa"/>
          </w:tcPr>
          <w:p w14:paraId="5CB02A14" w14:textId="43A1B6AA" w:rsidR="00030242" w:rsidRDefault="00887FCC" w:rsidP="00526C60">
            <w:pPr>
              <w:rPr>
                <w:rFonts w:eastAsia="Malgun Gothic"/>
                <w:lang w:eastAsia="ko-KR"/>
              </w:rPr>
            </w:pPr>
            <w:r>
              <w:rPr>
                <w:rFonts w:eastAsia="Malgun Gothic"/>
                <w:lang w:eastAsia="ko-KR"/>
              </w:rPr>
              <w:t>Nokia</w:t>
            </w:r>
          </w:p>
        </w:tc>
        <w:tc>
          <w:tcPr>
            <w:tcW w:w="7611" w:type="dxa"/>
          </w:tcPr>
          <w:p w14:paraId="6D4B346E" w14:textId="453BECC7" w:rsidR="00030242" w:rsidRDefault="00887FCC" w:rsidP="00526C60">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526C60">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526C60">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526C60">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5F2853" w14:paraId="7EBA955B" w14:textId="77777777" w:rsidTr="00D55678">
        <w:tc>
          <w:tcPr>
            <w:tcW w:w="1696" w:type="dxa"/>
          </w:tcPr>
          <w:p w14:paraId="00247BAC" w14:textId="15F88581" w:rsidR="005F2853" w:rsidRDefault="009C0B06" w:rsidP="00526C60">
            <w:pPr>
              <w:rPr>
                <w:rFonts w:hint="eastAsia"/>
                <w:lang w:eastAsia="zh-CN"/>
              </w:rPr>
            </w:pPr>
            <w:r>
              <w:rPr>
                <w:lang w:eastAsia="zh-CN"/>
              </w:rPr>
              <w:t>v</w:t>
            </w:r>
            <w:r w:rsidR="005F2853">
              <w:rPr>
                <w:lang w:eastAsia="zh-CN"/>
              </w:rPr>
              <w:t>ivo</w:t>
            </w:r>
          </w:p>
        </w:tc>
        <w:tc>
          <w:tcPr>
            <w:tcW w:w="7611" w:type="dxa"/>
          </w:tcPr>
          <w:p w14:paraId="12A929F0" w14:textId="55BD612D" w:rsidR="005F2853" w:rsidRDefault="005F2853" w:rsidP="00D55678">
            <w:pPr>
              <w:rPr>
                <w:lang w:eastAsia="zh-CN"/>
              </w:rPr>
            </w:pPr>
            <w:r>
              <w:rPr>
                <w:rFonts w:hint="eastAsia"/>
                <w:lang w:eastAsia="zh-CN"/>
              </w:rPr>
              <w:t>A</w:t>
            </w:r>
            <w:r>
              <w:rPr>
                <w:lang w:eastAsia="zh-CN"/>
              </w:rPr>
              <w:t>gree with FL’s suggestion and focus on the discussion point in 3.1 first.</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526C60" w:rsidRDefault="00526C60" w:rsidP="00EA056F">
                            <w:pPr>
                              <w:spacing w:after="0"/>
                              <w:rPr>
                                <w:highlight w:val="green"/>
                              </w:rPr>
                            </w:pPr>
                            <w:r>
                              <w:rPr>
                                <w:highlight w:val="green"/>
                              </w:rPr>
                              <w:t>Agreement:</w:t>
                            </w:r>
                          </w:p>
                          <w:p w14:paraId="427AFBFA" w14:textId="77777777" w:rsidR="00526C60" w:rsidRDefault="00526C60" w:rsidP="00EA056F">
                            <w:pPr>
                              <w:pStyle w:val="aff4"/>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526C60" w:rsidRDefault="00526C60" w:rsidP="00EA056F">
                            <w:pPr>
                              <w:pStyle w:val="aff4"/>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526C60" w:rsidRDefault="00526C60"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526C60" w:rsidRDefault="00526C60"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526C60" w:rsidRDefault="00526C60" w:rsidP="00EA056F">
                      <w:pPr>
                        <w:spacing w:after="0"/>
                        <w:rPr>
                          <w:highlight w:val="green"/>
                        </w:rPr>
                      </w:pPr>
                      <w:r>
                        <w:rPr>
                          <w:highlight w:val="green"/>
                        </w:rPr>
                        <w:t>Agreement:</w:t>
                      </w:r>
                    </w:p>
                    <w:p w14:paraId="427AFBFA" w14:textId="77777777" w:rsidR="00526C60" w:rsidRDefault="00526C60" w:rsidP="00EA056F">
                      <w:pPr>
                        <w:pStyle w:val="aff4"/>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526C60" w:rsidRDefault="00526C60" w:rsidP="00EA056F">
                      <w:pPr>
                        <w:pStyle w:val="aff4"/>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526C60" w:rsidRDefault="00526C60"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526C60" w:rsidRDefault="00526C60"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aff4"/>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aff4"/>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526C60">
      <w:pPr>
        <w:pStyle w:val="aff4"/>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aff4"/>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aff4"/>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w:t>
      </w:r>
      <w:proofErr w:type="gramStart"/>
      <w:r>
        <w:rPr>
          <w:lang w:eastAsia="zh-CN"/>
        </w:rPr>
        <w:t>second round</w:t>
      </w:r>
      <w:proofErr w:type="gramEnd"/>
      <w:r>
        <w:rPr>
          <w:lang w:eastAsia="zh-CN"/>
        </w:rPr>
        <w:t xml:space="preserve">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f1"/>
        <w:tblW w:w="9307" w:type="dxa"/>
        <w:tblLayout w:type="fixed"/>
        <w:tblLook w:val="04A0" w:firstRow="1" w:lastRow="0" w:firstColumn="1" w:lastColumn="0" w:noHBand="0" w:noVBand="1"/>
      </w:tblPr>
      <w:tblGrid>
        <w:gridCol w:w="1696"/>
        <w:gridCol w:w="7611"/>
      </w:tblGrid>
      <w:tr w:rsidR="00065883" w14:paraId="33872E79" w14:textId="77777777" w:rsidTr="00526C60">
        <w:tc>
          <w:tcPr>
            <w:tcW w:w="1696" w:type="dxa"/>
          </w:tcPr>
          <w:p w14:paraId="13B7E401" w14:textId="77777777" w:rsidR="00065883" w:rsidRDefault="00065883" w:rsidP="00526C60">
            <w:r>
              <w:rPr>
                <w:rFonts w:hint="eastAsia"/>
              </w:rPr>
              <w:t>Company</w:t>
            </w:r>
          </w:p>
        </w:tc>
        <w:tc>
          <w:tcPr>
            <w:tcW w:w="7611" w:type="dxa"/>
          </w:tcPr>
          <w:p w14:paraId="10B2B99B" w14:textId="77777777" w:rsidR="00065883" w:rsidRDefault="00065883" w:rsidP="00526C60">
            <w:r>
              <w:rPr>
                <w:rFonts w:hint="eastAsia"/>
              </w:rPr>
              <w:t>Comment</w:t>
            </w:r>
          </w:p>
        </w:tc>
      </w:tr>
      <w:tr w:rsidR="00065883" w14:paraId="0529D129" w14:textId="77777777" w:rsidTr="00526C60">
        <w:tc>
          <w:tcPr>
            <w:tcW w:w="1696" w:type="dxa"/>
          </w:tcPr>
          <w:p w14:paraId="640EB684" w14:textId="77777777" w:rsidR="00065883" w:rsidRPr="001B4C0C" w:rsidRDefault="001B4C0C" w:rsidP="00526C60">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526C60">
        <w:tc>
          <w:tcPr>
            <w:tcW w:w="1696" w:type="dxa"/>
          </w:tcPr>
          <w:p w14:paraId="3049D15C" w14:textId="77777777" w:rsidR="00065883" w:rsidRPr="00B160C5" w:rsidRDefault="00B160C5" w:rsidP="00526C60">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526C60">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526C60">
            <w:pPr>
              <w:rPr>
                <w:lang w:eastAsia="zh-CN"/>
              </w:rPr>
            </w:pPr>
            <w:r>
              <w:rPr>
                <w:lang w:eastAsia="zh-CN"/>
              </w:rPr>
              <w:t>Besides</w:t>
            </w:r>
            <w:r>
              <w:rPr>
                <w:rFonts w:hint="eastAsia"/>
                <w:lang w:eastAsia="zh-CN"/>
              </w:rPr>
              <w:t xml:space="preserve">, we raised up two other related questions, but they </w:t>
            </w:r>
            <w:proofErr w:type="gramStart"/>
            <w:r>
              <w:rPr>
                <w:rFonts w:hint="eastAsia"/>
                <w:lang w:eastAsia="zh-CN"/>
              </w:rPr>
              <w:t>seems</w:t>
            </w:r>
            <w:proofErr w:type="gramEnd"/>
            <w:r>
              <w:rPr>
                <w:rFonts w:hint="eastAsia"/>
                <w:lang w:eastAsia="zh-CN"/>
              </w:rPr>
              <w:t xml:space="preserve"> not included in FL</w:t>
            </w:r>
            <w:r>
              <w:rPr>
                <w:lang w:eastAsia="zh-CN"/>
              </w:rPr>
              <w:t>’</w:t>
            </w:r>
            <w:r>
              <w:rPr>
                <w:rFonts w:hint="eastAsia"/>
                <w:lang w:eastAsia="zh-CN"/>
              </w:rPr>
              <w:t>s summary.</w:t>
            </w:r>
          </w:p>
          <w:p w14:paraId="1ACF6EE7" w14:textId="77777777" w:rsidR="00B160C5" w:rsidRDefault="00B160C5" w:rsidP="00526C60">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526C60">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526C60">
        <w:tc>
          <w:tcPr>
            <w:tcW w:w="1696" w:type="dxa"/>
          </w:tcPr>
          <w:p w14:paraId="7EB7973C" w14:textId="40292A13" w:rsidR="00962F79" w:rsidRPr="005E2638" w:rsidRDefault="00422642" w:rsidP="00526C60">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526C60">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526C60">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526C60">
            <w:pPr>
              <w:rPr>
                <w:rFonts w:eastAsia="Malgun Gothic"/>
                <w:lang w:eastAsia="ko-KR"/>
              </w:rPr>
            </w:pPr>
            <w:r>
              <w:rPr>
                <w:rFonts w:eastAsia="Malgun Gothic"/>
                <w:lang w:eastAsia="ko-KR"/>
              </w:rPr>
              <w:t>Adding our support of Option 2 as well.</w:t>
            </w:r>
          </w:p>
          <w:p w14:paraId="68346F81" w14:textId="7C432A0E" w:rsidR="00D55678" w:rsidRDefault="00D55678" w:rsidP="00526C60">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526C60">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526C60">
            <w:pPr>
              <w:rPr>
                <w:rFonts w:eastAsia="Malgun Gothic"/>
                <w:lang w:eastAsia="ko-KR"/>
              </w:rPr>
            </w:pPr>
            <w:r>
              <w:rPr>
                <w:rFonts w:eastAsia="Malgun Gothic"/>
                <w:lang w:eastAsia="ko-KR"/>
              </w:rPr>
              <w:t>Intel</w:t>
            </w:r>
          </w:p>
        </w:tc>
        <w:tc>
          <w:tcPr>
            <w:tcW w:w="7611" w:type="dxa"/>
          </w:tcPr>
          <w:p w14:paraId="717B3FE3" w14:textId="77777777" w:rsidR="006A1759" w:rsidRDefault="006A1759" w:rsidP="00526C60">
            <w:pPr>
              <w:rPr>
                <w:rFonts w:eastAsia="Malgun Gothic"/>
                <w:lang w:eastAsia="ko-KR"/>
              </w:rPr>
            </w:pPr>
            <w:r>
              <w:rPr>
                <w:rFonts w:eastAsia="Malgun Gothic"/>
                <w:lang w:eastAsia="ko-KR"/>
              </w:rPr>
              <w:t>We support Option 1.</w:t>
            </w:r>
          </w:p>
          <w:p w14:paraId="3F7F334A" w14:textId="565C82EF" w:rsidR="00E96D3D" w:rsidRDefault="006A1759" w:rsidP="00526C60">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r w:rsidR="002E0CE6">
              <w:rPr>
                <w:rFonts w:eastAsia="Malgun Gothic"/>
                <w:lang w:eastAsia="ko-KR"/>
              </w:rPr>
              <w:pgNum/>
            </w:r>
            <w:proofErr w:type="spellStart"/>
            <w:r w:rsidR="002E0CE6">
              <w:rPr>
                <w:rFonts w:eastAsia="Malgun Gothic"/>
                <w:lang w:eastAsia="ko-KR"/>
              </w:rPr>
              <w:t>ignaling</w:t>
            </w:r>
            <w:proofErr w:type="spellEnd"/>
            <w:r w:rsidR="00E96D3D">
              <w:rPr>
                <w:rFonts w:eastAsia="Malgun Gothic"/>
                <w:lang w:eastAsia="ko-KR"/>
              </w:rPr>
              <w:t xml:space="preserve"> overhead in our view is not large for Option 1. </w:t>
            </w:r>
          </w:p>
          <w:p w14:paraId="0AAB7048" w14:textId="792CAD40" w:rsidR="00E96D3D" w:rsidRDefault="00E96D3D" w:rsidP="00526C60">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526C60">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526C60">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xml:space="preserve">, we are not sure whether it will happen. If UE want to trigger a CG-SDT, UE should select </w:t>
            </w:r>
            <w:proofErr w:type="gramStart"/>
            <w:r>
              <w:rPr>
                <w:lang w:eastAsia="zh-CN"/>
              </w:rPr>
              <w:t>a</w:t>
            </w:r>
            <w:proofErr w:type="gramEnd"/>
            <w:r>
              <w:rPr>
                <w:lang w:eastAsia="zh-CN"/>
              </w:rPr>
              <w:t xml:space="preserve">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2E0CE6" w:rsidRPr="005E2638" w14:paraId="57AD9FE7" w14:textId="77777777" w:rsidTr="00D55678">
        <w:tc>
          <w:tcPr>
            <w:tcW w:w="1696" w:type="dxa"/>
          </w:tcPr>
          <w:p w14:paraId="75853A46" w14:textId="163321A3" w:rsidR="002E0CE6" w:rsidRDefault="002E0CE6" w:rsidP="00526C60">
            <w:pPr>
              <w:rPr>
                <w:rFonts w:hint="eastAsia"/>
                <w:lang w:eastAsia="zh-CN"/>
              </w:rPr>
            </w:pPr>
            <w:r>
              <w:rPr>
                <w:rFonts w:hint="eastAsia"/>
                <w:lang w:eastAsia="zh-CN"/>
              </w:rPr>
              <w:t>v</w:t>
            </w:r>
            <w:r>
              <w:rPr>
                <w:lang w:eastAsia="zh-CN"/>
              </w:rPr>
              <w:t>ivo</w:t>
            </w:r>
          </w:p>
        </w:tc>
        <w:tc>
          <w:tcPr>
            <w:tcW w:w="7611" w:type="dxa"/>
          </w:tcPr>
          <w:p w14:paraId="123F8ED9" w14:textId="77777777" w:rsidR="002E0CE6" w:rsidRDefault="002E0CE6" w:rsidP="00526C60">
            <w:pPr>
              <w:rPr>
                <w:lang w:eastAsia="zh-CN"/>
              </w:rPr>
            </w:pPr>
            <w:r>
              <w:rPr>
                <w:rFonts w:hint="eastAsia"/>
                <w:lang w:eastAsia="zh-CN"/>
              </w:rPr>
              <w:t>W</w:t>
            </w:r>
            <w:r>
              <w:rPr>
                <w:lang w:eastAsia="zh-CN"/>
              </w:rPr>
              <w:t xml:space="preserve">e </w:t>
            </w:r>
            <w:r w:rsidR="00826E34">
              <w:rPr>
                <w:lang w:eastAsia="zh-CN"/>
              </w:rPr>
              <w:t>support Option 2.</w:t>
            </w:r>
          </w:p>
          <w:p w14:paraId="38E7A22B" w14:textId="772F51C9" w:rsidR="00826E34" w:rsidRDefault="00826E34" w:rsidP="00526C60">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392F004" w14:textId="77777777" w:rsidR="00826E34" w:rsidRDefault="00826E34" w:rsidP="00526C60">
            <w:pPr>
              <w:rPr>
                <w:lang w:eastAsia="zh-CN"/>
              </w:rPr>
            </w:pPr>
            <w:r>
              <w:rPr>
                <w:lang w:eastAsia="zh-CN"/>
              </w:rPr>
              <w:t xml:space="preserve">For option 1, as commented by CATT and Huawei, if multiple CG configurations are configured, the signaling overhead for configuring the SSB-to-CG resource </w:t>
            </w:r>
            <w:r>
              <w:rPr>
                <w:lang w:eastAsia="zh-CN"/>
              </w:rPr>
              <w:lastRenderedPageBreak/>
              <w:t xml:space="preserve">mapping will be significant. </w:t>
            </w:r>
          </w:p>
          <w:p w14:paraId="127E1F6F" w14:textId="0289F44A" w:rsidR="00826E34" w:rsidRPr="00826E34" w:rsidRDefault="00826E34" w:rsidP="00826E34">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0B88B37A" w14:textId="77777777" w:rsidR="00826E34" w:rsidRPr="00826E34" w:rsidRDefault="00826E34" w:rsidP="00826E34">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165A141B" w14:textId="77777777" w:rsidR="00826E34" w:rsidRPr="00826E34" w:rsidRDefault="00826E34" w:rsidP="00826E34">
            <w:pPr>
              <w:numPr>
                <w:ilvl w:val="0"/>
                <w:numId w:val="28"/>
              </w:numPr>
              <w:rPr>
                <w:lang w:eastAsia="zh-CN"/>
              </w:rPr>
            </w:pPr>
            <w:r w:rsidRPr="00826E34">
              <w:rPr>
                <w:lang w:eastAsia="zh-CN"/>
              </w:rPr>
              <w:t>second, in increasing order of time resource indexes for time multiplexed PUSCH occasions within a CG periodicity</w:t>
            </w:r>
          </w:p>
          <w:p w14:paraId="18C21FE9" w14:textId="77777777" w:rsidR="00826E34" w:rsidRPr="00826E34" w:rsidRDefault="00826E34" w:rsidP="00826E34">
            <w:pPr>
              <w:numPr>
                <w:ilvl w:val="0"/>
                <w:numId w:val="28"/>
              </w:numPr>
              <w:rPr>
                <w:lang w:eastAsia="zh-CN"/>
              </w:rPr>
            </w:pPr>
            <w:r w:rsidRPr="00826E34">
              <w:rPr>
                <w:lang w:eastAsia="zh-CN"/>
              </w:rPr>
              <w:t>third, in increasing order of indexes for PUSCH occasions across CG periodicities</w:t>
            </w:r>
          </w:p>
          <w:p w14:paraId="13199674" w14:textId="7C5086C2" w:rsidR="00826E34" w:rsidRPr="00826E34" w:rsidRDefault="00826E34" w:rsidP="00526C60">
            <w:pPr>
              <w:rPr>
                <w:rFonts w:hint="eastAsia"/>
                <w:lang w:eastAsia="zh-CN"/>
              </w:rPr>
            </w:pPr>
          </w:p>
        </w:tc>
      </w:tr>
    </w:tbl>
    <w:p w14:paraId="2208E821" w14:textId="77777777" w:rsidR="00870F9B" w:rsidRDefault="00870F9B" w:rsidP="007B433E"/>
    <w:p w14:paraId="4ABE0CC9" w14:textId="77777777" w:rsidR="00D7433F" w:rsidRDefault="00D7433F" w:rsidP="00D7433F">
      <w:pPr>
        <w:pStyle w:val="3"/>
      </w:pPr>
      <w:r>
        <w:t>Second round comments</w:t>
      </w:r>
    </w:p>
    <w:p w14:paraId="77FD49D7" w14:textId="77777777" w:rsidR="00C57C80" w:rsidRDefault="00C57C80" w:rsidP="00C57C80">
      <w:pPr>
        <w:pStyle w:val="aff4"/>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aff4"/>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aff4"/>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aff4"/>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aff4"/>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aff4"/>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aff4"/>
        <w:numPr>
          <w:ilvl w:val="1"/>
          <w:numId w:val="44"/>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aff4"/>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aff4"/>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f1"/>
        <w:tblW w:w="9307" w:type="dxa"/>
        <w:tblLayout w:type="fixed"/>
        <w:tblLook w:val="04A0" w:firstRow="1" w:lastRow="0" w:firstColumn="1" w:lastColumn="0" w:noHBand="0" w:noVBand="1"/>
      </w:tblPr>
      <w:tblGrid>
        <w:gridCol w:w="1696"/>
        <w:gridCol w:w="7611"/>
      </w:tblGrid>
      <w:tr w:rsidR="00DC6AE4" w14:paraId="356BF2FB" w14:textId="77777777" w:rsidTr="00526C60">
        <w:tc>
          <w:tcPr>
            <w:tcW w:w="1696" w:type="dxa"/>
          </w:tcPr>
          <w:p w14:paraId="158AE494" w14:textId="77777777" w:rsidR="00DC6AE4" w:rsidRDefault="00DC6AE4" w:rsidP="00526C60">
            <w:r>
              <w:rPr>
                <w:rFonts w:hint="eastAsia"/>
              </w:rPr>
              <w:t>Company</w:t>
            </w:r>
          </w:p>
        </w:tc>
        <w:tc>
          <w:tcPr>
            <w:tcW w:w="7611" w:type="dxa"/>
          </w:tcPr>
          <w:p w14:paraId="0C6FBB2A" w14:textId="77777777" w:rsidR="00DC6AE4" w:rsidRDefault="00DC6AE4" w:rsidP="00526C60">
            <w:r>
              <w:rPr>
                <w:rFonts w:hint="eastAsia"/>
              </w:rPr>
              <w:t>Comment</w:t>
            </w:r>
          </w:p>
        </w:tc>
      </w:tr>
      <w:tr w:rsidR="00DC6AE4" w14:paraId="0EDE8A6C" w14:textId="77777777" w:rsidTr="00526C60">
        <w:tc>
          <w:tcPr>
            <w:tcW w:w="1696" w:type="dxa"/>
          </w:tcPr>
          <w:p w14:paraId="09554DEB" w14:textId="77777777" w:rsidR="00DC6AE4" w:rsidRPr="001126CE" w:rsidRDefault="001126CE" w:rsidP="00526C60">
            <w:pPr>
              <w:rPr>
                <w:lang w:eastAsia="zh-CN"/>
              </w:rPr>
            </w:pPr>
            <w:r>
              <w:rPr>
                <w:rFonts w:hint="eastAsia"/>
                <w:lang w:eastAsia="zh-CN"/>
              </w:rPr>
              <w:lastRenderedPageBreak/>
              <w:t>CATT</w:t>
            </w:r>
          </w:p>
        </w:tc>
        <w:tc>
          <w:tcPr>
            <w:tcW w:w="7611" w:type="dxa"/>
          </w:tcPr>
          <w:p w14:paraId="289AF5D5" w14:textId="77777777" w:rsidR="00F15B18" w:rsidRDefault="00F15B18" w:rsidP="00526C60">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proofErr w:type="gramStart"/>
            <w:r>
              <w:rPr>
                <w:rFonts w:hint="eastAsia"/>
                <w:lang w:eastAsia="zh-CN"/>
              </w:rPr>
              <w:t>So</w:t>
            </w:r>
            <w:proofErr w:type="gramEnd"/>
            <w:r>
              <w:rPr>
                <w:rFonts w:hint="eastAsia"/>
                <w:lang w:eastAsia="zh-CN"/>
              </w:rPr>
              <w:t xml:space="preserve">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26C60">
        <w:tc>
          <w:tcPr>
            <w:tcW w:w="1696" w:type="dxa"/>
          </w:tcPr>
          <w:p w14:paraId="0A70FA73" w14:textId="77777777" w:rsidR="00DC6AE4" w:rsidRPr="00B160C5" w:rsidRDefault="00B160C5" w:rsidP="00526C60">
            <w:pPr>
              <w:rPr>
                <w:lang w:eastAsia="zh-CN"/>
              </w:rPr>
            </w:pPr>
            <w:r>
              <w:rPr>
                <w:rFonts w:hint="eastAsia"/>
                <w:lang w:eastAsia="zh-CN"/>
              </w:rPr>
              <w:t>Samsung</w:t>
            </w:r>
          </w:p>
        </w:tc>
        <w:tc>
          <w:tcPr>
            <w:tcW w:w="7611" w:type="dxa"/>
          </w:tcPr>
          <w:p w14:paraId="2B44BD82" w14:textId="77777777" w:rsidR="00DC6AE4" w:rsidRDefault="00B160C5" w:rsidP="00526C60">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526C60">
        <w:tc>
          <w:tcPr>
            <w:tcW w:w="1696" w:type="dxa"/>
          </w:tcPr>
          <w:p w14:paraId="1B730383" w14:textId="10A51B62" w:rsidR="001407A0" w:rsidRDefault="001407A0" w:rsidP="00526C60">
            <w:pPr>
              <w:rPr>
                <w:lang w:eastAsia="zh-CN"/>
              </w:rPr>
            </w:pPr>
            <w:r>
              <w:rPr>
                <w:lang w:eastAsia="zh-CN"/>
              </w:rPr>
              <w:t>Nokia</w:t>
            </w:r>
          </w:p>
        </w:tc>
        <w:tc>
          <w:tcPr>
            <w:tcW w:w="7611" w:type="dxa"/>
          </w:tcPr>
          <w:p w14:paraId="63BE755B" w14:textId="77777777" w:rsidR="001407A0" w:rsidRDefault="001407A0" w:rsidP="00526C60">
            <w:pPr>
              <w:rPr>
                <w:lang w:eastAsia="zh-CN"/>
              </w:rPr>
            </w:pPr>
            <w:r>
              <w:rPr>
                <w:lang w:eastAsia="zh-CN"/>
              </w:rPr>
              <w:t>Multiple DMRS resources per CG-PUSCH config doesn’t seem to be necessary.</w:t>
            </w:r>
          </w:p>
          <w:p w14:paraId="0FA2F3CE" w14:textId="77777777" w:rsidR="001407A0" w:rsidRDefault="001407A0" w:rsidP="00526C60">
            <w:pPr>
              <w:rPr>
                <w:lang w:eastAsia="zh-CN"/>
              </w:rPr>
            </w:pPr>
            <w:r>
              <w:rPr>
                <w:lang w:eastAsia="zh-CN"/>
              </w:rPr>
              <w:t>Repetitions should be considered as a bundle</w:t>
            </w:r>
          </w:p>
          <w:p w14:paraId="265A71B0" w14:textId="6AAE6002" w:rsidR="001407A0" w:rsidRDefault="001407A0" w:rsidP="00526C60">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526C60">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526C60">
            <w:pPr>
              <w:rPr>
                <w:lang w:eastAsia="zh-CN"/>
              </w:rPr>
            </w:pPr>
            <w:r>
              <w:rPr>
                <w:rFonts w:hint="eastAsia"/>
                <w:lang w:eastAsia="zh-CN"/>
              </w:rPr>
              <w:t>F</w:t>
            </w:r>
            <w:r>
              <w:rPr>
                <w:lang w:eastAsia="zh-CN"/>
              </w:rPr>
              <w:t>or the listed 3 changes:</w:t>
            </w:r>
          </w:p>
          <w:p w14:paraId="48242B48" w14:textId="77777777" w:rsidR="00D55678" w:rsidRDefault="00D55678" w:rsidP="00526C60">
            <w:pPr>
              <w:pStyle w:val="aff4"/>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526C60">
            <w:pPr>
              <w:pStyle w:val="aff4"/>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526C60">
            <w:pPr>
              <w:pStyle w:val="aff4"/>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526C60">
            <w:pPr>
              <w:rPr>
                <w:rFonts w:eastAsia="Malgun Gothic"/>
                <w:lang w:eastAsia="ko-KR"/>
              </w:rPr>
            </w:pPr>
            <w:r>
              <w:rPr>
                <w:rFonts w:eastAsia="Malgun Gothic"/>
                <w:lang w:eastAsia="ko-KR"/>
              </w:rPr>
              <w:t>Intel</w:t>
            </w:r>
          </w:p>
        </w:tc>
        <w:tc>
          <w:tcPr>
            <w:tcW w:w="7611" w:type="dxa"/>
          </w:tcPr>
          <w:p w14:paraId="3E12E84E" w14:textId="77777777" w:rsidR="006A1759" w:rsidRDefault="006A1759" w:rsidP="00526C60">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526C60">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526C60">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53E68">
            <w:pPr>
              <w:pStyle w:val="aff4"/>
              <w:numPr>
                <w:ilvl w:val="0"/>
                <w:numId w:val="46"/>
              </w:numPr>
              <w:ind w:firstLineChars="0"/>
              <w:rPr>
                <w:lang w:eastAsia="zh-CN"/>
              </w:rPr>
            </w:pPr>
            <w:r>
              <w:rPr>
                <w:lang w:eastAsia="zh-CN"/>
              </w:rPr>
              <w:t>We are fine for it.</w:t>
            </w:r>
          </w:p>
          <w:p w14:paraId="2B7AD718" w14:textId="77777777" w:rsidR="00D53E68" w:rsidRDefault="00D53E68" w:rsidP="00D53E68">
            <w:pPr>
              <w:pStyle w:val="aff4"/>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aff4"/>
              <w:numPr>
                <w:ilvl w:val="0"/>
                <w:numId w:val="46"/>
              </w:numPr>
              <w:ind w:firstLineChars="0"/>
              <w:rPr>
                <w:lang w:eastAsia="zh-CN"/>
              </w:rPr>
            </w:pPr>
            <w:r>
              <w:rPr>
                <w:lang w:eastAsia="zh-CN"/>
              </w:rPr>
              <w:t>Need further study.</w:t>
            </w:r>
          </w:p>
        </w:tc>
      </w:tr>
      <w:tr w:rsidR="00526C60" w:rsidRPr="00F84773" w14:paraId="72BAA1AA" w14:textId="77777777" w:rsidTr="00D55678">
        <w:tc>
          <w:tcPr>
            <w:tcW w:w="1696" w:type="dxa"/>
          </w:tcPr>
          <w:p w14:paraId="0833EB9D" w14:textId="204C7B62" w:rsidR="00526C60" w:rsidRDefault="00526C60" w:rsidP="00526C60">
            <w:pPr>
              <w:rPr>
                <w:rFonts w:hint="eastAsia"/>
                <w:lang w:eastAsia="zh-CN"/>
              </w:rPr>
            </w:pPr>
            <w:r>
              <w:rPr>
                <w:rFonts w:hint="eastAsia"/>
                <w:lang w:eastAsia="zh-CN"/>
              </w:rPr>
              <w:t>v</w:t>
            </w:r>
            <w:r>
              <w:rPr>
                <w:lang w:eastAsia="zh-CN"/>
              </w:rPr>
              <w:t>ivo</w:t>
            </w:r>
          </w:p>
        </w:tc>
        <w:tc>
          <w:tcPr>
            <w:tcW w:w="7611" w:type="dxa"/>
          </w:tcPr>
          <w:p w14:paraId="493D84D5" w14:textId="77777777" w:rsidR="00526C60" w:rsidRDefault="00526C60" w:rsidP="00526C60">
            <w:pPr>
              <w:pStyle w:val="aff4"/>
              <w:numPr>
                <w:ilvl w:val="0"/>
                <w:numId w:val="47"/>
              </w:numPr>
              <w:ind w:firstLineChars="0"/>
              <w:rPr>
                <w:lang w:eastAsia="zh-CN"/>
              </w:rPr>
            </w:pPr>
            <w:r>
              <w:rPr>
                <w:lang w:eastAsia="zh-CN"/>
              </w:rPr>
              <w:t>multiple DMRS resources can be configured.</w:t>
            </w:r>
          </w:p>
          <w:p w14:paraId="7B7355D9" w14:textId="77777777" w:rsidR="00526C60" w:rsidRDefault="00526C60" w:rsidP="00526C60">
            <w:pPr>
              <w:pStyle w:val="aff4"/>
              <w:numPr>
                <w:ilvl w:val="0"/>
                <w:numId w:val="47"/>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 Alt. 1 is to provide a method to increase the transmission occasion within a CG periodicity, while Alt. 2 is to define the mapping rule for the repetition bundle with a CG periodicity. </w:t>
            </w:r>
          </w:p>
          <w:p w14:paraId="38B00F85" w14:textId="4AE6D232" w:rsidR="00526C60" w:rsidRDefault="00526C60" w:rsidP="00526C60">
            <w:pPr>
              <w:pStyle w:val="aff4"/>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can further discuss whether and how to configure multiple </w:t>
            </w:r>
            <w:proofErr w:type="spellStart"/>
            <w:r>
              <w:rPr>
                <w:lang w:eastAsia="zh-CN"/>
              </w:rPr>
              <w:t>TDMed</w:t>
            </w:r>
            <w:proofErr w:type="spellEnd"/>
            <w:r>
              <w:rPr>
                <w:lang w:eastAsia="zh-CN"/>
              </w:rPr>
              <w:t xml:space="preserve"> transmission occasions.</w:t>
            </w:r>
          </w:p>
          <w:p w14:paraId="6C9A33E8" w14:textId="77777777" w:rsidR="00526C60" w:rsidRDefault="00526C60" w:rsidP="00526C60">
            <w:pPr>
              <w:ind w:leftChars="200" w:left="440"/>
              <w:rPr>
                <w:lang w:eastAsia="zh-CN"/>
              </w:rPr>
            </w:pPr>
            <w:r>
              <w:rPr>
                <w:rFonts w:hint="eastAsia"/>
                <w:lang w:eastAsia="zh-CN"/>
              </w:rPr>
              <w:t>F</w:t>
            </w:r>
            <w:r>
              <w:rPr>
                <w:lang w:eastAsia="zh-CN"/>
              </w:rPr>
              <w:t xml:space="preserve">or Alt.2, we think it needs to be supported once repetitions are configured for </w:t>
            </w:r>
            <w:r>
              <w:rPr>
                <w:lang w:eastAsia="zh-CN"/>
              </w:rPr>
              <w:lastRenderedPageBreak/>
              <w:t>CG-SDT.</w:t>
            </w:r>
          </w:p>
          <w:p w14:paraId="4AE29D55" w14:textId="4AFB29DC" w:rsidR="00526C60" w:rsidRPr="00526C60" w:rsidRDefault="00526C60" w:rsidP="00526C60">
            <w:pPr>
              <w:pStyle w:val="aff4"/>
              <w:numPr>
                <w:ilvl w:val="0"/>
                <w:numId w:val="47"/>
              </w:numPr>
              <w:ind w:firstLineChars="0"/>
              <w:rPr>
                <w:rFonts w:hint="eastAsia"/>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aff4"/>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f1"/>
        <w:tblW w:w="9307" w:type="dxa"/>
        <w:tblLayout w:type="fixed"/>
        <w:tblLook w:val="04A0" w:firstRow="1" w:lastRow="0" w:firstColumn="1" w:lastColumn="0" w:noHBand="0" w:noVBand="1"/>
      </w:tblPr>
      <w:tblGrid>
        <w:gridCol w:w="1696"/>
        <w:gridCol w:w="7611"/>
      </w:tblGrid>
      <w:tr w:rsidR="00E06368" w14:paraId="714E1AA1" w14:textId="77777777" w:rsidTr="00526C60">
        <w:tc>
          <w:tcPr>
            <w:tcW w:w="1696" w:type="dxa"/>
          </w:tcPr>
          <w:p w14:paraId="5BF3CD41" w14:textId="77777777" w:rsidR="00E06368" w:rsidRDefault="00E06368" w:rsidP="00526C60">
            <w:r>
              <w:rPr>
                <w:rFonts w:hint="eastAsia"/>
              </w:rPr>
              <w:t>Company</w:t>
            </w:r>
          </w:p>
        </w:tc>
        <w:tc>
          <w:tcPr>
            <w:tcW w:w="7611" w:type="dxa"/>
          </w:tcPr>
          <w:p w14:paraId="331615C6" w14:textId="77777777" w:rsidR="00E06368" w:rsidRDefault="00E06368" w:rsidP="00526C60">
            <w:r>
              <w:rPr>
                <w:rFonts w:hint="eastAsia"/>
              </w:rPr>
              <w:t>Comment</w:t>
            </w:r>
          </w:p>
        </w:tc>
      </w:tr>
      <w:tr w:rsidR="00E06368" w14:paraId="3512249A" w14:textId="77777777" w:rsidTr="00526C60">
        <w:tc>
          <w:tcPr>
            <w:tcW w:w="1696" w:type="dxa"/>
          </w:tcPr>
          <w:p w14:paraId="5C607A30" w14:textId="77777777" w:rsidR="00E06368" w:rsidRPr="005C42C2" w:rsidRDefault="005C42C2" w:rsidP="00526C60">
            <w:pPr>
              <w:rPr>
                <w:lang w:eastAsia="zh-CN"/>
              </w:rPr>
            </w:pPr>
            <w:r>
              <w:rPr>
                <w:rFonts w:hint="eastAsia"/>
                <w:lang w:eastAsia="zh-CN"/>
              </w:rPr>
              <w:t>CATT</w:t>
            </w:r>
          </w:p>
        </w:tc>
        <w:tc>
          <w:tcPr>
            <w:tcW w:w="7611" w:type="dxa"/>
          </w:tcPr>
          <w:p w14:paraId="7C3C6C42" w14:textId="77777777" w:rsidR="00E06368" w:rsidRPr="005C42C2" w:rsidRDefault="005C42C2" w:rsidP="00526C60">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526C60">
        <w:tc>
          <w:tcPr>
            <w:tcW w:w="1696" w:type="dxa"/>
          </w:tcPr>
          <w:p w14:paraId="1412EEE8" w14:textId="6C2B6C81" w:rsidR="00411F0B" w:rsidRPr="005E2638" w:rsidRDefault="001407A0" w:rsidP="00526C60">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526C60">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526C60">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526C60">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561F9F" w:rsidRPr="000D1AE3" w14:paraId="6577C946" w14:textId="77777777" w:rsidTr="00D55678">
        <w:tc>
          <w:tcPr>
            <w:tcW w:w="1696" w:type="dxa"/>
          </w:tcPr>
          <w:p w14:paraId="2422612A" w14:textId="2A37744E" w:rsidR="00561F9F" w:rsidRPr="00561F9F" w:rsidRDefault="00561F9F" w:rsidP="004F28A6">
            <w:pPr>
              <w:rPr>
                <w:rFonts w:hint="eastAsia"/>
                <w:lang w:eastAsia="zh-CN"/>
              </w:rPr>
            </w:pPr>
            <w:r>
              <w:rPr>
                <w:rFonts w:hint="eastAsia"/>
                <w:lang w:eastAsia="zh-CN"/>
              </w:rPr>
              <w:t>v</w:t>
            </w:r>
            <w:r>
              <w:rPr>
                <w:lang w:eastAsia="zh-CN"/>
              </w:rPr>
              <w:t>ivo</w:t>
            </w:r>
          </w:p>
        </w:tc>
        <w:tc>
          <w:tcPr>
            <w:tcW w:w="7611" w:type="dxa"/>
          </w:tcPr>
          <w:p w14:paraId="6A24575E" w14:textId="0AE31C6C" w:rsidR="00561F9F" w:rsidRPr="00B67C9E" w:rsidRDefault="00561F9F" w:rsidP="00B67C9E">
            <w:r w:rsidRPr="00B67C9E">
              <w:t>For 1)</w:t>
            </w:r>
            <w:r w:rsidR="00B67C9E">
              <w:t>,</w:t>
            </w:r>
            <w:r w:rsidRPr="00B67C9E">
              <w:t xml:space="preserve"> 2) and 3), we are fine for waiting RAN2’s input.</w:t>
            </w:r>
          </w:p>
          <w:p w14:paraId="091277F1" w14:textId="0801552C" w:rsidR="00561F9F" w:rsidRPr="00B67C9E" w:rsidRDefault="00561F9F" w:rsidP="00B67C9E">
            <w:r w:rsidRPr="00B67C9E">
              <w:t xml:space="preserve">We think there is another issue that needs to be discussed in RAN1 after triggered by RAN2, i.e. mapping of RA-SDT resources and SSBs. </w:t>
            </w:r>
          </w:p>
          <w:p w14:paraId="6D224F20" w14:textId="77777777" w:rsidR="00561F9F" w:rsidRPr="00B67C9E" w:rsidRDefault="00561F9F" w:rsidP="00B67C9E">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w:t>
            </w:r>
            <w:bookmarkStart w:id="4" w:name="_GoBack"/>
            <w:bookmarkEnd w:id="4"/>
            <w:r w:rsidRPr="00B67C9E">
              <w:t>T and non-SDT, whether/how to determine the 4-step/2-step RACH preambles per SSB and the number of SSBs per RO for RA-SDT when ROs for SDT and non-SDT are separate, whether/how to determine the RO(s) for 4-step RA-SDT and 2-step RA-SDT.</w:t>
            </w:r>
          </w:p>
          <w:p w14:paraId="55F6506A" w14:textId="362D2D23" w:rsidR="00561F9F" w:rsidRPr="00B67C9E" w:rsidRDefault="00561F9F" w:rsidP="00B67C9E">
            <w:pPr>
              <w:rPr>
                <w:rFonts w:hint="eastAsia"/>
              </w:rPr>
            </w:pPr>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1"/>
      </w:pPr>
      <w:r>
        <w:lastRenderedPageBreak/>
        <w:t>Summary</w:t>
      </w:r>
    </w:p>
    <w:p w14:paraId="04215DF5" w14:textId="77777777" w:rsidR="00492B6B" w:rsidRDefault="00F0042E" w:rsidP="005B5F0D">
      <w:pPr>
        <w:pStyle w:val="a4"/>
        <w:rPr>
          <w:lang w:eastAsia="zh-CN"/>
        </w:rPr>
      </w:pPr>
      <w:r w:rsidRPr="00F0042E">
        <w:rPr>
          <w:highlight w:val="yellow"/>
        </w:rPr>
        <w:t>The final proposals will be added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f1"/>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 xml:space="preserve">RAN1 to agree that absolute RSRP </w:t>
            </w:r>
            <w:proofErr w:type="gramStart"/>
            <w:r w:rsidRPr="009D2CBE">
              <w:rPr>
                <w:sz w:val="20"/>
              </w:rPr>
              <w:t>threshold based</w:t>
            </w:r>
            <w:proofErr w:type="gramEnd"/>
            <w:r w:rsidRPr="009D2CBE">
              <w:rPr>
                <w:sz w:val="20"/>
              </w:rPr>
              <w:t xml:space="preserve">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 xml:space="preserve">Send </w:t>
            </w:r>
            <w:proofErr w:type="gramStart"/>
            <w:r w:rsidRPr="009D2CBE">
              <w:rPr>
                <w:sz w:val="20"/>
              </w:rPr>
              <w:t>an</w:t>
            </w:r>
            <w:proofErr w:type="gramEnd"/>
            <w:r w:rsidRPr="009D2CBE">
              <w:rPr>
                <w:sz w:val="20"/>
              </w:rPr>
              <w:t xml:space="preserve">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d"/>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d"/>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d"/>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d"/>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d"/>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d"/>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083C60">
            <w:pPr>
              <w:pStyle w:val="aff4"/>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083C60">
            <w:pPr>
              <w:pStyle w:val="aff4"/>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083C60">
            <w:pPr>
              <w:pStyle w:val="aff4"/>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aff4"/>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083C60">
            <w:pPr>
              <w:pStyle w:val="aff4"/>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t>gNB</w:t>
            </w:r>
            <w:proofErr w:type="spellEnd"/>
            <w:r w:rsidRPr="00327998">
              <w:rPr>
                <w:b/>
                <w:bCs/>
                <w:i/>
                <w:iCs/>
                <w:sz w:val="20"/>
              </w:rPr>
              <w:t>, UE can use the CG PUSCH resource for CG-SDT.</w:t>
            </w:r>
          </w:p>
          <w:p w14:paraId="5D521BA0" w14:textId="77777777" w:rsidR="00327998" w:rsidRPr="00327998" w:rsidRDefault="00327998" w:rsidP="00083C60">
            <w:pPr>
              <w:pStyle w:val="aff4"/>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 xml:space="preserve">Proposal 9: For detection of retransmission DCI in response to a CG PUSCH transmission, the UE can assume the PDCCH carrying the DCI has the same DM-RS antenna port quasi co-location properties as for </w:t>
            </w:r>
            <w:proofErr w:type="gramStart"/>
            <w:r w:rsidRPr="00327998">
              <w:rPr>
                <w:b/>
                <w:bCs/>
                <w:i/>
                <w:iCs/>
                <w:sz w:val="20"/>
              </w:rPr>
              <w:t>a</w:t>
            </w:r>
            <w:proofErr w:type="gramEnd"/>
            <w:r w:rsidRPr="00327998">
              <w:rPr>
                <w:b/>
                <w:bCs/>
                <w:i/>
                <w:iCs/>
                <w:sz w:val="20"/>
              </w:rPr>
              <w:t xml:space="preserve">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083C60">
            <w:pPr>
              <w:pStyle w:val="ad"/>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14:paraId="263C6737"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083C60">
            <w:pPr>
              <w:pStyle w:val="ad"/>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d"/>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d"/>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083C60">
            <w:pPr>
              <w:pStyle w:val="aff4"/>
              <w:numPr>
                <w:ilvl w:val="0"/>
                <w:numId w:val="29"/>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083C60">
            <w:pPr>
              <w:pStyle w:val="aff4"/>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D793A" w14:textId="77777777" w:rsidR="006C6068" w:rsidRDefault="006C6068" w:rsidP="005020B0">
      <w:pPr>
        <w:spacing w:after="0"/>
      </w:pPr>
      <w:r>
        <w:separator/>
      </w:r>
    </w:p>
  </w:endnote>
  <w:endnote w:type="continuationSeparator" w:id="0">
    <w:p w14:paraId="47AEFF64" w14:textId="77777777" w:rsidR="006C6068" w:rsidRDefault="006C6068"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A70B1" w14:textId="77777777" w:rsidR="006C6068" w:rsidRDefault="006C6068" w:rsidP="005020B0">
      <w:pPr>
        <w:spacing w:after="0"/>
      </w:pPr>
      <w:r>
        <w:separator/>
      </w:r>
    </w:p>
  </w:footnote>
  <w:footnote w:type="continuationSeparator" w:id="0">
    <w:p w14:paraId="4670BD20" w14:textId="77777777" w:rsidR="006C6068" w:rsidRDefault="006C6068"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5"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C53C5B"/>
    <w:multiLevelType w:val="hybridMultilevel"/>
    <w:tmpl w:val="58DA10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6"/>
  </w:num>
  <w:num w:numId="3">
    <w:abstractNumId w:val="39"/>
  </w:num>
  <w:num w:numId="4">
    <w:abstractNumId w:val="17"/>
  </w:num>
  <w:num w:numId="5">
    <w:abstractNumId w:val="29"/>
  </w:num>
  <w:num w:numId="6">
    <w:abstractNumId w:val="26"/>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2"/>
  </w:num>
  <w:num w:numId="9">
    <w:abstractNumId w:val="38"/>
  </w:num>
  <w:num w:numId="10">
    <w:abstractNumId w:val="35"/>
  </w:num>
  <w:num w:numId="11">
    <w:abstractNumId w:val="22"/>
  </w:num>
  <w:num w:numId="12">
    <w:abstractNumId w:val="10"/>
  </w:num>
  <w:num w:numId="13">
    <w:abstractNumId w:val="31"/>
  </w:num>
  <w:num w:numId="14">
    <w:abstractNumId w:val="13"/>
  </w:num>
  <w:num w:numId="15">
    <w:abstractNumId w:val="25"/>
  </w:num>
  <w:num w:numId="16">
    <w:abstractNumId w:val="19"/>
  </w:num>
  <w:num w:numId="17">
    <w:abstractNumId w:val="28"/>
  </w:num>
  <w:num w:numId="18">
    <w:abstractNumId w:val="20"/>
  </w:num>
  <w:num w:numId="19">
    <w:abstractNumId w:val="36"/>
  </w:num>
  <w:num w:numId="20">
    <w:abstractNumId w:val="11"/>
  </w:num>
  <w:num w:numId="21">
    <w:abstractNumId w:val="1"/>
  </w:num>
  <w:num w:numId="22">
    <w:abstractNumId w:val="33"/>
  </w:num>
  <w:num w:numId="23">
    <w:abstractNumId w:val="21"/>
  </w:num>
  <w:num w:numId="24">
    <w:abstractNumId w:val="45"/>
  </w:num>
  <w:num w:numId="25">
    <w:abstractNumId w:val="18"/>
  </w:num>
  <w:num w:numId="26">
    <w:abstractNumId w:val="4"/>
  </w:num>
  <w:num w:numId="27">
    <w:abstractNumId w:val="9"/>
  </w:num>
  <w:num w:numId="28">
    <w:abstractNumId w:val="37"/>
  </w:num>
  <w:num w:numId="29">
    <w:abstractNumId w:val="44"/>
  </w:num>
  <w:num w:numId="30">
    <w:abstractNumId w:val="23"/>
  </w:num>
  <w:num w:numId="31">
    <w:abstractNumId w:val="30"/>
  </w:num>
  <w:num w:numId="32">
    <w:abstractNumId w:val="15"/>
  </w:num>
  <w:num w:numId="33">
    <w:abstractNumId w:val="24"/>
  </w:num>
  <w:num w:numId="34">
    <w:abstractNumId w:val="15"/>
  </w:num>
  <w:num w:numId="35">
    <w:abstractNumId w:val="15"/>
  </w:num>
  <w:num w:numId="36">
    <w:abstractNumId w:val="6"/>
  </w:num>
  <w:num w:numId="37">
    <w:abstractNumId w:val="27"/>
  </w:num>
  <w:num w:numId="38">
    <w:abstractNumId w:val="3"/>
  </w:num>
  <w:num w:numId="39">
    <w:abstractNumId w:val="34"/>
  </w:num>
  <w:num w:numId="40">
    <w:abstractNumId w:val="8"/>
  </w:num>
  <w:num w:numId="41">
    <w:abstractNumId w:val="2"/>
  </w:num>
  <w:num w:numId="42">
    <w:abstractNumId w:val="7"/>
  </w:num>
  <w:num w:numId="43">
    <w:abstractNumId w:val="5"/>
  </w:num>
  <w:num w:numId="44">
    <w:abstractNumId w:val="41"/>
  </w:num>
  <w:num w:numId="45">
    <w:abstractNumId w:val="43"/>
  </w:num>
  <w:num w:numId="46">
    <w:abstractNumId w:val="12"/>
  </w:num>
  <w:num w:numId="47">
    <w:abstractNumId w:val="42"/>
  </w:num>
  <w:num w:numId="48">
    <w:abstractNumId w:val="40"/>
  </w:num>
  <w:num w:numId="4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3F7D"/>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CE6"/>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6C60"/>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1F9F"/>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853"/>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068"/>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447"/>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34"/>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06"/>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63E"/>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C9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outlineLvl w:val="2"/>
    </w:pPr>
  </w:style>
  <w:style w:type="paragraph" w:styleId="4">
    <w:name w:val="heading 4"/>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rPr>
      <w:kern w:val="2"/>
      <w:lang w:val="en-GB"/>
    </w:rPr>
  </w:style>
  <w:style w:type="paragraph" w:styleId="a7">
    <w:name w:val="caption"/>
    <w:basedOn w:val="a"/>
    <w:next w:val="a"/>
    <w:link w:val="a8"/>
    <w:qFormat/>
    <w:pPr>
      <w:jc w:val="center"/>
    </w:pPr>
    <w:rPr>
      <w:b/>
      <w:bCs/>
      <w:kern w:val="2"/>
      <w:sz w:val="20"/>
      <w:szCs w:val="20"/>
      <w:lang w:val="en-GB" w:eastAsia="zh-CN"/>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Document Map"/>
    <w:basedOn w:val="a"/>
    <w:link w:val="ac"/>
    <w:qFormat/>
    <w:rPr>
      <w:rFonts w:ascii="宋体"/>
      <w:kern w:val="2"/>
      <w:sz w:val="18"/>
      <w:szCs w:val="18"/>
      <w:lang w:val="en-GB"/>
    </w:rPr>
  </w:style>
  <w:style w:type="paragraph" w:styleId="ad">
    <w:name w:val="Body Text"/>
    <w:basedOn w:val="a"/>
    <w:link w:val="ae"/>
    <w:qFormat/>
    <w:rPr>
      <w:sz w:val="20"/>
      <w:szCs w:val="20"/>
    </w:rPr>
  </w:style>
  <w:style w:type="paragraph" w:styleId="21">
    <w:name w:val="List 2"/>
    <w:basedOn w:val="a"/>
    <w:unhideWhenUsed/>
    <w:qFormat/>
    <w:pPr>
      <w:ind w:leftChars="200" w:left="100" w:hangingChars="200" w:hanging="200"/>
      <w:contextualSpacing/>
    </w:pPr>
  </w:style>
  <w:style w:type="paragraph" w:styleId="af">
    <w:name w:val="Balloon Text"/>
    <w:basedOn w:val="a"/>
    <w:link w:val="af0"/>
    <w:uiPriority w:val="99"/>
    <w:semiHidden/>
    <w:qFormat/>
    <w:rPr>
      <w:rFonts w:ascii="Tahoma" w:hAnsi="Tahoma" w:cs="Tahoma"/>
      <w:sz w:val="16"/>
      <w:szCs w:val="16"/>
    </w:rPr>
  </w:style>
  <w:style w:type="paragraph" w:styleId="af1">
    <w:name w:val="footer"/>
    <w:basedOn w:val="a"/>
    <w:link w:val="af2"/>
    <w:uiPriority w:val="99"/>
    <w:qFormat/>
    <w:pPr>
      <w:tabs>
        <w:tab w:val="center" w:pos="4680"/>
        <w:tab w:val="right" w:pos="9360"/>
      </w:tabs>
    </w:pPr>
    <w:rPr>
      <w:kern w:val="2"/>
      <w:lang w:val="en-GB" w:eastAsia="zh-CN"/>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5">
    <w:name w:val="footnote text"/>
    <w:basedOn w:val="a"/>
    <w:link w:val="af6"/>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7">
    <w:name w:val="table of figures"/>
    <w:basedOn w:val="ad"/>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8">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9">
    <w:name w:val="Title"/>
    <w:basedOn w:val="a"/>
    <w:next w:val="a"/>
    <w:link w:val="afa"/>
    <w:qFormat/>
    <w:pPr>
      <w:spacing w:before="240" w:after="60"/>
      <w:jc w:val="center"/>
      <w:outlineLvl w:val="0"/>
    </w:pPr>
    <w:rPr>
      <w:rFonts w:ascii="Calibri Light" w:hAnsi="Calibri Light"/>
      <w:b/>
      <w:bCs/>
      <w:kern w:val="2"/>
      <w:sz w:val="32"/>
      <w:szCs w:val="32"/>
      <w:lang w:val="en-GB"/>
    </w:rPr>
  </w:style>
  <w:style w:type="character" w:styleId="afb">
    <w:name w:val="page number"/>
    <w:basedOn w:val="a0"/>
    <w:semiHidden/>
    <w:qFormat/>
  </w:style>
  <w:style w:type="character" w:styleId="afc">
    <w:name w:val="FollowedHyperlink"/>
    <w:basedOn w:val="a0"/>
    <w:unhideWhenUsed/>
    <w:rPr>
      <w:color w:val="800080" w:themeColor="followedHyperlink"/>
      <w:u w:val="single"/>
    </w:rPr>
  </w:style>
  <w:style w:type="character" w:styleId="afd">
    <w:name w:val="Emphasis"/>
    <w:basedOn w:val="a0"/>
    <w:uiPriority w:val="20"/>
    <w:qFormat/>
    <w:rPr>
      <w:i/>
      <w:iCs/>
    </w:rPr>
  </w:style>
  <w:style w:type="character" w:styleId="afe">
    <w:name w:val="Hyperlink"/>
    <w:uiPriority w:val="99"/>
    <w:qFormat/>
    <w:rPr>
      <w:color w:val="0000FF"/>
      <w:kern w:val="2"/>
      <w:u w:val="single"/>
      <w:lang w:val="en-GB" w:eastAsia="zh-CN" w:bidi="ar-SA"/>
    </w:rPr>
  </w:style>
  <w:style w:type="character" w:styleId="aff">
    <w:name w:val="annotation reference"/>
    <w:qFormat/>
    <w:rPr>
      <w:kern w:val="2"/>
      <w:sz w:val="21"/>
      <w:szCs w:val="21"/>
      <w:lang w:val="en-GB" w:eastAsia="zh-CN" w:bidi="ar-SA"/>
    </w:rPr>
  </w:style>
  <w:style w:type="character" w:styleId="aff0">
    <w:name w:val="footnote reference"/>
    <w:semiHidden/>
    <w:qFormat/>
    <w:rPr>
      <w:kern w:val="2"/>
      <w:vertAlign w:val="superscript"/>
      <w:lang w:val="en-GB" w:eastAsia="zh-CN" w:bidi="ar-SA"/>
    </w:rPr>
  </w:style>
  <w:style w:type="table" w:styleId="af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正文文本 字符"/>
    <w:basedOn w:val="a0"/>
    <w:link w:val="ad"/>
    <w:qFormat/>
  </w:style>
  <w:style w:type="character" w:customStyle="1" w:styleId="a8">
    <w:name w:val="题注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2">
    <w:name w:val="页脚 字符"/>
    <w:link w:val="af1"/>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a">
    <w:name w:val="标题 字符"/>
    <w:link w:val="af9"/>
    <w:qFormat/>
    <w:rPr>
      <w:rFonts w:ascii="Calibri Light" w:hAnsi="Calibri Light" w:cs="Times New Roman"/>
      <w:b/>
      <w:bCs/>
      <w:kern w:val="2"/>
      <w:sz w:val="32"/>
      <w:szCs w:val="32"/>
      <w:lang w:val="en-GB" w:eastAsia="en-US" w:bidi="ar-SA"/>
    </w:rPr>
  </w:style>
  <w:style w:type="character" w:customStyle="1" w:styleId="a6">
    <w:name w:val="批注文字 字符"/>
    <w:link w:val="a4"/>
    <w:uiPriority w:val="99"/>
    <w:qFormat/>
    <w:rPr>
      <w:kern w:val="2"/>
      <w:sz w:val="22"/>
      <w:szCs w:val="22"/>
      <w:lang w:val="en-GB" w:eastAsia="en-US" w:bidi="ar-SA"/>
    </w:rPr>
  </w:style>
  <w:style w:type="character" w:customStyle="1" w:styleId="a5">
    <w:name w:val="批注主题 字符"/>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c">
    <w:name w:val="文档结构图 字符"/>
    <w:link w:val="ab"/>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d"/>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6">
    <w:name w:val="脚注文本 字符"/>
    <w:basedOn w:val="a0"/>
    <w:link w:val="af5"/>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0">
    <w:name w:val="标题 4 字符"/>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0">
    <w:name w:val="标题 1 字符"/>
    <w:basedOn w:val="a0"/>
    <w:link w:val="1"/>
    <w:rPr>
      <w:rFonts w:eastAsiaTheme="minorEastAsia"/>
      <w:b/>
      <w:bCs/>
      <w:sz w:val="28"/>
      <w:szCs w:val="28"/>
      <w:lang w:eastAsia="en-US"/>
    </w:rPr>
  </w:style>
  <w:style w:type="character" w:customStyle="1" w:styleId="20">
    <w:name w:val="标题 2 字符"/>
    <w:link w:val="2"/>
    <w:rPr>
      <w:rFonts w:eastAsiaTheme="minorEastAsia"/>
      <w:b/>
      <w:bCs/>
      <w:sz w:val="24"/>
      <w:szCs w:val="28"/>
      <w:lang w:eastAsia="en-US"/>
    </w:rPr>
  </w:style>
  <w:style w:type="character" w:customStyle="1" w:styleId="50">
    <w:name w:val="标题 5 字符"/>
    <w:link w:val="5"/>
    <w:rPr>
      <w:rFonts w:eastAsiaTheme="minorEastAsia"/>
      <w:b/>
      <w:bCs/>
      <w:i/>
      <w:iCs/>
      <w:sz w:val="22"/>
      <w:szCs w:val="26"/>
      <w:lang w:eastAsia="en-US"/>
    </w:rPr>
  </w:style>
  <w:style w:type="character" w:customStyle="1" w:styleId="af0">
    <w:name w:val="批注框文本 字符"/>
    <w:link w:val="af"/>
    <w:uiPriority w:val="99"/>
    <w:semiHidden/>
    <w:rPr>
      <w:rFonts w:ascii="Tahoma" w:eastAsiaTheme="minorEastAsia" w:hAnsi="Tahoma" w:cs="Tahoma"/>
      <w:sz w:val="16"/>
      <w:szCs w:val="16"/>
      <w:lang w:eastAsia="en-US"/>
    </w:rPr>
  </w:style>
  <w:style w:type="character" w:customStyle="1" w:styleId="80">
    <w:name w:val="标题 8 字符"/>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2">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f3">
    <w:name w:val="Strong"/>
    <w:basedOn w:val="a0"/>
    <w:uiPriority w:val="22"/>
    <w:qFormat/>
    <w:rsid w:val="001F5C2B"/>
    <w:rPr>
      <w:b/>
      <w:bCs/>
    </w:rPr>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01D24-1321-4697-B6AA-123D4CB9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cp:lastModifiedBy>
  <cp:revision>2</cp:revision>
  <cp:lastPrinted>2007-06-18T05:08:00Z</cp:lastPrinted>
  <dcterms:created xsi:type="dcterms:W3CDTF">2021-05-20T03:53:00Z</dcterms:created>
  <dcterms:modified xsi:type="dcterms:W3CDTF">2021-05-20T03:53:00Z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