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02DFE98" w14:textId="017E7468" w:rsidR="00747357" w:rsidRPr="00A40260" w:rsidRDefault="00747357" w:rsidP="00A40260">
      <w:pPr>
        <w:widowControl w:val="0"/>
        <w:tabs>
          <w:tab w:val="right" w:pos="8280"/>
          <w:tab w:val="right" w:pos="9781"/>
        </w:tabs>
        <w:overflowPunct/>
        <w:autoSpaceDE/>
        <w:autoSpaceDN/>
        <w:adjustRightInd/>
        <w:spacing w:after="0"/>
        <w:ind w:right="-58"/>
        <w:jc w:val="both"/>
        <w:textAlignment w:val="auto"/>
        <w:rPr>
          <w:rFonts w:ascii="Arial" w:eastAsia="Yu Mincho" w:hAnsi="Arial"/>
          <w:b/>
          <w:sz w:val="24"/>
          <w:szCs w:val="24"/>
          <w:lang w:val="de-DE"/>
        </w:rPr>
      </w:pPr>
      <w:r w:rsidRPr="00747357">
        <w:rPr>
          <w:rFonts w:ascii="Arial" w:eastAsia="Yu Mincho" w:hAnsi="Arial" w:cs="Arial"/>
          <w:b/>
          <w:bCs/>
          <w:noProof/>
          <w:sz w:val="24"/>
          <w:szCs w:val="24"/>
          <w:lang w:val="de-DE"/>
        </w:rPr>
        <w:t>3GPP TSG RAN WG1</w:t>
      </w:r>
      <w:r w:rsidRPr="00747357">
        <w:rPr>
          <w:rFonts w:ascii="Arial" w:eastAsia="Yu Mincho" w:hAnsi="Arial" w:cs="Arial"/>
          <w:b/>
          <w:bCs/>
          <w:noProof/>
          <w:sz w:val="24"/>
          <w:szCs w:val="24"/>
          <w:lang w:val="de-DE" w:eastAsia="ja-JP"/>
        </w:rPr>
        <w:t xml:space="preserve"> #10</w:t>
      </w:r>
      <w:r w:rsidR="00C26E9E">
        <w:rPr>
          <w:rFonts w:ascii="Arial" w:eastAsia="Yu Mincho" w:hAnsi="Arial" w:cs="Arial"/>
          <w:b/>
          <w:bCs/>
          <w:noProof/>
          <w:sz w:val="24"/>
          <w:szCs w:val="24"/>
          <w:lang w:val="de-DE" w:eastAsia="ja-JP"/>
        </w:rPr>
        <w:t>5</w:t>
      </w:r>
      <w:r w:rsidRPr="00747357">
        <w:rPr>
          <w:rFonts w:ascii="Arial" w:eastAsia="Yu Mincho" w:hAnsi="Arial" w:cs="Arial"/>
          <w:b/>
          <w:bCs/>
          <w:noProof/>
          <w:sz w:val="24"/>
          <w:szCs w:val="24"/>
          <w:lang w:val="de-DE" w:eastAsia="ja-JP"/>
        </w:rPr>
        <w:t>-e</w:t>
      </w:r>
      <w:r w:rsidRPr="00747357">
        <w:rPr>
          <w:rFonts w:ascii="Arial" w:eastAsia="Yu Mincho" w:hAnsi="Arial" w:cs="Arial"/>
          <w:b/>
          <w:bCs/>
          <w:noProof/>
          <w:sz w:val="24"/>
          <w:szCs w:val="24"/>
          <w:lang w:val="de-DE" w:eastAsia="ja-JP"/>
        </w:rPr>
        <w:tab/>
      </w:r>
      <w:r w:rsidRPr="00747357">
        <w:rPr>
          <w:rFonts w:ascii="Arial" w:eastAsia="Yu Mincho" w:hAnsi="Arial" w:cs="Arial"/>
          <w:b/>
          <w:bCs/>
          <w:noProof/>
          <w:sz w:val="24"/>
          <w:szCs w:val="24"/>
          <w:lang w:val="de-DE" w:eastAsia="ja-JP"/>
        </w:rPr>
        <w:tab/>
      </w:r>
      <w:r w:rsidRPr="00747357">
        <w:rPr>
          <w:rFonts w:ascii="Arial" w:eastAsia="Yu Mincho" w:hAnsi="Arial"/>
          <w:b/>
          <w:noProof/>
          <w:sz w:val="24"/>
          <w:szCs w:val="24"/>
          <w:lang w:val="de-DE"/>
        </w:rPr>
        <w:t>R1-</w:t>
      </w:r>
      <w:r w:rsidR="00C67A5F">
        <w:rPr>
          <w:rFonts w:ascii="Arial" w:eastAsia="Yu Mincho" w:hAnsi="Arial"/>
          <w:b/>
          <w:noProof/>
          <w:sz w:val="24"/>
          <w:szCs w:val="24"/>
          <w:lang w:val="de-DE"/>
        </w:rPr>
        <w:t>21</w:t>
      </w:r>
      <w:r w:rsidR="00B7736D">
        <w:rPr>
          <w:rFonts w:ascii="Arial" w:eastAsia="Yu Mincho" w:hAnsi="Arial"/>
          <w:b/>
          <w:noProof/>
          <w:sz w:val="24"/>
          <w:szCs w:val="24"/>
          <w:lang w:val="de-DE"/>
        </w:rPr>
        <w:t>05497</w:t>
      </w:r>
    </w:p>
    <w:p w14:paraId="5F8CFDD6" w14:textId="439DCA26" w:rsidR="00747357" w:rsidRDefault="00010DC3" w:rsidP="00A40260">
      <w:pPr>
        <w:keepLines/>
        <w:widowControl w:val="0"/>
        <w:overflowPunct/>
        <w:autoSpaceDE/>
        <w:autoSpaceDN/>
        <w:adjustRightInd/>
        <w:spacing w:after="0"/>
        <w:ind w:left="454" w:hanging="454"/>
        <w:jc w:val="both"/>
        <w:textAlignment w:val="auto"/>
        <w:rPr>
          <w:rFonts w:ascii="Arial" w:hAnsi="Arial" w:cs="Arial"/>
          <w:b/>
          <w:bCs/>
          <w:sz w:val="24"/>
          <w:szCs w:val="24"/>
          <w:lang w:val="en-US" w:eastAsia="ja-JP"/>
        </w:rPr>
      </w:pPr>
      <w:r>
        <w:rPr>
          <w:rFonts w:ascii="Arial" w:hAnsi="Arial" w:cs="Arial"/>
          <w:b/>
          <w:bCs/>
          <w:sz w:val="24"/>
          <w:szCs w:val="24"/>
          <w:lang w:val="en-US" w:eastAsia="ja-JP"/>
        </w:rPr>
        <w:t>e</w:t>
      </w:r>
      <w:r w:rsidR="00A40260" w:rsidRPr="009153C6">
        <w:rPr>
          <w:rFonts w:ascii="Arial" w:hAnsi="Arial" w:cs="Arial"/>
          <w:b/>
          <w:bCs/>
          <w:sz w:val="24"/>
          <w:szCs w:val="24"/>
          <w:lang w:val="en-US" w:eastAsia="ja-JP"/>
        </w:rPr>
        <w:t>-meeting,</w:t>
      </w:r>
      <w:r w:rsidR="007654A0">
        <w:rPr>
          <w:rFonts w:ascii="Arial" w:hAnsi="Arial" w:cs="Arial"/>
          <w:b/>
          <w:bCs/>
          <w:sz w:val="24"/>
          <w:szCs w:val="24"/>
          <w:lang w:val="en-US" w:eastAsia="ja-JP"/>
        </w:rPr>
        <w:t xml:space="preserve"> </w:t>
      </w:r>
      <w:r w:rsidR="00C26E9E">
        <w:rPr>
          <w:rFonts w:ascii="Arial" w:hAnsi="Arial" w:cs="Arial"/>
          <w:b/>
          <w:bCs/>
          <w:sz w:val="24"/>
          <w:szCs w:val="24"/>
          <w:lang w:val="en-US" w:eastAsia="ja-JP"/>
        </w:rPr>
        <w:t>May</w:t>
      </w:r>
      <w:r>
        <w:rPr>
          <w:rFonts w:ascii="Arial" w:hAnsi="Arial" w:cs="Arial"/>
          <w:b/>
          <w:bCs/>
          <w:sz w:val="24"/>
          <w:szCs w:val="24"/>
          <w:lang w:val="en-US" w:eastAsia="ja-JP"/>
        </w:rPr>
        <w:t xml:space="preserve"> </w:t>
      </w:r>
      <w:r w:rsidR="00106BD1">
        <w:rPr>
          <w:rFonts w:ascii="Arial" w:hAnsi="Arial" w:cs="Arial"/>
          <w:b/>
          <w:bCs/>
          <w:sz w:val="24"/>
          <w:szCs w:val="24"/>
          <w:lang w:val="en-US" w:eastAsia="ja-JP"/>
        </w:rPr>
        <w:t>1</w:t>
      </w:r>
      <w:r w:rsidR="00C26E9E">
        <w:rPr>
          <w:rFonts w:ascii="Arial" w:hAnsi="Arial" w:cs="Arial"/>
          <w:b/>
          <w:bCs/>
          <w:sz w:val="24"/>
          <w:szCs w:val="24"/>
          <w:lang w:val="en-US" w:eastAsia="ja-JP"/>
        </w:rPr>
        <w:t>0</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xml:space="preserve"> –</w:t>
      </w:r>
      <w:r w:rsidR="00106BD1">
        <w:rPr>
          <w:rFonts w:ascii="Arial" w:hAnsi="Arial" w:cs="Arial"/>
          <w:b/>
          <w:bCs/>
          <w:sz w:val="24"/>
          <w:szCs w:val="24"/>
          <w:lang w:val="en-US" w:eastAsia="ja-JP"/>
        </w:rPr>
        <w:t xml:space="preserve"> 2</w:t>
      </w:r>
      <w:r w:rsidR="00C26E9E">
        <w:rPr>
          <w:rFonts w:ascii="Arial" w:hAnsi="Arial" w:cs="Arial"/>
          <w:b/>
          <w:bCs/>
          <w:sz w:val="24"/>
          <w:szCs w:val="24"/>
          <w:lang w:val="en-US" w:eastAsia="ja-JP"/>
        </w:rPr>
        <w:t>7</w:t>
      </w:r>
      <w:r w:rsidRPr="003237DE">
        <w:rPr>
          <w:rFonts w:ascii="Arial" w:hAnsi="Arial" w:cs="Arial"/>
          <w:b/>
          <w:bCs/>
          <w:sz w:val="24"/>
          <w:szCs w:val="24"/>
          <w:vertAlign w:val="superscript"/>
          <w:lang w:val="en-US" w:eastAsia="ja-JP"/>
        </w:rPr>
        <w:t>th</w:t>
      </w:r>
      <w:r>
        <w:rPr>
          <w:rFonts w:ascii="Arial" w:hAnsi="Arial" w:cs="Arial"/>
          <w:b/>
          <w:bCs/>
          <w:sz w:val="24"/>
          <w:szCs w:val="24"/>
          <w:lang w:val="en-US" w:eastAsia="ja-JP"/>
        </w:rPr>
        <w:t>, 202</w:t>
      </w:r>
      <w:r w:rsidR="00A573CF">
        <w:rPr>
          <w:rFonts w:ascii="Arial" w:hAnsi="Arial" w:cs="Arial"/>
          <w:b/>
          <w:bCs/>
          <w:sz w:val="24"/>
          <w:szCs w:val="24"/>
          <w:lang w:val="en-US" w:eastAsia="ja-JP"/>
        </w:rPr>
        <w:t>1</w:t>
      </w:r>
    </w:p>
    <w:p w14:paraId="49556C3C" w14:textId="77777777" w:rsidR="00A40260" w:rsidRPr="00A40260" w:rsidRDefault="00A40260" w:rsidP="00A40260">
      <w:pPr>
        <w:keepLines/>
        <w:widowControl w:val="0"/>
        <w:overflowPunct/>
        <w:autoSpaceDE/>
        <w:autoSpaceDN/>
        <w:adjustRightInd/>
        <w:spacing w:after="0"/>
        <w:ind w:left="454" w:hanging="454"/>
        <w:jc w:val="both"/>
        <w:textAlignment w:val="auto"/>
        <w:rPr>
          <w:rFonts w:eastAsia="MS Mincho"/>
          <w:sz w:val="24"/>
          <w:szCs w:val="24"/>
          <w:lang w:val="en-US"/>
        </w:rPr>
      </w:pPr>
    </w:p>
    <w:p w14:paraId="3EF2D4CE"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b/>
          <w:sz w:val="24"/>
          <w:szCs w:val="24"/>
          <w:lang w:eastAsia="ja-JP"/>
        </w:rPr>
      </w:pPr>
      <w:r w:rsidRPr="00747357">
        <w:rPr>
          <w:rFonts w:ascii="Arial" w:eastAsia="Batang" w:hAnsi="Arial"/>
          <w:b/>
          <w:sz w:val="24"/>
          <w:szCs w:val="24"/>
        </w:rPr>
        <w:t>Source:</w:t>
      </w:r>
      <w:r w:rsidRPr="00747357">
        <w:rPr>
          <w:rFonts w:ascii="Arial" w:eastAsia="Batang" w:hAnsi="Arial"/>
          <w:b/>
          <w:sz w:val="24"/>
          <w:szCs w:val="24"/>
        </w:rPr>
        <w:tab/>
      </w:r>
      <w:r w:rsidRPr="00747357">
        <w:rPr>
          <w:rFonts w:ascii="Arial" w:eastAsia="Batang" w:hAnsi="Arial"/>
          <w:sz w:val="24"/>
          <w:szCs w:val="24"/>
        </w:rPr>
        <w:t>Lenovo, Motorola Mobility</w:t>
      </w:r>
    </w:p>
    <w:p w14:paraId="04DAC96B" w14:textId="4F1E7881"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eastAsia="MS Mincho" w:hAnsi="Arial"/>
          <w:sz w:val="24"/>
          <w:szCs w:val="24"/>
          <w:lang w:eastAsia="ja-JP"/>
        </w:rPr>
      </w:pPr>
      <w:r w:rsidRPr="00747357">
        <w:rPr>
          <w:rFonts w:ascii="Arial" w:eastAsia="Batang" w:hAnsi="Arial"/>
          <w:b/>
          <w:sz w:val="24"/>
          <w:szCs w:val="24"/>
        </w:rPr>
        <w:t xml:space="preserve">Title: </w:t>
      </w:r>
      <w:r w:rsidRPr="00747357">
        <w:rPr>
          <w:rFonts w:ascii="Arial" w:eastAsia="Batang" w:hAnsi="Arial"/>
          <w:b/>
          <w:sz w:val="24"/>
          <w:szCs w:val="24"/>
        </w:rPr>
        <w:tab/>
      </w:r>
      <w:r w:rsidR="006C0DAB">
        <w:rPr>
          <w:rFonts w:ascii="Arial" w:eastAsia="MS Mincho" w:hAnsi="Arial"/>
          <w:sz w:val="24"/>
          <w:szCs w:val="24"/>
          <w:lang w:eastAsia="ja-JP"/>
        </w:rPr>
        <w:t>PDSCH/PUSCH scheduling enhancements</w:t>
      </w:r>
      <w:r w:rsidR="00A573CF">
        <w:rPr>
          <w:rFonts w:ascii="Arial" w:eastAsia="MS Mincho" w:hAnsi="Arial"/>
          <w:sz w:val="24"/>
          <w:szCs w:val="24"/>
          <w:lang w:eastAsia="ja-JP"/>
        </w:rPr>
        <w:t xml:space="preserve"> for NR from 52.6 GHz to 71GHz</w:t>
      </w:r>
    </w:p>
    <w:p w14:paraId="586DB488" w14:textId="6FCC0147" w:rsidR="00747357" w:rsidRPr="00747357" w:rsidRDefault="00747357" w:rsidP="00A40260">
      <w:pPr>
        <w:overflowPunct/>
        <w:autoSpaceDE/>
        <w:autoSpaceDN/>
        <w:adjustRightInd/>
        <w:spacing w:after="0"/>
        <w:jc w:val="both"/>
        <w:textAlignment w:val="auto"/>
        <w:rPr>
          <w:rFonts w:eastAsia="MS Mincho"/>
          <w:sz w:val="24"/>
          <w:szCs w:val="24"/>
          <w:lang w:eastAsia="ja-JP"/>
        </w:rPr>
      </w:pPr>
      <w:r w:rsidRPr="00747357">
        <w:rPr>
          <w:rFonts w:ascii="Arial" w:eastAsia="Batang" w:hAnsi="Arial"/>
          <w:b/>
          <w:sz w:val="24"/>
          <w:szCs w:val="24"/>
        </w:rPr>
        <w:t xml:space="preserve">Agenda Item:   </w:t>
      </w:r>
      <w:r w:rsidRPr="00747357">
        <w:rPr>
          <w:rFonts w:ascii="Arial" w:eastAsia="MS Mincho" w:hAnsi="Arial"/>
          <w:sz w:val="24"/>
          <w:szCs w:val="24"/>
          <w:lang w:eastAsia="ja-JP"/>
        </w:rPr>
        <w:t>8.</w:t>
      </w:r>
      <w:r w:rsidR="00010DC3">
        <w:rPr>
          <w:rFonts w:ascii="Arial" w:eastAsia="MS Mincho" w:hAnsi="Arial"/>
          <w:sz w:val="24"/>
          <w:szCs w:val="24"/>
          <w:lang w:eastAsia="ja-JP"/>
        </w:rPr>
        <w:t>2</w:t>
      </w:r>
      <w:r w:rsidRPr="00747357">
        <w:rPr>
          <w:rFonts w:ascii="Arial" w:eastAsia="MS Mincho" w:hAnsi="Arial"/>
          <w:sz w:val="24"/>
          <w:szCs w:val="24"/>
          <w:lang w:eastAsia="ja-JP"/>
        </w:rPr>
        <w:t>.</w:t>
      </w:r>
      <w:r w:rsidR="006C0DAB">
        <w:rPr>
          <w:rFonts w:ascii="Arial" w:eastAsia="MS Mincho" w:hAnsi="Arial"/>
          <w:sz w:val="24"/>
          <w:szCs w:val="24"/>
          <w:lang w:eastAsia="ja-JP"/>
        </w:rPr>
        <w:t>5</w:t>
      </w:r>
    </w:p>
    <w:p w14:paraId="03B3BB1F" w14:textId="77777777" w:rsidR="00747357" w:rsidRPr="00747357" w:rsidRDefault="00747357" w:rsidP="00A40260">
      <w:pPr>
        <w:widowControl w:val="0"/>
        <w:tabs>
          <w:tab w:val="left" w:pos="1701"/>
          <w:tab w:val="right" w:pos="9072"/>
          <w:tab w:val="right" w:pos="10206"/>
        </w:tabs>
        <w:overflowPunct/>
        <w:autoSpaceDE/>
        <w:autoSpaceDN/>
        <w:adjustRightInd/>
        <w:spacing w:after="0"/>
        <w:jc w:val="both"/>
        <w:textAlignment w:val="auto"/>
        <w:rPr>
          <w:rFonts w:ascii="Arial" w:hAnsi="Arial"/>
          <w:b/>
          <w:sz w:val="24"/>
          <w:szCs w:val="24"/>
          <w:lang w:eastAsia="zh-CN"/>
        </w:rPr>
      </w:pPr>
      <w:r w:rsidRPr="00747357">
        <w:rPr>
          <w:rFonts w:ascii="Arial" w:eastAsia="Batang" w:hAnsi="Arial"/>
          <w:b/>
          <w:sz w:val="24"/>
          <w:szCs w:val="24"/>
        </w:rPr>
        <w:t>Document for:</w:t>
      </w:r>
      <w:r w:rsidRPr="00747357">
        <w:rPr>
          <w:rFonts w:ascii="Arial" w:eastAsia="Batang" w:hAnsi="Arial"/>
          <w:b/>
          <w:sz w:val="24"/>
          <w:szCs w:val="24"/>
        </w:rPr>
        <w:tab/>
      </w:r>
      <w:r w:rsidRPr="00747357">
        <w:rPr>
          <w:rFonts w:ascii="Arial" w:hAnsi="Arial"/>
          <w:sz w:val="24"/>
          <w:szCs w:val="24"/>
          <w:lang w:eastAsia="zh-CN"/>
        </w:rPr>
        <w:t>Discussion</w:t>
      </w:r>
    </w:p>
    <w:p w14:paraId="1015019E" w14:textId="44A08194" w:rsidR="008537B7" w:rsidRPr="000B409F" w:rsidRDefault="008537B7" w:rsidP="008537B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1</w:t>
      </w:r>
      <w:r>
        <w:rPr>
          <w:rFonts w:ascii="Arial" w:eastAsia="MS Mincho" w:hAnsi="Arial"/>
          <w:sz w:val="36"/>
          <w:szCs w:val="36"/>
          <w:lang w:eastAsia="ja-JP"/>
        </w:rPr>
        <w:tab/>
        <w:t>Introduction</w:t>
      </w:r>
    </w:p>
    <w:p w14:paraId="1A43518B" w14:textId="3530B6AB" w:rsidR="00AC4FE9" w:rsidRDefault="00747357" w:rsidP="009E3EA0">
      <w:pPr>
        <w:spacing w:beforeLines="50" w:before="120" w:after="0"/>
        <w:jc w:val="both"/>
        <w:rPr>
          <w:rFonts w:eastAsia="MS Mincho"/>
          <w:lang w:eastAsia="ja-JP"/>
        </w:rPr>
      </w:pPr>
      <w:r w:rsidRPr="00133CCB">
        <w:rPr>
          <w:rFonts w:eastAsia="MS Mincho"/>
          <w:lang w:eastAsia="ja-JP"/>
        </w:rPr>
        <w:t>In RAN</w:t>
      </w:r>
      <w:r>
        <w:rPr>
          <w:rFonts w:eastAsia="MS Mincho"/>
          <w:lang w:eastAsia="ja-JP"/>
        </w:rPr>
        <w:t>#</w:t>
      </w:r>
      <w:r w:rsidR="00A573CF">
        <w:rPr>
          <w:rFonts w:eastAsia="MS Mincho"/>
          <w:lang w:eastAsia="ja-JP"/>
        </w:rPr>
        <w:t>9</w:t>
      </w:r>
      <w:r w:rsidR="00774F3C">
        <w:rPr>
          <w:rFonts w:eastAsia="MS Mincho"/>
          <w:lang w:eastAsia="ja-JP"/>
        </w:rPr>
        <w:t>1</w:t>
      </w:r>
      <w:r w:rsidR="00A573CF">
        <w:rPr>
          <w:rFonts w:eastAsia="MS Mincho"/>
          <w:lang w:eastAsia="ja-JP"/>
        </w:rPr>
        <w:t>-e</w:t>
      </w:r>
      <w:r>
        <w:rPr>
          <w:rFonts w:eastAsia="MS Mincho"/>
          <w:lang w:eastAsia="ja-JP"/>
        </w:rPr>
        <w:t xml:space="preserve">, </w:t>
      </w:r>
      <w:r w:rsidR="00A573CF">
        <w:rPr>
          <w:rFonts w:eastAsia="MS Mincho"/>
          <w:lang w:eastAsia="ja-JP"/>
        </w:rPr>
        <w:t>a</w:t>
      </w:r>
      <w:r w:rsidR="00774F3C">
        <w:rPr>
          <w:rFonts w:eastAsia="MS Mincho"/>
          <w:lang w:eastAsia="ja-JP"/>
        </w:rPr>
        <w:t xml:space="preserve"> revised</w:t>
      </w:r>
      <w:r w:rsidR="00A573CF">
        <w:rPr>
          <w:rFonts w:eastAsia="MS Mincho"/>
          <w:lang w:eastAsia="ja-JP"/>
        </w:rPr>
        <w:t xml:space="preserve"> work item for</w:t>
      </w:r>
      <w:r>
        <w:rPr>
          <w:rFonts w:eastAsia="MS Mincho"/>
          <w:lang w:eastAsia="ja-JP"/>
        </w:rPr>
        <w:t xml:space="preserve"> supporting NR from 52.6 GHz to 71 GHz in NR Rel. 17 </w:t>
      </w:r>
      <w:r w:rsidR="00A573CF">
        <w:rPr>
          <w:rFonts w:eastAsia="MS Mincho"/>
          <w:lang w:eastAsia="ja-JP"/>
        </w:rPr>
        <w:t xml:space="preserve">has been approved </w:t>
      </w:r>
      <w:r>
        <w:rPr>
          <w:rFonts w:eastAsia="MS Mincho"/>
          <w:lang w:eastAsia="ja-JP"/>
        </w:rPr>
        <w:t xml:space="preserve">with following objectives </w:t>
      </w:r>
      <w:r w:rsidR="00A573CF">
        <w:rPr>
          <w:rFonts w:eastAsia="MS Mincho"/>
          <w:lang w:eastAsia="ja-JP"/>
        </w:rPr>
        <w:t xml:space="preserve">for </w:t>
      </w:r>
      <w:r w:rsidR="0075513B">
        <w:rPr>
          <w:rFonts w:eastAsia="MS Mincho"/>
          <w:lang w:eastAsia="ja-JP"/>
        </w:rPr>
        <w:t>physical layer impacts</w:t>
      </w:r>
      <w:r w:rsidR="00A573CF">
        <w:rPr>
          <w:rFonts w:eastAsia="MS Mincho"/>
          <w:lang w:eastAsia="ja-JP"/>
        </w:rPr>
        <w:t xml:space="preserve"> in [1]:</w:t>
      </w:r>
    </w:p>
    <w:p w14:paraId="28DC8741" w14:textId="77777777" w:rsidR="00AC4FE9" w:rsidRDefault="00AC4FE9" w:rsidP="009E3EA0">
      <w:pPr>
        <w:spacing w:beforeLines="50" w:before="120" w:after="0"/>
        <w:jc w:val="both"/>
        <w:rPr>
          <w:rFonts w:eastAsia="MS Mincho"/>
          <w:lang w:eastAsia="ja-JP"/>
        </w:rPr>
      </w:pPr>
    </w:p>
    <w:p w14:paraId="3257AC0E" w14:textId="06FC7FBE" w:rsidR="0075513B" w:rsidRDefault="0075513B" w:rsidP="0075513B">
      <w:pPr>
        <w:pStyle w:val="B1"/>
        <w:numPr>
          <w:ilvl w:val="0"/>
          <w:numId w:val="2"/>
        </w:numPr>
        <w:spacing w:after="0"/>
        <w:rPr>
          <w:i/>
          <w:iCs/>
          <w:lang w:eastAsia="ja-JP"/>
        </w:rPr>
      </w:pPr>
      <w:r w:rsidRPr="0075513B">
        <w:rPr>
          <w:rFonts w:hint="eastAsia"/>
          <w:i/>
          <w:iCs/>
          <w:lang w:eastAsia="ja-JP"/>
        </w:rPr>
        <w:t>Physical layer aspects</w:t>
      </w:r>
      <w:r w:rsidRPr="0075513B">
        <w:rPr>
          <w:i/>
          <w:iCs/>
          <w:lang w:eastAsia="ja-JP"/>
        </w:rPr>
        <w:t xml:space="preserve"> including [RAN1]</w:t>
      </w:r>
      <w:r w:rsidRPr="0075513B">
        <w:rPr>
          <w:rFonts w:hint="eastAsia"/>
          <w:i/>
          <w:iCs/>
          <w:lang w:eastAsia="ja-JP"/>
        </w:rPr>
        <w:t>:</w:t>
      </w:r>
    </w:p>
    <w:p w14:paraId="1FBD410A" w14:textId="77777777" w:rsidR="006F05F4" w:rsidRDefault="006F05F4" w:rsidP="006F05F4">
      <w:pPr>
        <w:pStyle w:val="B1"/>
        <w:spacing w:after="0"/>
        <w:ind w:left="720" w:firstLine="0"/>
        <w:rPr>
          <w:i/>
          <w:iCs/>
          <w:lang w:eastAsia="ja-JP"/>
        </w:rPr>
      </w:pPr>
    </w:p>
    <w:p w14:paraId="70A20D2E" w14:textId="77777777" w:rsidR="006A300D" w:rsidRPr="006A300D" w:rsidRDefault="006A300D" w:rsidP="006A300D">
      <w:pPr>
        <w:pStyle w:val="B1"/>
        <w:numPr>
          <w:ilvl w:val="1"/>
          <w:numId w:val="2"/>
        </w:numPr>
        <w:spacing w:after="0"/>
        <w:rPr>
          <w:i/>
          <w:iCs/>
          <w:lang w:eastAsia="ja-JP"/>
        </w:rPr>
      </w:pPr>
      <w:bookmarkStart w:id="0" w:name="_Hlk58583563"/>
      <w:bookmarkStart w:id="1" w:name="_Hlk26996217"/>
      <w:r w:rsidRPr="006A300D">
        <w:rPr>
          <w:i/>
          <w:iCs/>
          <w:lang w:eastAsia="ja-JP"/>
        </w:rPr>
        <w:t xml:space="preserve">In addition to 120kHz SCS, specify </w:t>
      </w:r>
      <w:r w:rsidRPr="006A300D">
        <w:rPr>
          <w:i/>
          <w:iCs/>
          <w:lang w:eastAsia="zh-CN"/>
        </w:rPr>
        <w:t xml:space="preserve">new SCS, </w:t>
      </w:r>
      <w:r w:rsidRPr="006A300D">
        <w:rPr>
          <w:i/>
          <w:iCs/>
          <w:lang w:eastAsia="ja-JP"/>
        </w:rPr>
        <w:t>480kHz and 960kHz, and define maximum bandwidth(s), for operation in this frequency range for data and control channels and reference signals, only NCP supported</w:t>
      </w:r>
      <w:bookmarkEnd w:id="0"/>
      <w:r w:rsidRPr="006A300D">
        <w:rPr>
          <w:i/>
          <w:iCs/>
          <w:lang w:eastAsia="ja-JP"/>
        </w:rPr>
        <w:t xml:space="preserve">. </w:t>
      </w:r>
    </w:p>
    <w:p w14:paraId="13E08B09" w14:textId="77777777" w:rsidR="006A300D" w:rsidRPr="006A300D" w:rsidRDefault="006A300D" w:rsidP="006A300D">
      <w:pPr>
        <w:pStyle w:val="B1"/>
        <w:spacing w:after="0"/>
        <w:ind w:left="1440" w:firstLine="0"/>
        <w:rPr>
          <w:i/>
          <w:iCs/>
          <w:lang w:eastAsia="ja-JP"/>
        </w:rPr>
      </w:pPr>
      <w:bookmarkStart w:id="2" w:name="_Hlk58594267"/>
      <w:r w:rsidRPr="006A300D">
        <w:rPr>
          <w:i/>
          <w:iCs/>
          <w:lang w:eastAsia="ja-JP"/>
        </w:rPr>
        <w:t>Note: Except for timing line related aspects, a common design framework shall be adopted for 480kHz to 960kHz</w:t>
      </w:r>
    </w:p>
    <w:bookmarkEnd w:id="1"/>
    <w:bookmarkEnd w:id="2"/>
    <w:p w14:paraId="28428C59" w14:textId="77777777" w:rsidR="006A300D" w:rsidRPr="006A300D" w:rsidRDefault="006A300D" w:rsidP="006A300D">
      <w:pPr>
        <w:pStyle w:val="B1"/>
        <w:numPr>
          <w:ilvl w:val="1"/>
          <w:numId w:val="2"/>
        </w:numPr>
        <w:spacing w:after="0"/>
        <w:rPr>
          <w:i/>
          <w:iCs/>
          <w:lang w:eastAsia="ja-JP"/>
        </w:rPr>
      </w:pPr>
      <w:r w:rsidRPr="006A300D">
        <w:rPr>
          <w:i/>
          <w:iCs/>
          <w:lang w:eastAsia="ja-JP"/>
        </w:rPr>
        <w:t xml:space="preserve">Time line related aspects adapted to 480kHz and 960kHz, e.g., BWP and beam switching timeing, HARQ timing, UE processing, preparation and computation timelines for PDSCH, PUSCH/SRS and CSI, respectively. </w:t>
      </w:r>
    </w:p>
    <w:p w14:paraId="1C0EEF07" w14:textId="77777777" w:rsidR="006A300D" w:rsidRPr="006A300D" w:rsidRDefault="006A300D" w:rsidP="006A300D">
      <w:pPr>
        <w:pStyle w:val="B1"/>
        <w:numPr>
          <w:ilvl w:val="1"/>
          <w:numId w:val="2"/>
        </w:numPr>
        <w:spacing w:after="0"/>
        <w:rPr>
          <w:i/>
          <w:iCs/>
          <w:lang w:eastAsia="ja-JP"/>
        </w:rPr>
      </w:pPr>
      <w:r w:rsidRPr="006A300D">
        <w:rPr>
          <w:i/>
          <w:iCs/>
          <w:lang w:eastAsia="ja-JP"/>
        </w:rPr>
        <w:t>Support of up to 64 SSB beams for licensed and unlicensed operation in this frequency range.</w:t>
      </w:r>
      <w:r w:rsidRPr="006A300D">
        <w:rPr>
          <w:i/>
          <w:iCs/>
          <w:lang w:eastAsia="zh-CN"/>
        </w:rPr>
        <w:t xml:space="preserve"> </w:t>
      </w:r>
    </w:p>
    <w:p w14:paraId="03F497F8" w14:textId="77777777" w:rsidR="006A300D" w:rsidRPr="006A300D" w:rsidRDefault="006A300D" w:rsidP="006A300D">
      <w:pPr>
        <w:pStyle w:val="B1"/>
        <w:numPr>
          <w:ilvl w:val="1"/>
          <w:numId w:val="2"/>
        </w:numPr>
        <w:spacing w:after="0"/>
        <w:rPr>
          <w:i/>
          <w:iCs/>
          <w:lang w:eastAsia="ja-JP"/>
        </w:rPr>
      </w:pPr>
      <w:r w:rsidRPr="006A300D">
        <w:rPr>
          <w:i/>
          <w:iCs/>
          <w:lang w:eastAsia="zh-CN"/>
        </w:rPr>
        <w:t>Supports 120kHz SCS for SSB and 120kHz SCS for initial access related signals/channels in an</w:t>
      </w:r>
      <w:r w:rsidRPr="006A300D">
        <w:rPr>
          <w:i/>
          <w:iCs/>
          <w:color w:val="FF0000"/>
          <w:lang w:eastAsia="zh-CN"/>
        </w:rPr>
        <w:t xml:space="preserve"> </w:t>
      </w:r>
      <w:r w:rsidRPr="006A300D">
        <w:rPr>
          <w:i/>
          <w:iCs/>
          <w:lang w:eastAsia="zh-CN"/>
        </w:rPr>
        <w:t>initial BWP.</w:t>
      </w:r>
    </w:p>
    <w:p w14:paraId="5976AFF4" w14:textId="77777777" w:rsidR="006A300D" w:rsidRPr="006A300D" w:rsidRDefault="006A300D" w:rsidP="006A300D">
      <w:pPr>
        <w:pStyle w:val="B1"/>
        <w:numPr>
          <w:ilvl w:val="2"/>
          <w:numId w:val="2"/>
        </w:numPr>
        <w:spacing w:after="0"/>
        <w:rPr>
          <w:i/>
          <w:iCs/>
          <w:lang w:eastAsia="zh-CN"/>
        </w:rPr>
      </w:pPr>
      <w:r w:rsidRPr="006A300D">
        <w:rPr>
          <w:i/>
          <w:iCs/>
          <w:lang w:eastAsia="zh-CN"/>
        </w:rPr>
        <w:t xml:space="preserve">Study and specify, if needed, additional </w:t>
      </w:r>
      <w:r w:rsidRPr="006A300D">
        <w:rPr>
          <w:rFonts w:hint="eastAsia"/>
          <w:i/>
          <w:iCs/>
          <w:lang w:eastAsia="zh-CN"/>
        </w:rPr>
        <w:t>SCS</w:t>
      </w:r>
      <w:r w:rsidRPr="006A300D">
        <w:rPr>
          <w:i/>
          <w:iCs/>
          <w:lang w:eastAsia="zh-CN"/>
        </w:rPr>
        <w:t xml:space="preserve"> (240kHz, 480kHz, 960kHz) for SSB, and additional SCS(480kHz, 960kHz) for initial access related signals/channels in initial BWP.</w:t>
      </w:r>
    </w:p>
    <w:p w14:paraId="3948F996" w14:textId="77777777" w:rsidR="006A300D" w:rsidRPr="006A300D" w:rsidRDefault="006A300D" w:rsidP="006A300D">
      <w:pPr>
        <w:pStyle w:val="B1"/>
        <w:numPr>
          <w:ilvl w:val="2"/>
          <w:numId w:val="2"/>
        </w:numPr>
        <w:spacing w:after="0"/>
        <w:rPr>
          <w:i/>
          <w:iCs/>
          <w:lang w:eastAsia="zh-CN"/>
        </w:rPr>
      </w:pPr>
      <w:r w:rsidRPr="006A300D">
        <w:rPr>
          <w:i/>
          <w:iCs/>
          <w:lang w:eastAsia="zh-CN"/>
        </w:rPr>
        <w:t xml:space="preserve">Study and specify, if needed, additional </w:t>
      </w:r>
      <w:r w:rsidRPr="006A300D">
        <w:rPr>
          <w:rFonts w:hint="eastAsia"/>
          <w:i/>
          <w:iCs/>
          <w:lang w:eastAsia="zh-CN"/>
        </w:rPr>
        <w:t>SCS</w:t>
      </w:r>
      <w:r w:rsidRPr="006A300D">
        <w:rPr>
          <w:i/>
          <w:iCs/>
          <w:lang w:eastAsia="zh-CN"/>
        </w:rPr>
        <w:t xml:space="preserve"> (480kHz, 960kHz) for SSB for cases other than initial access.</w:t>
      </w:r>
    </w:p>
    <w:p w14:paraId="3F9BB015" w14:textId="77777777" w:rsidR="006A300D" w:rsidRPr="006A300D" w:rsidRDefault="006A300D" w:rsidP="006A300D">
      <w:pPr>
        <w:pStyle w:val="B1"/>
        <w:numPr>
          <w:ilvl w:val="2"/>
          <w:numId w:val="2"/>
        </w:numPr>
        <w:spacing w:after="0"/>
        <w:rPr>
          <w:i/>
          <w:iCs/>
          <w:lang w:eastAsia="zh-CN"/>
        </w:rPr>
      </w:pPr>
      <w:r w:rsidRPr="006A300D">
        <w:rPr>
          <w:i/>
          <w:iCs/>
          <w:lang w:eastAsia="zh-CN"/>
        </w:rPr>
        <w:t>Note: coverage enhancement for SSB is not pursued.</w:t>
      </w:r>
    </w:p>
    <w:p w14:paraId="52BEDF22" w14:textId="77777777" w:rsidR="006A300D" w:rsidRPr="006A300D" w:rsidRDefault="006A300D" w:rsidP="006A300D">
      <w:pPr>
        <w:pStyle w:val="B1"/>
        <w:numPr>
          <w:ilvl w:val="1"/>
          <w:numId w:val="2"/>
        </w:numPr>
        <w:spacing w:after="0"/>
        <w:rPr>
          <w:i/>
          <w:iCs/>
          <w:lang w:eastAsia="ja-JP"/>
        </w:rPr>
      </w:pPr>
      <w:r w:rsidRPr="006A300D">
        <w:rPr>
          <w:i/>
          <w:iCs/>
          <w:lang w:eastAsia="ja-JP"/>
        </w:rPr>
        <w:t>Specify timing associated with beam-based operation to new SCS (i.e., 48</w:t>
      </w:r>
      <w:r w:rsidRPr="006A300D">
        <w:rPr>
          <w:i/>
          <w:iCs/>
          <w:lang w:eastAsia="zh-CN"/>
        </w:rPr>
        <w:t>0k</w:t>
      </w:r>
      <w:r w:rsidRPr="006A300D">
        <w:rPr>
          <w:rFonts w:hint="eastAsia"/>
          <w:i/>
          <w:iCs/>
          <w:lang w:eastAsia="zh-CN"/>
        </w:rPr>
        <w:t>Hz</w:t>
      </w:r>
      <w:r w:rsidRPr="006A300D">
        <w:rPr>
          <w:i/>
          <w:iCs/>
          <w:lang w:eastAsia="zh-CN"/>
        </w:rPr>
        <w:t xml:space="preserve"> </w:t>
      </w:r>
      <w:r w:rsidRPr="006A300D">
        <w:rPr>
          <w:rFonts w:hint="eastAsia"/>
          <w:i/>
          <w:iCs/>
          <w:lang w:eastAsia="zh-CN"/>
        </w:rPr>
        <w:t>and</w:t>
      </w:r>
      <w:r w:rsidRPr="006A300D">
        <w:rPr>
          <w:i/>
          <w:iCs/>
          <w:lang w:eastAsia="zh-CN"/>
        </w:rPr>
        <w:t>/or 960kHz</w:t>
      </w:r>
      <w:r w:rsidRPr="006A300D">
        <w:rPr>
          <w:i/>
          <w:iCs/>
          <w:lang w:eastAsia="ja-JP"/>
        </w:rPr>
        <w:t>), study, and specify if needed, potential enhancement for shared spectrum operation</w:t>
      </w:r>
    </w:p>
    <w:p w14:paraId="7F82FC74" w14:textId="77777777" w:rsidR="006A300D" w:rsidRPr="006A300D" w:rsidRDefault="006A300D" w:rsidP="006A300D">
      <w:pPr>
        <w:pStyle w:val="B1"/>
        <w:numPr>
          <w:ilvl w:val="2"/>
          <w:numId w:val="2"/>
        </w:numPr>
        <w:adjustRightInd/>
        <w:spacing w:after="0"/>
        <w:textAlignment w:val="auto"/>
        <w:rPr>
          <w:i/>
          <w:iCs/>
          <w:lang w:eastAsia="zh-CN"/>
        </w:rPr>
      </w:pPr>
      <w:r w:rsidRPr="006A300D">
        <w:rPr>
          <w:i/>
          <w:iCs/>
          <w:lang w:eastAsia="zh-CN"/>
        </w:rPr>
        <w:t>Rel-15/16 and any Rel-17 beam management enhancements can be considered for 52.6-71 GHz. Whether particular features should be excluded for 52.6-71 GHz can be further discussed</w:t>
      </w:r>
    </w:p>
    <w:p w14:paraId="5F1BFDED" w14:textId="77777777" w:rsidR="006A300D" w:rsidRPr="006A300D" w:rsidRDefault="006A300D" w:rsidP="006A300D">
      <w:pPr>
        <w:pStyle w:val="B1"/>
        <w:numPr>
          <w:ilvl w:val="2"/>
          <w:numId w:val="2"/>
        </w:numPr>
        <w:adjustRightInd/>
        <w:spacing w:after="0"/>
        <w:textAlignment w:val="auto"/>
        <w:rPr>
          <w:i/>
          <w:iCs/>
          <w:lang w:eastAsia="zh-CN"/>
        </w:rPr>
      </w:pPr>
      <w:r w:rsidRPr="006A300D">
        <w:rPr>
          <w:i/>
          <w:iCs/>
          <w:lang w:eastAsia="zh-CN"/>
        </w:rPr>
        <w:t>Note: As per usual procedure, duplication of work between work items in Rel-17 should be avoided</w:t>
      </w:r>
    </w:p>
    <w:p w14:paraId="4FE95CD1" w14:textId="77777777" w:rsidR="006A300D" w:rsidRPr="006A300D" w:rsidRDefault="006A300D" w:rsidP="006A300D">
      <w:pPr>
        <w:pStyle w:val="B1"/>
        <w:numPr>
          <w:ilvl w:val="1"/>
          <w:numId w:val="2"/>
        </w:numPr>
        <w:spacing w:after="0"/>
        <w:rPr>
          <w:i/>
          <w:iCs/>
          <w:lang w:eastAsia="zh-CN"/>
        </w:rPr>
      </w:pPr>
      <w:r w:rsidRPr="006A300D">
        <w:rPr>
          <w:rFonts w:eastAsia="DengXian"/>
          <w:i/>
          <w:iCs/>
          <w:lang w:eastAsia="ko-KR"/>
        </w:rPr>
        <w:t>Support enhancement for PUCCH format 0/1/4 to increase the number of RBs under PSD limitation in shared spectrum operation.</w:t>
      </w:r>
    </w:p>
    <w:p w14:paraId="469A9119" w14:textId="77777777" w:rsidR="006A300D" w:rsidRPr="006A300D" w:rsidRDefault="006A300D" w:rsidP="006A300D">
      <w:pPr>
        <w:pStyle w:val="B1"/>
        <w:numPr>
          <w:ilvl w:val="1"/>
          <w:numId w:val="2"/>
        </w:numPr>
        <w:spacing w:after="0"/>
        <w:rPr>
          <w:i/>
          <w:iCs/>
          <w:lang w:eastAsia="zh-CN"/>
        </w:rPr>
      </w:pPr>
      <w:r w:rsidRPr="006A300D">
        <w:rPr>
          <w:rFonts w:hint="eastAsia"/>
          <w:i/>
          <w:iCs/>
          <w:lang w:eastAsia="zh-CN"/>
        </w:rPr>
        <w:t>Support enhancements for multi-PDSCH/PUSCH scheduling and HARQ support with a single DCI</w:t>
      </w:r>
    </w:p>
    <w:p w14:paraId="32BD3763" w14:textId="77777777" w:rsidR="006A300D" w:rsidRPr="006A300D" w:rsidRDefault="006A300D" w:rsidP="006A300D">
      <w:pPr>
        <w:pStyle w:val="b110"/>
        <w:wordWrap w:val="0"/>
        <w:spacing w:before="0" w:after="0"/>
        <w:ind w:left="1440"/>
        <w:rPr>
          <w:rFonts w:eastAsia="SimSun"/>
          <w:i/>
          <w:iCs/>
          <w:sz w:val="20"/>
          <w:szCs w:val="20"/>
          <w:lang w:val="en-GB"/>
        </w:rPr>
      </w:pPr>
      <w:r w:rsidRPr="006A300D">
        <w:rPr>
          <w:rFonts w:eastAsia="SimSun" w:hint="eastAsia"/>
          <w:i/>
          <w:iCs/>
          <w:sz w:val="20"/>
          <w:szCs w:val="20"/>
          <w:lang w:val="en-GB"/>
        </w:rPr>
        <w:t>Note: coverage enhancement for multi-PDSCH/PUSCH scheduling is not pursued</w:t>
      </w:r>
    </w:p>
    <w:p w14:paraId="2002997F" w14:textId="77777777" w:rsidR="006A300D" w:rsidRPr="006A300D" w:rsidRDefault="006A300D" w:rsidP="006A300D">
      <w:pPr>
        <w:pStyle w:val="B1"/>
        <w:numPr>
          <w:ilvl w:val="1"/>
          <w:numId w:val="2"/>
        </w:numPr>
        <w:spacing w:after="0"/>
        <w:rPr>
          <w:i/>
          <w:iCs/>
          <w:lang w:eastAsia="zh-CN"/>
        </w:rPr>
      </w:pPr>
      <w:bookmarkStart w:id="3" w:name="_Hlk58595024"/>
      <w:r w:rsidRPr="006A300D">
        <w:rPr>
          <w:i/>
          <w:iCs/>
          <w:lang w:eastAsia="zh-CN"/>
        </w:rPr>
        <w:t>Support enhancement to PDCCH monitoring, including blind detection/CCE budget, and multi-slot span monitoring, potential limitation to UE PDCCH configuration and capability related to PDCCH monitoring.</w:t>
      </w:r>
    </w:p>
    <w:bookmarkEnd w:id="3"/>
    <w:p w14:paraId="1EC77062" w14:textId="77777777" w:rsidR="006A300D" w:rsidRPr="006A300D" w:rsidRDefault="006A300D" w:rsidP="006A300D">
      <w:pPr>
        <w:pStyle w:val="B1"/>
        <w:numPr>
          <w:ilvl w:val="1"/>
          <w:numId w:val="2"/>
        </w:numPr>
        <w:spacing w:after="0"/>
        <w:rPr>
          <w:rFonts w:eastAsia="DengXian"/>
          <w:i/>
          <w:iCs/>
          <w:lang w:eastAsia="ko-KR"/>
        </w:rPr>
      </w:pPr>
      <w:r w:rsidRPr="006A300D">
        <w:rPr>
          <w:rFonts w:hint="eastAsia"/>
          <w:i/>
          <w:iCs/>
          <w:lang w:eastAsia="ko-KR"/>
        </w:rPr>
        <w:t xml:space="preserve">Specify support for PRACH sequence lengths (i.e. </w:t>
      </w:r>
      <w:r w:rsidRPr="006A300D">
        <w:rPr>
          <w:i/>
          <w:iCs/>
          <w:lang w:eastAsia="ko-KR"/>
        </w:rPr>
        <w:t xml:space="preserve">L=139, </w:t>
      </w:r>
      <w:r w:rsidRPr="006A300D">
        <w:rPr>
          <w:rFonts w:hint="eastAsia"/>
          <w:i/>
          <w:iCs/>
          <w:lang w:eastAsia="ko-KR"/>
        </w:rPr>
        <w:t xml:space="preserve">L=571 and L=1151) </w:t>
      </w:r>
      <w:bookmarkStart w:id="4" w:name="_Hlk58594915"/>
      <w:r w:rsidRPr="006A300D">
        <w:rPr>
          <w:rFonts w:hint="eastAsia"/>
          <w:i/>
          <w:iCs/>
          <w:lang w:eastAsia="ko-KR"/>
        </w:rPr>
        <w:t xml:space="preserve">and </w:t>
      </w:r>
      <w:r w:rsidRPr="006A300D">
        <w:rPr>
          <w:i/>
          <w:iCs/>
          <w:lang w:eastAsia="ko-KR"/>
        </w:rPr>
        <w:t xml:space="preserve">study, </w:t>
      </w:r>
      <w:r w:rsidRPr="006A300D">
        <w:rPr>
          <w:rFonts w:hint="eastAsia"/>
          <w:i/>
          <w:iCs/>
          <w:lang w:eastAsia="ko-KR"/>
        </w:rPr>
        <w:t>if needed, specify support for</w:t>
      </w:r>
      <w:r w:rsidRPr="006A300D">
        <w:rPr>
          <w:i/>
          <w:iCs/>
          <w:lang w:eastAsia="ko-KR"/>
        </w:rPr>
        <w:t xml:space="preserve"> RO configuration for</w:t>
      </w:r>
      <w:r w:rsidRPr="006A300D">
        <w:rPr>
          <w:rFonts w:hint="eastAsia"/>
          <w:i/>
          <w:iCs/>
          <w:lang w:eastAsia="ko-KR"/>
        </w:rPr>
        <w:t xml:space="preserve"> non-consecutive RACH occasions (RO) in </w:t>
      </w:r>
      <w:bookmarkEnd w:id="4"/>
      <w:r w:rsidRPr="006A300D">
        <w:rPr>
          <w:i/>
          <w:iCs/>
          <w:lang w:eastAsia="ko-KR"/>
        </w:rPr>
        <w:t>time domain for operation in shared spectrum</w:t>
      </w:r>
      <w:r w:rsidRPr="006A300D">
        <w:rPr>
          <w:rFonts w:eastAsia="DengXian"/>
          <w:i/>
          <w:iCs/>
          <w:lang w:eastAsia="ko-KR"/>
        </w:rPr>
        <w:t xml:space="preserve"> </w:t>
      </w:r>
    </w:p>
    <w:p w14:paraId="642F31DF" w14:textId="77777777" w:rsidR="006A300D" w:rsidRPr="006A300D" w:rsidRDefault="006A300D" w:rsidP="006A300D">
      <w:pPr>
        <w:pStyle w:val="B1"/>
        <w:numPr>
          <w:ilvl w:val="1"/>
          <w:numId w:val="2"/>
        </w:numPr>
        <w:spacing w:after="0"/>
        <w:rPr>
          <w:rFonts w:eastAsia="DengXian"/>
          <w:i/>
          <w:iCs/>
          <w:lang w:eastAsia="ko-KR"/>
        </w:rPr>
      </w:pPr>
      <w:r w:rsidRPr="006A300D">
        <w:rPr>
          <w:rFonts w:eastAsia="DengXian"/>
          <w:i/>
          <w:iCs/>
          <w:lang w:eastAsia="ko-KR"/>
        </w:rPr>
        <w:t>Evaluate, and if needed, specify the PTRS enhancement for 120kHz SCS, 480kHz SCS and/or 960kHz SCS, as well as DMRS enhancement for 480kHz SCS and/or 960kHz SCS.</w:t>
      </w:r>
    </w:p>
    <w:p w14:paraId="01EE32B6" w14:textId="77777777" w:rsidR="00DA3154" w:rsidRDefault="00DA3154" w:rsidP="00AE05F4">
      <w:pPr>
        <w:spacing w:after="0"/>
        <w:jc w:val="both"/>
        <w:rPr>
          <w:bCs/>
        </w:rPr>
      </w:pPr>
    </w:p>
    <w:p w14:paraId="666C3D67" w14:textId="77777777" w:rsidR="00AC4FE9" w:rsidRDefault="00010DC3" w:rsidP="004C3B3E">
      <w:pPr>
        <w:spacing w:after="0"/>
        <w:jc w:val="both"/>
        <w:rPr>
          <w:bCs/>
        </w:rPr>
      </w:pPr>
      <w:r w:rsidRPr="003237DE">
        <w:rPr>
          <w:bCs/>
        </w:rPr>
        <w:t xml:space="preserve">Furthermore, </w:t>
      </w:r>
      <w:r w:rsidR="00D56A02">
        <w:rPr>
          <w:bCs/>
        </w:rPr>
        <w:t xml:space="preserve">appendix section lists all the </w:t>
      </w:r>
      <w:r w:rsidR="00A33AC0">
        <w:rPr>
          <w:bCs/>
        </w:rPr>
        <w:t xml:space="preserve">agreements related to </w:t>
      </w:r>
      <w:r w:rsidR="00875CED">
        <w:rPr>
          <w:bCs/>
        </w:rPr>
        <w:t>PDSCH/PUSCH scheduling</w:t>
      </w:r>
      <w:r w:rsidR="004C3B3E">
        <w:rPr>
          <w:bCs/>
        </w:rPr>
        <w:t>, reference signal enhancements, CSI timeline enhancements</w:t>
      </w:r>
      <w:r w:rsidR="00A33AC0">
        <w:rPr>
          <w:bCs/>
        </w:rPr>
        <w:t xml:space="preserve"> </w:t>
      </w:r>
      <w:r w:rsidR="00D56A02">
        <w:rPr>
          <w:bCs/>
        </w:rPr>
        <w:t xml:space="preserve">that </w:t>
      </w:r>
      <w:r w:rsidR="00A33AC0">
        <w:rPr>
          <w:bCs/>
        </w:rPr>
        <w:t>have been made in RAN1#10</w:t>
      </w:r>
      <w:r w:rsidR="00106894">
        <w:rPr>
          <w:bCs/>
        </w:rPr>
        <w:t>4</w:t>
      </w:r>
      <w:r w:rsidR="00A44BD9">
        <w:rPr>
          <w:bCs/>
        </w:rPr>
        <w:t>b</w:t>
      </w:r>
      <w:r w:rsidR="00A33AC0">
        <w:rPr>
          <w:bCs/>
        </w:rPr>
        <w:t>-e [2]</w:t>
      </w:r>
      <w:r w:rsidR="00D56A02">
        <w:rPr>
          <w:bCs/>
        </w:rPr>
        <w:t>.</w:t>
      </w:r>
      <w:r w:rsidR="00171176">
        <w:rPr>
          <w:bCs/>
        </w:rPr>
        <w:t xml:space="preserve"> </w:t>
      </w:r>
    </w:p>
    <w:p w14:paraId="0134BD40" w14:textId="3A74EC22" w:rsidR="00AC4FE9" w:rsidRDefault="00AC4FE9" w:rsidP="004C3B3E">
      <w:pPr>
        <w:spacing w:after="0"/>
        <w:jc w:val="both"/>
        <w:rPr>
          <w:bCs/>
        </w:rPr>
      </w:pPr>
    </w:p>
    <w:p w14:paraId="3293A37A" w14:textId="77777777" w:rsidR="006F05F4" w:rsidRDefault="006F05F4" w:rsidP="004C3B3E">
      <w:pPr>
        <w:spacing w:after="0"/>
        <w:jc w:val="both"/>
        <w:rPr>
          <w:bCs/>
        </w:rPr>
      </w:pPr>
    </w:p>
    <w:p w14:paraId="1B069B87" w14:textId="5F4D039C" w:rsidR="004C3B3E" w:rsidRDefault="00AE6616" w:rsidP="004C3B3E">
      <w:pPr>
        <w:spacing w:after="0"/>
        <w:jc w:val="both"/>
        <w:rPr>
          <w:rFonts w:asciiTheme="majorBidi" w:hAnsiTheme="majorBidi" w:cstheme="majorBidi"/>
          <w:bCs/>
          <w:lang w:val="en-US"/>
        </w:rPr>
      </w:pPr>
      <w:r w:rsidRPr="00347C63">
        <w:rPr>
          <w:rFonts w:asciiTheme="majorBidi" w:hAnsiTheme="majorBidi" w:cstheme="majorBidi"/>
          <w:bCs/>
          <w:lang w:val="en-US"/>
        </w:rPr>
        <w:lastRenderedPageBreak/>
        <w:t xml:space="preserve">In this contribution, we </w:t>
      </w:r>
      <w:r w:rsidR="00A33AC0">
        <w:rPr>
          <w:rFonts w:asciiTheme="majorBidi" w:hAnsiTheme="majorBidi" w:cstheme="majorBidi"/>
          <w:bCs/>
          <w:lang w:val="en-US"/>
        </w:rPr>
        <w:t xml:space="preserve">provide our views on </w:t>
      </w:r>
      <w:r w:rsidR="004C3B3E">
        <w:rPr>
          <w:rFonts w:asciiTheme="majorBidi" w:hAnsiTheme="majorBidi" w:cstheme="majorBidi"/>
          <w:bCs/>
          <w:lang w:val="en-US"/>
        </w:rPr>
        <w:t xml:space="preserve">following </w:t>
      </w:r>
      <w:r w:rsidR="00A33AC0">
        <w:rPr>
          <w:rFonts w:asciiTheme="majorBidi" w:hAnsiTheme="majorBidi" w:cstheme="majorBidi"/>
          <w:bCs/>
          <w:lang w:val="en-US"/>
        </w:rPr>
        <w:t>enhancements for NR operation between 52.6 GHz to 71 GHz with newly agreed SCS values including 480kHz and 960kHz</w:t>
      </w:r>
      <w:r w:rsidR="004C3B3E">
        <w:rPr>
          <w:rFonts w:asciiTheme="majorBidi" w:hAnsiTheme="majorBidi" w:cstheme="majorBidi"/>
          <w:bCs/>
          <w:lang w:val="en-US"/>
        </w:rPr>
        <w:t>:</w:t>
      </w:r>
    </w:p>
    <w:p w14:paraId="28905CD4" w14:textId="77777777" w:rsidR="00AC4FE9" w:rsidRDefault="00AC4FE9" w:rsidP="004C3B3E">
      <w:pPr>
        <w:spacing w:after="0"/>
        <w:jc w:val="both"/>
        <w:rPr>
          <w:rFonts w:asciiTheme="majorBidi" w:hAnsiTheme="majorBidi" w:cstheme="majorBidi"/>
          <w:bCs/>
          <w:lang w:val="en-US"/>
        </w:rPr>
      </w:pPr>
    </w:p>
    <w:p w14:paraId="127A4D5E" w14:textId="3B13E06B" w:rsidR="00132A6E" w:rsidRDefault="00CD1048" w:rsidP="007A5095">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Multi-scheduling duration</w:t>
      </w:r>
      <w:r w:rsidR="00735835">
        <w:rPr>
          <w:rFonts w:asciiTheme="majorBidi" w:hAnsiTheme="majorBidi" w:cstheme="majorBidi"/>
          <w:bCs/>
          <w:lang w:val="en-US"/>
        </w:rPr>
        <w:t xml:space="preserve"> </w:t>
      </w:r>
    </w:p>
    <w:p w14:paraId="1C77692B" w14:textId="64CB4488" w:rsidR="00F276F4" w:rsidRDefault="00F276F4" w:rsidP="007A5095">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 xml:space="preserve">HARQ-ACK </w:t>
      </w:r>
      <w:r w:rsidR="007A5095">
        <w:rPr>
          <w:rFonts w:asciiTheme="majorBidi" w:hAnsiTheme="majorBidi" w:cstheme="majorBidi"/>
          <w:bCs/>
          <w:lang w:val="en-US"/>
        </w:rPr>
        <w:t>timing</w:t>
      </w:r>
    </w:p>
    <w:p w14:paraId="65111528" w14:textId="3A529FC6" w:rsidR="007A5095" w:rsidRDefault="00A276BC" w:rsidP="007A5095">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Semi-static (type-1) HARQ-ACK codebook</w:t>
      </w:r>
    </w:p>
    <w:p w14:paraId="0EC85150" w14:textId="05AAB7C3" w:rsidR="00A276BC" w:rsidRDefault="00A276BC" w:rsidP="007A5095">
      <w:pPr>
        <w:pStyle w:val="ListParagraph"/>
        <w:numPr>
          <w:ilvl w:val="0"/>
          <w:numId w:val="2"/>
        </w:numPr>
        <w:spacing w:after="0"/>
        <w:jc w:val="both"/>
        <w:rPr>
          <w:rFonts w:asciiTheme="majorBidi" w:hAnsiTheme="majorBidi" w:cstheme="majorBidi"/>
          <w:bCs/>
          <w:lang w:val="en-US"/>
        </w:rPr>
      </w:pPr>
      <w:r>
        <w:rPr>
          <w:rFonts w:asciiTheme="majorBidi" w:hAnsiTheme="majorBidi" w:cstheme="majorBidi"/>
          <w:bCs/>
          <w:lang w:val="en-US"/>
        </w:rPr>
        <w:t>Dynamic (type-2) HARQ-ACK codebook</w:t>
      </w:r>
    </w:p>
    <w:p w14:paraId="01586DEA" w14:textId="77777777" w:rsidR="00D27A4F" w:rsidRDefault="00D27A4F" w:rsidP="00D27A4F">
      <w:pPr>
        <w:pStyle w:val="ListParagraph"/>
        <w:spacing w:after="0"/>
        <w:jc w:val="both"/>
        <w:rPr>
          <w:rFonts w:asciiTheme="majorBidi" w:hAnsiTheme="majorBidi" w:cstheme="majorBidi"/>
          <w:bCs/>
          <w:lang w:val="en-US"/>
        </w:rPr>
      </w:pPr>
    </w:p>
    <w:p w14:paraId="1AD691CB" w14:textId="77777777" w:rsidR="006A300D" w:rsidRDefault="006A300D" w:rsidP="006A300D">
      <w:pPr>
        <w:pStyle w:val="ListParagraph"/>
        <w:spacing w:after="0"/>
        <w:ind w:left="1440"/>
        <w:jc w:val="both"/>
        <w:rPr>
          <w:rFonts w:asciiTheme="majorBidi" w:hAnsiTheme="majorBidi" w:cstheme="majorBidi"/>
          <w:bCs/>
          <w:lang w:val="en-US"/>
        </w:rPr>
      </w:pPr>
    </w:p>
    <w:p w14:paraId="224F8E5E" w14:textId="57ABFC2E" w:rsidR="00BE3523" w:rsidRDefault="00790DD7" w:rsidP="00BE3523">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2</w:t>
      </w:r>
      <w:r>
        <w:rPr>
          <w:rFonts w:ascii="Arial" w:eastAsia="MS Mincho" w:hAnsi="Arial"/>
          <w:sz w:val="36"/>
          <w:szCs w:val="36"/>
          <w:lang w:eastAsia="ja-JP"/>
        </w:rPr>
        <w:tab/>
      </w:r>
      <w:r w:rsidR="006330B8">
        <w:rPr>
          <w:rFonts w:ascii="Arial" w:eastAsia="MS Mincho" w:hAnsi="Arial"/>
          <w:sz w:val="36"/>
          <w:szCs w:val="36"/>
          <w:lang w:eastAsia="ja-JP"/>
        </w:rPr>
        <w:t>Multi-</w:t>
      </w:r>
      <w:bookmarkStart w:id="5" w:name="_Hlk71657950"/>
      <w:r w:rsidR="006330B8">
        <w:rPr>
          <w:rFonts w:ascii="Arial" w:eastAsia="MS Mincho" w:hAnsi="Arial"/>
          <w:sz w:val="36"/>
          <w:szCs w:val="36"/>
          <w:lang w:eastAsia="ja-JP"/>
        </w:rPr>
        <w:t>scheduling duration</w:t>
      </w:r>
      <w:bookmarkEnd w:id="5"/>
    </w:p>
    <w:p w14:paraId="274BC920" w14:textId="28EEB027" w:rsidR="00C96B5E" w:rsidRDefault="00C96B5E" w:rsidP="00994DB9">
      <w:pPr>
        <w:spacing w:after="0"/>
        <w:jc w:val="both"/>
        <w:rPr>
          <w:bCs/>
          <w:lang w:val="en-US"/>
        </w:rPr>
      </w:pPr>
      <w:r w:rsidRPr="00C96B5E">
        <w:rPr>
          <w:bCs/>
          <w:lang w:val="en-US"/>
        </w:rPr>
        <w:t>In RAN1#104b-e, following</w:t>
      </w:r>
      <w:r>
        <w:rPr>
          <w:bCs/>
          <w:lang w:val="en-US"/>
        </w:rPr>
        <w:t xml:space="preserve"> agreements related to multi-scheduling duration have been captured in [2]:</w:t>
      </w:r>
    </w:p>
    <w:p w14:paraId="67E88C93" w14:textId="766A5499" w:rsidR="00C96B5E" w:rsidRDefault="00C96B5E" w:rsidP="00994DB9">
      <w:pPr>
        <w:spacing w:after="0"/>
        <w:jc w:val="both"/>
        <w:rPr>
          <w:bCs/>
          <w:lang w:val="en-US"/>
        </w:rPr>
      </w:pPr>
    </w:p>
    <w:p w14:paraId="35CA87F6" w14:textId="77777777" w:rsidR="006A7175" w:rsidRPr="001C5F93" w:rsidRDefault="006A7175" w:rsidP="006A7175">
      <w:pPr>
        <w:spacing w:after="0"/>
        <w:rPr>
          <w:i/>
          <w:iCs/>
          <w:lang w:eastAsia="x-none"/>
        </w:rPr>
      </w:pPr>
      <w:r w:rsidRPr="001C5F93">
        <w:rPr>
          <w:i/>
          <w:iCs/>
          <w:highlight w:val="green"/>
          <w:lang w:eastAsia="x-none"/>
        </w:rPr>
        <w:t>Agreement:</w:t>
      </w:r>
    </w:p>
    <w:p w14:paraId="35CEB818" w14:textId="77777777" w:rsidR="006A7175" w:rsidRPr="001C5F93" w:rsidRDefault="006A7175" w:rsidP="006A7175">
      <w:pPr>
        <w:pStyle w:val="ListParagraph"/>
        <w:numPr>
          <w:ilvl w:val="0"/>
          <w:numId w:val="31"/>
        </w:numPr>
        <w:overflowPunct/>
        <w:autoSpaceDE/>
        <w:autoSpaceDN/>
        <w:adjustRightInd/>
        <w:spacing w:after="160" w:line="256" w:lineRule="auto"/>
        <w:jc w:val="both"/>
        <w:textAlignment w:val="auto"/>
        <w:rPr>
          <w:rFonts w:eastAsia="Malgun Gothic"/>
          <w:i/>
          <w:iCs/>
          <w:lang w:val="en-US" w:eastAsia="ko-KR"/>
        </w:rPr>
      </w:pPr>
      <w:r w:rsidRPr="001C5F93">
        <w:rPr>
          <w:rFonts w:eastAsia="Malgun Gothic"/>
          <w:i/>
          <w:iCs/>
          <w:lang w:val="en-US" w:eastAsia="ko-KR"/>
        </w:rPr>
        <w:t>The maximum number of PDSCHs that can be scheduled with a single DCI in Rel-17 is 8 for SCS of 480 and 960 kHz.</w:t>
      </w:r>
    </w:p>
    <w:p w14:paraId="56792E62" w14:textId="77777777" w:rsidR="006A7175" w:rsidRPr="001C5F93" w:rsidRDefault="006A7175" w:rsidP="006A7175">
      <w:pPr>
        <w:pStyle w:val="ListParagraph"/>
        <w:numPr>
          <w:ilvl w:val="1"/>
          <w:numId w:val="31"/>
        </w:numPr>
        <w:overflowPunct/>
        <w:autoSpaceDE/>
        <w:autoSpaceDN/>
        <w:adjustRightInd/>
        <w:spacing w:after="160" w:line="256" w:lineRule="auto"/>
        <w:jc w:val="both"/>
        <w:textAlignment w:val="auto"/>
        <w:rPr>
          <w:rFonts w:eastAsia="Malgun Gothic"/>
          <w:i/>
          <w:iCs/>
          <w:lang w:val="en-US" w:eastAsia="ko-KR"/>
        </w:rPr>
      </w:pPr>
      <w:r w:rsidRPr="001C5F93">
        <w:rPr>
          <w:rFonts w:eastAsia="Malgun Gothic"/>
          <w:i/>
          <w:iCs/>
          <w:lang w:val="en-US" w:eastAsia="ko-KR"/>
        </w:rPr>
        <w:t>FFS: Further restrictions for 480 kHz to 4</w:t>
      </w:r>
    </w:p>
    <w:p w14:paraId="01F55240" w14:textId="77777777" w:rsidR="006A7175" w:rsidRPr="001C5F93" w:rsidRDefault="006A7175" w:rsidP="006A7175">
      <w:pPr>
        <w:pStyle w:val="ListParagraph"/>
        <w:numPr>
          <w:ilvl w:val="1"/>
          <w:numId w:val="31"/>
        </w:numPr>
        <w:overflowPunct/>
        <w:autoSpaceDE/>
        <w:autoSpaceDN/>
        <w:adjustRightInd/>
        <w:spacing w:after="160" w:line="256" w:lineRule="auto"/>
        <w:jc w:val="both"/>
        <w:textAlignment w:val="auto"/>
        <w:rPr>
          <w:rFonts w:eastAsia="Malgun Gothic"/>
          <w:i/>
          <w:iCs/>
          <w:lang w:val="en-US" w:eastAsia="ko-KR"/>
        </w:rPr>
      </w:pPr>
      <w:r w:rsidRPr="001C5F93">
        <w:rPr>
          <w:rFonts w:eastAsia="Malgun Gothic"/>
          <w:i/>
          <w:iCs/>
          <w:lang w:val="en-US" w:eastAsia="ko-KR"/>
        </w:rPr>
        <w:t>FFS: A UE capability to select between 4 and 8 for 480 kHz SCS</w:t>
      </w:r>
    </w:p>
    <w:p w14:paraId="3B612343" w14:textId="77777777" w:rsidR="006A7175" w:rsidRPr="001C5F93" w:rsidRDefault="006A7175" w:rsidP="006A7175">
      <w:pPr>
        <w:pStyle w:val="ListParagraph"/>
        <w:numPr>
          <w:ilvl w:val="1"/>
          <w:numId w:val="31"/>
        </w:numPr>
        <w:overflowPunct/>
        <w:autoSpaceDE/>
        <w:autoSpaceDN/>
        <w:adjustRightInd/>
        <w:spacing w:after="160" w:line="256" w:lineRule="auto"/>
        <w:jc w:val="both"/>
        <w:textAlignment w:val="auto"/>
        <w:rPr>
          <w:rFonts w:eastAsia="Malgun Gothic"/>
          <w:i/>
          <w:iCs/>
          <w:lang w:val="en-US" w:eastAsia="ko-KR"/>
        </w:rPr>
      </w:pPr>
      <w:r w:rsidRPr="001C5F93">
        <w:rPr>
          <w:rFonts w:eastAsia="Malgun Gothic"/>
          <w:i/>
          <w:iCs/>
          <w:lang w:val="en-US" w:eastAsia="ko-KR"/>
        </w:rPr>
        <w:t>Note: Multi-PDSCH scheduling for the case of 120 kHz SCS is still FFS as per prior agreement. This case can be addressed after this FFS has been decided.</w:t>
      </w:r>
    </w:p>
    <w:p w14:paraId="18929C28" w14:textId="77777777" w:rsidR="006A7175" w:rsidRPr="001C5F93" w:rsidRDefault="006A7175" w:rsidP="006A7175">
      <w:pPr>
        <w:pStyle w:val="ListParagraph"/>
        <w:numPr>
          <w:ilvl w:val="0"/>
          <w:numId w:val="31"/>
        </w:numPr>
        <w:overflowPunct/>
        <w:autoSpaceDE/>
        <w:autoSpaceDN/>
        <w:adjustRightInd/>
        <w:spacing w:after="160" w:line="256" w:lineRule="auto"/>
        <w:jc w:val="both"/>
        <w:textAlignment w:val="auto"/>
        <w:rPr>
          <w:rFonts w:eastAsia="Malgun Gothic"/>
          <w:i/>
          <w:iCs/>
          <w:lang w:val="en-US" w:eastAsia="ko-KR"/>
        </w:rPr>
      </w:pPr>
      <w:r w:rsidRPr="001C5F93">
        <w:rPr>
          <w:rFonts w:eastAsia="Malgun Gothic"/>
          <w:i/>
          <w:iCs/>
          <w:lang w:val="en-US" w:eastAsia="ko-KR"/>
        </w:rPr>
        <w:t>The maximum number of PUSCHs that can be scheduled with a single DCI in Rel-17 is 8.</w:t>
      </w:r>
    </w:p>
    <w:p w14:paraId="4B7D7AB4" w14:textId="77777777" w:rsidR="006A7175" w:rsidRPr="001C5F93" w:rsidRDefault="006A7175" w:rsidP="006A7175">
      <w:pPr>
        <w:pStyle w:val="ListParagraph"/>
        <w:numPr>
          <w:ilvl w:val="1"/>
          <w:numId w:val="31"/>
        </w:numPr>
        <w:overflowPunct/>
        <w:autoSpaceDE/>
        <w:autoSpaceDN/>
        <w:adjustRightInd/>
        <w:spacing w:after="160" w:line="256" w:lineRule="auto"/>
        <w:jc w:val="both"/>
        <w:textAlignment w:val="auto"/>
        <w:rPr>
          <w:rFonts w:eastAsia="Malgun Gothic"/>
          <w:i/>
          <w:iCs/>
          <w:lang w:val="en-US" w:eastAsia="ko-KR"/>
        </w:rPr>
      </w:pPr>
      <w:r w:rsidRPr="001C5F93">
        <w:rPr>
          <w:rFonts w:eastAsia="Malgun Gothic"/>
          <w:i/>
          <w:iCs/>
          <w:lang w:val="en-US" w:eastAsia="ko-KR"/>
        </w:rPr>
        <w:t>FFS: Further restrictions for 120 kHz and 480 kHz SCS</w:t>
      </w:r>
    </w:p>
    <w:p w14:paraId="27D932DE" w14:textId="77777777" w:rsidR="006A7175" w:rsidRPr="001C5F93" w:rsidRDefault="006A7175" w:rsidP="006A7175">
      <w:pPr>
        <w:pStyle w:val="ListParagraph"/>
        <w:numPr>
          <w:ilvl w:val="1"/>
          <w:numId w:val="31"/>
        </w:numPr>
        <w:overflowPunct/>
        <w:autoSpaceDE/>
        <w:autoSpaceDN/>
        <w:adjustRightInd/>
        <w:spacing w:after="160" w:line="256" w:lineRule="auto"/>
        <w:jc w:val="both"/>
        <w:textAlignment w:val="auto"/>
        <w:rPr>
          <w:rFonts w:eastAsia="Malgun Gothic"/>
          <w:i/>
          <w:iCs/>
          <w:lang w:val="en-US" w:eastAsia="ko-KR"/>
        </w:rPr>
      </w:pPr>
      <w:r w:rsidRPr="001C5F93">
        <w:rPr>
          <w:rFonts w:eastAsia="Malgun Gothic"/>
          <w:i/>
          <w:iCs/>
          <w:lang w:val="en-US" w:eastAsia="ko-KR"/>
        </w:rPr>
        <w:t>FFS: A UE capability to select between different values for 120 kHz and 480 kHz SCS</w:t>
      </w:r>
    </w:p>
    <w:p w14:paraId="6AE71F08" w14:textId="7D3A0905" w:rsidR="006A7175" w:rsidRDefault="00DD3956" w:rsidP="00994DB9">
      <w:pPr>
        <w:spacing w:after="0"/>
        <w:jc w:val="both"/>
        <w:rPr>
          <w:bCs/>
          <w:lang w:val="en-US"/>
        </w:rPr>
      </w:pPr>
      <w:r>
        <w:rPr>
          <w:bCs/>
          <w:lang w:val="en-US"/>
        </w:rPr>
        <w:t xml:space="preserve">Based on the above agreement, restriction on the maximum number of PDSCHs scheduled by single DCI for SCS values of 120kHz and 480kHz still needs to be discussed. </w:t>
      </w:r>
      <w:r w:rsidR="00F92C1E">
        <w:rPr>
          <w:bCs/>
          <w:lang w:val="en-US"/>
        </w:rPr>
        <w:t>In our view, this discussion is also tied to the PDCCH multi-slot monitoring discussion. Generally speaking, the maximum duration for both SCS 480 kHz and 120 kHz should be at least equal to the duration of multi-slot PDCCH monitoring. From this point of view, as it has already been agreed that for 120 kHz SCS, no enhancements related to PDCCH monitoring will be specified in Rel-17, therefore, it makes sense to limit the maximum number of PDSCHs scheduled by single DCI for 120 kHz SCS to 1 i.e. no multi-PDSCH scheduling enhancements are needed for 120 kHz.</w:t>
      </w:r>
    </w:p>
    <w:p w14:paraId="367906BE" w14:textId="5C047FAA" w:rsidR="00F92C1E" w:rsidRDefault="00F92C1E" w:rsidP="00994DB9">
      <w:pPr>
        <w:spacing w:after="0"/>
        <w:jc w:val="both"/>
        <w:rPr>
          <w:bCs/>
          <w:lang w:val="en-US"/>
        </w:rPr>
      </w:pPr>
    </w:p>
    <w:p w14:paraId="3B00DB35" w14:textId="50971629" w:rsidR="00DD3956" w:rsidRDefault="00F92C1E" w:rsidP="00994DB9">
      <w:pPr>
        <w:spacing w:after="0"/>
        <w:jc w:val="both"/>
        <w:rPr>
          <w:b/>
          <w:i/>
          <w:iCs/>
          <w:lang w:eastAsia="ja-JP"/>
        </w:rPr>
      </w:pPr>
      <w:r>
        <w:rPr>
          <w:b/>
          <w:i/>
          <w:iCs/>
          <w:lang w:eastAsia="ja-JP"/>
        </w:rPr>
        <w:t xml:space="preserve">Proposal 1: </w:t>
      </w:r>
      <w:r w:rsidRPr="00FD44AA">
        <w:rPr>
          <w:b/>
          <w:i/>
          <w:iCs/>
          <w:lang w:eastAsia="ja-JP"/>
        </w:rPr>
        <w:t xml:space="preserve">For NR operation between 52.6 GHz and 71 GHz with </w:t>
      </w:r>
      <w:r>
        <w:rPr>
          <w:b/>
          <w:i/>
          <w:iCs/>
          <w:lang w:eastAsia="ja-JP"/>
        </w:rPr>
        <w:t>120 kHz</w:t>
      </w:r>
      <w:r w:rsidRPr="00FD44AA">
        <w:rPr>
          <w:b/>
          <w:i/>
          <w:iCs/>
          <w:lang w:eastAsia="ja-JP"/>
        </w:rPr>
        <w:t>,</w:t>
      </w:r>
      <w:r>
        <w:rPr>
          <w:b/>
          <w:i/>
          <w:iCs/>
          <w:lang w:eastAsia="ja-JP"/>
        </w:rPr>
        <w:t xml:space="preserve"> multi-PDSCH scheduling enhancements are not considered in NR Rel-17, i.e. only single PDSCH can be scheduled by single DCI for 120 kHz SCS</w:t>
      </w:r>
    </w:p>
    <w:p w14:paraId="4F3A0114" w14:textId="7F484277" w:rsidR="00C01DCC" w:rsidRDefault="00C01DCC" w:rsidP="00994DB9">
      <w:pPr>
        <w:spacing w:after="0"/>
        <w:jc w:val="both"/>
        <w:rPr>
          <w:b/>
          <w:i/>
          <w:iCs/>
          <w:lang w:eastAsia="ja-JP"/>
        </w:rPr>
      </w:pPr>
    </w:p>
    <w:p w14:paraId="122AC625" w14:textId="1DD3C3CC" w:rsidR="00C01DCC" w:rsidRDefault="00C01DCC" w:rsidP="00994DB9">
      <w:pPr>
        <w:spacing w:after="0"/>
        <w:jc w:val="both"/>
        <w:rPr>
          <w:bCs/>
          <w:lang w:eastAsia="ja-JP"/>
        </w:rPr>
      </w:pPr>
      <w:r>
        <w:rPr>
          <w:bCs/>
          <w:lang w:eastAsia="ja-JP"/>
        </w:rPr>
        <w:t>Similar for 480kHz SCS value, the maximum number of PDSCHs scheduled by single SCI should be at least equal to the duration of multi-slot PDCCH monitoring. However, this is still under discussion. Nevertheless, based on scaling factor, as it has been agreed to support scheduling of up to 8 PDSCHs by single DCI for 960 kHz, we think that it is reasonable to restrict the maximum number of PDSCHs scheduled by single DCI to 4 for 480 kHz.</w:t>
      </w:r>
    </w:p>
    <w:p w14:paraId="600B1FF5" w14:textId="25D5D259" w:rsidR="00C01DCC" w:rsidRDefault="00C01DCC" w:rsidP="00994DB9">
      <w:pPr>
        <w:spacing w:after="0"/>
        <w:jc w:val="both"/>
        <w:rPr>
          <w:bCs/>
          <w:lang w:eastAsia="ja-JP"/>
        </w:rPr>
      </w:pPr>
    </w:p>
    <w:p w14:paraId="60A7C11C" w14:textId="14E9B253" w:rsidR="00FB6999" w:rsidRDefault="00FB6999" w:rsidP="00FB6999">
      <w:pPr>
        <w:spacing w:after="0"/>
        <w:jc w:val="both"/>
        <w:rPr>
          <w:b/>
          <w:i/>
          <w:iCs/>
          <w:lang w:eastAsia="ja-JP"/>
        </w:rPr>
      </w:pPr>
      <w:r>
        <w:rPr>
          <w:b/>
          <w:i/>
          <w:iCs/>
          <w:lang w:eastAsia="ja-JP"/>
        </w:rPr>
        <w:t xml:space="preserve">Proposal 2: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scheduling up to 4 PDSCHs by single DCI.</w:t>
      </w:r>
    </w:p>
    <w:p w14:paraId="646AD2CC" w14:textId="7125C23C" w:rsidR="00085F81" w:rsidRDefault="00085F81" w:rsidP="00FB6999">
      <w:pPr>
        <w:spacing w:after="0"/>
        <w:jc w:val="both"/>
        <w:rPr>
          <w:b/>
          <w:i/>
          <w:iCs/>
          <w:lang w:eastAsia="ja-JP"/>
        </w:rPr>
      </w:pPr>
    </w:p>
    <w:p w14:paraId="509967BD" w14:textId="18B0041F" w:rsidR="00085F81" w:rsidRPr="00085F81" w:rsidRDefault="00085F81" w:rsidP="00FB6999">
      <w:pPr>
        <w:spacing w:after="0"/>
        <w:jc w:val="both"/>
        <w:rPr>
          <w:bCs/>
          <w:lang w:eastAsia="ja-JP"/>
        </w:rPr>
      </w:pPr>
      <w:r>
        <w:rPr>
          <w:bCs/>
          <w:lang w:eastAsia="ja-JP"/>
        </w:rPr>
        <w:t xml:space="preserve">For multi-PUSCH scheduling, as it is already supported to schedule up to 8 PDSCHs by single DCI, therefore no further restriction needs to be specified for NR operation between 52.6 GHz and 71 GHz for SCS values of 120 kHz and 480 kHz. Therefore, up to 8 PUSCHs can be scheduled for all the SCS values. </w:t>
      </w:r>
    </w:p>
    <w:p w14:paraId="537D496F" w14:textId="77777777" w:rsidR="00791AB5" w:rsidRDefault="00791AB5" w:rsidP="00E15F17">
      <w:pPr>
        <w:spacing w:after="0"/>
        <w:jc w:val="both"/>
        <w:rPr>
          <w:b/>
          <w:i/>
          <w:iCs/>
          <w:lang w:eastAsia="ja-JP"/>
        </w:rPr>
      </w:pPr>
    </w:p>
    <w:p w14:paraId="63FC92C4" w14:textId="59A96B11" w:rsidR="00E15F17" w:rsidRDefault="00E15F17" w:rsidP="00E15F17">
      <w:pPr>
        <w:spacing w:after="0"/>
        <w:jc w:val="both"/>
        <w:rPr>
          <w:b/>
          <w:i/>
          <w:iCs/>
          <w:lang w:eastAsia="ja-JP"/>
        </w:rPr>
      </w:pPr>
      <w:r>
        <w:rPr>
          <w:b/>
          <w:i/>
          <w:iCs/>
          <w:lang w:eastAsia="ja-JP"/>
        </w:rPr>
        <w:t xml:space="preserve">Proposal 3: </w:t>
      </w:r>
      <w:r w:rsidRPr="00FD44AA">
        <w:rPr>
          <w:b/>
          <w:i/>
          <w:iCs/>
          <w:lang w:eastAsia="ja-JP"/>
        </w:rPr>
        <w:t xml:space="preserve">For NR operation between 52.6 GHz and 71 GHz with </w:t>
      </w:r>
      <w:r>
        <w:rPr>
          <w:b/>
          <w:i/>
          <w:iCs/>
          <w:lang w:eastAsia="ja-JP"/>
        </w:rPr>
        <w:t>120 kHz and 480 kHz</w:t>
      </w:r>
      <w:r w:rsidRPr="00FD44AA">
        <w:rPr>
          <w:b/>
          <w:i/>
          <w:iCs/>
          <w:lang w:eastAsia="ja-JP"/>
        </w:rPr>
        <w:t>,</w:t>
      </w:r>
      <w:r>
        <w:rPr>
          <w:b/>
          <w:i/>
          <w:iCs/>
          <w:lang w:eastAsia="ja-JP"/>
        </w:rPr>
        <w:t xml:space="preserve"> support scheduling up to 8 PUSCHs by single DCI, similar to 960 kHz SCS.</w:t>
      </w:r>
    </w:p>
    <w:p w14:paraId="39207D00" w14:textId="19E65AF7" w:rsidR="00004079" w:rsidRDefault="00004079" w:rsidP="00004079">
      <w:pPr>
        <w:overflowPunct/>
        <w:autoSpaceDE/>
        <w:autoSpaceDN/>
        <w:adjustRightInd/>
        <w:spacing w:after="160" w:line="259" w:lineRule="auto"/>
        <w:textAlignment w:val="auto"/>
        <w:rPr>
          <w:bCs/>
          <w:lang w:eastAsia="ja-JP"/>
        </w:rPr>
      </w:pPr>
    </w:p>
    <w:p w14:paraId="353C7100" w14:textId="77777777" w:rsidR="005A75C3" w:rsidRDefault="005A75C3" w:rsidP="00004079">
      <w:pPr>
        <w:overflowPunct/>
        <w:autoSpaceDE/>
        <w:autoSpaceDN/>
        <w:adjustRightInd/>
        <w:spacing w:after="160" w:line="259" w:lineRule="auto"/>
        <w:textAlignment w:val="auto"/>
        <w:rPr>
          <w:bCs/>
          <w:lang w:eastAsia="ja-JP"/>
        </w:rPr>
      </w:pPr>
    </w:p>
    <w:p w14:paraId="499D6604" w14:textId="26C6C1CF" w:rsidR="00882DD6" w:rsidRDefault="00004079" w:rsidP="00004079">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3</w:t>
      </w:r>
      <w:r>
        <w:rPr>
          <w:rFonts w:ascii="Arial" w:eastAsia="MS Mincho" w:hAnsi="Arial"/>
          <w:sz w:val="36"/>
          <w:szCs w:val="36"/>
          <w:lang w:eastAsia="ja-JP"/>
        </w:rPr>
        <w:tab/>
      </w:r>
      <w:r>
        <w:rPr>
          <w:rFonts w:ascii="Arial" w:eastAsia="MS Mincho" w:hAnsi="Arial"/>
          <w:sz w:val="36"/>
          <w:szCs w:val="36"/>
          <w:lang w:eastAsia="ja-JP"/>
        </w:rPr>
        <w:t>HARQ-ACK timing</w:t>
      </w:r>
    </w:p>
    <w:p w14:paraId="136AC8AE" w14:textId="54C34F38" w:rsidR="00250A8D" w:rsidRDefault="0008199E" w:rsidP="00250A8D">
      <w:pPr>
        <w:spacing w:after="0"/>
        <w:jc w:val="both"/>
        <w:rPr>
          <w:bCs/>
          <w:lang w:val="en-US"/>
        </w:rPr>
      </w:pPr>
      <w:r>
        <w:rPr>
          <w:bCs/>
          <w:lang w:val="en-US"/>
        </w:rPr>
        <w:t>For HARQ-ACK transmission corresponding to multiple PDSCHs scheduled by single DCI, following agreement was made in RAN1#104-e [</w:t>
      </w:r>
      <w:r w:rsidR="0009610D">
        <w:rPr>
          <w:bCs/>
          <w:lang w:val="en-US"/>
        </w:rPr>
        <w:t>3</w:t>
      </w:r>
      <w:r>
        <w:rPr>
          <w:bCs/>
          <w:lang w:val="en-US"/>
        </w:rPr>
        <w:t>]:</w:t>
      </w:r>
    </w:p>
    <w:p w14:paraId="535891CD" w14:textId="7B1E7228" w:rsidR="0008199E" w:rsidRDefault="0008199E" w:rsidP="00250A8D">
      <w:pPr>
        <w:spacing w:after="0"/>
        <w:jc w:val="both"/>
        <w:rPr>
          <w:bCs/>
          <w:lang w:val="en-US"/>
        </w:rPr>
      </w:pPr>
    </w:p>
    <w:p w14:paraId="12073FF7" w14:textId="3EFD4F9F" w:rsidR="0008199E" w:rsidRPr="00C77FDF" w:rsidRDefault="0008199E" w:rsidP="0008199E">
      <w:pPr>
        <w:spacing w:after="0"/>
        <w:rPr>
          <w:i/>
          <w:iCs/>
          <w:lang w:eastAsia="x-none"/>
        </w:rPr>
      </w:pPr>
      <w:r w:rsidRPr="00C77FDF">
        <w:rPr>
          <w:i/>
          <w:iCs/>
          <w:highlight w:val="green"/>
          <w:lang w:eastAsia="x-none"/>
        </w:rPr>
        <w:t>Agreement:</w:t>
      </w:r>
    </w:p>
    <w:p w14:paraId="3B2DAA8B"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For a DCI scheduling multiple PDSCHs, HARQ-ACK information corresponding to PDSCHs scheduled by the DCI is multiplexed with a single PUCCH in a slot that is determined based on K1,</w:t>
      </w:r>
    </w:p>
    <w:p w14:paraId="61F458BB" w14:textId="77777777" w:rsidR="0008199E" w:rsidRPr="00C77FDF" w:rsidRDefault="0008199E" w:rsidP="0008199E">
      <w:pPr>
        <w:numPr>
          <w:ilvl w:val="1"/>
          <w:numId w:val="24"/>
        </w:numPr>
        <w:overflowPunct/>
        <w:autoSpaceDE/>
        <w:autoSpaceDN/>
        <w:adjustRightInd/>
        <w:spacing w:after="0"/>
        <w:textAlignment w:val="auto"/>
        <w:rPr>
          <w:i/>
          <w:iCs/>
          <w:lang w:eastAsia="x-none"/>
        </w:rPr>
      </w:pPr>
      <w:r w:rsidRPr="00C77FDF">
        <w:rPr>
          <w:i/>
          <w:iCs/>
          <w:lang w:eastAsia="x-none"/>
        </w:rPr>
        <w:t>where K1 (indicated by the PDSCH-to-HARQ_feedback timing indicator field in the DCI or provided by dl-DataToUL-ACK if the PDSCH-to-HARQ_feedback timing indicator field is not present in the DCI) indicates the slot offset between the slot of the last PDSCH scheduled by the DCI and the slot carrying the HARQ-ACK information corresponding to the scheduled PDSCHs.</w:t>
      </w:r>
    </w:p>
    <w:p w14:paraId="75FCEDA6" w14:textId="77777777" w:rsidR="0008199E" w:rsidRPr="00C77FDF" w:rsidRDefault="0008199E" w:rsidP="0008199E">
      <w:pPr>
        <w:numPr>
          <w:ilvl w:val="2"/>
          <w:numId w:val="24"/>
        </w:numPr>
        <w:overflowPunct/>
        <w:autoSpaceDE/>
        <w:autoSpaceDN/>
        <w:adjustRightInd/>
        <w:spacing w:after="0"/>
        <w:textAlignment w:val="auto"/>
        <w:rPr>
          <w:i/>
          <w:iCs/>
          <w:lang w:eastAsia="x-none"/>
        </w:rPr>
      </w:pPr>
      <w:r w:rsidRPr="00C77FDF">
        <w:rPr>
          <w:rFonts w:hint="eastAsia"/>
          <w:i/>
          <w:iCs/>
          <w:lang w:eastAsia="x-none"/>
        </w:rPr>
        <w:t xml:space="preserve">It is noted that granularity of K1 </w:t>
      </w:r>
      <w:r w:rsidRPr="00C77FDF">
        <w:rPr>
          <w:i/>
          <w:iCs/>
          <w:lang w:eastAsia="x-none"/>
        </w:rPr>
        <w:t>can be separately discussed.</w:t>
      </w:r>
    </w:p>
    <w:p w14:paraId="0335F2D8" w14:textId="77777777" w:rsidR="0008199E" w:rsidRPr="00C77FDF" w:rsidRDefault="0008199E" w:rsidP="0008199E">
      <w:pPr>
        <w:numPr>
          <w:ilvl w:val="0"/>
          <w:numId w:val="24"/>
        </w:numPr>
        <w:overflowPunct/>
        <w:autoSpaceDE/>
        <w:autoSpaceDN/>
        <w:adjustRightInd/>
        <w:spacing w:after="0"/>
        <w:textAlignment w:val="auto"/>
        <w:rPr>
          <w:i/>
          <w:iCs/>
          <w:lang w:eastAsia="x-none"/>
        </w:rPr>
      </w:pPr>
      <w:r w:rsidRPr="00C77FDF">
        <w:rPr>
          <w:i/>
          <w:iCs/>
          <w:lang w:eastAsia="x-none"/>
        </w:rPr>
        <w:t>FFS: If needed, further discuss whether or not HARQ-ACK information corresponding to different PDSCHs scheduled by the DCI can be carried by different PUCCH(s)</w:t>
      </w:r>
    </w:p>
    <w:p w14:paraId="409E3FED" w14:textId="77777777" w:rsidR="0008199E" w:rsidRPr="0008199E" w:rsidRDefault="0008199E" w:rsidP="00250A8D">
      <w:pPr>
        <w:spacing w:after="0"/>
        <w:jc w:val="both"/>
        <w:rPr>
          <w:bCs/>
        </w:rPr>
      </w:pPr>
    </w:p>
    <w:p w14:paraId="71BBED53" w14:textId="1207BED5" w:rsidR="00250A8D" w:rsidRDefault="004F5064" w:rsidP="00B658B2">
      <w:pPr>
        <w:jc w:val="both"/>
        <w:rPr>
          <w:lang w:val="en-US"/>
        </w:rPr>
      </w:pPr>
      <w:r>
        <w:rPr>
          <w:lang w:val="en-US"/>
        </w:rPr>
        <w:t xml:space="preserve">On the point whether or not HARQ-ACK information corresponding to different PDSCHs scheduled by DCI can be carried by different PUCCH(s), we think that such flexibility should be supported. It could be useful to carry HARQ-ACK separately corresponding to either each of </w:t>
      </w:r>
      <w:r w:rsidR="006D5928">
        <w:rPr>
          <w:lang w:val="en-US"/>
        </w:rPr>
        <w:t xml:space="preserve">PDSCH </w:t>
      </w:r>
      <w:r w:rsidR="00B658B2">
        <w:rPr>
          <w:lang w:val="en-US"/>
        </w:rPr>
        <w:t>for the case when non-continuous transmission of multiple PDSCHs are scheduled by single DCI. Therefore, even before the transmission of some of the later PDSCHs, the HARQ-AC</w:t>
      </w:r>
      <w:r w:rsidR="00D24A87">
        <w:rPr>
          <w:lang w:val="en-US"/>
        </w:rPr>
        <w:t>K</w:t>
      </w:r>
      <w:r w:rsidR="00B658B2">
        <w:rPr>
          <w:lang w:val="en-US"/>
        </w:rPr>
        <w:t xml:space="preserve"> for at least some of the previous PDSCHs can be sent </w:t>
      </w:r>
      <w:r w:rsidR="006D5928">
        <w:rPr>
          <w:lang w:val="en-US"/>
        </w:rPr>
        <w:t>on PUCCH</w:t>
      </w:r>
      <w:r w:rsidR="00B658B2">
        <w:rPr>
          <w:lang w:val="en-US"/>
        </w:rPr>
        <w:t xml:space="preserve"> in the middle when UL symbols are available between non-contiguous PDSCHs.</w:t>
      </w:r>
    </w:p>
    <w:p w14:paraId="33F15949" w14:textId="5D2C56D1" w:rsidR="00B658B2" w:rsidRDefault="00B658B2" w:rsidP="00B658B2">
      <w:pPr>
        <w:spacing w:after="0"/>
        <w:jc w:val="both"/>
        <w:rPr>
          <w:b/>
          <w:i/>
          <w:iCs/>
          <w:lang w:eastAsia="ja-JP"/>
        </w:rPr>
      </w:pPr>
      <w:r>
        <w:rPr>
          <w:b/>
          <w:i/>
          <w:iCs/>
          <w:lang w:eastAsia="ja-JP"/>
        </w:rPr>
        <w:t xml:space="preserve">Proposal </w:t>
      </w:r>
      <w:r w:rsidR="00AE692D">
        <w:rPr>
          <w:b/>
          <w:i/>
          <w:iCs/>
          <w:lang w:eastAsia="ja-JP"/>
        </w:rPr>
        <w:t>4</w:t>
      </w:r>
      <w:r>
        <w:rPr>
          <w:b/>
          <w:i/>
          <w:iCs/>
          <w:lang w:eastAsia="ja-JP"/>
        </w:rPr>
        <w:t xml:space="preserve">: </w:t>
      </w:r>
      <w:r w:rsidRPr="00FD44AA">
        <w:rPr>
          <w:b/>
          <w:i/>
          <w:iCs/>
          <w:lang w:eastAsia="ja-JP"/>
        </w:rPr>
        <w:t xml:space="preserve">For NR operation between 52.6 GHz and 71 GHz, </w:t>
      </w:r>
      <w:r>
        <w:rPr>
          <w:b/>
          <w:i/>
          <w:iCs/>
          <w:lang w:eastAsia="ja-JP"/>
        </w:rPr>
        <w:t>for HARQ-ACK information correspond</w:t>
      </w:r>
      <w:r w:rsidR="00A45E7A">
        <w:rPr>
          <w:b/>
          <w:i/>
          <w:iCs/>
          <w:lang w:eastAsia="ja-JP"/>
        </w:rPr>
        <w:t>ing</w:t>
      </w:r>
      <w:r>
        <w:rPr>
          <w:b/>
          <w:i/>
          <w:iCs/>
          <w:lang w:eastAsia="ja-JP"/>
        </w:rPr>
        <w:t xml:space="preserve"> to PDSCHs scheduled by the DCI</w:t>
      </w:r>
      <w:r w:rsidR="003A17D9">
        <w:rPr>
          <w:b/>
          <w:i/>
          <w:iCs/>
          <w:lang w:eastAsia="ja-JP"/>
        </w:rPr>
        <w:t>, different PUCCH(s) can be used</w:t>
      </w:r>
      <w:r w:rsidR="00E26D14">
        <w:rPr>
          <w:b/>
          <w:i/>
          <w:iCs/>
          <w:lang w:eastAsia="ja-JP"/>
        </w:rPr>
        <w:t xml:space="preserve"> where the PUCCH carrying the HARQ-ACK can be transmitted in the middle of non-contiguous PDSCHs transmissions to allow </w:t>
      </w:r>
      <w:r w:rsidR="00BD1A40">
        <w:rPr>
          <w:b/>
          <w:i/>
          <w:iCs/>
          <w:lang w:eastAsia="ja-JP"/>
        </w:rPr>
        <w:t xml:space="preserve">earlier/faster transmission of </w:t>
      </w:r>
      <w:r w:rsidR="00E26D14">
        <w:rPr>
          <w:b/>
          <w:i/>
          <w:iCs/>
          <w:lang w:eastAsia="ja-JP"/>
        </w:rPr>
        <w:t>HARQ-ACK associated with earlier PDSCHs</w:t>
      </w:r>
    </w:p>
    <w:p w14:paraId="3D936932" w14:textId="7ADF09F6" w:rsidR="00F752A4" w:rsidRDefault="00F752A4" w:rsidP="00B658B2">
      <w:pPr>
        <w:spacing w:after="0"/>
        <w:jc w:val="both"/>
        <w:rPr>
          <w:b/>
          <w:i/>
          <w:iCs/>
          <w:lang w:eastAsia="ja-JP"/>
        </w:rPr>
      </w:pPr>
    </w:p>
    <w:p w14:paraId="78203E76" w14:textId="77777777" w:rsidR="009A0ECD" w:rsidRDefault="009A0ECD" w:rsidP="009A0ECD">
      <w:pPr>
        <w:pStyle w:val="ListParagraph"/>
        <w:spacing w:after="0"/>
        <w:ind w:left="1440"/>
        <w:jc w:val="both"/>
        <w:rPr>
          <w:rFonts w:asciiTheme="majorBidi" w:hAnsiTheme="majorBidi" w:cstheme="majorBidi"/>
          <w:bCs/>
          <w:lang w:val="en-US"/>
        </w:rPr>
      </w:pPr>
    </w:p>
    <w:p w14:paraId="08092770" w14:textId="7325CCF7" w:rsidR="009A0ECD" w:rsidRDefault="009A0ECD" w:rsidP="009A0ECD">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4</w:t>
      </w:r>
      <w:r>
        <w:rPr>
          <w:rFonts w:ascii="Arial" w:eastAsia="MS Mincho" w:hAnsi="Arial"/>
          <w:sz w:val="36"/>
          <w:szCs w:val="36"/>
          <w:lang w:eastAsia="ja-JP"/>
        </w:rPr>
        <w:tab/>
        <w:t>Semi-static (type-</w:t>
      </w:r>
      <w:r w:rsidR="00712EDF">
        <w:rPr>
          <w:rFonts w:ascii="Arial" w:eastAsia="MS Mincho" w:hAnsi="Arial"/>
          <w:sz w:val="36"/>
          <w:szCs w:val="36"/>
          <w:lang w:eastAsia="ja-JP"/>
        </w:rPr>
        <w:t>1</w:t>
      </w:r>
      <w:r>
        <w:rPr>
          <w:rFonts w:ascii="Arial" w:eastAsia="MS Mincho" w:hAnsi="Arial"/>
          <w:sz w:val="36"/>
          <w:szCs w:val="36"/>
          <w:lang w:eastAsia="ja-JP"/>
        </w:rPr>
        <w:t>) HARQ-ACK codebook</w:t>
      </w:r>
    </w:p>
    <w:p w14:paraId="7AA3C274" w14:textId="685D3827" w:rsidR="00F752A4" w:rsidRPr="00F752A4" w:rsidRDefault="00F752A4" w:rsidP="00B658B2">
      <w:pPr>
        <w:spacing w:after="0"/>
        <w:jc w:val="both"/>
        <w:rPr>
          <w:bCs/>
        </w:rPr>
      </w:pPr>
      <w:r>
        <w:rPr>
          <w:bCs/>
          <w:lang w:eastAsia="ja-JP"/>
        </w:rPr>
        <w:t>Furthermore, in RAN1#104b-e, following agreement related to type-1 HARQ-ACK codebook has been made in [2]</w:t>
      </w:r>
      <w:r w:rsidR="004E4828">
        <w:rPr>
          <w:bCs/>
          <w:lang w:eastAsia="ja-JP"/>
        </w:rPr>
        <w:t>:</w:t>
      </w:r>
    </w:p>
    <w:p w14:paraId="09047524" w14:textId="77777777" w:rsidR="00AC571C" w:rsidRDefault="00AC571C" w:rsidP="00FE773C">
      <w:pPr>
        <w:spacing w:after="0"/>
        <w:rPr>
          <w:highlight w:val="green"/>
          <w:lang w:eastAsia="ko-KR"/>
        </w:rPr>
      </w:pPr>
    </w:p>
    <w:p w14:paraId="24367FA8" w14:textId="27F8A5FC" w:rsidR="004E4828" w:rsidRPr="00537547" w:rsidRDefault="004E4828" w:rsidP="00FE773C">
      <w:pPr>
        <w:spacing w:after="0"/>
        <w:rPr>
          <w:i/>
          <w:iCs/>
          <w:highlight w:val="green"/>
          <w:lang w:eastAsia="ko-KR"/>
        </w:rPr>
      </w:pPr>
      <w:r w:rsidRPr="00537547">
        <w:rPr>
          <w:i/>
          <w:iCs/>
          <w:highlight w:val="green"/>
          <w:lang w:eastAsia="ko-KR"/>
        </w:rPr>
        <w:t>Agreement:</w:t>
      </w:r>
    </w:p>
    <w:p w14:paraId="59CC0B99" w14:textId="77777777" w:rsidR="004E4828" w:rsidRPr="00537547" w:rsidRDefault="004E4828" w:rsidP="004E4828">
      <w:pPr>
        <w:pStyle w:val="ListParagraph"/>
        <w:spacing w:line="252" w:lineRule="auto"/>
        <w:ind w:left="0"/>
        <w:rPr>
          <w:i/>
          <w:iCs/>
        </w:rPr>
      </w:pPr>
      <w:r w:rsidRPr="00537547">
        <w:rPr>
          <w:i/>
          <w:iCs/>
          <w:lang w:val="en-US"/>
        </w:rPr>
        <w:t xml:space="preserve">For enhancements of generating </w:t>
      </w:r>
      <w:r w:rsidRPr="00537547">
        <w:rPr>
          <w:rFonts w:eastAsia="Malgun Gothic"/>
          <w:i/>
          <w:iCs/>
          <w:lang w:val="en-US"/>
        </w:rPr>
        <w:t>type-1 HARQ-ACK codebook corresponding to DCI that can schedule multiple PDSCHs, the following options can be considered</w:t>
      </w:r>
      <w:r w:rsidRPr="00537547">
        <w:rPr>
          <w:i/>
          <w:iCs/>
          <w:lang w:eastAsia="ko-KR"/>
        </w:rPr>
        <w:t>,</w:t>
      </w:r>
    </w:p>
    <w:p w14:paraId="03E5D5EF" w14:textId="77777777" w:rsidR="004E4828" w:rsidRPr="00537547" w:rsidRDefault="004E4828" w:rsidP="004E4828">
      <w:pPr>
        <w:pStyle w:val="ListParagraph"/>
        <w:numPr>
          <w:ilvl w:val="0"/>
          <w:numId w:val="24"/>
        </w:numPr>
        <w:overflowPunct/>
        <w:autoSpaceDE/>
        <w:autoSpaceDN/>
        <w:adjustRightInd/>
        <w:spacing w:after="160" w:line="252" w:lineRule="auto"/>
        <w:ind w:left="720"/>
        <w:jc w:val="both"/>
        <w:textAlignment w:val="auto"/>
        <w:rPr>
          <w:i/>
          <w:iCs/>
        </w:rPr>
      </w:pPr>
      <w:r w:rsidRPr="00537547">
        <w:rPr>
          <w:i/>
          <w:iCs/>
          <w:lang w:eastAsia="ko-KR"/>
        </w:rPr>
        <w:t xml:space="preserve">Option 1: The set of candidate PDSCH </w:t>
      </w:r>
      <w:r w:rsidRPr="00537547">
        <w:rPr>
          <w:i/>
          <w:iCs/>
        </w:rPr>
        <w:t xml:space="preserve">reception </w:t>
      </w:r>
      <w:r w:rsidRPr="00537547">
        <w:rPr>
          <w:i/>
          <w:iCs/>
          <w:lang w:eastAsia="ko-KR"/>
        </w:rPr>
        <w:t>occasions is determined according to each SLIV of each row in the TDRA table and based on extension of K1 set</w:t>
      </w:r>
    </w:p>
    <w:p w14:paraId="234CF423" w14:textId="77777777" w:rsidR="004E4828" w:rsidRPr="00537547" w:rsidRDefault="004E4828" w:rsidP="004E4828">
      <w:pPr>
        <w:pStyle w:val="ListParagraph"/>
        <w:numPr>
          <w:ilvl w:val="0"/>
          <w:numId w:val="24"/>
        </w:numPr>
        <w:overflowPunct/>
        <w:autoSpaceDE/>
        <w:autoSpaceDN/>
        <w:adjustRightInd/>
        <w:spacing w:after="160" w:line="252" w:lineRule="auto"/>
        <w:ind w:left="720"/>
        <w:jc w:val="both"/>
        <w:textAlignment w:val="auto"/>
        <w:rPr>
          <w:i/>
          <w:iCs/>
        </w:rPr>
      </w:pPr>
      <w:r w:rsidRPr="00537547">
        <w:rPr>
          <w:i/>
          <w:iCs/>
          <w:lang w:eastAsia="ko-KR"/>
        </w:rPr>
        <w:t xml:space="preserve">Option 1a: The set of candidate PDSCH </w:t>
      </w:r>
      <w:r w:rsidRPr="00537547">
        <w:rPr>
          <w:i/>
          <w:iCs/>
        </w:rPr>
        <w:t xml:space="preserve">reception </w:t>
      </w:r>
      <w:r w:rsidRPr="00537547">
        <w:rPr>
          <w:i/>
          <w:iCs/>
          <w:lang w:eastAsia="ko-KR"/>
        </w:rPr>
        <w:t>occasions is determined according to each SLIV of each row in the TDRA table</w:t>
      </w:r>
    </w:p>
    <w:p w14:paraId="5A3EB309" w14:textId="77777777" w:rsidR="004E4828" w:rsidRPr="00537547" w:rsidRDefault="004E4828" w:rsidP="004E4828">
      <w:pPr>
        <w:pStyle w:val="ListParagraph"/>
        <w:numPr>
          <w:ilvl w:val="0"/>
          <w:numId w:val="24"/>
        </w:numPr>
        <w:overflowPunct/>
        <w:autoSpaceDE/>
        <w:autoSpaceDN/>
        <w:adjustRightInd/>
        <w:spacing w:after="160" w:line="252" w:lineRule="auto"/>
        <w:ind w:left="720"/>
        <w:jc w:val="both"/>
        <w:textAlignment w:val="auto"/>
        <w:rPr>
          <w:i/>
          <w:iCs/>
        </w:rPr>
      </w:pPr>
      <w:r w:rsidRPr="00537547">
        <w:rPr>
          <w:i/>
          <w:iCs/>
        </w:rPr>
        <w:t xml:space="preserve">Option 2: </w:t>
      </w:r>
      <w:r w:rsidRPr="00537547">
        <w:rPr>
          <w:i/>
          <w:iCs/>
          <w:lang w:eastAsia="ko-KR"/>
        </w:rPr>
        <w:t xml:space="preserve">The set of candidate PDSCH </w:t>
      </w:r>
      <w:r w:rsidRPr="00537547">
        <w:rPr>
          <w:i/>
          <w:iCs/>
        </w:rPr>
        <w:t xml:space="preserve">reception </w:t>
      </w:r>
      <w:r w:rsidRPr="00537547">
        <w:rPr>
          <w:i/>
          <w:iCs/>
          <w:lang w:eastAsia="ko-KR"/>
        </w:rPr>
        <w:t>occasions is determined according to the last SLIV of each row in the TDRA table</w:t>
      </w:r>
    </w:p>
    <w:p w14:paraId="326755AF" w14:textId="77777777" w:rsidR="004E4828" w:rsidRPr="00537547" w:rsidRDefault="004E4828" w:rsidP="004E4828">
      <w:pPr>
        <w:pStyle w:val="ListParagraph"/>
        <w:numPr>
          <w:ilvl w:val="0"/>
          <w:numId w:val="24"/>
        </w:numPr>
        <w:overflowPunct/>
        <w:autoSpaceDE/>
        <w:autoSpaceDN/>
        <w:adjustRightInd/>
        <w:spacing w:after="160" w:line="252" w:lineRule="auto"/>
        <w:ind w:left="720"/>
        <w:jc w:val="both"/>
        <w:textAlignment w:val="auto"/>
        <w:rPr>
          <w:i/>
          <w:iCs/>
        </w:rPr>
      </w:pPr>
      <w:r w:rsidRPr="00537547">
        <w:rPr>
          <w:i/>
          <w:iCs/>
          <w:lang w:eastAsia="ko-KR"/>
        </w:rPr>
        <w:t xml:space="preserve">FFS: </w:t>
      </w:r>
      <w:r w:rsidRPr="00537547">
        <w:rPr>
          <w:rFonts w:eastAsia="Malgun Gothic"/>
          <w:i/>
          <w:iCs/>
          <w:lang w:val="en-US" w:eastAsia="ko-KR"/>
        </w:rPr>
        <w:t xml:space="preserve">Codebook generation details, including how to handle the collision with TDD DL/UL configuration and whether/how to extend K1 set </w:t>
      </w:r>
      <w:r w:rsidRPr="00537547">
        <w:rPr>
          <w:i/>
          <w:iCs/>
          <w:lang w:eastAsia="ko-KR"/>
        </w:rPr>
        <w:t>based on K1 and slot offset between last PDSCH and other PDSCHs in a row in the TDRA table</w:t>
      </w:r>
    </w:p>
    <w:p w14:paraId="018A721C" w14:textId="2AA266EC" w:rsidR="0004612B" w:rsidRDefault="008A6BEF" w:rsidP="004E4828">
      <w:pPr>
        <w:jc w:val="both"/>
      </w:pPr>
      <w:r>
        <w:t xml:space="preserve">In order to determine the candidate PDSCH reception occasions that can be either contiguous or non-contiguous in time, the most straightforward method </w:t>
      </w:r>
      <w:r w:rsidR="00C45A76">
        <w:t xml:space="preserve">is based on </w:t>
      </w:r>
      <w:r w:rsidR="00995966">
        <w:t>extension</w:t>
      </w:r>
      <w:r>
        <w:t xml:space="preserve"> K1</w:t>
      </w:r>
      <w:r w:rsidR="00CC6291">
        <w:t xml:space="preserve"> and determining PDSCH reception occasions based on each SLIVs of each row rather than just the last SLIV. If the determination is based on </w:t>
      </w:r>
      <w:r w:rsidR="00B338B2">
        <w:t>just last SLIV, and if there is overlap of corresponding UL slot with DL, then it cannot be used to determine the PDSCH recep</w:t>
      </w:r>
      <w:r w:rsidR="007F5C95">
        <w:t>tion occasions for other PDSCHs (SLIVs) as well. Therefore, b</w:t>
      </w:r>
      <w:r>
        <w:t>ased on this, option 1 should be agreed.</w:t>
      </w:r>
    </w:p>
    <w:p w14:paraId="284C366B" w14:textId="7E7865B4" w:rsidR="004E4828" w:rsidRDefault="00024E24" w:rsidP="004E4828">
      <w:pPr>
        <w:jc w:val="both"/>
        <w:rPr>
          <w:b/>
          <w:i/>
          <w:iCs/>
          <w:lang w:eastAsia="ja-JP"/>
        </w:rPr>
      </w:pPr>
      <w:r>
        <w:rPr>
          <w:b/>
          <w:i/>
          <w:iCs/>
          <w:lang w:eastAsia="ja-JP"/>
        </w:rPr>
        <w:t xml:space="preserve">Proposal 5: </w:t>
      </w:r>
      <w:r w:rsidRPr="00FD44AA">
        <w:rPr>
          <w:b/>
          <w:i/>
          <w:iCs/>
          <w:lang w:eastAsia="ja-JP"/>
        </w:rPr>
        <w:t>For NR operation between 52.6 GHz and 71 GHz</w:t>
      </w:r>
      <w:r>
        <w:rPr>
          <w:b/>
          <w:i/>
          <w:iCs/>
          <w:lang w:eastAsia="ja-JP"/>
        </w:rPr>
        <w:t xml:space="preserve">, in order to generate type-1 HARQ-ACK codebook corresponding to DCI that can schedule multiple PDSCHs, the set of </w:t>
      </w:r>
      <w:r w:rsidRPr="00024E24">
        <w:rPr>
          <w:b/>
          <w:i/>
          <w:iCs/>
          <w:lang w:eastAsia="ja-JP"/>
        </w:rPr>
        <w:t>candidate PDSCH reception occasions is determined according to each SLIV of each row in the TDRA table and based on extension of K1 set</w:t>
      </w:r>
      <w:r w:rsidR="00331E3A">
        <w:rPr>
          <w:b/>
          <w:i/>
          <w:iCs/>
          <w:lang w:eastAsia="ja-JP"/>
        </w:rPr>
        <w:t>.</w:t>
      </w:r>
    </w:p>
    <w:p w14:paraId="7787FCBC" w14:textId="487FDA64" w:rsidR="00667FEF" w:rsidRDefault="00667FEF" w:rsidP="00667FEF">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5</w:t>
      </w:r>
      <w:r>
        <w:rPr>
          <w:rFonts w:ascii="Arial" w:eastAsia="MS Mincho" w:hAnsi="Arial"/>
          <w:sz w:val="36"/>
          <w:szCs w:val="36"/>
          <w:lang w:eastAsia="ja-JP"/>
        </w:rPr>
        <w:tab/>
        <w:t>Dynamic (type-2) HARQ-ACK codebook</w:t>
      </w:r>
    </w:p>
    <w:p w14:paraId="3F522C5D" w14:textId="67CD8FA8" w:rsidR="006156C9" w:rsidRPr="00947E0E" w:rsidRDefault="00BB4BB8" w:rsidP="006156C9">
      <w:pPr>
        <w:spacing w:before="240" w:after="0"/>
        <w:jc w:val="both"/>
      </w:pPr>
      <w:r>
        <w:t>In RAN1#</w:t>
      </w:r>
      <w:r w:rsidR="002978F1">
        <w:t>104-e, following agreement related to type-2 HARQ-ACK codebook has been made in [3]:</w:t>
      </w:r>
    </w:p>
    <w:p w14:paraId="5A5A3C17" w14:textId="77777777" w:rsidR="009C77D8" w:rsidRDefault="009C77D8" w:rsidP="00983225">
      <w:pPr>
        <w:spacing w:after="0"/>
        <w:rPr>
          <w:i/>
          <w:iCs/>
          <w:highlight w:val="green"/>
          <w:lang w:eastAsia="x-none"/>
        </w:rPr>
      </w:pPr>
    </w:p>
    <w:p w14:paraId="70E780FF" w14:textId="5DA9E8F1" w:rsidR="00983225" w:rsidRPr="0052083F" w:rsidRDefault="00983225" w:rsidP="00983225">
      <w:pPr>
        <w:spacing w:after="0"/>
        <w:rPr>
          <w:i/>
          <w:iCs/>
          <w:lang w:eastAsia="x-none"/>
        </w:rPr>
      </w:pPr>
      <w:r w:rsidRPr="0052083F">
        <w:rPr>
          <w:i/>
          <w:iCs/>
          <w:highlight w:val="green"/>
          <w:lang w:eastAsia="x-none"/>
        </w:rPr>
        <w:t>Agreement:</w:t>
      </w:r>
    </w:p>
    <w:p w14:paraId="7C4CA8F9" w14:textId="77777777" w:rsidR="00983225" w:rsidRPr="0052083F" w:rsidRDefault="00983225" w:rsidP="00983225">
      <w:pPr>
        <w:pStyle w:val="ListParagraph"/>
        <w:spacing w:after="160" w:line="256" w:lineRule="auto"/>
        <w:ind w:left="0"/>
        <w:jc w:val="both"/>
        <w:rPr>
          <w:rFonts w:eastAsia="Malgun Gothic"/>
          <w:i/>
          <w:iCs/>
          <w:lang w:val="en-US"/>
        </w:rPr>
      </w:pPr>
      <w:r w:rsidRPr="0052083F">
        <w:rPr>
          <w:i/>
          <w:iCs/>
          <w:lang w:val="en-US"/>
        </w:rPr>
        <w:t xml:space="preserve">For generating </w:t>
      </w:r>
      <w:r w:rsidRPr="0052083F">
        <w:rPr>
          <w:rFonts w:eastAsia="Malgun Gothic"/>
          <w:i/>
          <w:iCs/>
          <w:lang w:val="en-US"/>
        </w:rPr>
        <w:t>type-2 HARQ-ACK codebook corresponding to DCI that can schedule multiple PDSCHs, the following alternatives can be considered to DAI counting and will be down-selected in RAN1#104bis-e.</w:t>
      </w:r>
    </w:p>
    <w:p w14:paraId="23FB5FDB"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52083F">
        <w:rPr>
          <w:rFonts w:eastAsia="Malgun Gothic"/>
          <w:i/>
          <w:iCs/>
          <w:lang w:val="en-US"/>
        </w:rPr>
        <w:t>Alt 1: C-DAI/T-DAI is counted per DCI.</w:t>
      </w:r>
    </w:p>
    <w:p w14:paraId="7D9910B9"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52083F">
        <w:rPr>
          <w:rFonts w:eastAsia="Malgun Gothic"/>
          <w:i/>
          <w:iCs/>
          <w:lang w:val="en-US"/>
        </w:rPr>
        <w:t xml:space="preserve">Alt 2: </w:t>
      </w:r>
      <w:r w:rsidRPr="0052083F">
        <w:rPr>
          <w:bCs/>
          <w:i/>
          <w:iCs/>
          <w:snapToGrid w:val="0"/>
        </w:rPr>
        <w:t>C-DAI/T-DAI is counted per PDSCH.</w:t>
      </w:r>
    </w:p>
    <w:p w14:paraId="742383F0"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52083F">
        <w:rPr>
          <w:rFonts w:eastAsia="Malgun Gothic"/>
          <w:i/>
          <w:iCs/>
          <w:lang w:val="en-US"/>
        </w:rPr>
        <w:t xml:space="preserve">Alt 3: </w:t>
      </w:r>
      <w:r w:rsidRPr="0052083F">
        <w:rPr>
          <w:bCs/>
          <w:i/>
          <w:iCs/>
          <w:snapToGrid w:val="0"/>
        </w:rPr>
        <w:t xml:space="preserve">C-DAI/T-DAI is counted </w:t>
      </w:r>
      <w:r w:rsidRPr="0052083F">
        <w:rPr>
          <w:rStyle w:val="normaltextrun"/>
          <w:i/>
          <w:iCs/>
          <w:color w:val="000000"/>
          <w:shd w:val="clear" w:color="auto" w:fill="FFFFFF"/>
        </w:rPr>
        <w:t>per M scheduled PDSCH(s), where M is configurable (e.g., 1, 2, 4, …)</w:t>
      </w:r>
      <w:r w:rsidRPr="0052083F">
        <w:rPr>
          <w:bCs/>
          <w:i/>
          <w:iCs/>
          <w:snapToGrid w:val="0"/>
        </w:rPr>
        <w:t>.</w:t>
      </w:r>
    </w:p>
    <w:p w14:paraId="11897C69"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52083F">
        <w:rPr>
          <w:rFonts w:eastAsia="Malgun Gothic" w:hint="eastAsia"/>
          <w:i/>
          <w:iCs/>
          <w:lang w:val="en-US" w:eastAsia="ko-KR"/>
        </w:rPr>
        <w:t>FFS</w:t>
      </w:r>
      <w:r w:rsidRPr="0052083F">
        <w:rPr>
          <w:rFonts w:eastAsia="Malgun Gothic"/>
          <w:i/>
          <w:iCs/>
          <w:lang w:val="en-US" w:eastAsia="ko-KR"/>
        </w:rPr>
        <w:t>: C</w:t>
      </w:r>
      <w:r w:rsidRPr="0052083F">
        <w:rPr>
          <w:rFonts w:eastAsia="Malgun Gothic" w:hint="eastAsia"/>
          <w:i/>
          <w:iCs/>
          <w:lang w:val="en-US" w:eastAsia="ko-KR"/>
        </w:rPr>
        <w:t>odebook generation details</w:t>
      </w:r>
    </w:p>
    <w:p w14:paraId="6276831C"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52083F">
        <w:rPr>
          <w:bCs/>
          <w:i/>
          <w:iCs/>
          <w:snapToGrid w:val="0"/>
        </w:rPr>
        <w:t>FFS: How to signal DAI values (e.g., increase of DAI bits for Alt 2 and Alt 3)</w:t>
      </w:r>
    </w:p>
    <w:p w14:paraId="7790C77F" w14:textId="77777777" w:rsidR="00983225" w:rsidRPr="0052083F" w:rsidRDefault="00983225" w:rsidP="00983225">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52083F">
        <w:rPr>
          <w:bCs/>
          <w:i/>
          <w:iCs/>
          <w:snapToGrid w:val="0"/>
        </w:rPr>
        <w:t xml:space="preserve">FFS: </w:t>
      </w:r>
      <w:r w:rsidRPr="0052083F">
        <w:rPr>
          <w:rFonts w:eastAsia="Malgun Gothic"/>
          <w:i/>
          <w:iCs/>
          <w:lang w:val="en-US"/>
        </w:rPr>
        <w:t xml:space="preserve">Whether to apply </w:t>
      </w:r>
      <w:r w:rsidRPr="0052083F">
        <w:rPr>
          <w:bCs/>
          <w:i/>
          <w:iCs/>
          <w:snapToGrid w:val="0"/>
          <w:lang w:val="en-US"/>
        </w:rPr>
        <w:t>time domain bundling of HARQ-ACK feedback</w:t>
      </w:r>
    </w:p>
    <w:p w14:paraId="15A8FA56" w14:textId="203BE7C6" w:rsidR="002978F1" w:rsidRDefault="00983225" w:rsidP="004E4828">
      <w:pPr>
        <w:jc w:val="both"/>
        <w:rPr>
          <w:lang w:val="en-US"/>
        </w:rPr>
      </w:pPr>
      <w:r w:rsidRPr="00983225">
        <w:rPr>
          <w:lang w:val="en-US"/>
        </w:rPr>
        <w:t>Furthermore, in RAN1#104b-e, further details have been discussed and concluded for each of the above 3 alternatives.</w:t>
      </w:r>
      <w:r w:rsidR="00DF4BA7">
        <w:rPr>
          <w:lang w:val="en-US"/>
        </w:rPr>
        <w:t xml:space="preserve"> Based on the discussion in last RAN1 meeting, they key aspect for Alt 1 is that the </w:t>
      </w:r>
      <w:r w:rsidR="00C124FE">
        <w:rPr>
          <w:lang w:val="en-US"/>
        </w:rPr>
        <w:t xml:space="preserve">size of the DAI field is not increased </w:t>
      </w:r>
      <w:r w:rsidR="00712E57">
        <w:rPr>
          <w:lang w:val="en-US"/>
        </w:rPr>
        <w:t xml:space="preserve">with multi-PDSCH scheduling </w:t>
      </w:r>
      <w:r w:rsidR="00C124FE">
        <w:rPr>
          <w:lang w:val="en-US"/>
        </w:rPr>
        <w:t>for Al</w:t>
      </w:r>
      <w:r w:rsidR="001670C4">
        <w:rPr>
          <w:lang w:val="en-US"/>
        </w:rPr>
        <w:t xml:space="preserve">t 1, </w:t>
      </w:r>
      <w:r w:rsidR="00712E57">
        <w:rPr>
          <w:lang w:val="en-US"/>
        </w:rPr>
        <w:t>but UE might be expected to monitor different DCI</w:t>
      </w:r>
      <w:r w:rsidR="00EA181D">
        <w:rPr>
          <w:lang w:val="en-US"/>
        </w:rPr>
        <w:t xml:space="preserve"> for single PDSCH scheduling and multiple PDSCH scheduling. For Alt 2, same DCI field for DAI is expected to be used </w:t>
      </w:r>
      <w:r w:rsidR="0046715E">
        <w:rPr>
          <w:lang w:val="en-US"/>
        </w:rPr>
        <w:t>regardless of single or multiple PDSCH scheduling, but the size of the DAI field is expected to be increased. In order to the align the DAI fields for</w:t>
      </w:r>
      <w:r w:rsidR="00E82959">
        <w:rPr>
          <w:lang w:val="en-US"/>
        </w:rPr>
        <w:t xml:space="preserve"> different DCI including DCI format 1_0, the increase in the DAI bitfield size would be needed for </w:t>
      </w:r>
      <w:r w:rsidR="00CD1A88">
        <w:rPr>
          <w:lang w:val="en-US"/>
        </w:rPr>
        <w:t>all the DCIs.</w:t>
      </w:r>
      <w:r w:rsidR="003A49DC">
        <w:rPr>
          <w:lang w:val="en-US"/>
        </w:rPr>
        <w:t xml:space="preserve"> Increasing the DCI format 1_0 bitfield size is not desirable. </w:t>
      </w:r>
      <w:r w:rsidR="001F58D6">
        <w:rPr>
          <w:lang w:val="en-US"/>
        </w:rPr>
        <w:t xml:space="preserve">Furthermore, the interpretation of the DAI field is expected to be different for Alt 2 (and Alt 3) in comparison to the current DAI field in Rel-15/16. Therefore, in our view, Alt 1 is more preferable i.e. C-DAI/T-DAI is counted per DCI. </w:t>
      </w:r>
    </w:p>
    <w:p w14:paraId="35374DB4" w14:textId="155F62A1" w:rsidR="0049014D" w:rsidRDefault="0049014D" w:rsidP="004E4828">
      <w:pPr>
        <w:jc w:val="both"/>
        <w:rPr>
          <w:b/>
          <w:i/>
          <w:iCs/>
          <w:lang w:eastAsia="ja-JP"/>
        </w:rPr>
      </w:pPr>
      <w:r>
        <w:rPr>
          <w:b/>
          <w:i/>
          <w:iCs/>
          <w:lang w:eastAsia="ja-JP"/>
        </w:rPr>
        <w:t xml:space="preserve">Proposal </w:t>
      </w:r>
      <w:r w:rsidR="006B0538">
        <w:rPr>
          <w:b/>
          <w:i/>
          <w:iCs/>
          <w:lang w:eastAsia="ja-JP"/>
        </w:rPr>
        <w:t>6</w:t>
      </w:r>
      <w:r>
        <w:rPr>
          <w:b/>
          <w:i/>
          <w:iCs/>
          <w:lang w:eastAsia="ja-JP"/>
        </w:rPr>
        <w:t xml:space="preserve">: </w:t>
      </w:r>
      <w:r w:rsidRPr="00FD44AA">
        <w:rPr>
          <w:b/>
          <w:i/>
          <w:iCs/>
          <w:lang w:eastAsia="ja-JP"/>
        </w:rPr>
        <w:t>For NR operation between 52.6 GHz and 71 GHz</w:t>
      </w:r>
      <w:r>
        <w:rPr>
          <w:b/>
          <w:i/>
          <w:iCs/>
          <w:lang w:eastAsia="ja-JP"/>
        </w:rPr>
        <w:t>, for dynamic (type-2) HARQ-ACK codebook,</w:t>
      </w:r>
      <w:r w:rsidR="00E82EFF">
        <w:rPr>
          <w:b/>
          <w:i/>
          <w:iCs/>
          <w:lang w:eastAsia="ja-JP"/>
        </w:rPr>
        <w:t xml:space="preserve"> support C-DAI/T-DAI counting per DCI.</w:t>
      </w:r>
    </w:p>
    <w:p w14:paraId="341FE224" w14:textId="77777777" w:rsidR="00FB47D5" w:rsidRDefault="001549A6" w:rsidP="004E4828">
      <w:pPr>
        <w:jc w:val="both"/>
        <w:rPr>
          <w:bCs/>
          <w:lang w:eastAsia="ja-JP"/>
        </w:rPr>
      </w:pPr>
      <w:r>
        <w:rPr>
          <w:bCs/>
          <w:lang w:eastAsia="ja-JP"/>
        </w:rPr>
        <w:t xml:space="preserve">However, there are few open issues that need be discussed and agreed for Alt 1. </w:t>
      </w:r>
      <w:r w:rsidR="006564E1">
        <w:rPr>
          <w:bCs/>
          <w:lang w:eastAsia="ja-JP"/>
        </w:rPr>
        <w:t>First issue is related to the number of sub HARQ-ACK codebooks that are needed to support multiple</w:t>
      </w:r>
      <w:r w:rsidR="0083055C">
        <w:rPr>
          <w:bCs/>
          <w:lang w:eastAsia="ja-JP"/>
        </w:rPr>
        <w:t xml:space="preserve"> PDSCH scheduling. In RAN1#104b-e, companies considered a</w:t>
      </w:r>
      <w:r w:rsidR="00B34B6D">
        <w:rPr>
          <w:bCs/>
          <w:lang w:eastAsia="ja-JP"/>
        </w:rPr>
        <w:t xml:space="preserve"> separate HARQ-ACK codebook associated with multiple PDSCH scheduling and another separate HARQ-ACK codebook associated with single PDSCH scheduling</w:t>
      </w:r>
      <w:r w:rsidR="00724C1F">
        <w:rPr>
          <w:bCs/>
          <w:lang w:eastAsia="ja-JP"/>
        </w:rPr>
        <w:t xml:space="preserve"> (in addition to sub HARQ-ACK codebook for CBG). The codebook size is expected to be fixed to maximum number of PDSCHs that can be scheduled by DCI. For example, if 960 kHz SCS is applied and DCI can schedule up to </w:t>
      </w:r>
      <w:r w:rsidR="0042629C">
        <w:rPr>
          <w:bCs/>
          <w:lang w:eastAsia="ja-JP"/>
        </w:rPr>
        <w:t>8 PDSCHs, but in actual, only 6 PDSCHs are scheduled, then still the codebook size/DCI of 8 (for 1 TB)</w:t>
      </w:r>
      <w:r w:rsidR="002E48D1">
        <w:rPr>
          <w:bCs/>
          <w:lang w:eastAsia="ja-JP"/>
        </w:rPr>
        <w:t xml:space="preserve"> is utilized by adding 2 NACK bits for the two unscheduled PDSCHs. </w:t>
      </w:r>
      <w:r w:rsidR="00FD21CD">
        <w:rPr>
          <w:bCs/>
          <w:lang w:eastAsia="ja-JP"/>
        </w:rPr>
        <w:t xml:space="preserve">Another aspect that has not been considered is how to handle the codebook size if the maximum number of PDSCHs scheduled for 480 kHz is different than that of 960 kHz. It is currently being discussed that the maximum number of PDSCHs for 480 kHz could be restricted to 4. In this case, if single sub HARQ-ACK codebook is applied for both 960 kHz and 480 kHz, then the size needs to be aligned for both, although both can schedule different number of maximum PDSCHs. In order to solve this issue, two possibilities can be considered. </w:t>
      </w:r>
    </w:p>
    <w:p w14:paraId="13CC6D0C" w14:textId="36C9CF3D" w:rsidR="00E82EFF" w:rsidRDefault="00FD21CD" w:rsidP="004E4828">
      <w:pPr>
        <w:jc w:val="both"/>
        <w:rPr>
          <w:bCs/>
          <w:lang w:eastAsia="ja-JP"/>
        </w:rPr>
      </w:pPr>
      <w:r>
        <w:rPr>
          <w:bCs/>
          <w:lang w:eastAsia="ja-JP"/>
        </w:rPr>
        <w:t>First</w:t>
      </w:r>
      <w:r w:rsidR="00FB47D5">
        <w:rPr>
          <w:bCs/>
          <w:lang w:eastAsia="ja-JP"/>
        </w:rPr>
        <w:t xml:space="preserve"> possibility is</w:t>
      </w:r>
      <w:r>
        <w:rPr>
          <w:bCs/>
          <w:lang w:eastAsia="ja-JP"/>
        </w:rPr>
        <w:t xml:space="preserve"> to have a separate codebook for each of 480 kHz and 960 kHz. In this case, each of the codebook can have a different size (per DCI) i.e. 4 and 8, respectively. The main benefit here is that </w:t>
      </w:r>
      <w:r w:rsidR="00EF4A95">
        <w:rPr>
          <w:bCs/>
          <w:lang w:eastAsia="ja-JP"/>
        </w:rPr>
        <w:t>smaller codebook size if sufficient for 480 kHz</w:t>
      </w:r>
      <w:r w:rsidR="00D244F6">
        <w:rPr>
          <w:bCs/>
          <w:lang w:eastAsia="ja-JP"/>
        </w:rPr>
        <w:t>. An example is illustrated in Figure 1</w:t>
      </w:r>
      <w:r w:rsidR="00DF6F0C">
        <w:rPr>
          <w:bCs/>
          <w:lang w:eastAsia="ja-JP"/>
        </w:rPr>
        <w:t xml:space="preserve">, where a separate HARQ-ACK codebook is generate for each of the SCS i.e. 120 kHz, 480 kHz, and 960 kHz. For 120 kHz, CBG is applied, therefore two sub HARQ-ACK codebooks are generated. </w:t>
      </w:r>
    </w:p>
    <w:p w14:paraId="3BAA85E3" w14:textId="1AEF7A23" w:rsidR="00FB47D5" w:rsidRDefault="00FB47D5" w:rsidP="004E4828">
      <w:pPr>
        <w:jc w:val="both"/>
        <w:rPr>
          <w:bCs/>
          <w:lang w:eastAsia="ja-JP"/>
        </w:rPr>
      </w:pPr>
      <w:r>
        <w:rPr>
          <w:bCs/>
          <w:lang w:eastAsia="ja-JP"/>
        </w:rPr>
        <w:t xml:space="preserve">Second possibility is to have same codebook for all the multiple PDSCH scheduling DCI i.e. same HARQ-ACK codebook for both 480 kHz and 960 kHz, although the maximum number of PDSCHs scheduled for both of them is different. In order to align the size of codebook, time-domain HARQ-ACK bundling is applied to 960 kHz for which it is expected that higher number of maximum PDSCHs can be scheduled. One example is illustrated in Figure 2, were grouping is applied to 960 kHz, such that 4 groups are considered with each group </w:t>
      </w:r>
      <w:r w:rsidR="00F32C0A">
        <w:rPr>
          <w:bCs/>
          <w:lang w:eastAsia="ja-JP"/>
        </w:rPr>
        <w:t>of size 2. As a result of this grouping, only 4 bits are generated per DCI for HARQ-ACK codebook. This is same as for 480 kHz where no time-domain bundling is applied</w:t>
      </w:r>
      <w:r w:rsidR="00AE530A">
        <w:rPr>
          <w:bCs/>
          <w:lang w:eastAsia="ja-JP"/>
        </w:rPr>
        <w:t xml:space="preserve"> assuming that up to 4 PDSCH can be scheduled. </w:t>
      </w:r>
      <w:r w:rsidR="005A62E5">
        <w:rPr>
          <w:bCs/>
          <w:lang w:eastAsia="ja-JP"/>
        </w:rPr>
        <w:t xml:space="preserve">Therefore, this would be helpful to align the size of codebook such that for both SCS, always up to 4 bits are generated per DCI scheduling. For 120 kHz or lower SCS value, assuming only a single PDSCH can be scheduled, it is still preferable to have </w:t>
      </w:r>
      <w:r w:rsidR="006B1CDD">
        <w:rPr>
          <w:bCs/>
          <w:lang w:eastAsia="ja-JP"/>
        </w:rPr>
        <w:t>a separate HARQ-ACK codebook with 1 bit generate per DCI.</w:t>
      </w:r>
    </w:p>
    <w:p w14:paraId="188EB389" w14:textId="181B277B" w:rsidR="00DF6F0C" w:rsidRDefault="004D32B5" w:rsidP="00DF6F0C">
      <w:pPr>
        <w:ind w:left="284"/>
        <w:jc w:val="center"/>
        <w:rPr>
          <w:rFonts w:eastAsiaTheme="minorEastAsia"/>
          <w:lang w:val="en-US" w:eastAsia="zh-CN"/>
        </w:rPr>
      </w:pPr>
      <w:r>
        <w:object w:dxaOrig="21931" w:dyaOrig="10081" w14:anchorId="1A99C7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1.5pt;height:233.5pt" o:ole="">
            <v:imagedata r:id="rId11" o:title=""/>
          </v:shape>
          <o:OLEObject Type="Embed" ProgID="Visio.Drawing.15" ShapeID="_x0000_i1025" DrawAspect="Content" ObjectID="_1682271085" r:id="rId12"/>
        </w:object>
      </w:r>
    </w:p>
    <w:p w14:paraId="358A4744" w14:textId="77777777" w:rsidR="00DF6F0C" w:rsidRDefault="00DF6F0C" w:rsidP="00DF6F0C">
      <w:pPr>
        <w:jc w:val="center"/>
        <w:rPr>
          <w:rFonts w:eastAsiaTheme="minorEastAsia"/>
          <w:b/>
          <w:bCs/>
          <w:lang w:val="en-US" w:eastAsia="zh-CN"/>
        </w:rPr>
      </w:pPr>
    </w:p>
    <w:p w14:paraId="14DCD3E6" w14:textId="315AA935" w:rsidR="00DF6F0C" w:rsidRDefault="00DF6F0C" w:rsidP="00DF6F0C">
      <w:pPr>
        <w:jc w:val="center"/>
        <w:rPr>
          <w:rFonts w:eastAsiaTheme="minorEastAsia"/>
          <w:b/>
          <w:bCs/>
          <w:lang w:val="en-US" w:eastAsia="zh-CN"/>
        </w:rPr>
      </w:pPr>
      <w:r w:rsidRPr="00643BA5">
        <w:rPr>
          <w:rFonts w:eastAsiaTheme="minorEastAsia"/>
          <w:b/>
          <w:bCs/>
          <w:lang w:val="en-US" w:eastAsia="zh-CN"/>
        </w:rPr>
        <w:t xml:space="preserve">Figure 1: </w:t>
      </w:r>
      <w:r w:rsidR="007059DC">
        <w:rPr>
          <w:rFonts w:eastAsiaTheme="minorEastAsia"/>
          <w:b/>
          <w:bCs/>
          <w:lang w:val="en-US" w:eastAsia="zh-CN"/>
        </w:rPr>
        <w:t>Example</w:t>
      </w:r>
      <w:r>
        <w:rPr>
          <w:rFonts w:eastAsiaTheme="minorEastAsia"/>
          <w:b/>
          <w:bCs/>
          <w:lang w:val="en-US" w:eastAsia="zh-CN"/>
        </w:rPr>
        <w:t xml:space="preserve"> </w:t>
      </w:r>
      <w:r w:rsidRPr="00643BA5">
        <w:rPr>
          <w:rFonts w:eastAsiaTheme="minorEastAsia"/>
          <w:b/>
          <w:bCs/>
          <w:lang w:val="en-US" w:eastAsia="zh-CN"/>
        </w:rPr>
        <w:t>of multiple sub HARQ-ACK codebooks for multiple PDSCH</w:t>
      </w:r>
      <w:r>
        <w:rPr>
          <w:rFonts w:eastAsiaTheme="minorEastAsia"/>
          <w:b/>
          <w:bCs/>
          <w:lang w:val="en-US" w:eastAsia="zh-CN"/>
        </w:rPr>
        <w:t>s</w:t>
      </w:r>
      <w:r w:rsidRPr="00643BA5">
        <w:rPr>
          <w:rFonts w:eastAsiaTheme="minorEastAsia"/>
          <w:b/>
          <w:bCs/>
          <w:lang w:val="en-US" w:eastAsia="zh-CN"/>
        </w:rPr>
        <w:t xml:space="preserve"> by single DCI</w:t>
      </w:r>
      <w:r>
        <w:rPr>
          <w:rFonts w:eastAsiaTheme="minorEastAsia"/>
          <w:b/>
          <w:bCs/>
          <w:lang w:val="en-US" w:eastAsia="zh-CN"/>
        </w:rPr>
        <w:t xml:space="preserve"> </w:t>
      </w:r>
    </w:p>
    <w:p w14:paraId="76B9CA03" w14:textId="77777777" w:rsidR="00DF6F0C" w:rsidRPr="00643BA5" w:rsidRDefault="00DF6F0C" w:rsidP="00DF6F0C">
      <w:pPr>
        <w:jc w:val="center"/>
        <w:rPr>
          <w:rFonts w:eastAsiaTheme="minorEastAsia"/>
          <w:b/>
          <w:bCs/>
          <w:lang w:val="en-US" w:eastAsia="zh-CN"/>
        </w:rPr>
      </w:pPr>
      <w:r>
        <w:rPr>
          <w:rFonts w:eastAsiaTheme="minorEastAsia"/>
          <w:b/>
          <w:bCs/>
          <w:lang w:val="en-US" w:eastAsia="zh-CN"/>
        </w:rPr>
        <w:t>(different SCS associated with different sub codebooks)</w:t>
      </w:r>
    </w:p>
    <w:p w14:paraId="5103D1F0" w14:textId="500133C4" w:rsidR="00DF6F0C" w:rsidRDefault="00DF6F0C" w:rsidP="004E4828">
      <w:pPr>
        <w:jc w:val="both"/>
        <w:rPr>
          <w:bCs/>
          <w:lang w:val="en-US" w:eastAsia="ja-JP"/>
        </w:rPr>
      </w:pPr>
    </w:p>
    <w:p w14:paraId="592BD5B2" w14:textId="77777777" w:rsidR="004D32B5" w:rsidRDefault="004D32B5" w:rsidP="004E4828">
      <w:pPr>
        <w:jc w:val="both"/>
        <w:rPr>
          <w:bCs/>
          <w:lang w:val="en-US" w:eastAsia="ja-JP"/>
        </w:rPr>
      </w:pPr>
    </w:p>
    <w:p w14:paraId="672284EA" w14:textId="2AFD3C5B" w:rsidR="00A66706" w:rsidRDefault="004D32B5" w:rsidP="00A66706">
      <w:pPr>
        <w:ind w:left="284"/>
        <w:jc w:val="both"/>
        <w:rPr>
          <w:rFonts w:eastAsiaTheme="minorEastAsia"/>
          <w:lang w:val="en-US" w:eastAsia="zh-CN"/>
        </w:rPr>
      </w:pPr>
      <w:r>
        <w:object w:dxaOrig="21945" w:dyaOrig="9841" w14:anchorId="5894FFB4">
          <v:shape id="_x0000_i1026" type="#_x0000_t75" style="width:473pt;height:238.5pt" o:ole="">
            <v:imagedata r:id="rId13" o:title=""/>
          </v:shape>
          <o:OLEObject Type="Embed" ProgID="Visio.Drawing.15" ShapeID="_x0000_i1026" DrawAspect="Content" ObjectID="_1682271086" r:id="rId14"/>
        </w:object>
      </w:r>
    </w:p>
    <w:p w14:paraId="3251EDC2" w14:textId="77777777" w:rsidR="00A66706" w:rsidRDefault="00A66706" w:rsidP="00A66706">
      <w:pPr>
        <w:jc w:val="center"/>
        <w:rPr>
          <w:rFonts w:eastAsiaTheme="minorEastAsia"/>
          <w:b/>
          <w:bCs/>
          <w:lang w:val="en-US" w:eastAsia="zh-CN"/>
        </w:rPr>
      </w:pPr>
    </w:p>
    <w:p w14:paraId="03460A80" w14:textId="6C153DC9" w:rsidR="00A66706" w:rsidRPr="00643BA5" w:rsidRDefault="00A66706" w:rsidP="00A66706">
      <w:pPr>
        <w:jc w:val="center"/>
        <w:rPr>
          <w:rFonts w:eastAsiaTheme="minorEastAsia"/>
          <w:b/>
          <w:bCs/>
          <w:lang w:val="en-US" w:eastAsia="zh-CN"/>
        </w:rPr>
      </w:pPr>
      <w:r w:rsidRPr="00643BA5">
        <w:rPr>
          <w:rFonts w:eastAsiaTheme="minorEastAsia"/>
          <w:b/>
          <w:bCs/>
          <w:lang w:val="en-US" w:eastAsia="zh-CN"/>
        </w:rPr>
        <w:t xml:space="preserve">Figure </w:t>
      </w:r>
      <w:r>
        <w:rPr>
          <w:rFonts w:eastAsiaTheme="minorEastAsia"/>
          <w:b/>
          <w:bCs/>
          <w:lang w:val="en-US" w:eastAsia="zh-CN"/>
        </w:rPr>
        <w:t>2</w:t>
      </w:r>
      <w:r w:rsidRPr="00643BA5">
        <w:rPr>
          <w:rFonts w:eastAsiaTheme="minorEastAsia"/>
          <w:b/>
          <w:bCs/>
          <w:lang w:val="en-US" w:eastAsia="zh-CN"/>
        </w:rPr>
        <w:t xml:space="preserve">: </w:t>
      </w:r>
      <w:r>
        <w:rPr>
          <w:rFonts w:eastAsiaTheme="minorEastAsia"/>
          <w:b/>
          <w:bCs/>
          <w:lang w:val="en-US" w:eastAsia="zh-CN"/>
        </w:rPr>
        <w:t xml:space="preserve">Example </w:t>
      </w:r>
      <w:r w:rsidRPr="00643BA5">
        <w:rPr>
          <w:rFonts w:eastAsiaTheme="minorEastAsia"/>
          <w:b/>
          <w:bCs/>
          <w:lang w:val="en-US" w:eastAsia="zh-CN"/>
        </w:rPr>
        <w:t xml:space="preserve">of </w:t>
      </w:r>
      <w:r>
        <w:rPr>
          <w:rFonts w:eastAsiaTheme="minorEastAsia"/>
          <w:b/>
          <w:bCs/>
          <w:lang w:val="en-US" w:eastAsia="zh-CN"/>
        </w:rPr>
        <w:t>two</w:t>
      </w:r>
      <w:r w:rsidRPr="00643BA5">
        <w:rPr>
          <w:rFonts w:eastAsiaTheme="minorEastAsia"/>
          <w:b/>
          <w:bCs/>
          <w:lang w:val="en-US" w:eastAsia="zh-CN"/>
        </w:rPr>
        <w:t xml:space="preserve"> sub HARQ-ACK codebooks</w:t>
      </w:r>
      <w:r>
        <w:rPr>
          <w:rFonts w:eastAsiaTheme="minorEastAsia"/>
          <w:b/>
          <w:bCs/>
          <w:lang w:val="en-US" w:eastAsia="zh-CN"/>
        </w:rPr>
        <w:t>, one</w:t>
      </w:r>
      <w:r w:rsidRPr="00643BA5">
        <w:rPr>
          <w:rFonts w:eastAsiaTheme="minorEastAsia"/>
          <w:b/>
          <w:bCs/>
          <w:lang w:val="en-US" w:eastAsia="zh-CN"/>
        </w:rPr>
        <w:t xml:space="preserve"> for multiple PDSCH</w:t>
      </w:r>
      <w:r>
        <w:rPr>
          <w:rFonts w:eastAsiaTheme="minorEastAsia"/>
          <w:b/>
          <w:bCs/>
          <w:lang w:val="en-US" w:eastAsia="zh-CN"/>
        </w:rPr>
        <w:t>s</w:t>
      </w:r>
      <w:r w:rsidRPr="00643BA5">
        <w:rPr>
          <w:rFonts w:eastAsiaTheme="minorEastAsia"/>
          <w:b/>
          <w:bCs/>
          <w:lang w:val="en-US" w:eastAsia="zh-CN"/>
        </w:rPr>
        <w:t xml:space="preserve"> by single DCI</w:t>
      </w:r>
      <w:r>
        <w:rPr>
          <w:rFonts w:eastAsiaTheme="minorEastAsia"/>
          <w:b/>
          <w:bCs/>
          <w:lang w:val="en-US" w:eastAsia="zh-CN"/>
        </w:rPr>
        <w:t xml:space="preserve"> and another for single PDSCH by single DCI</w:t>
      </w:r>
    </w:p>
    <w:p w14:paraId="307908FF" w14:textId="6F873584" w:rsidR="004D32B5" w:rsidRDefault="004D32B5" w:rsidP="004D32B5">
      <w:pPr>
        <w:spacing w:before="240" w:after="0"/>
        <w:jc w:val="both"/>
        <w:rPr>
          <w:b/>
          <w:i/>
          <w:iCs/>
          <w:lang w:eastAsia="ja-JP"/>
        </w:rPr>
      </w:pPr>
      <w:r>
        <w:rPr>
          <w:b/>
          <w:i/>
          <w:iCs/>
          <w:lang w:eastAsia="ja-JP"/>
        </w:rPr>
        <w:lastRenderedPageBreak/>
        <w:t xml:space="preserve">Proposal </w:t>
      </w:r>
      <w:r w:rsidR="008900D3">
        <w:rPr>
          <w:b/>
          <w:i/>
          <w:iCs/>
          <w:lang w:eastAsia="ja-JP"/>
        </w:rPr>
        <w:t>7</w:t>
      </w:r>
      <w:r>
        <w:rPr>
          <w:b/>
          <w:i/>
          <w:iCs/>
          <w:lang w:eastAsia="ja-JP"/>
        </w:rPr>
        <w:t xml:space="preserve">: </w:t>
      </w:r>
      <w:r w:rsidRPr="00FD44AA">
        <w:rPr>
          <w:b/>
          <w:i/>
          <w:iCs/>
          <w:lang w:eastAsia="ja-JP"/>
        </w:rPr>
        <w:t>For NR operation between 52.6 GHz and 71 GHz</w:t>
      </w:r>
      <w:r>
        <w:rPr>
          <w:b/>
          <w:i/>
          <w:iCs/>
          <w:lang w:eastAsia="ja-JP"/>
        </w:rPr>
        <w:t>, for dynamic (type-2) HARQ-ACK codebook, if C-DAI/T-DAI counting per DCI is agreed, the one of the following two options should be agreed for HARQ-ACK codebook construction:</w:t>
      </w:r>
    </w:p>
    <w:p w14:paraId="215E71BD" w14:textId="68919133" w:rsidR="004D32B5" w:rsidRDefault="004D32B5" w:rsidP="004D32B5">
      <w:pPr>
        <w:pStyle w:val="ListParagraph"/>
        <w:numPr>
          <w:ilvl w:val="0"/>
          <w:numId w:val="2"/>
        </w:numPr>
        <w:jc w:val="both"/>
        <w:rPr>
          <w:b/>
          <w:i/>
          <w:iCs/>
          <w:lang w:eastAsia="ja-JP"/>
        </w:rPr>
      </w:pPr>
      <w:r>
        <w:rPr>
          <w:b/>
          <w:i/>
          <w:iCs/>
          <w:lang w:eastAsia="ja-JP"/>
        </w:rPr>
        <w:t>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0A4A354C" w14:textId="681AD606" w:rsidR="004D32B5" w:rsidRDefault="004D32B5" w:rsidP="004D32B5">
      <w:pPr>
        <w:pStyle w:val="ListParagraph"/>
        <w:numPr>
          <w:ilvl w:val="0"/>
          <w:numId w:val="2"/>
        </w:numPr>
        <w:jc w:val="both"/>
        <w:rPr>
          <w:b/>
          <w:i/>
          <w:iCs/>
          <w:lang w:eastAsia="ja-JP"/>
        </w:rPr>
      </w:pPr>
      <w:r>
        <w:rPr>
          <w:b/>
          <w:i/>
          <w:iCs/>
          <w:lang w:eastAsia="ja-JP"/>
        </w:rPr>
        <w:t>Option 2: Same HARQ-ACK codebook is applied for multi-PDSCH scheduling DCI, even if the maximum allowed PDSCH scheduling is different</w:t>
      </w:r>
      <w:r w:rsidR="00597D06">
        <w:rPr>
          <w:b/>
          <w:i/>
          <w:iCs/>
          <w:lang w:eastAsia="ja-JP"/>
        </w:rPr>
        <w:t xml:space="preserve"> and codebook size alignment can be done by time-domain bundling. F</w:t>
      </w:r>
      <w:r w:rsidR="00A51DDA">
        <w:rPr>
          <w:b/>
          <w:i/>
          <w:iCs/>
          <w:lang w:eastAsia="ja-JP"/>
        </w:rPr>
        <w:t>or example if up to PDSCHs can be scheduled with 480 kHz and up to 8 PDSCHs can be scheduled with 960 kHz</w:t>
      </w:r>
      <w:r w:rsidR="00597D06">
        <w:rPr>
          <w:b/>
          <w:i/>
          <w:iCs/>
          <w:lang w:eastAsia="ja-JP"/>
        </w:rPr>
        <w:t xml:space="preserve">, then 4 HARQ-ACK bits are expected to be generated per DCI for both cases, where time-domain bundling for every 2 PDSCHs is applied for 960 kHz in order to limit the size to 4, similar to 480 kHz </w:t>
      </w:r>
    </w:p>
    <w:p w14:paraId="5AA23212" w14:textId="77777777" w:rsidR="00A47672" w:rsidRPr="004D32B5" w:rsidRDefault="00A47672" w:rsidP="00357D24">
      <w:pPr>
        <w:pStyle w:val="ListParagraph"/>
        <w:jc w:val="both"/>
        <w:rPr>
          <w:b/>
          <w:i/>
          <w:iCs/>
          <w:lang w:eastAsia="ja-JP"/>
        </w:rPr>
      </w:pPr>
    </w:p>
    <w:p w14:paraId="0376B0F9" w14:textId="61C18A3F" w:rsidR="00790DD7" w:rsidRPr="000B409F" w:rsidRDefault="00B31749"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6</w:t>
      </w:r>
      <w:r w:rsidR="00790DD7">
        <w:rPr>
          <w:rFonts w:ascii="Arial" w:eastAsia="MS Mincho" w:hAnsi="Arial"/>
          <w:sz w:val="36"/>
          <w:szCs w:val="36"/>
          <w:lang w:eastAsia="ja-JP"/>
        </w:rPr>
        <w:tab/>
        <w:t>Conclusion</w:t>
      </w:r>
    </w:p>
    <w:p w14:paraId="76F26797" w14:textId="3B92055C" w:rsidR="00D70EA8" w:rsidRPr="00347C63" w:rsidRDefault="002053BF" w:rsidP="00A40260">
      <w:pPr>
        <w:jc w:val="both"/>
        <w:rPr>
          <w:rFonts w:asciiTheme="majorBidi" w:hAnsiTheme="majorBidi" w:cstheme="majorBidi"/>
          <w:lang w:val="en-US"/>
        </w:rPr>
      </w:pPr>
      <w:r w:rsidRPr="00347C63">
        <w:rPr>
          <w:rFonts w:asciiTheme="majorBidi" w:hAnsiTheme="majorBidi" w:cstheme="majorBidi"/>
          <w:lang w:val="en-US"/>
        </w:rPr>
        <w:t xml:space="preserve">In this contribution, we </w:t>
      </w:r>
      <w:r w:rsidR="007513AB">
        <w:rPr>
          <w:rFonts w:asciiTheme="majorBidi" w:hAnsiTheme="majorBidi" w:cstheme="majorBidi"/>
          <w:lang w:val="en-US"/>
        </w:rPr>
        <w:t>discuss</w:t>
      </w:r>
      <w:r w:rsidR="002A4291">
        <w:rPr>
          <w:rFonts w:asciiTheme="majorBidi" w:hAnsiTheme="majorBidi" w:cstheme="majorBidi"/>
          <w:lang w:val="en-US"/>
        </w:rPr>
        <w:t>ed</w:t>
      </w:r>
      <w:r w:rsidR="007513AB">
        <w:rPr>
          <w:rFonts w:asciiTheme="majorBidi" w:hAnsiTheme="majorBidi" w:cstheme="majorBidi"/>
          <w:lang w:val="en-US"/>
        </w:rPr>
        <w:t xml:space="preserve"> </w:t>
      </w:r>
      <w:r w:rsidR="000970CA">
        <w:rPr>
          <w:rFonts w:asciiTheme="majorBidi" w:hAnsiTheme="majorBidi" w:cstheme="majorBidi"/>
          <w:lang w:val="en-US"/>
        </w:rPr>
        <w:t>enhancements for PDSCH/PUSCH scheduling for NR operation between</w:t>
      </w:r>
      <w:r w:rsidR="00E874E1">
        <w:rPr>
          <w:rFonts w:asciiTheme="majorBidi" w:hAnsiTheme="majorBidi" w:cstheme="majorBidi"/>
          <w:lang w:val="en-US"/>
        </w:rPr>
        <w:t xml:space="preserve"> 52.6 GHz to 71 GHz </w:t>
      </w:r>
      <w:r w:rsidR="002A63ED">
        <w:rPr>
          <w:rFonts w:asciiTheme="majorBidi" w:hAnsiTheme="majorBidi" w:cstheme="majorBidi"/>
          <w:lang w:val="en-US"/>
        </w:rPr>
        <w:t xml:space="preserve">with high SCS values </w:t>
      </w:r>
      <w:r w:rsidR="00E874E1">
        <w:rPr>
          <w:rFonts w:asciiTheme="majorBidi" w:hAnsiTheme="majorBidi" w:cstheme="majorBidi"/>
          <w:lang w:val="en-US"/>
        </w:rPr>
        <w:t xml:space="preserve">and </w:t>
      </w:r>
      <w:r w:rsidR="00356E4A">
        <w:rPr>
          <w:rFonts w:asciiTheme="majorBidi" w:hAnsiTheme="majorBidi" w:cstheme="majorBidi"/>
          <w:lang w:val="en-US"/>
        </w:rPr>
        <w:t>provided</w:t>
      </w:r>
      <w:r w:rsidR="00E874E1">
        <w:rPr>
          <w:rFonts w:asciiTheme="majorBidi" w:hAnsiTheme="majorBidi" w:cstheme="majorBidi"/>
          <w:lang w:val="en-US"/>
        </w:rPr>
        <w:t xml:space="preserve"> following observations/proposals:</w:t>
      </w:r>
      <w:r w:rsidR="00D70EA8" w:rsidRPr="00347C63">
        <w:rPr>
          <w:rFonts w:asciiTheme="majorBidi" w:hAnsiTheme="majorBidi" w:cstheme="majorBidi"/>
          <w:lang w:val="en-US"/>
        </w:rPr>
        <w:t xml:space="preserve"> </w:t>
      </w:r>
    </w:p>
    <w:p w14:paraId="64FDF684" w14:textId="63DF5831" w:rsidR="00CA67C0" w:rsidRDefault="00CA67C0" w:rsidP="00CA67C0">
      <w:pPr>
        <w:spacing w:after="0"/>
        <w:jc w:val="both"/>
        <w:rPr>
          <w:b/>
          <w:i/>
          <w:iCs/>
          <w:lang w:eastAsia="ja-JP"/>
        </w:rPr>
      </w:pPr>
      <w:r>
        <w:rPr>
          <w:b/>
          <w:i/>
          <w:iCs/>
          <w:lang w:eastAsia="ja-JP"/>
        </w:rPr>
        <w:t xml:space="preserve">Proposal 1: </w:t>
      </w:r>
      <w:r w:rsidRPr="00FD44AA">
        <w:rPr>
          <w:b/>
          <w:i/>
          <w:iCs/>
          <w:lang w:eastAsia="ja-JP"/>
        </w:rPr>
        <w:t xml:space="preserve">For NR operation between 52.6 GHz and 71 GHz with </w:t>
      </w:r>
      <w:r>
        <w:rPr>
          <w:b/>
          <w:i/>
          <w:iCs/>
          <w:lang w:eastAsia="ja-JP"/>
        </w:rPr>
        <w:t>120 kHz</w:t>
      </w:r>
      <w:r w:rsidRPr="00FD44AA">
        <w:rPr>
          <w:b/>
          <w:i/>
          <w:iCs/>
          <w:lang w:eastAsia="ja-JP"/>
        </w:rPr>
        <w:t>,</w:t>
      </w:r>
      <w:r>
        <w:rPr>
          <w:b/>
          <w:i/>
          <w:iCs/>
          <w:lang w:eastAsia="ja-JP"/>
        </w:rPr>
        <w:t xml:space="preserve"> multi-PDSCH scheduling enhancements are not considered in NR Rel-17, i.e. only single PDSCH can be scheduled by single DCI for 120 kHz SCS</w:t>
      </w:r>
    </w:p>
    <w:p w14:paraId="0A473D80" w14:textId="77777777" w:rsidR="00CA67C0" w:rsidRDefault="00CA67C0" w:rsidP="00CA67C0">
      <w:pPr>
        <w:spacing w:after="0"/>
        <w:jc w:val="both"/>
        <w:rPr>
          <w:b/>
          <w:i/>
          <w:iCs/>
          <w:lang w:eastAsia="ja-JP"/>
        </w:rPr>
      </w:pPr>
    </w:p>
    <w:p w14:paraId="7DE71BA9" w14:textId="6A0F1EFB" w:rsidR="00CA67C0" w:rsidRDefault="00CA67C0" w:rsidP="00CA67C0">
      <w:pPr>
        <w:spacing w:after="0"/>
        <w:jc w:val="both"/>
        <w:rPr>
          <w:b/>
          <w:i/>
          <w:iCs/>
          <w:lang w:eastAsia="ja-JP"/>
        </w:rPr>
      </w:pPr>
      <w:r>
        <w:rPr>
          <w:b/>
          <w:i/>
          <w:iCs/>
          <w:lang w:eastAsia="ja-JP"/>
        </w:rPr>
        <w:t xml:space="preserve">Proposal 2: </w:t>
      </w:r>
      <w:r w:rsidRPr="00FD44AA">
        <w:rPr>
          <w:b/>
          <w:i/>
          <w:iCs/>
          <w:lang w:eastAsia="ja-JP"/>
        </w:rPr>
        <w:t xml:space="preserve">For NR operation between 52.6 GHz and 71 GHz with </w:t>
      </w:r>
      <w:r>
        <w:rPr>
          <w:b/>
          <w:i/>
          <w:iCs/>
          <w:lang w:eastAsia="ja-JP"/>
        </w:rPr>
        <w:t>480 kHz</w:t>
      </w:r>
      <w:r w:rsidRPr="00FD44AA">
        <w:rPr>
          <w:b/>
          <w:i/>
          <w:iCs/>
          <w:lang w:eastAsia="ja-JP"/>
        </w:rPr>
        <w:t>,</w:t>
      </w:r>
      <w:r>
        <w:rPr>
          <w:b/>
          <w:i/>
          <w:iCs/>
          <w:lang w:eastAsia="ja-JP"/>
        </w:rPr>
        <w:t xml:space="preserve"> support scheduling up to 4 PDSCHs by single DCI.</w:t>
      </w:r>
    </w:p>
    <w:p w14:paraId="612467F6" w14:textId="77777777" w:rsidR="00CA67C0" w:rsidRDefault="00CA67C0" w:rsidP="00CA67C0">
      <w:pPr>
        <w:spacing w:after="0"/>
        <w:jc w:val="both"/>
        <w:rPr>
          <w:b/>
          <w:i/>
          <w:iCs/>
          <w:lang w:eastAsia="ja-JP"/>
        </w:rPr>
      </w:pPr>
    </w:p>
    <w:p w14:paraId="261D3050" w14:textId="4CB52DF8" w:rsidR="00CA67C0" w:rsidRDefault="00CA67C0" w:rsidP="00CA67C0">
      <w:pPr>
        <w:spacing w:after="0"/>
        <w:jc w:val="both"/>
        <w:rPr>
          <w:b/>
          <w:i/>
          <w:iCs/>
          <w:lang w:eastAsia="ja-JP"/>
        </w:rPr>
      </w:pPr>
      <w:r>
        <w:rPr>
          <w:b/>
          <w:i/>
          <w:iCs/>
          <w:lang w:eastAsia="ja-JP"/>
        </w:rPr>
        <w:t xml:space="preserve">Proposal 3: </w:t>
      </w:r>
      <w:r w:rsidRPr="00FD44AA">
        <w:rPr>
          <w:b/>
          <w:i/>
          <w:iCs/>
          <w:lang w:eastAsia="ja-JP"/>
        </w:rPr>
        <w:t xml:space="preserve">For NR operation between 52.6 GHz and 71 GHz with </w:t>
      </w:r>
      <w:r>
        <w:rPr>
          <w:b/>
          <w:i/>
          <w:iCs/>
          <w:lang w:eastAsia="ja-JP"/>
        </w:rPr>
        <w:t>120 kHz and 480 kHz</w:t>
      </w:r>
      <w:r w:rsidRPr="00FD44AA">
        <w:rPr>
          <w:b/>
          <w:i/>
          <w:iCs/>
          <w:lang w:eastAsia="ja-JP"/>
        </w:rPr>
        <w:t>,</w:t>
      </w:r>
      <w:r>
        <w:rPr>
          <w:b/>
          <w:i/>
          <w:iCs/>
          <w:lang w:eastAsia="ja-JP"/>
        </w:rPr>
        <w:t xml:space="preserve"> support scheduling up to 8 PUSCHs by single DCI, similar to 960 kHz SCS.</w:t>
      </w:r>
    </w:p>
    <w:p w14:paraId="5DB1689F" w14:textId="77777777" w:rsidR="00CA67C0" w:rsidRDefault="00CA67C0" w:rsidP="00CA67C0">
      <w:pPr>
        <w:spacing w:after="0"/>
        <w:jc w:val="both"/>
        <w:rPr>
          <w:b/>
          <w:i/>
          <w:iCs/>
          <w:lang w:eastAsia="ja-JP"/>
        </w:rPr>
      </w:pPr>
    </w:p>
    <w:p w14:paraId="48D321BD" w14:textId="7A077A51" w:rsidR="00CA67C0" w:rsidRDefault="00CA67C0" w:rsidP="00CA67C0">
      <w:pPr>
        <w:spacing w:after="0"/>
        <w:jc w:val="both"/>
        <w:rPr>
          <w:b/>
          <w:i/>
          <w:iCs/>
          <w:lang w:eastAsia="ja-JP"/>
        </w:rPr>
      </w:pPr>
      <w:r>
        <w:rPr>
          <w:b/>
          <w:i/>
          <w:iCs/>
          <w:lang w:eastAsia="ja-JP"/>
        </w:rPr>
        <w:t xml:space="preserve">Proposal 4: </w:t>
      </w:r>
      <w:r w:rsidRPr="00FD44AA">
        <w:rPr>
          <w:b/>
          <w:i/>
          <w:iCs/>
          <w:lang w:eastAsia="ja-JP"/>
        </w:rPr>
        <w:t xml:space="preserve">For NR operation between 52.6 GHz and 71 GHz, </w:t>
      </w:r>
      <w:r>
        <w:rPr>
          <w:b/>
          <w:i/>
          <w:iCs/>
          <w:lang w:eastAsia="ja-JP"/>
        </w:rPr>
        <w:t>for HARQ-ACK information corresponding to PDSCHs scheduled by the DCI, different PUCCH(s) can be used where the PUCCH carrying the HARQ-ACK can be transmitted in the middle of non-contiguous PDSCHs transmissions to allow earlier/faster transmission of HARQ-ACK associated with earlier PDSCHs</w:t>
      </w:r>
    </w:p>
    <w:p w14:paraId="0BEC7E79" w14:textId="77777777" w:rsidR="00CA67C0" w:rsidRDefault="00CA67C0" w:rsidP="00CA67C0">
      <w:pPr>
        <w:spacing w:after="0"/>
        <w:jc w:val="both"/>
        <w:rPr>
          <w:b/>
          <w:i/>
          <w:iCs/>
          <w:lang w:eastAsia="ja-JP"/>
        </w:rPr>
      </w:pPr>
    </w:p>
    <w:p w14:paraId="66C21DBC" w14:textId="77777777" w:rsidR="00CA67C0" w:rsidRDefault="00CA67C0" w:rsidP="00CA67C0">
      <w:pPr>
        <w:jc w:val="both"/>
        <w:rPr>
          <w:b/>
          <w:i/>
          <w:iCs/>
          <w:lang w:eastAsia="ja-JP"/>
        </w:rPr>
      </w:pPr>
      <w:r>
        <w:rPr>
          <w:b/>
          <w:i/>
          <w:iCs/>
          <w:lang w:eastAsia="ja-JP"/>
        </w:rPr>
        <w:t xml:space="preserve">Proposal 5: </w:t>
      </w:r>
      <w:r w:rsidRPr="00FD44AA">
        <w:rPr>
          <w:b/>
          <w:i/>
          <w:iCs/>
          <w:lang w:eastAsia="ja-JP"/>
        </w:rPr>
        <w:t>For NR operation between 52.6 GHz and 71 GHz</w:t>
      </w:r>
      <w:r>
        <w:rPr>
          <w:b/>
          <w:i/>
          <w:iCs/>
          <w:lang w:eastAsia="ja-JP"/>
        </w:rPr>
        <w:t xml:space="preserve">, in order to generate type-1 HARQ-ACK codebook corresponding to DCI that can schedule multiple PDSCHs, the set of </w:t>
      </w:r>
      <w:r w:rsidRPr="00024E24">
        <w:rPr>
          <w:b/>
          <w:i/>
          <w:iCs/>
          <w:lang w:eastAsia="ja-JP"/>
        </w:rPr>
        <w:t>candidate PDSCH reception occasions is determined according to each SLIV of each row in the TDRA table and based on extension of K1 set</w:t>
      </w:r>
      <w:r>
        <w:rPr>
          <w:b/>
          <w:i/>
          <w:iCs/>
          <w:lang w:eastAsia="ja-JP"/>
        </w:rPr>
        <w:t>.</w:t>
      </w:r>
    </w:p>
    <w:p w14:paraId="3FFB997A" w14:textId="01EB7442" w:rsidR="00CA67C0" w:rsidRDefault="00CA67C0" w:rsidP="00CA67C0">
      <w:pPr>
        <w:jc w:val="both"/>
        <w:rPr>
          <w:b/>
          <w:i/>
          <w:iCs/>
          <w:lang w:eastAsia="ja-JP"/>
        </w:rPr>
      </w:pPr>
      <w:r>
        <w:rPr>
          <w:b/>
          <w:i/>
          <w:iCs/>
          <w:lang w:eastAsia="ja-JP"/>
        </w:rPr>
        <w:t xml:space="preserve">Proposal </w:t>
      </w:r>
      <w:r>
        <w:rPr>
          <w:b/>
          <w:i/>
          <w:iCs/>
          <w:lang w:eastAsia="ja-JP"/>
        </w:rPr>
        <w:t>6</w:t>
      </w:r>
      <w:r>
        <w:rPr>
          <w:b/>
          <w:i/>
          <w:iCs/>
          <w:lang w:eastAsia="ja-JP"/>
        </w:rPr>
        <w:t xml:space="preserve">: </w:t>
      </w:r>
      <w:r w:rsidRPr="00FD44AA">
        <w:rPr>
          <w:b/>
          <w:i/>
          <w:iCs/>
          <w:lang w:eastAsia="ja-JP"/>
        </w:rPr>
        <w:t>For NR operation between 52.6 GHz and 71 GHz</w:t>
      </w:r>
      <w:r>
        <w:rPr>
          <w:b/>
          <w:i/>
          <w:iCs/>
          <w:lang w:eastAsia="ja-JP"/>
        </w:rPr>
        <w:t>, for dynamic (type-2) HARQ-ACK codebook, support C-DAI/T-DAI counting per DCI.</w:t>
      </w:r>
    </w:p>
    <w:p w14:paraId="323BB18A" w14:textId="2DC3B3E3" w:rsidR="00CA67C0" w:rsidRDefault="00CA67C0" w:rsidP="00CA67C0">
      <w:pPr>
        <w:spacing w:before="240" w:after="0"/>
        <w:jc w:val="both"/>
        <w:rPr>
          <w:b/>
          <w:i/>
          <w:iCs/>
          <w:lang w:eastAsia="ja-JP"/>
        </w:rPr>
      </w:pPr>
      <w:r>
        <w:rPr>
          <w:b/>
          <w:i/>
          <w:iCs/>
          <w:lang w:eastAsia="ja-JP"/>
        </w:rPr>
        <w:t xml:space="preserve">Proposal </w:t>
      </w:r>
      <w:r>
        <w:rPr>
          <w:b/>
          <w:i/>
          <w:iCs/>
          <w:lang w:eastAsia="ja-JP"/>
        </w:rPr>
        <w:t>7</w:t>
      </w:r>
      <w:r>
        <w:rPr>
          <w:b/>
          <w:i/>
          <w:iCs/>
          <w:lang w:eastAsia="ja-JP"/>
        </w:rPr>
        <w:t xml:space="preserve">: </w:t>
      </w:r>
      <w:r w:rsidRPr="00FD44AA">
        <w:rPr>
          <w:b/>
          <w:i/>
          <w:iCs/>
          <w:lang w:eastAsia="ja-JP"/>
        </w:rPr>
        <w:t>For NR operation between 52.6 GHz and 71 GHz</w:t>
      </w:r>
      <w:r>
        <w:rPr>
          <w:b/>
          <w:i/>
          <w:iCs/>
          <w:lang w:eastAsia="ja-JP"/>
        </w:rPr>
        <w:t>, for dynamic (type-2) HARQ-ACK codebook, if C-DAI/T-DAI counting per DCI is agreed, the one of the following two options should be agreed for HARQ-ACK codebook construction:</w:t>
      </w:r>
    </w:p>
    <w:p w14:paraId="3716DB44" w14:textId="4B917CA3" w:rsidR="00CA67C0" w:rsidRDefault="00CA67C0" w:rsidP="00CA67C0">
      <w:pPr>
        <w:pStyle w:val="ListParagraph"/>
        <w:numPr>
          <w:ilvl w:val="0"/>
          <w:numId w:val="2"/>
        </w:numPr>
        <w:jc w:val="both"/>
        <w:rPr>
          <w:b/>
          <w:i/>
          <w:iCs/>
          <w:lang w:eastAsia="ja-JP"/>
        </w:rPr>
      </w:pPr>
      <w:r>
        <w:rPr>
          <w:b/>
          <w:i/>
          <w:iCs/>
          <w:lang w:eastAsia="ja-JP"/>
        </w:rPr>
        <w:t>Option 1: Different sub HARQ-ACK codebook is generated for numerology corresponding to which different number of maximum PDSCHs can be scheduled. For example, if up to 1 PDSCH is scheduled for 120 kHz, then first sub HARQ-ACK codebook is constructed for 120 kHz, if up to 4 PDSCHs are scheduled for 480 kHz, then second sub HARQ-ACK codebook is constructed for 480 kHz, and if up to 8 PDSCHs are scheduled for 960 kHz, then third sub HARQ-ACK codebook is constructed for 960 kHz</w:t>
      </w:r>
    </w:p>
    <w:p w14:paraId="02E69B45" w14:textId="00666A33" w:rsidR="00CA67C0" w:rsidRDefault="00CA67C0" w:rsidP="00CA67C0">
      <w:pPr>
        <w:pStyle w:val="ListParagraph"/>
        <w:numPr>
          <w:ilvl w:val="0"/>
          <w:numId w:val="2"/>
        </w:numPr>
        <w:jc w:val="both"/>
        <w:rPr>
          <w:b/>
          <w:i/>
          <w:iCs/>
          <w:lang w:eastAsia="ja-JP"/>
        </w:rPr>
      </w:pPr>
      <w:r>
        <w:rPr>
          <w:b/>
          <w:i/>
          <w:iCs/>
          <w:lang w:eastAsia="ja-JP"/>
        </w:rPr>
        <w:t>Option 2: Same HARQ-ACK codebook is applied for multi-PDSCH scheduling DCI, even if the maximum allowed PDSCH scheduling is different and codebook size alignment can be done by time-domain bundling. For example if up to PDSCHs can be scheduled with 480 kHz and up to 8 PDSCHs can be scheduled with 960 kHz, then 4 HARQ-ACK bits are expected to be generated per DCI for both cases, where time-domain bundling for every 2 PDSCHs is applied for 960 kHz in order to limit the size to 4, similar to 480 kHz</w:t>
      </w:r>
    </w:p>
    <w:p w14:paraId="65814491" w14:textId="77777777" w:rsidR="009E357C" w:rsidRPr="00E17F97" w:rsidRDefault="009E357C" w:rsidP="009E357C">
      <w:pPr>
        <w:pStyle w:val="ListParagraph"/>
        <w:jc w:val="both"/>
        <w:rPr>
          <w:b/>
          <w:bCs/>
        </w:rPr>
      </w:pPr>
    </w:p>
    <w:p w14:paraId="388AD2B8" w14:textId="5FC0B771" w:rsidR="00790DD7" w:rsidRPr="000B409F" w:rsidRDefault="00B31749" w:rsidP="00790DD7">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lastRenderedPageBreak/>
        <w:t>7</w:t>
      </w:r>
      <w:r w:rsidR="00790DD7">
        <w:rPr>
          <w:rFonts w:ascii="Arial" w:eastAsia="MS Mincho" w:hAnsi="Arial"/>
          <w:sz w:val="36"/>
          <w:szCs w:val="36"/>
          <w:lang w:eastAsia="ja-JP"/>
        </w:rPr>
        <w:tab/>
      </w:r>
      <w:r w:rsidR="00790DD7" w:rsidRPr="000B409F">
        <w:rPr>
          <w:rFonts w:ascii="Arial" w:eastAsia="MS Mincho" w:hAnsi="Arial"/>
          <w:sz w:val="36"/>
          <w:szCs w:val="36"/>
          <w:lang w:eastAsia="ja-JP"/>
        </w:rPr>
        <w:t>References</w:t>
      </w:r>
    </w:p>
    <w:p w14:paraId="1D55BFA2" w14:textId="77777777" w:rsidR="00310108" w:rsidRDefault="003A0821" w:rsidP="00310108">
      <w:pPr>
        <w:spacing w:beforeLines="50" w:before="120"/>
        <w:jc w:val="both"/>
      </w:pPr>
      <w:r>
        <w:t>[</w:t>
      </w:r>
      <w:r w:rsidR="00713F0E">
        <w:t>1</w:t>
      </w:r>
      <w:r>
        <w:t>]</w:t>
      </w:r>
      <w:r>
        <w:tab/>
      </w:r>
      <w:r w:rsidR="00310108">
        <w:t>3GPP RP-210862, “</w:t>
      </w:r>
      <w:r w:rsidR="00310108" w:rsidRPr="001552C4">
        <w:rPr>
          <w:i/>
          <w:iCs/>
        </w:rPr>
        <w:t>Revised WID:  Extending current NR operation to 71 GHz</w:t>
      </w:r>
      <w:r w:rsidR="00310108">
        <w:t>”, CMCC</w:t>
      </w:r>
    </w:p>
    <w:p w14:paraId="2D6E4367" w14:textId="6BA32C16" w:rsidR="00E33271" w:rsidRDefault="00C50E8E" w:rsidP="00DA2702">
      <w:pPr>
        <w:spacing w:beforeLines="50" w:before="120"/>
        <w:jc w:val="both"/>
      </w:pPr>
      <w:r>
        <w:t>[</w:t>
      </w:r>
      <w:r w:rsidR="00C13D3E">
        <w:t>2</w:t>
      </w:r>
      <w:r>
        <w:t xml:space="preserve">] </w:t>
      </w:r>
      <w:r>
        <w:tab/>
        <w:t>3GPP RAN1#10</w:t>
      </w:r>
      <w:r w:rsidR="00743258">
        <w:t>4b</w:t>
      </w:r>
      <w:r>
        <w:t>-e. “</w:t>
      </w:r>
      <w:r w:rsidRPr="00191ECC">
        <w:rPr>
          <w:i/>
          <w:iCs/>
        </w:rPr>
        <w:t>Chairman Notes</w:t>
      </w:r>
      <w:r>
        <w:t>”</w:t>
      </w:r>
    </w:p>
    <w:p w14:paraId="66976A59" w14:textId="57001143" w:rsidR="007865A9" w:rsidRDefault="007865A9" w:rsidP="007865A9">
      <w:pPr>
        <w:spacing w:beforeLines="50" w:before="120"/>
        <w:jc w:val="both"/>
      </w:pPr>
      <w:r>
        <w:t xml:space="preserve">[3] </w:t>
      </w:r>
      <w:r>
        <w:tab/>
        <w:t>3GPP RAN1#104-e. “</w:t>
      </w:r>
      <w:r w:rsidRPr="00191ECC">
        <w:rPr>
          <w:i/>
          <w:iCs/>
        </w:rPr>
        <w:t>Chairman Notes</w:t>
      </w:r>
      <w:r>
        <w:t>”</w:t>
      </w:r>
    </w:p>
    <w:p w14:paraId="436C4A1A" w14:textId="77777777" w:rsidR="00DA2702" w:rsidRPr="007865A9" w:rsidRDefault="00DA2702" w:rsidP="00DA2702">
      <w:pPr>
        <w:spacing w:beforeLines="50" w:before="120"/>
        <w:jc w:val="both"/>
      </w:pPr>
    </w:p>
    <w:p w14:paraId="50E9BF8D" w14:textId="60D5FF95" w:rsidR="00E0482F" w:rsidRPr="0085101F" w:rsidRDefault="00B31749" w:rsidP="00E0482F">
      <w:pPr>
        <w:keepNext/>
        <w:keepLines/>
        <w:pBdr>
          <w:top w:val="single" w:sz="12" w:space="3" w:color="auto"/>
        </w:pBdr>
        <w:tabs>
          <w:tab w:val="num" w:pos="426"/>
          <w:tab w:val="num" w:pos="4969"/>
        </w:tabs>
        <w:ind w:left="426" w:hanging="426"/>
        <w:jc w:val="both"/>
        <w:outlineLvl w:val="0"/>
        <w:rPr>
          <w:rFonts w:ascii="Arial" w:eastAsia="MS Mincho" w:hAnsi="Arial"/>
          <w:sz w:val="36"/>
          <w:szCs w:val="36"/>
          <w:lang w:eastAsia="ja-JP"/>
        </w:rPr>
      </w:pPr>
      <w:r>
        <w:rPr>
          <w:rFonts w:ascii="Arial" w:eastAsia="MS Mincho" w:hAnsi="Arial"/>
          <w:sz w:val="36"/>
          <w:szCs w:val="36"/>
          <w:lang w:eastAsia="ja-JP"/>
        </w:rPr>
        <w:t>8</w:t>
      </w:r>
      <w:r w:rsidR="00E0482F" w:rsidRPr="0085101F">
        <w:rPr>
          <w:rFonts w:ascii="Arial" w:eastAsia="MS Mincho" w:hAnsi="Arial"/>
          <w:sz w:val="36"/>
          <w:szCs w:val="36"/>
          <w:lang w:eastAsia="ja-JP"/>
        </w:rPr>
        <w:tab/>
        <w:t xml:space="preserve">Appendix </w:t>
      </w:r>
    </w:p>
    <w:p w14:paraId="326652E6" w14:textId="787EEE47" w:rsidR="00E0482F" w:rsidRDefault="00B31749" w:rsidP="00E0482F">
      <w:pPr>
        <w:pStyle w:val="Heading2"/>
        <w:keepNext w:val="0"/>
        <w:tabs>
          <w:tab w:val="left" w:pos="4969"/>
        </w:tabs>
        <w:spacing w:before="240" w:after="240"/>
        <w:ind w:left="576" w:hanging="576"/>
        <w:jc w:val="both"/>
        <w:rPr>
          <w:i/>
          <w:iCs/>
        </w:rPr>
      </w:pPr>
      <w:r>
        <w:rPr>
          <w:rFonts w:ascii="Arial" w:eastAsia="MS Mincho" w:hAnsi="Arial" w:cs="Arial"/>
          <w:iCs/>
          <w:color w:val="auto"/>
          <w:sz w:val="28"/>
          <w:szCs w:val="36"/>
        </w:rPr>
        <w:t>8</w:t>
      </w:r>
      <w:r w:rsidR="00E0482F" w:rsidRPr="003237DE">
        <w:rPr>
          <w:rFonts w:ascii="Arial" w:eastAsia="MS Mincho" w:hAnsi="Arial" w:cs="Arial"/>
          <w:iCs/>
          <w:color w:val="auto"/>
          <w:sz w:val="28"/>
          <w:szCs w:val="36"/>
        </w:rPr>
        <w:t>.</w:t>
      </w:r>
      <w:r w:rsidR="00E0482F">
        <w:rPr>
          <w:rFonts w:ascii="Arial" w:eastAsia="MS Mincho" w:hAnsi="Arial" w:cs="Arial"/>
          <w:iCs/>
          <w:color w:val="auto"/>
          <w:sz w:val="28"/>
          <w:szCs w:val="36"/>
        </w:rPr>
        <w:t>1</w:t>
      </w:r>
      <w:r w:rsidR="00E0482F" w:rsidRPr="003237DE">
        <w:rPr>
          <w:rFonts w:ascii="Arial" w:eastAsia="MS Mincho" w:hAnsi="Arial" w:cs="Arial"/>
          <w:iCs/>
          <w:color w:val="auto"/>
          <w:sz w:val="28"/>
          <w:szCs w:val="36"/>
        </w:rPr>
        <w:t xml:space="preserve"> </w:t>
      </w:r>
      <w:r w:rsidR="00276DF2">
        <w:rPr>
          <w:rFonts w:ascii="Arial" w:eastAsia="MS Mincho" w:hAnsi="Arial" w:cs="Arial"/>
          <w:iCs/>
          <w:color w:val="auto"/>
          <w:sz w:val="28"/>
          <w:szCs w:val="36"/>
        </w:rPr>
        <w:t xml:space="preserve">Remaining </w:t>
      </w:r>
      <w:r w:rsidR="002661F3">
        <w:rPr>
          <w:rFonts w:ascii="Arial" w:eastAsia="MS Mincho" w:hAnsi="Arial" w:cs="Arial"/>
          <w:iCs/>
          <w:color w:val="auto"/>
          <w:sz w:val="28"/>
          <w:szCs w:val="36"/>
        </w:rPr>
        <w:t>a</w:t>
      </w:r>
      <w:r w:rsidR="00E0482F" w:rsidRPr="003237DE">
        <w:rPr>
          <w:rFonts w:ascii="Arial" w:eastAsia="MS Mincho" w:hAnsi="Arial" w:cs="Arial"/>
          <w:iCs/>
          <w:color w:val="auto"/>
          <w:sz w:val="28"/>
          <w:szCs w:val="36"/>
        </w:rPr>
        <w:t xml:space="preserve">greements </w:t>
      </w:r>
      <w:r w:rsidR="00E0482F">
        <w:rPr>
          <w:rFonts w:ascii="Arial" w:eastAsia="MS Mincho" w:hAnsi="Arial" w:cs="Arial"/>
          <w:iCs/>
          <w:color w:val="auto"/>
          <w:sz w:val="28"/>
          <w:szCs w:val="36"/>
        </w:rPr>
        <w:t xml:space="preserve">from </w:t>
      </w:r>
      <w:r w:rsidR="00E0482F" w:rsidRPr="003237DE">
        <w:rPr>
          <w:rFonts w:ascii="Arial" w:eastAsia="MS Mincho" w:hAnsi="Arial" w:cs="Arial"/>
          <w:iCs/>
          <w:color w:val="auto"/>
          <w:sz w:val="28"/>
          <w:szCs w:val="36"/>
        </w:rPr>
        <w:t>RAN1</w:t>
      </w:r>
      <w:r w:rsidR="00E0482F">
        <w:rPr>
          <w:rFonts w:ascii="Arial" w:eastAsia="MS Mincho" w:hAnsi="Arial" w:cs="Arial"/>
          <w:iCs/>
          <w:color w:val="auto"/>
          <w:sz w:val="28"/>
          <w:szCs w:val="36"/>
        </w:rPr>
        <w:t>#</w:t>
      </w:r>
      <w:r w:rsidR="00E0482F" w:rsidRPr="003237DE">
        <w:rPr>
          <w:rFonts w:ascii="Arial" w:eastAsia="MS Mincho" w:hAnsi="Arial" w:cs="Arial"/>
          <w:iCs/>
          <w:color w:val="auto"/>
          <w:sz w:val="28"/>
          <w:szCs w:val="36"/>
        </w:rPr>
        <w:t>10</w:t>
      </w:r>
      <w:r w:rsidR="007E66FE">
        <w:rPr>
          <w:rFonts w:ascii="Arial" w:eastAsia="MS Mincho" w:hAnsi="Arial" w:cs="Arial"/>
          <w:iCs/>
          <w:color w:val="auto"/>
          <w:sz w:val="28"/>
          <w:szCs w:val="36"/>
        </w:rPr>
        <w:t>4</w:t>
      </w:r>
      <w:r w:rsidR="005131E4">
        <w:rPr>
          <w:rFonts w:ascii="Arial" w:eastAsia="MS Mincho" w:hAnsi="Arial" w:cs="Arial"/>
          <w:iCs/>
          <w:color w:val="auto"/>
          <w:sz w:val="28"/>
          <w:szCs w:val="36"/>
        </w:rPr>
        <w:t>b</w:t>
      </w:r>
      <w:r w:rsidR="00E0482F">
        <w:rPr>
          <w:rFonts w:ascii="Arial" w:eastAsia="MS Mincho" w:hAnsi="Arial" w:cs="Arial"/>
          <w:iCs/>
          <w:color w:val="auto"/>
          <w:sz w:val="28"/>
          <w:szCs w:val="36"/>
        </w:rPr>
        <w:t>-</w:t>
      </w:r>
      <w:r w:rsidR="00E0482F" w:rsidRPr="003237DE">
        <w:rPr>
          <w:rFonts w:ascii="Arial" w:eastAsia="MS Mincho" w:hAnsi="Arial" w:cs="Arial"/>
          <w:iCs/>
          <w:color w:val="auto"/>
          <w:sz w:val="28"/>
          <w:szCs w:val="36"/>
        </w:rPr>
        <w:t>e</w:t>
      </w:r>
      <w:r w:rsidR="009C0C83">
        <w:rPr>
          <w:rFonts w:ascii="Arial" w:eastAsia="MS Mincho" w:hAnsi="Arial" w:cs="Arial"/>
          <w:iCs/>
          <w:color w:val="auto"/>
          <w:sz w:val="28"/>
          <w:szCs w:val="36"/>
        </w:rPr>
        <w:t xml:space="preserve"> for multi-PDSCH/PUSCH</w:t>
      </w:r>
    </w:p>
    <w:p w14:paraId="41D91B43" w14:textId="77777777" w:rsidR="00FF76F7" w:rsidRPr="0041123A" w:rsidRDefault="00FF76F7" w:rsidP="00FF76F7">
      <w:pPr>
        <w:pStyle w:val="ListParagraph"/>
        <w:spacing w:after="160" w:line="256" w:lineRule="auto"/>
        <w:ind w:left="0"/>
        <w:jc w:val="both"/>
        <w:rPr>
          <w:rFonts w:eastAsia="Malgun Gothic"/>
          <w:i/>
          <w:iCs/>
          <w:lang w:val="en-US" w:eastAsia="ko-KR"/>
        </w:rPr>
      </w:pPr>
      <w:r w:rsidRPr="0041123A">
        <w:rPr>
          <w:rFonts w:eastAsia="Malgun Gothic"/>
          <w:i/>
          <w:iCs/>
          <w:highlight w:val="green"/>
          <w:lang w:val="en-US" w:eastAsia="ko-KR"/>
        </w:rPr>
        <w:t>Agreement:</w:t>
      </w:r>
    </w:p>
    <w:p w14:paraId="40F7A29F" w14:textId="77777777" w:rsidR="00FF76F7" w:rsidRPr="0041123A" w:rsidRDefault="00FF76F7" w:rsidP="00FF76F7">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41123A">
        <w:rPr>
          <w:rFonts w:eastAsia="Malgun Gothic"/>
          <w:i/>
          <w:iCs/>
          <w:lang w:val="en-US" w:eastAsia="ko-KR"/>
        </w:rPr>
        <w:t>For a DCI that can schedule multiple PUSCHs,</w:t>
      </w:r>
    </w:p>
    <w:p w14:paraId="772679F6"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i/>
          <w:iCs/>
          <w:lang w:val="en-US" w:eastAsia="ko-KR"/>
        </w:rPr>
        <w:t>TDRA: Alt 2 (</w:t>
      </w:r>
      <w:r w:rsidRPr="0041123A">
        <w:rPr>
          <w:i/>
          <w:iCs/>
        </w:rPr>
        <w:t>TDRA table is extended such that each row indicates up to 8 multiple PUSCHs (that can be non-continuous in time-domain). Each PUSCH has a separate SLIV and mapping type. The number of scheduled PUSCHs is implicitly indicated by the number of indicated valid SLIVs in the row of the TDRA table signalled in DCI.</w:t>
      </w:r>
      <w:r w:rsidRPr="0041123A">
        <w:rPr>
          <w:rFonts w:eastAsia="Malgun Gothic"/>
          <w:i/>
          <w:iCs/>
          <w:lang w:val="en-US" w:eastAsia="ko-KR"/>
        </w:rPr>
        <w:t xml:space="preserve">), </w:t>
      </w:r>
      <w:r w:rsidRPr="0041123A">
        <w:rPr>
          <w:rFonts w:eastAsia="Malgun Gothic"/>
          <w:i/>
          <w:iCs/>
          <w:lang w:val="en-US"/>
        </w:rPr>
        <w:t>as per agreement made in RAN1#104-e</w:t>
      </w:r>
    </w:p>
    <w:p w14:paraId="1A21C828"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rFonts w:eastAsia="Malgun Gothic"/>
          <w:i/>
          <w:iCs/>
          <w:lang w:val="en-US" w:eastAsia="ko-KR"/>
        </w:rPr>
        <w:t>FFS: signaling details</w:t>
      </w:r>
    </w:p>
    <w:p w14:paraId="1D086EB1"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i/>
          <w:iCs/>
          <w:lang w:val="en-US"/>
        </w:rPr>
        <w:t>Note: Alt 2 does not preclude continuous resource allocation in time-domain.</w:t>
      </w:r>
    </w:p>
    <w:p w14:paraId="678B2CB4" w14:textId="77777777" w:rsidR="00FF76F7" w:rsidRPr="0041123A" w:rsidRDefault="00FF76F7" w:rsidP="00FF76F7">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41123A">
        <w:rPr>
          <w:rFonts w:eastAsia="Malgun Gothic"/>
          <w:i/>
          <w:iCs/>
          <w:lang w:val="en-US" w:eastAsia="ko-KR"/>
        </w:rPr>
        <w:t>For a DCI that can schedule multiple PDSCHs,</w:t>
      </w:r>
    </w:p>
    <w:p w14:paraId="613EDC44"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i/>
          <w:iCs/>
          <w:lang w:val="en-US" w:eastAsia="ko-KR"/>
        </w:rPr>
        <w:t xml:space="preserve">TDRA: </w:t>
      </w:r>
      <w:r w:rsidRPr="0041123A">
        <w:rPr>
          <w:i/>
          <w:iCs/>
        </w:rPr>
        <w:t>TDRA table is extended such that each row indicates up to 8 multiple PDSCHs (that can be non-continuous in time-domain). Each PDSCH has a separate SLIV and mapping type. The number of scheduled PDSCHs is implicitly indicated by the number of indicated valid SLIVs in the row of the TDRA table signalled in DCI.</w:t>
      </w:r>
    </w:p>
    <w:p w14:paraId="4395059A"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rFonts w:eastAsia="Malgun Gothic"/>
          <w:i/>
          <w:iCs/>
          <w:lang w:val="en-US" w:eastAsia="ko-KR"/>
        </w:rPr>
        <w:t>FFS: signaling details</w:t>
      </w:r>
    </w:p>
    <w:p w14:paraId="4704CA2C"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i/>
          <w:iCs/>
          <w:lang w:val="en-US"/>
        </w:rPr>
        <w:t>Note: This does not preclude continuous resource allocation in time-domain.</w:t>
      </w:r>
    </w:p>
    <w:p w14:paraId="1DCCE309"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i/>
          <w:iCs/>
          <w:lang w:val="en-US" w:eastAsia="ko-KR"/>
        </w:rPr>
        <w:t>Note: Multi-PDSCH scheduling for the case of 120 kHz SCS is still FFS as per prior agreement. This case can be addressed after this FFS has been decided.</w:t>
      </w:r>
    </w:p>
    <w:p w14:paraId="582E9D12" w14:textId="77777777" w:rsidR="00FF76F7" w:rsidRPr="0041123A" w:rsidRDefault="00FF76F7" w:rsidP="00FF76F7">
      <w:pPr>
        <w:pStyle w:val="ListParagraph"/>
        <w:spacing w:after="160" w:line="256" w:lineRule="auto"/>
        <w:ind w:left="0"/>
        <w:jc w:val="both"/>
        <w:rPr>
          <w:rFonts w:eastAsia="Malgun Gothic"/>
          <w:i/>
          <w:iCs/>
          <w:lang w:val="en-US" w:eastAsia="ko-KR"/>
        </w:rPr>
      </w:pPr>
    </w:p>
    <w:p w14:paraId="019B3D16" w14:textId="77777777" w:rsidR="00FF76F7" w:rsidRPr="0041123A" w:rsidRDefault="00FF76F7" w:rsidP="0041123A">
      <w:pPr>
        <w:spacing w:after="0"/>
        <w:rPr>
          <w:i/>
          <w:iCs/>
          <w:u w:val="single"/>
          <w:lang w:eastAsia="x-none"/>
        </w:rPr>
      </w:pPr>
      <w:r w:rsidRPr="0041123A">
        <w:rPr>
          <w:i/>
          <w:iCs/>
          <w:u w:val="single"/>
          <w:lang w:eastAsia="x-none"/>
        </w:rPr>
        <w:t>Conclusion:</w:t>
      </w:r>
    </w:p>
    <w:p w14:paraId="3B832F36" w14:textId="77777777" w:rsidR="00FF76F7" w:rsidRPr="0041123A" w:rsidRDefault="00FF76F7" w:rsidP="0041123A">
      <w:pPr>
        <w:spacing w:after="0"/>
        <w:rPr>
          <w:i/>
          <w:iCs/>
          <w:lang w:eastAsia="x-none"/>
        </w:rPr>
      </w:pPr>
      <w:r w:rsidRPr="0041123A">
        <w:rPr>
          <w:i/>
          <w:iCs/>
          <w:lang w:eastAsia="x-none"/>
        </w:rPr>
        <w:t>The following is observed for alternative 1 from prior agreement.</w:t>
      </w:r>
    </w:p>
    <w:p w14:paraId="32B709A1" w14:textId="77777777" w:rsidR="00FF76F7" w:rsidRPr="0041123A" w:rsidRDefault="00FF76F7" w:rsidP="00FF76F7">
      <w:pPr>
        <w:pStyle w:val="ListParagraph"/>
        <w:numPr>
          <w:ilvl w:val="0"/>
          <w:numId w:val="24"/>
        </w:numPr>
        <w:overflowPunct/>
        <w:autoSpaceDE/>
        <w:autoSpaceDN/>
        <w:adjustRightInd/>
        <w:spacing w:after="160" w:line="256" w:lineRule="auto"/>
        <w:ind w:left="720"/>
        <w:jc w:val="both"/>
        <w:textAlignment w:val="auto"/>
        <w:rPr>
          <w:rFonts w:eastAsia="Malgun Gothic"/>
          <w:i/>
          <w:iCs/>
          <w:lang w:val="en-US"/>
        </w:rPr>
      </w:pPr>
      <w:r w:rsidRPr="0041123A">
        <w:rPr>
          <w:i/>
          <w:iCs/>
          <w:lang w:val="en-US"/>
        </w:rPr>
        <w:t xml:space="preserve">For Alt 1 (C-DAI/T-DAI is counted per DCI) of generating </w:t>
      </w:r>
      <w:r w:rsidRPr="0041123A">
        <w:rPr>
          <w:rFonts w:eastAsia="Malgun Gothic"/>
          <w:i/>
          <w:iCs/>
          <w:lang w:val="en-US"/>
        </w:rPr>
        <w:t>type-2 HARQ-ACK codebook corresponding to DCI that can schedule multiple PDSCHs,</w:t>
      </w:r>
    </w:p>
    <w:p w14:paraId="32F930B8"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i/>
          <w:iCs/>
          <w:lang w:val="en-US"/>
        </w:rPr>
        <w:t>C-DAI/T-DAI in DL DCI: Same DAI overhead with Rel-16 single-PDSCH DCI</w:t>
      </w:r>
    </w:p>
    <w:p w14:paraId="1CCEC469"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de-DE"/>
        </w:rPr>
      </w:pPr>
      <w:r w:rsidRPr="0041123A">
        <w:rPr>
          <w:rFonts w:eastAsia="Malgun Gothic"/>
          <w:i/>
          <w:iCs/>
          <w:lang w:val="de-DE"/>
        </w:rPr>
        <w:t xml:space="preserve">T-DAI in UL DCI: </w:t>
      </w:r>
    </w:p>
    <w:p w14:paraId="4351A126"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rFonts w:eastAsia="Malgun Gothic"/>
          <w:i/>
          <w:iCs/>
          <w:lang w:val="en-US"/>
        </w:rPr>
        <w:t>In case of single codebook</w:t>
      </w:r>
      <w:r w:rsidRPr="0041123A">
        <w:rPr>
          <w:i/>
          <w:iCs/>
        </w:rPr>
        <w:t xml:space="preserve"> </w:t>
      </w:r>
      <w:r w:rsidRPr="0041123A">
        <w:rPr>
          <w:rFonts w:eastAsia="Malgun Gothic"/>
          <w:i/>
          <w:iCs/>
          <w:lang w:val="en-US"/>
        </w:rPr>
        <w:t>handling feedback for both single and multi-PDSCH scheduling, same DAI overhead with Rel-16 UL DCI</w:t>
      </w:r>
    </w:p>
    <w:p w14:paraId="2DA000B4"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rFonts w:eastAsia="Malgun Gothic"/>
          <w:i/>
          <w:iCs/>
          <w:lang w:val="en-US"/>
        </w:rPr>
        <w:t>In case of separate sub-codebooks, need additional DAI field (with same bit-width of DAI with Rel-16 UL DCI), in UL DCI for all serving cells including a serving cell not configured with multi-PDSCH DCI</w:t>
      </w:r>
    </w:p>
    <w:p w14:paraId="6E47C152" w14:textId="77777777" w:rsidR="00FF76F7" w:rsidRPr="0041123A" w:rsidRDefault="00FF76F7" w:rsidP="00FF76F7">
      <w:pPr>
        <w:pStyle w:val="ListParagraph"/>
        <w:numPr>
          <w:ilvl w:val="3"/>
          <w:numId w:val="24"/>
        </w:numPr>
        <w:overflowPunct/>
        <w:autoSpaceDE/>
        <w:autoSpaceDN/>
        <w:adjustRightInd/>
        <w:spacing w:after="160" w:line="256" w:lineRule="auto"/>
        <w:ind w:left="2880"/>
        <w:jc w:val="both"/>
        <w:textAlignment w:val="auto"/>
        <w:rPr>
          <w:rFonts w:eastAsia="Malgun Gothic"/>
          <w:i/>
          <w:iCs/>
          <w:lang w:val="en-US"/>
        </w:rPr>
      </w:pPr>
      <w:r w:rsidRPr="0041123A">
        <w:rPr>
          <w:rFonts w:eastAsia="Malgun Gothic"/>
          <w:i/>
          <w:iCs/>
          <w:lang w:val="en-US"/>
        </w:rPr>
        <w:t>Note that DAI field increment for this case is similar for the case in Rel-15 where CBG is configured</w:t>
      </w:r>
    </w:p>
    <w:p w14:paraId="51D04F03"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hint="eastAsia"/>
          <w:i/>
          <w:iCs/>
          <w:lang w:val="en-US" w:eastAsia="ko-KR"/>
        </w:rPr>
        <w:t>HARQ-ACK codebook generation:</w:t>
      </w:r>
    </w:p>
    <w:p w14:paraId="3F741968"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i/>
          <w:iCs/>
          <w:lang w:val="en-US" w:eastAsia="ko-KR"/>
        </w:rPr>
        <w:t>A separate sub-codebook can be generated when multi-PDSCH DCI is configured for a serving cell, similar to the way as 2</w:t>
      </w:r>
      <w:r w:rsidRPr="0041123A">
        <w:rPr>
          <w:i/>
          <w:iCs/>
          <w:vertAlign w:val="superscript"/>
          <w:lang w:val="en-US" w:eastAsia="ko-KR"/>
        </w:rPr>
        <w:t>nd</w:t>
      </w:r>
      <w:r w:rsidRPr="0041123A">
        <w:rPr>
          <w:i/>
          <w:iCs/>
          <w:lang w:val="en-US" w:eastAsia="ko-KR"/>
        </w:rPr>
        <w:t xml:space="preserve"> sub-codebook is defined to handle</w:t>
      </w:r>
      <w:r w:rsidRPr="0041123A">
        <w:rPr>
          <w:rFonts w:hint="eastAsia"/>
          <w:i/>
          <w:iCs/>
          <w:lang w:val="en-US" w:eastAsia="ko-KR"/>
        </w:rPr>
        <w:t xml:space="preserve"> </w:t>
      </w:r>
      <w:r w:rsidRPr="0041123A">
        <w:rPr>
          <w:i/>
          <w:iCs/>
          <w:lang w:val="en-US" w:eastAsia="ko-KR"/>
        </w:rPr>
        <w:t>CBG-based scheduling</w:t>
      </w:r>
    </w:p>
    <w:p w14:paraId="63FF7329" w14:textId="77777777" w:rsidR="00FF76F7" w:rsidRPr="0041123A" w:rsidRDefault="00FF76F7" w:rsidP="00FF76F7">
      <w:pPr>
        <w:pStyle w:val="ListParagraph"/>
        <w:numPr>
          <w:ilvl w:val="3"/>
          <w:numId w:val="24"/>
        </w:numPr>
        <w:overflowPunct/>
        <w:autoSpaceDE/>
        <w:autoSpaceDN/>
        <w:adjustRightInd/>
        <w:spacing w:after="160" w:line="256" w:lineRule="auto"/>
        <w:ind w:left="2880"/>
        <w:jc w:val="both"/>
        <w:textAlignment w:val="auto"/>
        <w:rPr>
          <w:rFonts w:eastAsia="Malgun Gothic"/>
          <w:i/>
          <w:iCs/>
          <w:lang w:val="en-US"/>
        </w:rPr>
      </w:pPr>
      <w:r w:rsidRPr="0041123A">
        <w:rPr>
          <w:i/>
          <w:iCs/>
          <w:lang w:val="en-US" w:eastAsia="ko-KR"/>
        </w:rPr>
        <w:t xml:space="preserve">FFS: whether single codebook or </w:t>
      </w:r>
      <w:r w:rsidRPr="0041123A">
        <w:rPr>
          <w:rFonts w:eastAsia="Malgun Gothic"/>
          <w:i/>
          <w:iCs/>
          <w:lang w:val="en-US"/>
        </w:rPr>
        <w:t xml:space="preserve">separate </w:t>
      </w:r>
      <w:r w:rsidRPr="0041123A">
        <w:rPr>
          <w:i/>
          <w:iCs/>
          <w:lang w:val="en-US" w:eastAsia="ko-KR"/>
        </w:rPr>
        <w:t>sub-codebooks is(are) generated when multi-PDSCH DCI is configured for a serving cell</w:t>
      </w:r>
    </w:p>
    <w:p w14:paraId="59F1D791" w14:textId="77777777" w:rsidR="00FF76F7" w:rsidRPr="0041123A" w:rsidRDefault="00FF76F7" w:rsidP="00FF76F7">
      <w:pPr>
        <w:pStyle w:val="ListParagraph"/>
        <w:numPr>
          <w:ilvl w:val="3"/>
          <w:numId w:val="24"/>
        </w:numPr>
        <w:overflowPunct/>
        <w:autoSpaceDE/>
        <w:autoSpaceDN/>
        <w:adjustRightInd/>
        <w:spacing w:after="160" w:line="256" w:lineRule="auto"/>
        <w:ind w:left="2880"/>
        <w:jc w:val="both"/>
        <w:textAlignment w:val="auto"/>
        <w:rPr>
          <w:rFonts w:eastAsia="Malgun Gothic"/>
          <w:i/>
          <w:iCs/>
          <w:lang w:val="en-US"/>
        </w:rPr>
      </w:pPr>
      <w:r w:rsidRPr="0041123A">
        <w:rPr>
          <w:i/>
          <w:iCs/>
          <w:lang w:val="en-US" w:eastAsia="ko-KR"/>
        </w:rPr>
        <w:t>FFS: how many sub-codebooks are generated when multi-PDSCH DCI is configured for a serving cell and CBG is configured for the serving cell and/or the other serving cell(s)</w:t>
      </w:r>
    </w:p>
    <w:p w14:paraId="2DE7B031"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rFonts w:eastAsia="Malgun Gothic"/>
          <w:i/>
          <w:iCs/>
          <w:lang w:val="en-US" w:eastAsia="ko-KR"/>
        </w:rPr>
        <w:lastRenderedPageBreak/>
        <w:t xml:space="preserve">HARQ-ACK payload size is increased compared to single PDSCH scheduling only, since the number of HARQ-ACK bits corresponding to each DAI of the (sub-)codebook for multi-PDSCH DCI in case of </w:t>
      </w:r>
      <w:r w:rsidRPr="0041123A">
        <w:rPr>
          <w:rFonts w:eastAsia="Malgun Gothic"/>
          <w:i/>
          <w:iCs/>
          <w:lang w:val="en-US"/>
        </w:rPr>
        <w:t xml:space="preserve">separate </w:t>
      </w:r>
      <w:r w:rsidRPr="0041123A">
        <w:rPr>
          <w:rFonts w:eastAsia="Malgun Gothic"/>
          <w:i/>
          <w:iCs/>
          <w:lang w:val="en-US" w:eastAsia="ko-KR"/>
        </w:rPr>
        <w:t>sub-codebooks (or for all DL DCIs in case of single codebook) depends on the maximum configured number of PDSCHs for multi-PDSCH DCI across serving cells belonging to the same PUCCH cell group.</w:t>
      </w:r>
    </w:p>
    <w:p w14:paraId="2C5F0B76"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rFonts w:eastAsia="Malgun Gothic"/>
          <w:i/>
          <w:iCs/>
          <w:lang w:val="en-US" w:eastAsia="ko-KR"/>
        </w:rPr>
        <w:t>The number of HARQ-ACK bits for multi-PDSCH DCI in case of separate sub-codebooks, or for all DL DCIs in case of single codebook, does not depend on the number of actually scheduled PDSCHs, rather, it is fixed as the maximum configured number of PDSCHs.</w:t>
      </w:r>
    </w:p>
    <w:p w14:paraId="55478888" w14:textId="77777777" w:rsidR="00FF76F7" w:rsidRPr="0041123A" w:rsidRDefault="00FF76F7" w:rsidP="00FF76F7">
      <w:pPr>
        <w:pStyle w:val="ListParagraph"/>
        <w:numPr>
          <w:ilvl w:val="2"/>
          <w:numId w:val="24"/>
        </w:numPr>
        <w:overflowPunct/>
        <w:autoSpaceDE/>
        <w:autoSpaceDN/>
        <w:adjustRightInd/>
        <w:spacing w:after="160" w:line="256" w:lineRule="auto"/>
        <w:ind w:left="2160"/>
        <w:jc w:val="both"/>
        <w:textAlignment w:val="auto"/>
        <w:rPr>
          <w:rFonts w:eastAsia="Malgun Gothic"/>
          <w:i/>
          <w:iCs/>
          <w:lang w:val="en-US"/>
        </w:rPr>
      </w:pPr>
      <w:r w:rsidRPr="0041123A">
        <w:rPr>
          <w:rFonts w:eastAsia="Malgun Gothic"/>
          <w:i/>
          <w:iCs/>
          <w:lang w:val="en-US" w:eastAsia="ko-KR"/>
        </w:rPr>
        <w:t xml:space="preserve">FFS: </w:t>
      </w:r>
      <w:r w:rsidRPr="0041123A">
        <w:rPr>
          <w:bCs/>
          <w:i/>
          <w:iCs/>
          <w:snapToGrid w:val="0"/>
          <w:lang w:val="en-US"/>
        </w:rPr>
        <w:t>time domain bundling of HARQ-ACK feedback, as per agreement in RAN1#104-e</w:t>
      </w:r>
    </w:p>
    <w:p w14:paraId="344D9B01" w14:textId="77777777" w:rsidR="00FF76F7" w:rsidRPr="0041123A" w:rsidRDefault="00FF76F7" w:rsidP="00FF76F7">
      <w:pPr>
        <w:pStyle w:val="ListParagraph"/>
        <w:numPr>
          <w:ilvl w:val="1"/>
          <w:numId w:val="24"/>
        </w:numPr>
        <w:overflowPunct/>
        <w:autoSpaceDE/>
        <w:autoSpaceDN/>
        <w:adjustRightInd/>
        <w:spacing w:after="160" w:line="256" w:lineRule="auto"/>
        <w:ind w:left="1440"/>
        <w:jc w:val="both"/>
        <w:textAlignment w:val="auto"/>
        <w:rPr>
          <w:rFonts w:eastAsia="Malgun Gothic"/>
          <w:i/>
          <w:iCs/>
          <w:lang w:val="en-US"/>
        </w:rPr>
      </w:pPr>
      <w:r w:rsidRPr="0041123A">
        <w:rPr>
          <w:rFonts w:eastAsia="Malgun Gothic"/>
          <w:i/>
          <w:iCs/>
          <w:lang w:val="en-US" w:eastAsia="ko-KR"/>
        </w:rPr>
        <w:t xml:space="preserve">Note that </w:t>
      </w:r>
      <w:r w:rsidRPr="0041123A">
        <w:rPr>
          <w:rFonts w:eastAsia="Malgun Gothic"/>
          <w:i/>
          <w:iCs/>
          <w:lang w:val="en-US"/>
        </w:rPr>
        <w:t>multi-PDSCH DCI refers to a DL DCI where at least one entry of the TDRA table allows scheduling more than one PDSCH</w:t>
      </w:r>
    </w:p>
    <w:p w14:paraId="204047C9" w14:textId="77777777" w:rsidR="00FF76F7" w:rsidRPr="0041123A" w:rsidRDefault="00FF76F7" w:rsidP="00FF76F7">
      <w:pPr>
        <w:pStyle w:val="ListParagraph"/>
        <w:spacing w:after="160" w:line="256" w:lineRule="auto"/>
        <w:ind w:left="0"/>
        <w:jc w:val="both"/>
        <w:rPr>
          <w:rFonts w:eastAsia="Malgun Gothic"/>
          <w:i/>
          <w:iCs/>
          <w:lang w:val="en-US"/>
        </w:rPr>
      </w:pPr>
    </w:p>
    <w:p w14:paraId="5D0EBC5D" w14:textId="77777777" w:rsidR="00FF76F7" w:rsidRPr="0041123A" w:rsidRDefault="00FF76F7" w:rsidP="00FF76F7">
      <w:pPr>
        <w:pStyle w:val="ListParagraph"/>
        <w:spacing w:after="160" w:line="256" w:lineRule="auto"/>
        <w:ind w:left="0"/>
        <w:jc w:val="both"/>
        <w:rPr>
          <w:rFonts w:eastAsia="Malgun Gothic"/>
          <w:i/>
          <w:iCs/>
          <w:u w:val="single"/>
          <w:lang w:val="en-US"/>
        </w:rPr>
      </w:pPr>
      <w:bookmarkStart w:id="6" w:name="_Hlk69808417"/>
      <w:r w:rsidRPr="0041123A">
        <w:rPr>
          <w:rFonts w:eastAsia="Malgun Gothic"/>
          <w:i/>
          <w:iCs/>
          <w:u w:val="single"/>
          <w:lang w:val="en-US"/>
        </w:rPr>
        <w:t>Conclusion:</w:t>
      </w:r>
    </w:p>
    <w:p w14:paraId="195D2D87" w14:textId="77777777" w:rsidR="00FF76F7" w:rsidRPr="0041123A" w:rsidRDefault="00FF76F7" w:rsidP="00FF76F7">
      <w:pPr>
        <w:pStyle w:val="ListParagraph"/>
        <w:spacing w:after="160" w:line="256" w:lineRule="auto"/>
        <w:ind w:left="0"/>
        <w:jc w:val="both"/>
        <w:rPr>
          <w:rFonts w:eastAsia="Malgun Gothic"/>
          <w:i/>
          <w:iCs/>
          <w:lang w:val="en-US"/>
        </w:rPr>
      </w:pPr>
      <w:r w:rsidRPr="0041123A">
        <w:rPr>
          <w:rFonts w:eastAsia="Malgun Gothic"/>
          <w:i/>
          <w:iCs/>
          <w:lang w:val="en-US"/>
        </w:rPr>
        <w:t>The following is observed for alternative 2 from prior agreement.</w:t>
      </w:r>
    </w:p>
    <w:p w14:paraId="26A8638B" w14:textId="77777777" w:rsidR="00FF76F7" w:rsidRPr="0041123A" w:rsidRDefault="00FF76F7" w:rsidP="00FF76F7">
      <w:pPr>
        <w:pStyle w:val="ListParagraph"/>
        <w:numPr>
          <w:ilvl w:val="0"/>
          <w:numId w:val="32"/>
        </w:numPr>
        <w:overflowPunct/>
        <w:autoSpaceDE/>
        <w:autoSpaceDN/>
        <w:adjustRightInd/>
        <w:spacing w:after="160" w:line="252" w:lineRule="auto"/>
        <w:ind w:left="720"/>
        <w:jc w:val="both"/>
        <w:textAlignment w:val="auto"/>
        <w:rPr>
          <w:rFonts w:eastAsia="Calibri"/>
          <w:i/>
          <w:iCs/>
          <w:lang w:val="en-US" w:eastAsia="zh-CN"/>
        </w:rPr>
      </w:pPr>
      <w:r w:rsidRPr="0041123A">
        <w:rPr>
          <w:i/>
          <w:iCs/>
          <w:lang w:eastAsia="ko-KR"/>
        </w:rPr>
        <w:t>For Alt 2a (C-DAI/T-DAI is counted per PDSCH with a single codebook) of generating type-2 HARQ-ACK codebook corresponding to DCI that can schedule multiple PDSCHs,</w:t>
      </w:r>
    </w:p>
    <w:p w14:paraId="24FF9A9F"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rFonts w:eastAsia="Times New Roman"/>
          <w:i/>
          <w:iCs/>
          <w:lang w:eastAsia="ko-KR"/>
        </w:rPr>
      </w:pPr>
      <w:r w:rsidRPr="0041123A">
        <w:rPr>
          <w:i/>
          <w:iCs/>
          <w:lang w:eastAsia="ko-KR"/>
        </w:rPr>
        <w:t>C-DAI/T-DAI in DL DCI: Bit-width can be increased (FFS: by how much), in DL DCI not only for multi-PDSCH DCI but also for single-PDSCH DCI for all serving cells including a serving cell not configured with multi-PDSCH DCI</w:t>
      </w:r>
    </w:p>
    <w:p w14:paraId="7CDB9867"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i/>
          <w:iCs/>
          <w:lang w:eastAsia="ko-KR"/>
        </w:rPr>
      </w:pPr>
      <w:r w:rsidRPr="0041123A">
        <w:rPr>
          <w:i/>
          <w:iCs/>
          <w:lang w:eastAsia="ko-KR"/>
        </w:rPr>
        <w:t>T-DAI in UL DCI: Bit-width can be increased (FFS: by how much), in UL DCI for all serving cells including a serving cell not configured with multi-PDSCH DCI</w:t>
      </w:r>
    </w:p>
    <w:p w14:paraId="0F72B509"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i/>
          <w:iCs/>
          <w:lang w:eastAsia="ko-KR"/>
        </w:rPr>
      </w:pPr>
      <w:r w:rsidRPr="0041123A">
        <w:rPr>
          <w:i/>
          <w:iCs/>
          <w:lang w:eastAsia="ko-KR"/>
        </w:rPr>
        <w:t xml:space="preserve">C-DAI/T-DAI in DL DCI and T-DAI in UL DCI shall be designed such that at most 3 consecutive DCI missing can be resolved, same as in Rel-15/16 NR. </w:t>
      </w:r>
    </w:p>
    <w:p w14:paraId="3E97D96F"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FFS: details on increment of DAI field size</w:t>
      </w:r>
    </w:p>
    <w:p w14:paraId="627D55E2"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FFS: whether/how to handle the case where different DCI formats (e.g., DCI format 1_0 and DCI format 1_1) have different field sizes for C-DAI/T-DAI</w:t>
      </w:r>
    </w:p>
    <w:p w14:paraId="7D54A1C7"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i/>
          <w:iCs/>
          <w:lang w:eastAsia="ko-KR"/>
        </w:rPr>
      </w:pPr>
      <w:r w:rsidRPr="0041123A">
        <w:rPr>
          <w:i/>
          <w:iCs/>
          <w:lang w:eastAsia="ko-KR"/>
        </w:rPr>
        <w:t>HARQ-ACK codebook generation:</w:t>
      </w:r>
    </w:p>
    <w:p w14:paraId="32CF57F7"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The number of HARQ-ACK bits depends on the number of scheduled PDSCHs.</w:t>
      </w:r>
    </w:p>
    <w:p w14:paraId="576E5E32"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FFS: ordering of the PDSCHs for DAI counting</w:t>
      </w:r>
    </w:p>
    <w:p w14:paraId="4020783C"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 xml:space="preserve">FFS: </w:t>
      </w:r>
      <w:r w:rsidRPr="0041123A">
        <w:rPr>
          <w:i/>
          <w:iCs/>
          <w:snapToGrid w:val="0"/>
          <w:lang w:eastAsia="ko-KR"/>
        </w:rPr>
        <w:t>time domain bundling of HARQ-ACK feedback, as per agreement in RAN1#104-e</w:t>
      </w:r>
    </w:p>
    <w:p w14:paraId="38B167FE" w14:textId="77777777" w:rsidR="00FF76F7" w:rsidRPr="0041123A" w:rsidRDefault="00FF76F7" w:rsidP="00FF76F7">
      <w:pPr>
        <w:pStyle w:val="ListParagraph"/>
        <w:numPr>
          <w:ilvl w:val="1"/>
          <w:numId w:val="32"/>
        </w:numPr>
        <w:overflowPunct/>
        <w:autoSpaceDE/>
        <w:autoSpaceDN/>
        <w:adjustRightInd/>
        <w:spacing w:after="160" w:line="252" w:lineRule="auto"/>
        <w:ind w:left="1440"/>
        <w:jc w:val="both"/>
        <w:textAlignment w:val="auto"/>
        <w:rPr>
          <w:i/>
          <w:iCs/>
          <w:lang w:eastAsia="ko-KR"/>
        </w:rPr>
      </w:pPr>
      <w:r w:rsidRPr="0041123A">
        <w:rPr>
          <w:i/>
          <w:iCs/>
          <w:lang w:eastAsia="ko-KR"/>
        </w:rPr>
        <w:t>Note that multi-PDSCH DCI refers to a DL DCI where at least one entry of the TDRA table allows scheduling more than one PDSCH</w:t>
      </w:r>
    </w:p>
    <w:p w14:paraId="08EF5F15" w14:textId="77777777" w:rsidR="00FF76F7" w:rsidRPr="0041123A" w:rsidRDefault="00FF76F7" w:rsidP="00FF76F7">
      <w:pPr>
        <w:pStyle w:val="ListParagraph"/>
        <w:spacing w:after="160" w:line="252" w:lineRule="auto"/>
        <w:ind w:left="0"/>
        <w:jc w:val="both"/>
        <w:rPr>
          <w:i/>
          <w:iCs/>
          <w:lang w:eastAsia="ko-KR"/>
        </w:rPr>
      </w:pPr>
    </w:p>
    <w:p w14:paraId="621F5A01" w14:textId="77777777" w:rsidR="00FF76F7" w:rsidRPr="0041123A" w:rsidRDefault="00FF76F7" w:rsidP="00FF76F7">
      <w:pPr>
        <w:pStyle w:val="ListParagraph"/>
        <w:spacing w:after="160" w:line="256" w:lineRule="auto"/>
        <w:ind w:left="0"/>
        <w:jc w:val="both"/>
        <w:rPr>
          <w:rFonts w:eastAsia="Malgun Gothic"/>
          <w:i/>
          <w:iCs/>
          <w:u w:val="single"/>
          <w:lang w:val="en-US"/>
        </w:rPr>
      </w:pPr>
      <w:r w:rsidRPr="0041123A">
        <w:rPr>
          <w:rFonts w:eastAsia="Malgun Gothic"/>
          <w:i/>
          <w:iCs/>
          <w:u w:val="single"/>
          <w:lang w:val="en-US"/>
        </w:rPr>
        <w:t>Conclusion:</w:t>
      </w:r>
    </w:p>
    <w:p w14:paraId="67CCCD19" w14:textId="77777777" w:rsidR="00FF76F7" w:rsidRPr="0041123A" w:rsidRDefault="00FF76F7" w:rsidP="00FF76F7">
      <w:pPr>
        <w:pStyle w:val="ListParagraph"/>
        <w:spacing w:after="160" w:line="256" w:lineRule="auto"/>
        <w:ind w:left="0"/>
        <w:jc w:val="both"/>
        <w:rPr>
          <w:rFonts w:eastAsia="Malgun Gothic"/>
          <w:i/>
          <w:iCs/>
          <w:lang w:val="en-US"/>
        </w:rPr>
      </w:pPr>
      <w:r w:rsidRPr="0041123A">
        <w:rPr>
          <w:rFonts w:eastAsia="Malgun Gothic"/>
          <w:i/>
          <w:iCs/>
          <w:lang w:val="en-US"/>
        </w:rPr>
        <w:t>The following is observed for alternative 3 from prior agreement.</w:t>
      </w:r>
    </w:p>
    <w:p w14:paraId="36E53823" w14:textId="77777777" w:rsidR="00FF76F7" w:rsidRPr="0041123A" w:rsidRDefault="00FF76F7" w:rsidP="00FF76F7">
      <w:pPr>
        <w:pStyle w:val="ListParagraph"/>
        <w:numPr>
          <w:ilvl w:val="0"/>
          <w:numId w:val="32"/>
        </w:numPr>
        <w:overflowPunct/>
        <w:autoSpaceDE/>
        <w:autoSpaceDN/>
        <w:adjustRightInd/>
        <w:spacing w:after="160" w:line="252" w:lineRule="auto"/>
        <w:ind w:left="720"/>
        <w:jc w:val="both"/>
        <w:textAlignment w:val="auto"/>
        <w:rPr>
          <w:rFonts w:eastAsia="Calibri"/>
          <w:i/>
          <w:iCs/>
          <w:lang w:val="en-US" w:eastAsia="zh-CN"/>
        </w:rPr>
      </w:pPr>
      <w:r w:rsidRPr="0041123A">
        <w:rPr>
          <w:i/>
          <w:iCs/>
          <w:lang w:eastAsia="ko-KR"/>
        </w:rPr>
        <w:t>For Alt 3 (</w:t>
      </w:r>
      <w:r w:rsidRPr="0041123A">
        <w:rPr>
          <w:i/>
          <w:iCs/>
          <w:snapToGrid w:val="0"/>
          <w:lang w:eastAsia="ko-KR"/>
        </w:rPr>
        <w:t xml:space="preserve">C-DAI/T-DAI is counted </w:t>
      </w:r>
      <w:r w:rsidRPr="0041123A">
        <w:rPr>
          <w:rStyle w:val="normaltextrun"/>
          <w:i/>
          <w:iCs/>
          <w:color w:val="000000"/>
          <w:shd w:val="clear" w:color="auto" w:fill="FFFFFF"/>
          <w:lang w:eastAsia="ko-KR"/>
        </w:rPr>
        <w:t>per M scheduled PDSCH(s), where M is configurable</w:t>
      </w:r>
      <w:r w:rsidRPr="0041123A">
        <w:rPr>
          <w:i/>
          <w:iCs/>
          <w:lang w:eastAsia="ko-KR"/>
        </w:rPr>
        <w:t>) of generating type-2 HARQ-ACK codebook corresponding to DCI that can schedule multiple PDSCHs,</w:t>
      </w:r>
    </w:p>
    <w:p w14:paraId="12A75A74"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rFonts w:eastAsia="Times New Roman"/>
          <w:i/>
          <w:iCs/>
          <w:lang w:eastAsia="ko-KR"/>
        </w:rPr>
      </w:pPr>
      <w:r w:rsidRPr="0041123A">
        <w:rPr>
          <w:i/>
          <w:iCs/>
          <w:lang w:eastAsia="ko-KR"/>
        </w:rPr>
        <w:t>If M equals to the maximum configured number of PDSCHs, Alt 3 is the same with Alt 1, if the same number of codebooks is assumed.</w:t>
      </w:r>
    </w:p>
    <w:p w14:paraId="3945CF69"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i/>
          <w:iCs/>
          <w:lang w:eastAsia="ko-KR"/>
        </w:rPr>
      </w:pPr>
      <w:r w:rsidRPr="0041123A">
        <w:rPr>
          <w:i/>
          <w:iCs/>
          <w:lang w:eastAsia="ko-KR"/>
        </w:rPr>
        <w:t>Else if M equals to 1, Alt 3 is the same with Alt 2.</w:t>
      </w:r>
    </w:p>
    <w:p w14:paraId="4632BC9F"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i/>
          <w:iCs/>
          <w:lang w:eastAsia="ko-KR"/>
        </w:rPr>
      </w:pPr>
      <w:r w:rsidRPr="0041123A">
        <w:rPr>
          <w:i/>
          <w:iCs/>
          <w:lang w:eastAsia="ko-KR"/>
        </w:rPr>
        <w:t>Otherwise (i.e., 1&lt;M&lt;the maximum configured number of PDSCHs), Alt 3 is similar to Alt 2, except that</w:t>
      </w:r>
    </w:p>
    <w:p w14:paraId="237AF28F"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The number of HARQ-ACK bits corresponding to each DAI increases by M times.</w:t>
      </w:r>
    </w:p>
    <w:p w14:paraId="3EB826C6"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NACK bits may be padded if the number of scheduled PDSCHs is not an integer multiple of M.</w:t>
      </w:r>
    </w:p>
    <w:p w14:paraId="39B45711"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FFS: details on DAI field size</w:t>
      </w:r>
    </w:p>
    <w:p w14:paraId="567CF88C" w14:textId="77777777" w:rsidR="00FF76F7" w:rsidRPr="0041123A" w:rsidRDefault="00FF76F7" w:rsidP="00FF76F7">
      <w:pPr>
        <w:pStyle w:val="ListParagraph"/>
        <w:numPr>
          <w:ilvl w:val="2"/>
          <w:numId w:val="32"/>
        </w:numPr>
        <w:overflowPunct/>
        <w:autoSpaceDE/>
        <w:autoSpaceDN/>
        <w:adjustRightInd/>
        <w:spacing w:after="0" w:line="252" w:lineRule="auto"/>
        <w:ind w:left="2160"/>
        <w:jc w:val="both"/>
        <w:textAlignment w:val="auto"/>
        <w:rPr>
          <w:i/>
          <w:iCs/>
          <w:lang w:eastAsia="ko-KR"/>
        </w:rPr>
      </w:pPr>
      <w:r w:rsidRPr="0041123A">
        <w:rPr>
          <w:i/>
          <w:iCs/>
          <w:lang w:eastAsia="ko-KR"/>
        </w:rPr>
        <w:t>FFS: whether single codebook or separate sub-codebooks is(are) generated when multi-PDSCH DCI is configured for a serving cell</w:t>
      </w:r>
    </w:p>
    <w:p w14:paraId="1357F6BE" w14:textId="77777777" w:rsidR="00FF76F7" w:rsidRPr="0041123A" w:rsidRDefault="00FF76F7" w:rsidP="00FF76F7">
      <w:pPr>
        <w:pStyle w:val="ListParagraph"/>
        <w:numPr>
          <w:ilvl w:val="1"/>
          <w:numId w:val="32"/>
        </w:numPr>
        <w:overflowPunct/>
        <w:autoSpaceDE/>
        <w:autoSpaceDN/>
        <w:adjustRightInd/>
        <w:spacing w:after="0" w:line="252" w:lineRule="auto"/>
        <w:ind w:left="1440"/>
        <w:jc w:val="both"/>
        <w:textAlignment w:val="auto"/>
        <w:rPr>
          <w:i/>
          <w:iCs/>
          <w:lang w:eastAsia="ko-KR"/>
        </w:rPr>
      </w:pPr>
      <w:r w:rsidRPr="0041123A">
        <w:rPr>
          <w:i/>
          <w:iCs/>
          <w:lang w:eastAsia="ko-KR"/>
        </w:rPr>
        <w:t>In addition, new RRC parameter to configure M needs to be introduced.</w:t>
      </w:r>
    </w:p>
    <w:p w14:paraId="30A18F5F" w14:textId="77777777" w:rsidR="00FF76F7" w:rsidRPr="0041123A" w:rsidRDefault="00FF76F7" w:rsidP="00FF76F7">
      <w:pPr>
        <w:pStyle w:val="ListParagraph"/>
        <w:numPr>
          <w:ilvl w:val="1"/>
          <w:numId w:val="32"/>
        </w:numPr>
        <w:overflowPunct/>
        <w:autoSpaceDE/>
        <w:autoSpaceDN/>
        <w:adjustRightInd/>
        <w:spacing w:after="160" w:line="252" w:lineRule="auto"/>
        <w:ind w:left="1440"/>
        <w:jc w:val="both"/>
        <w:textAlignment w:val="auto"/>
        <w:rPr>
          <w:i/>
          <w:iCs/>
          <w:lang w:eastAsia="ko-KR"/>
        </w:rPr>
      </w:pPr>
      <w:r w:rsidRPr="0041123A">
        <w:rPr>
          <w:i/>
          <w:iCs/>
          <w:lang w:eastAsia="ko-KR"/>
        </w:rPr>
        <w:t>Note that multi-PDSCH DCI refers to a DL DCI where at least one entry of the TDRA table allows scheduling more than one PDSCH</w:t>
      </w:r>
    </w:p>
    <w:bookmarkEnd w:id="6"/>
    <w:p w14:paraId="6AA3C08A" w14:textId="77777777" w:rsidR="00E0482F" w:rsidRPr="0041123A" w:rsidRDefault="00E0482F" w:rsidP="00FF76F7">
      <w:pPr>
        <w:spacing w:after="0"/>
        <w:rPr>
          <w:i/>
          <w:iCs/>
        </w:rPr>
      </w:pPr>
    </w:p>
    <w:sectPr w:rsidR="00E0482F" w:rsidRPr="0041123A" w:rsidSect="00B975F2">
      <w:headerReference w:type="even" r:id="rId15"/>
      <w:footerReference w:type="even" r:id="rId16"/>
      <w:footerReference w:type="default" r:id="rId17"/>
      <w:footnotePr>
        <w:numRestart w:val="eachSect"/>
      </w:footnotePr>
      <w:pgSz w:w="12240" w:h="15840" w:code="1"/>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4B2C72F" w14:textId="77777777" w:rsidR="002D0AB6" w:rsidRDefault="002D0AB6">
      <w:pPr>
        <w:spacing w:after="0"/>
      </w:pPr>
      <w:r>
        <w:separator/>
      </w:r>
    </w:p>
  </w:endnote>
  <w:endnote w:type="continuationSeparator" w:id="0">
    <w:p w14:paraId="05E7F69B" w14:textId="77777777" w:rsidR="002D0AB6" w:rsidRDefault="002D0AB6">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imes">
    <w:altName w:val="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F6F7E6" w14:textId="77777777" w:rsidR="00D85889" w:rsidRDefault="00D85889" w:rsidP="002979E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290F624" w14:textId="77777777" w:rsidR="00D85889" w:rsidRDefault="00D85889" w:rsidP="002979E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87FFA7" w14:textId="38BC8367" w:rsidR="00D85889" w:rsidRDefault="00D85889" w:rsidP="002979E1">
    <w:pPr>
      <w:pStyle w:val="Footer"/>
      <w:ind w:right="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BC2F20F" w14:textId="77777777" w:rsidR="002D0AB6" w:rsidRDefault="002D0AB6">
      <w:pPr>
        <w:spacing w:after="0"/>
      </w:pPr>
      <w:r>
        <w:separator/>
      </w:r>
    </w:p>
  </w:footnote>
  <w:footnote w:type="continuationSeparator" w:id="0">
    <w:p w14:paraId="00358B66" w14:textId="77777777" w:rsidR="002D0AB6" w:rsidRDefault="002D0AB6">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51A641" w14:textId="77777777" w:rsidR="00D85889" w:rsidRDefault="00D8588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0C93C20"/>
    <w:multiLevelType w:val="hybridMultilevel"/>
    <w:tmpl w:val="AD96CBE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0E455BE"/>
    <w:multiLevelType w:val="hybridMultilevel"/>
    <w:tmpl w:val="C750E2E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 w15:restartNumberingAfterBreak="0">
    <w:nsid w:val="042F315C"/>
    <w:multiLevelType w:val="hybridMultilevel"/>
    <w:tmpl w:val="8B84AB78"/>
    <w:lvl w:ilvl="0" w:tplc="082A8122">
      <w:start w:val="7"/>
      <w:numFmt w:val="bullet"/>
      <w:lvlText w:val="-"/>
      <w:lvlJc w:val="left"/>
      <w:pPr>
        <w:ind w:left="720" w:hanging="360"/>
      </w:pPr>
      <w:rPr>
        <w:rFonts w:ascii="Times New Roman" w:eastAsia="Yu Mincho"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04764399"/>
    <w:multiLevelType w:val="hybridMultilevel"/>
    <w:tmpl w:val="A39E8E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5E97BDF"/>
    <w:multiLevelType w:val="hybridMultilevel"/>
    <w:tmpl w:val="78A2719E"/>
    <w:lvl w:ilvl="0" w:tplc="AAA615FA">
      <w:start w:val="3"/>
      <w:numFmt w:val="bullet"/>
      <w:lvlText w:val="-"/>
      <w:lvlJc w:val="left"/>
      <w:pPr>
        <w:ind w:left="720" w:hanging="360"/>
      </w:pPr>
      <w:rPr>
        <w:rFonts w:ascii="Times New Roman" w:eastAsia="SimSu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0D23294D"/>
    <w:multiLevelType w:val="multilevel"/>
    <w:tmpl w:val="01509D1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03D2167"/>
    <w:multiLevelType w:val="hybridMultilevel"/>
    <w:tmpl w:val="C9AA2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595F9A"/>
    <w:multiLevelType w:val="multilevel"/>
    <w:tmpl w:val="93943DEC"/>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8" w15:restartNumberingAfterBreak="0">
    <w:nsid w:val="11830AD5"/>
    <w:multiLevelType w:val="multilevel"/>
    <w:tmpl w:val="11830AD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9" w15:restartNumberingAfterBreak="0">
    <w:nsid w:val="15837418"/>
    <w:multiLevelType w:val="multilevel"/>
    <w:tmpl w:val="15837418"/>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0" w15:restartNumberingAfterBreak="0">
    <w:nsid w:val="1B5B2AED"/>
    <w:multiLevelType w:val="multilevel"/>
    <w:tmpl w:val="6A4A0AE4"/>
    <w:lvl w:ilvl="0">
      <w:start w:val="1"/>
      <w:numFmt w:val="bullet"/>
      <w:lvlText w:val=""/>
      <w:lvlJc w:val="left"/>
      <w:pPr>
        <w:ind w:left="360" w:hanging="360"/>
      </w:pPr>
      <w:rPr>
        <w:rFonts w:ascii="Symbol" w:hAnsi="Symbol" w:hint="default"/>
        <w:color w:val="auto"/>
      </w:rPr>
    </w:lvl>
    <w:lvl w:ilvl="1">
      <w:start w:val="1"/>
      <w:numFmt w:val="bullet"/>
      <w:lvlText w:val="o"/>
      <w:lvlJc w:val="left"/>
      <w:pPr>
        <w:ind w:left="1080" w:hanging="360"/>
      </w:pPr>
      <w:rPr>
        <w:rFonts w:ascii="Courier New" w:hAnsi="Courier New" w:cs="Courier New"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1" w15:restartNumberingAfterBreak="0">
    <w:nsid w:val="22380585"/>
    <w:multiLevelType w:val="multilevel"/>
    <w:tmpl w:val="22380585"/>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2" w15:restartNumberingAfterBreak="0">
    <w:nsid w:val="28E931F1"/>
    <w:multiLevelType w:val="multilevel"/>
    <w:tmpl w:val="A650D4AA"/>
    <w:lvl w:ilvl="0">
      <w:start w:val="1"/>
      <w:numFmt w:val="bullet"/>
      <w:lvlText w:val=""/>
      <w:lvlJc w:val="left"/>
      <w:pPr>
        <w:ind w:left="360" w:hanging="360"/>
      </w:pPr>
      <w:rPr>
        <w:rFonts w:ascii="Symbol" w:hAnsi="Symbol" w:hint="default"/>
        <w:color w:val="auto"/>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3" w15:restartNumberingAfterBreak="0">
    <w:nsid w:val="2F3F4726"/>
    <w:multiLevelType w:val="hybridMultilevel"/>
    <w:tmpl w:val="992800DE"/>
    <w:lvl w:ilvl="0" w:tplc="5C6C2CFC">
      <w:numFmt w:val="bullet"/>
      <w:lvlText w:val="-"/>
      <w:lvlJc w:val="left"/>
      <w:pPr>
        <w:ind w:left="1446" w:hanging="360"/>
      </w:pPr>
      <w:rPr>
        <w:rFonts w:ascii="Times New Roman" w:eastAsia="Times New Roman" w:hAnsi="Times New Roman" w:cs="Times New Roman" w:hint="default"/>
      </w:rPr>
    </w:lvl>
    <w:lvl w:ilvl="1" w:tplc="04070003" w:tentative="1">
      <w:start w:val="1"/>
      <w:numFmt w:val="bullet"/>
      <w:lvlText w:val="o"/>
      <w:lvlJc w:val="left"/>
      <w:pPr>
        <w:ind w:left="2166" w:hanging="360"/>
      </w:pPr>
      <w:rPr>
        <w:rFonts w:ascii="Courier New" w:hAnsi="Courier New" w:cs="Courier New" w:hint="default"/>
      </w:rPr>
    </w:lvl>
    <w:lvl w:ilvl="2" w:tplc="04070005" w:tentative="1">
      <w:start w:val="1"/>
      <w:numFmt w:val="bullet"/>
      <w:lvlText w:val=""/>
      <w:lvlJc w:val="left"/>
      <w:pPr>
        <w:ind w:left="2886" w:hanging="360"/>
      </w:pPr>
      <w:rPr>
        <w:rFonts w:ascii="Wingdings" w:hAnsi="Wingdings" w:hint="default"/>
      </w:rPr>
    </w:lvl>
    <w:lvl w:ilvl="3" w:tplc="04070001" w:tentative="1">
      <w:start w:val="1"/>
      <w:numFmt w:val="bullet"/>
      <w:lvlText w:val=""/>
      <w:lvlJc w:val="left"/>
      <w:pPr>
        <w:ind w:left="3606" w:hanging="360"/>
      </w:pPr>
      <w:rPr>
        <w:rFonts w:ascii="Symbol" w:hAnsi="Symbol" w:hint="default"/>
      </w:rPr>
    </w:lvl>
    <w:lvl w:ilvl="4" w:tplc="04070003" w:tentative="1">
      <w:start w:val="1"/>
      <w:numFmt w:val="bullet"/>
      <w:lvlText w:val="o"/>
      <w:lvlJc w:val="left"/>
      <w:pPr>
        <w:ind w:left="4326" w:hanging="360"/>
      </w:pPr>
      <w:rPr>
        <w:rFonts w:ascii="Courier New" w:hAnsi="Courier New" w:cs="Courier New" w:hint="default"/>
      </w:rPr>
    </w:lvl>
    <w:lvl w:ilvl="5" w:tplc="04070005" w:tentative="1">
      <w:start w:val="1"/>
      <w:numFmt w:val="bullet"/>
      <w:lvlText w:val=""/>
      <w:lvlJc w:val="left"/>
      <w:pPr>
        <w:ind w:left="5046" w:hanging="360"/>
      </w:pPr>
      <w:rPr>
        <w:rFonts w:ascii="Wingdings" w:hAnsi="Wingdings" w:hint="default"/>
      </w:rPr>
    </w:lvl>
    <w:lvl w:ilvl="6" w:tplc="04070001" w:tentative="1">
      <w:start w:val="1"/>
      <w:numFmt w:val="bullet"/>
      <w:lvlText w:val=""/>
      <w:lvlJc w:val="left"/>
      <w:pPr>
        <w:ind w:left="5766" w:hanging="360"/>
      </w:pPr>
      <w:rPr>
        <w:rFonts w:ascii="Symbol" w:hAnsi="Symbol" w:hint="default"/>
      </w:rPr>
    </w:lvl>
    <w:lvl w:ilvl="7" w:tplc="04070003" w:tentative="1">
      <w:start w:val="1"/>
      <w:numFmt w:val="bullet"/>
      <w:lvlText w:val="o"/>
      <w:lvlJc w:val="left"/>
      <w:pPr>
        <w:ind w:left="6486" w:hanging="360"/>
      </w:pPr>
      <w:rPr>
        <w:rFonts w:ascii="Courier New" w:hAnsi="Courier New" w:cs="Courier New" w:hint="default"/>
      </w:rPr>
    </w:lvl>
    <w:lvl w:ilvl="8" w:tplc="04070005" w:tentative="1">
      <w:start w:val="1"/>
      <w:numFmt w:val="bullet"/>
      <w:lvlText w:val=""/>
      <w:lvlJc w:val="left"/>
      <w:pPr>
        <w:ind w:left="7206" w:hanging="360"/>
      </w:pPr>
      <w:rPr>
        <w:rFonts w:ascii="Wingdings" w:hAnsi="Wingdings" w:hint="default"/>
      </w:rPr>
    </w:lvl>
  </w:abstractNum>
  <w:abstractNum w:abstractNumId="14" w15:restartNumberingAfterBreak="0">
    <w:nsid w:val="318E53E8"/>
    <w:multiLevelType w:val="hybridMultilevel"/>
    <w:tmpl w:val="64D0E6A2"/>
    <w:lvl w:ilvl="0" w:tplc="0407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35566400"/>
    <w:multiLevelType w:val="multilevel"/>
    <w:tmpl w:val="355664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40624048"/>
    <w:multiLevelType w:val="hybridMultilevel"/>
    <w:tmpl w:val="32985792"/>
    <w:lvl w:ilvl="0" w:tplc="F536C384">
      <w:start w:val="1"/>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7" w15:restartNumberingAfterBreak="0">
    <w:nsid w:val="42B553E0"/>
    <w:multiLevelType w:val="multilevel"/>
    <w:tmpl w:val="42B553E0"/>
    <w:lvl w:ilvl="0">
      <w:numFmt w:val="bullet"/>
      <w:lvlText w:val=""/>
      <w:lvlJc w:val="left"/>
      <w:pPr>
        <w:ind w:left="360" w:hanging="360"/>
      </w:pPr>
      <w:rPr>
        <w:rFonts w:ascii="Symbol" w:eastAsia="Calibri" w:hAnsi="Symbo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8" w15:restartNumberingAfterBreak="0">
    <w:nsid w:val="56594B6C"/>
    <w:multiLevelType w:val="multilevel"/>
    <w:tmpl w:val="56594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578F5F61"/>
    <w:multiLevelType w:val="hybridMultilevel"/>
    <w:tmpl w:val="BD08608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0" w15:restartNumberingAfterBreak="0">
    <w:nsid w:val="58A620CD"/>
    <w:multiLevelType w:val="hybridMultilevel"/>
    <w:tmpl w:val="805EFBEA"/>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61C33C2F"/>
    <w:multiLevelType w:val="hybridMultilevel"/>
    <w:tmpl w:val="7E60A574"/>
    <w:lvl w:ilvl="0" w:tplc="082A8122">
      <w:start w:val="7"/>
      <w:numFmt w:val="bullet"/>
      <w:lvlText w:val="-"/>
      <w:lvlJc w:val="left"/>
      <w:pPr>
        <w:ind w:left="720" w:hanging="360"/>
      </w:pPr>
      <w:rPr>
        <w:rFonts w:ascii="Times New Roman" w:eastAsia="Yu Mincho" w:hAnsi="Times New Roman" w:cs="Times New Roman"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652A4097"/>
    <w:multiLevelType w:val="hybridMultilevel"/>
    <w:tmpl w:val="DC8EC976"/>
    <w:lvl w:ilvl="0" w:tplc="04070017">
      <w:start w:val="1"/>
      <w:numFmt w:val="lowerLetter"/>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3" w15:restartNumberingAfterBreak="0">
    <w:nsid w:val="687C2021"/>
    <w:multiLevelType w:val="multilevel"/>
    <w:tmpl w:val="687C20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6A4362BC"/>
    <w:multiLevelType w:val="multilevel"/>
    <w:tmpl w:val="6A4362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73CB776D"/>
    <w:multiLevelType w:val="multilevel"/>
    <w:tmpl w:val="73CB776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748A15CE"/>
    <w:multiLevelType w:val="multilevel"/>
    <w:tmpl w:val="748A15CE"/>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7" w15:restartNumberingAfterBreak="0">
    <w:nsid w:val="7C58008D"/>
    <w:multiLevelType w:val="multilevel"/>
    <w:tmpl w:val="7C58008D"/>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8" w15:restartNumberingAfterBreak="0">
    <w:nsid w:val="7DA45877"/>
    <w:multiLevelType w:val="hybridMultilevel"/>
    <w:tmpl w:val="3580FD94"/>
    <w:lvl w:ilvl="0" w:tplc="04070001">
      <w:start w:val="1"/>
      <w:numFmt w:val="bullet"/>
      <w:lvlText w:val=""/>
      <w:lvlJc w:val="left"/>
      <w:pPr>
        <w:ind w:left="766" w:hanging="360"/>
      </w:pPr>
      <w:rPr>
        <w:rFonts w:ascii="Symbol" w:hAnsi="Symbol" w:hint="default"/>
      </w:rPr>
    </w:lvl>
    <w:lvl w:ilvl="1" w:tplc="04070003" w:tentative="1">
      <w:start w:val="1"/>
      <w:numFmt w:val="bullet"/>
      <w:lvlText w:val="o"/>
      <w:lvlJc w:val="left"/>
      <w:pPr>
        <w:ind w:left="1486" w:hanging="360"/>
      </w:pPr>
      <w:rPr>
        <w:rFonts w:ascii="Courier New" w:hAnsi="Courier New" w:cs="Courier New" w:hint="default"/>
      </w:rPr>
    </w:lvl>
    <w:lvl w:ilvl="2" w:tplc="04070005" w:tentative="1">
      <w:start w:val="1"/>
      <w:numFmt w:val="bullet"/>
      <w:lvlText w:val=""/>
      <w:lvlJc w:val="left"/>
      <w:pPr>
        <w:ind w:left="2206" w:hanging="360"/>
      </w:pPr>
      <w:rPr>
        <w:rFonts w:ascii="Wingdings" w:hAnsi="Wingdings" w:hint="default"/>
      </w:rPr>
    </w:lvl>
    <w:lvl w:ilvl="3" w:tplc="04070001" w:tentative="1">
      <w:start w:val="1"/>
      <w:numFmt w:val="bullet"/>
      <w:lvlText w:val=""/>
      <w:lvlJc w:val="left"/>
      <w:pPr>
        <w:ind w:left="2926" w:hanging="360"/>
      </w:pPr>
      <w:rPr>
        <w:rFonts w:ascii="Symbol" w:hAnsi="Symbol" w:hint="default"/>
      </w:rPr>
    </w:lvl>
    <w:lvl w:ilvl="4" w:tplc="04070003" w:tentative="1">
      <w:start w:val="1"/>
      <w:numFmt w:val="bullet"/>
      <w:lvlText w:val="o"/>
      <w:lvlJc w:val="left"/>
      <w:pPr>
        <w:ind w:left="3646" w:hanging="360"/>
      </w:pPr>
      <w:rPr>
        <w:rFonts w:ascii="Courier New" w:hAnsi="Courier New" w:cs="Courier New" w:hint="default"/>
      </w:rPr>
    </w:lvl>
    <w:lvl w:ilvl="5" w:tplc="04070005" w:tentative="1">
      <w:start w:val="1"/>
      <w:numFmt w:val="bullet"/>
      <w:lvlText w:val=""/>
      <w:lvlJc w:val="left"/>
      <w:pPr>
        <w:ind w:left="4366" w:hanging="360"/>
      </w:pPr>
      <w:rPr>
        <w:rFonts w:ascii="Wingdings" w:hAnsi="Wingdings" w:hint="default"/>
      </w:rPr>
    </w:lvl>
    <w:lvl w:ilvl="6" w:tplc="04070001" w:tentative="1">
      <w:start w:val="1"/>
      <w:numFmt w:val="bullet"/>
      <w:lvlText w:val=""/>
      <w:lvlJc w:val="left"/>
      <w:pPr>
        <w:ind w:left="5086" w:hanging="360"/>
      </w:pPr>
      <w:rPr>
        <w:rFonts w:ascii="Symbol" w:hAnsi="Symbol" w:hint="default"/>
      </w:rPr>
    </w:lvl>
    <w:lvl w:ilvl="7" w:tplc="04070003" w:tentative="1">
      <w:start w:val="1"/>
      <w:numFmt w:val="bullet"/>
      <w:lvlText w:val="o"/>
      <w:lvlJc w:val="left"/>
      <w:pPr>
        <w:ind w:left="5806" w:hanging="360"/>
      </w:pPr>
      <w:rPr>
        <w:rFonts w:ascii="Courier New" w:hAnsi="Courier New" w:cs="Courier New" w:hint="default"/>
      </w:rPr>
    </w:lvl>
    <w:lvl w:ilvl="8" w:tplc="04070005" w:tentative="1">
      <w:start w:val="1"/>
      <w:numFmt w:val="bullet"/>
      <w:lvlText w:val=""/>
      <w:lvlJc w:val="left"/>
      <w:pPr>
        <w:ind w:left="6526" w:hanging="360"/>
      </w:pPr>
      <w:rPr>
        <w:rFonts w:ascii="Wingdings" w:hAnsi="Wingdings" w:hint="default"/>
      </w:rPr>
    </w:lvl>
  </w:abstractNum>
  <w:abstractNum w:abstractNumId="29" w15:restartNumberingAfterBreak="0">
    <w:nsid w:val="7FD735CB"/>
    <w:multiLevelType w:val="hybridMultilevel"/>
    <w:tmpl w:val="C6982992"/>
    <w:lvl w:ilvl="0" w:tplc="5C6C2CFC">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4"/>
  </w:num>
  <w:num w:numId="2">
    <w:abstractNumId w:val="20"/>
  </w:num>
  <w:num w:numId="3">
    <w:abstractNumId w:val="27"/>
  </w:num>
  <w:num w:numId="4">
    <w:abstractNumId w:val="25"/>
  </w:num>
  <w:num w:numId="5">
    <w:abstractNumId w:val="1"/>
  </w:num>
  <w:num w:numId="6">
    <w:abstractNumId w:val="0"/>
  </w:num>
  <w:num w:numId="7">
    <w:abstractNumId w:val="11"/>
  </w:num>
  <w:num w:numId="8">
    <w:abstractNumId w:val="5"/>
  </w:num>
  <w:num w:numId="9">
    <w:abstractNumId w:val="9"/>
  </w:num>
  <w:num w:numId="10">
    <w:abstractNumId w:val="14"/>
  </w:num>
  <w:num w:numId="11">
    <w:abstractNumId w:val="2"/>
  </w:num>
  <w:num w:numId="12">
    <w:abstractNumId w:val="13"/>
  </w:num>
  <w:num w:numId="13">
    <w:abstractNumId w:val="19"/>
  </w:num>
  <w:num w:numId="14">
    <w:abstractNumId w:val="29"/>
  </w:num>
  <w:num w:numId="15">
    <w:abstractNumId w:val="1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6"/>
  </w:num>
  <w:num w:numId="17">
    <w:abstractNumId w:val="28"/>
  </w:num>
  <w:num w:numId="18">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7"/>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num>
  <w:num w:numId="21">
    <w:abstractNumId w:val="22"/>
  </w:num>
  <w:num w:numId="22">
    <w:abstractNumId w:val="18"/>
  </w:num>
  <w:num w:numId="23">
    <w:abstractNumId w:val="15"/>
  </w:num>
  <w:num w:numId="24">
    <w:abstractNumId w:val="17"/>
  </w:num>
  <w:num w:numId="25">
    <w:abstractNumId w:val="6"/>
  </w:num>
  <w:num w:numId="26">
    <w:abstractNumId w:val="15"/>
  </w:num>
  <w:num w:numId="27">
    <w:abstractNumId w:val="26"/>
  </w:num>
  <w:num w:numId="28">
    <w:abstractNumId w:val="8"/>
  </w:num>
  <w:num w:numId="29">
    <w:abstractNumId w:val="23"/>
  </w:num>
  <w:num w:numId="30">
    <w:abstractNumId w:val="24"/>
  </w:num>
  <w:num w:numId="31">
    <w:abstractNumId w:val="3"/>
  </w:num>
  <w:num w:numId="32">
    <w:abstractNumId w:val="17"/>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40B01"/>
    <w:rsid w:val="00004079"/>
    <w:rsid w:val="00005D7F"/>
    <w:rsid w:val="000069B9"/>
    <w:rsid w:val="00006C38"/>
    <w:rsid w:val="00007165"/>
    <w:rsid w:val="0001095B"/>
    <w:rsid w:val="00010DC3"/>
    <w:rsid w:val="00011B53"/>
    <w:rsid w:val="00012D86"/>
    <w:rsid w:val="00023710"/>
    <w:rsid w:val="00023895"/>
    <w:rsid w:val="00024E24"/>
    <w:rsid w:val="00026DC5"/>
    <w:rsid w:val="000270EA"/>
    <w:rsid w:val="000271A1"/>
    <w:rsid w:val="00031EE2"/>
    <w:rsid w:val="000331B4"/>
    <w:rsid w:val="0003369F"/>
    <w:rsid w:val="00033DB1"/>
    <w:rsid w:val="00036903"/>
    <w:rsid w:val="0003708C"/>
    <w:rsid w:val="000402EC"/>
    <w:rsid w:val="000415F3"/>
    <w:rsid w:val="00041822"/>
    <w:rsid w:val="000422CE"/>
    <w:rsid w:val="00043EA5"/>
    <w:rsid w:val="0004612B"/>
    <w:rsid w:val="00047EED"/>
    <w:rsid w:val="00051AF5"/>
    <w:rsid w:val="00053D92"/>
    <w:rsid w:val="0005470F"/>
    <w:rsid w:val="000560AF"/>
    <w:rsid w:val="00056528"/>
    <w:rsid w:val="0006045E"/>
    <w:rsid w:val="000606A5"/>
    <w:rsid w:val="0006151A"/>
    <w:rsid w:val="00064A1C"/>
    <w:rsid w:val="00064A76"/>
    <w:rsid w:val="0006735F"/>
    <w:rsid w:val="00071D0F"/>
    <w:rsid w:val="000756A6"/>
    <w:rsid w:val="0007709B"/>
    <w:rsid w:val="0008199E"/>
    <w:rsid w:val="00081F11"/>
    <w:rsid w:val="0008305E"/>
    <w:rsid w:val="00085F81"/>
    <w:rsid w:val="0009166C"/>
    <w:rsid w:val="00091B14"/>
    <w:rsid w:val="00091C81"/>
    <w:rsid w:val="000930D6"/>
    <w:rsid w:val="00095BA9"/>
    <w:rsid w:val="0009610D"/>
    <w:rsid w:val="00096CB1"/>
    <w:rsid w:val="000970CA"/>
    <w:rsid w:val="00097EEE"/>
    <w:rsid w:val="000A2A2A"/>
    <w:rsid w:val="000A416F"/>
    <w:rsid w:val="000B2B28"/>
    <w:rsid w:val="000B394E"/>
    <w:rsid w:val="000B3A78"/>
    <w:rsid w:val="000B5925"/>
    <w:rsid w:val="000C0C40"/>
    <w:rsid w:val="000C2B74"/>
    <w:rsid w:val="000C458D"/>
    <w:rsid w:val="000C73A8"/>
    <w:rsid w:val="000D0172"/>
    <w:rsid w:val="000D4899"/>
    <w:rsid w:val="000E05EE"/>
    <w:rsid w:val="000E190D"/>
    <w:rsid w:val="000F1868"/>
    <w:rsid w:val="000F21B0"/>
    <w:rsid w:val="000F27F2"/>
    <w:rsid w:val="000F2FCE"/>
    <w:rsid w:val="000F4C7C"/>
    <w:rsid w:val="000F79D8"/>
    <w:rsid w:val="000F7B1F"/>
    <w:rsid w:val="001015FE"/>
    <w:rsid w:val="0010164F"/>
    <w:rsid w:val="00102F82"/>
    <w:rsid w:val="001057C9"/>
    <w:rsid w:val="001067E6"/>
    <w:rsid w:val="00106894"/>
    <w:rsid w:val="00106BD1"/>
    <w:rsid w:val="001104EF"/>
    <w:rsid w:val="00110C14"/>
    <w:rsid w:val="00110FBA"/>
    <w:rsid w:val="00115A44"/>
    <w:rsid w:val="00115B63"/>
    <w:rsid w:val="001170EE"/>
    <w:rsid w:val="0012177A"/>
    <w:rsid w:val="0012198A"/>
    <w:rsid w:val="001228F3"/>
    <w:rsid w:val="00123E45"/>
    <w:rsid w:val="0012610D"/>
    <w:rsid w:val="0012749E"/>
    <w:rsid w:val="00132171"/>
    <w:rsid w:val="00132A6E"/>
    <w:rsid w:val="0013433F"/>
    <w:rsid w:val="00137726"/>
    <w:rsid w:val="0014036F"/>
    <w:rsid w:val="00141D86"/>
    <w:rsid w:val="00141FAE"/>
    <w:rsid w:val="00142F62"/>
    <w:rsid w:val="001438EF"/>
    <w:rsid w:val="00146993"/>
    <w:rsid w:val="0014729A"/>
    <w:rsid w:val="00150450"/>
    <w:rsid w:val="0015078F"/>
    <w:rsid w:val="00150F5F"/>
    <w:rsid w:val="0015212A"/>
    <w:rsid w:val="00152571"/>
    <w:rsid w:val="00153A1C"/>
    <w:rsid w:val="001549A6"/>
    <w:rsid w:val="00154BC2"/>
    <w:rsid w:val="00155F34"/>
    <w:rsid w:val="00157CB5"/>
    <w:rsid w:val="001603B4"/>
    <w:rsid w:val="00160A20"/>
    <w:rsid w:val="00164DBB"/>
    <w:rsid w:val="001658A1"/>
    <w:rsid w:val="001670C4"/>
    <w:rsid w:val="00170A52"/>
    <w:rsid w:val="00171176"/>
    <w:rsid w:val="00174DF4"/>
    <w:rsid w:val="00177AA3"/>
    <w:rsid w:val="00180C2B"/>
    <w:rsid w:val="00181D34"/>
    <w:rsid w:val="00182C32"/>
    <w:rsid w:val="00183B8D"/>
    <w:rsid w:val="00183D1D"/>
    <w:rsid w:val="001842B8"/>
    <w:rsid w:val="00185D56"/>
    <w:rsid w:val="001873F7"/>
    <w:rsid w:val="00187556"/>
    <w:rsid w:val="00191018"/>
    <w:rsid w:val="00192B7F"/>
    <w:rsid w:val="00192D02"/>
    <w:rsid w:val="00192F4C"/>
    <w:rsid w:val="00194625"/>
    <w:rsid w:val="001949AF"/>
    <w:rsid w:val="00196FFB"/>
    <w:rsid w:val="001A000F"/>
    <w:rsid w:val="001A028F"/>
    <w:rsid w:val="001A0787"/>
    <w:rsid w:val="001A1094"/>
    <w:rsid w:val="001A1A04"/>
    <w:rsid w:val="001A1F4E"/>
    <w:rsid w:val="001A2F6B"/>
    <w:rsid w:val="001A327A"/>
    <w:rsid w:val="001A72A2"/>
    <w:rsid w:val="001B12E0"/>
    <w:rsid w:val="001B179E"/>
    <w:rsid w:val="001B6901"/>
    <w:rsid w:val="001B7EC7"/>
    <w:rsid w:val="001C088D"/>
    <w:rsid w:val="001C3735"/>
    <w:rsid w:val="001C5F93"/>
    <w:rsid w:val="001C6571"/>
    <w:rsid w:val="001C6D78"/>
    <w:rsid w:val="001D0850"/>
    <w:rsid w:val="001D194E"/>
    <w:rsid w:val="001D1F60"/>
    <w:rsid w:val="001D22F1"/>
    <w:rsid w:val="001D5272"/>
    <w:rsid w:val="001D681E"/>
    <w:rsid w:val="001E2EA4"/>
    <w:rsid w:val="001E3506"/>
    <w:rsid w:val="001E5445"/>
    <w:rsid w:val="001E6327"/>
    <w:rsid w:val="001E7186"/>
    <w:rsid w:val="001F028A"/>
    <w:rsid w:val="001F0DAD"/>
    <w:rsid w:val="001F2418"/>
    <w:rsid w:val="001F2B53"/>
    <w:rsid w:val="001F2FBB"/>
    <w:rsid w:val="001F4192"/>
    <w:rsid w:val="001F4A0A"/>
    <w:rsid w:val="001F5320"/>
    <w:rsid w:val="001F58D6"/>
    <w:rsid w:val="00202015"/>
    <w:rsid w:val="002039B0"/>
    <w:rsid w:val="00203A90"/>
    <w:rsid w:val="00204AF0"/>
    <w:rsid w:val="002052F0"/>
    <w:rsid w:val="002053BF"/>
    <w:rsid w:val="002075EB"/>
    <w:rsid w:val="00217E87"/>
    <w:rsid w:val="00221A93"/>
    <w:rsid w:val="00222F63"/>
    <w:rsid w:val="00224206"/>
    <w:rsid w:val="002259B3"/>
    <w:rsid w:val="00231C40"/>
    <w:rsid w:val="002339B5"/>
    <w:rsid w:val="002361AE"/>
    <w:rsid w:val="00236BEC"/>
    <w:rsid w:val="00240384"/>
    <w:rsid w:val="00243CCE"/>
    <w:rsid w:val="00244CEF"/>
    <w:rsid w:val="00246111"/>
    <w:rsid w:val="00247F0D"/>
    <w:rsid w:val="00250A46"/>
    <w:rsid w:val="00250A8D"/>
    <w:rsid w:val="00250E59"/>
    <w:rsid w:val="00251514"/>
    <w:rsid w:val="002531C2"/>
    <w:rsid w:val="002543F7"/>
    <w:rsid w:val="002559C4"/>
    <w:rsid w:val="00260B38"/>
    <w:rsid w:val="00261B6A"/>
    <w:rsid w:val="002623A4"/>
    <w:rsid w:val="002625CB"/>
    <w:rsid w:val="00262722"/>
    <w:rsid w:val="00265022"/>
    <w:rsid w:val="002661F3"/>
    <w:rsid w:val="00270012"/>
    <w:rsid w:val="00270FF8"/>
    <w:rsid w:val="002710B1"/>
    <w:rsid w:val="00272E2E"/>
    <w:rsid w:val="00273340"/>
    <w:rsid w:val="00276DF2"/>
    <w:rsid w:val="00280239"/>
    <w:rsid w:val="00280338"/>
    <w:rsid w:val="002817ED"/>
    <w:rsid w:val="00284187"/>
    <w:rsid w:val="002849F4"/>
    <w:rsid w:val="00290C41"/>
    <w:rsid w:val="00291E2B"/>
    <w:rsid w:val="002924A8"/>
    <w:rsid w:val="002952EE"/>
    <w:rsid w:val="002978F1"/>
    <w:rsid w:val="002979E1"/>
    <w:rsid w:val="00297F0C"/>
    <w:rsid w:val="002A1C1A"/>
    <w:rsid w:val="002A330E"/>
    <w:rsid w:val="002A4291"/>
    <w:rsid w:val="002A439F"/>
    <w:rsid w:val="002A5F2D"/>
    <w:rsid w:val="002A63ED"/>
    <w:rsid w:val="002B0ECA"/>
    <w:rsid w:val="002B2950"/>
    <w:rsid w:val="002B682F"/>
    <w:rsid w:val="002B75AD"/>
    <w:rsid w:val="002C09D3"/>
    <w:rsid w:val="002C104A"/>
    <w:rsid w:val="002C1749"/>
    <w:rsid w:val="002C2290"/>
    <w:rsid w:val="002C40DF"/>
    <w:rsid w:val="002C61CE"/>
    <w:rsid w:val="002D0AB6"/>
    <w:rsid w:val="002D0CA8"/>
    <w:rsid w:val="002D1FD7"/>
    <w:rsid w:val="002D318B"/>
    <w:rsid w:val="002D3841"/>
    <w:rsid w:val="002E05FB"/>
    <w:rsid w:val="002E0E5C"/>
    <w:rsid w:val="002E182B"/>
    <w:rsid w:val="002E41AF"/>
    <w:rsid w:val="002E45B7"/>
    <w:rsid w:val="002E48D1"/>
    <w:rsid w:val="002E6FFA"/>
    <w:rsid w:val="002F0081"/>
    <w:rsid w:val="002F091B"/>
    <w:rsid w:val="002F126F"/>
    <w:rsid w:val="002F340C"/>
    <w:rsid w:val="002F4C54"/>
    <w:rsid w:val="00300B12"/>
    <w:rsid w:val="00304583"/>
    <w:rsid w:val="003054C4"/>
    <w:rsid w:val="00305B56"/>
    <w:rsid w:val="0030741B"/>
    <w:rsid w:val="00310108"/>
    <w:rsid w:val="00310A89"/>
    <w:rsid w:val="00313257"/>
    <w:rsid w:val="003176A0"/>
    <w:rsid w:val="003176BE"/>
    <w:rsid w:val="003205B2"/>
    <w:rsid w:val="00320DC2"/>
    <w:rsid w:val="003237DE"/>
    <w:rsid w:val="00330585"/>
    <w:rsid w:val="00331E3A"/>
    <w:rsid w:val="00335461"/>
    <w:rsid w:val="003356B4"/>
    <w:rsid w:val="00342813"/>
    <w:rsid w:val="00346974"/>
    <w:rsid w:val="00346F42"/>
    <w:rsid w:val="00347C63"/>
    <w:rsid w:val="00352013"/>
    <w:rsid w:val="00355530"/>
    <w:rsid w:val="00355BBC"/>
    <w:rsid w:val="00356E4A"/>
    <w:rsid w:val="00357D24"/>
    <w:rsid w:val="00361880"/>
    <w:rsid w:val="00363167"/>
    <w:rsid w:val="00363BBA"/>
    <w:rsid w:val="00364601"/>
    <w:rsid w:val="00366323"/>
    <w:rsid w:val="003709AC"/>
    <w:rsid w:val="003731A2"/>
    <w:rsid w:val="003738FB"/>
    <w:rsid w:val="00376502"/>
    <w:rsid w:val="00377C96"/>
    <w:rsid w:val="00382791"/>
    <w:rsid w:val="00386069"/>
    <w:rsid w:val="00390674"/>
    <w:rsid w:val="00392DF0"/>
    <w:rsid w:val="003937B3"/>
    <w:rsid w:val="003942A8"/>
    <w:rsid w:val="00397863"/>
    <w:rsid w:val="003A0821"/>
    <w:rsid w:val="003A17D9"/>
    <w:rsid w:val="003A1EDE"/>
    <w:rsid w:val="003A49DC"/>
    <w:rsid w:val="003A4FDF"/>
    <w:rsid w:val="003A7A5D"/>
    <w:rsid w:val="003B03BE"/>
    <w:rsid w:val="003B0A29"/>
    <w:rsid w:val="003B11BC"/>
    <w:rsid w:val="003B1BCB"/>
    <w:rsid w:val="003B5DFC"/>
    <w:rsid w:val="003C0BF3"/>
    <w:rsid w:val="003C16F0"/>
    <w:rsid w:val="003C1961"/>
    <w:rsid w:val="003C60BD"/>
    <w:rsid w:val="003C6862"/>
    <w:rsid w:val="003D25DC"/>
    <w:rsid w:val="003D4CEB"/>
    <w:rsid w:val="003D56C7"/>
    <w:rsid w:val="003D660F"/>
    <w:rsid w:val="003D70B9"/>
    <w:rsid w:val="003D719C"/>
    <w:rsid w:val="003E0F47"/>
    <w:rsid w:val="003E2BD0"/>
    <w:rsid w:val="003E2F9A"/>
    <w:rsid w:val="003E59A3"/>
    <w:rsid w:val="003E603B"/>
    <w:rsid w:val="003F0EA8"/>
    <w:rsid w:val="003F1C22"/>
    <w:rsid w:val="003F2794"/>
    <w:rsid w:val="003F2DD5"/>
    <w:rsid w:val="003F35C9"/>
    <w:rsid w:val="003F3F84"/>
    <w:rsid w:val="003F4707"/>
    <w:rsid w:val="003F62D4"/>
    <w:rsid w:val="003F6E0C"/>
    <w:rsid w:val="004016B1"/>
    <w:rsid w:val="00402764"/>
    <w:rsid w:val="004028F7"/>
    <w:rsid w:val="00405A83"/>
    <w:rsid w:val="00406600"/>
    <w:rsid w:val="00406BF5"/>
    <w:rsid w:val="004104D9"/>
    <w:rsid w:val="00411011"/>
    <w:rsid w:val="0041123A"/>
    <w:rsid w:val="00417A31"/>
    <w:rsid w:val="00420E60"/>
    <w:rsid w:val="004229CC"/>
    <w:rsid w:val="0042629C"/>
    <w:rsid w:val="00431C40"/>
    <w:rsid w:val="00432F3C"/>
    <w:rsid w:val="0043358A"/>
    <w:rsid w:val="00434252"/>
    <w:rsid w:val="00441805"/>
    <w:rsid w:val="0044192A"/>
    <w:rsid w:val="00442136"/>
    <w:rsid w:val="00443035"/>
    <w:rsid w:val="00443491"/>
    <w:rsid w:val="00447402"/>
    <w:rsid w:val="004479C6"/>
    <w:rsid w:val="00447AA5"/>
    <w:rsid w:val="004512DF"/>
    <w:rsid w:val="004550AA"/>
    <w:rsid w:val="00455A23"/>
    <w:rsid w:val="004611B2"/>
    <w:rsid w:val="00462497"/>
    <w:rsid w:val="00463F7E"/>
    <w:rsid w:val="004655DA"/>
    <w:rsid w:val="004658AF"/>
    <w:rsid w:val="00465AC3"/>
    <w:rsid w:val="00465B44"/>
    <w:rsid w:val="0046715E"/>
    <w:rsid w:val="00467858"/>
    <w:rsid w:val="004724CE"/>
    <w:rsid w:val="00472F88"/>
    <w:rsid w:val="0048043C"/>
    <w:rsid w:val="00481565"/>
    <w:rsid w:val="00485218"/>
    <w:rsid w:val="00485C82"/>
    <w:rsid w:val="0048600B"/>
    <w:rsid w:val="0049014D"/>
    <w:rsid w:val="0049534F"/>
    <w:rsid w:val="004959B4"/>
    <w:rsid w:val="0049664D"/>
    <w:rsid w:val="00496A04"/>
    <w:rsid w:val="004A0747"/>
    <w:rsid w:val="004A1232"/>
    <w:rsid w:val="004A5B7C"/>
    <w:rsid w:val="004A749B"/>
    <w:rsid w:val="004B28AE"/>
    <w:rsid w:val="004B3DD4"/>
    <w:rsid w:val="004B3E56"/>
    <w:rsid w:val="004B4AE4"/>
    <w:rsid w:val="004B4ECE"/>
    <w:rsid w:val="004B72C8"/>
    <w:rsid w:val="004B747B"/>
    <w:rsid w:val="004C220E"/>
    <w:rsid w:val="004C2D69"/>
    <w:rsid w:val="004C3B3E"/>
    <w:rsid w:val="004C44EF"/>
    <w:rsid w:val="004C49E0"/>
    <w:rsid w:val="004C4F85"/>
    <w:rsid w:val="004C6570"/>
    <w:rsid w:val="004D0390"/>
    <w:rsid w:val="004D2DC9"/>
    <w:rsid w:val="004D32B5"/>
    <w:rsid w:val="004D3CA7"/>
    <w:rsid w:val="004D40BD"/>
    <w:rsid w:val="004D446D"/>
    <w:rsid w:val="004D6D0E"/>
    <w:rsid w:val="004E0AC9"/>
    <w:rsid w:val="004E1428"/>
    <w:rsid w:val="004E1CE4"/>
    <w:rsid w:val="004E4828"/>
    <w:rsid w:val="004E5CBB"/>
    <w:rsid w:val="004E774D"/>
    <w:rsid w:val="004E7BCC"/>
    <w:rsid w:val="004F0869"/>
    <w:rsid w:val="004F5064"/>
    <w:rsid w:val="004F691B"/>
    <w:rsid w:val="004F78B9"/>
    <w:rsid w:val="0050071A"/>
    <w:rsid w:val="00501D54"/>
    <w:rsid w:val="00503111"/>
    <w:rsid w:val="005053F2"/>
    <w:rsid w:val="00507066"/>
    <w:rsid w:val="00507BD9"/>
    <w:rsid w:val="00511366"/>
    <w:rsid w:val="005131E4"/>
    <w:rsid w:val="00514EAC"/>
    <w:rsid w:val="0051636B"/>
    <w:rsid w:val="0052083F"/>
    <w:rsid w:val="00521083"/>
    <w:rsid w:val="005229C3"/>
    <w:rsid w:val="005263EF"/>
    <w:rsid w:val="00531B5B"/>
    <w:rsid w:val="00533EA2"/>
    <w:rsid w:val="00537547"/>
    <w:rsid w:val="005402AA"/>
    <w:rsid w:val="00540686"/>
    <w:rsid w:val="005419BD"/>
    <w:rsid w:val="00542266"/>
    <w:rsid w:val="0054282C"/>
    <w:rsid w:val="0054755D"/>
    <w:rsid w:val="005477A4"/>
    <w:rsid w:val="00550A9B"/>
    <w:rsid w:val="00553B07"/>
    <w:rsid w:val="005542D6"/>
    <w:rsid w:val="005568C1"/>
    <w:rsid w:val="0055738D"/>
    <w:rsid w:val="00560247"/>
    <w:rsid w:val="0056186D"/>
    <w:rsid w:val="00562069"/>
    <w:rsid w:val="00562A51"/>
    <w:rsid w:val="00563948"/>
    <w:rsid w:val="00563D5B"/>
    <w:rsid w:val="00567832"/>
    <w:rsid w:val="005711A1"/>
    <w:rsid w:val="0057150E"/>
    <w:rsid w:val="00572570"/>
    <w:rsid w:val="00575631"/>
    <w:rsid w:val="00576BFF"/>
    <w:rsid w:val="005825D0"/>
    <w:rsid w:val="005833BC"/>
    <w:rsid w:val="0058637D"/>
    <w:rsid w:val="005876BD"/>
    <w:rsid w:val="00590A39"/>
    <w:rsid w:val="00593B39"/>
    <w:rsid w:val="005950A0"/>
    <w:rsid w:val="005970B6"/>
    <w:rsid w:val="00597D06"/>
    <w:rsid w:val="005A0408"/>
    <w:rsid w:val="005A29B3"/>
    <w:rsid w:val="005A62E5"/>
    <w:rsid w:val="005A7164"/>
    <w:rsid w:val="005A75C3"/>
    <w:rsid w:val="005B466D"/>
    <w:rsid w:val="005B4810"/>
    <w:rsid w:val="005B4E93"/>
    <w:rsid w:val="005B614A"/>
    <w:rsid w:val="005B6680"/>
    <w:rsid w:val="005B7F10"/>
    <w:rsid w:val="005C17FD"/>
    <w:rsid w:val="005C48E8"/>
    <w:rsid w:val="005C609D"/>
    <w:rsid w:val="005C60B7"/>
    <w:rsid w:val="005C76AD"/>
    <w:rsid w:val="005D0604"/>
    <w:rsid w:val="005D1F14"/>
    <w:rsid w:val="005D2031"/>
    <w:rsid w:val="005D2437"/>
    <w:rsid w:val="005D2A92"/>
    <w:rsid w:val="005D364E"/>
    <w:rsid w:val="005D3807"/>
    <w:rsid w:val="005D3825"/>
    <w:rsid w:val="005D3CDA"/>
    <w:rsid w:val="005D55B4"/>
    <w:rsid w:val="005D7616"/>
    <w:rsid w:val="005E1360"/>
    <w:rsid w:val="005E3610"/>
    <w:rsid w:val="005E4A1F"/>
    <w:rsid w:val="005E6C67"/>
    <w:rsid w:val="005F0652"/>
    <w:rsid w:val="005F2BAB"/>
    <w:rsid w:val="005F4A66"/>
    <w:rsid w:val="005F4CEE"/>
    <w:rsid w:val="005F551B"/>
    <w:rsid w:val="005F753A"/>
    <w:rsid w:val="005F7DB7"/>
    <w:rsid w:val="006015C1"/>
    <w:rsid w:val="00602DAE"/>
    <w:rsid w:val="006043EE"/>
    <w:rsid w:val="00604BC4"/>
    <w:rsid w:val="00605715"/>
    <w:rsid w:val="00606297"/>
    <w:rsid w:val="006072F6"/>
    <w:rsid w:val="0061308B"/>
    <w:rsid w:val="00614C4F"/>
    <w:rsid w:val="006156C9"/>
    <w:rsid w:val="0061772D"/>
    <w:rsid w:val="00620754"/>
    <w:rsid w:val="006227A7"/>
    <w:rsid w:val="006261FA"/>
    <w:rsid w:val="0062700A"/>
    <w:rsid w:val="006325C5"/>
    <w:rsid w:val="006330B8"/>
    <w:rsid w:val="00636EEB"/>
    <w:rsid w:val="00636FFC"/>
    <w:rsid w:val="006403E7"/>
    <w:rsid w:val="00640DC5"/>
    <w:rsid w:val="00641D78"/>
    <w:rsid w:val="006424EF"/>
    <w:rsid w:val="0064441B"/>
    <w:rsid w:val="00644D23"/>
    <w:rsid w:val="00645311"/>
    <w:rsid w:val="006464E4"/>
    <w:rsid w:val="00646BBD"/>
    <w:rsid w:val="0065026A"/>
    <w:rsid w:val="006525C1"/>
    <w:rsid w:val="00654271"/>
    <w:rsid w:val="006549BB"/>
    <w:rsid w:val="006564E1"/>
    <w:rsid w:val="00656D95"/>
    <w:rsid w:val="00663AF2"/>
    <w:rsid w:val="006678AD"/>
    <w:rsid w:val="00667FEF"/>
    <w:rsid w:val="00675887"/>
    <w:rsid w:val="006761CE"/>
    <w:rsid w:val="00677DF1"/>
    <w:rsid w:val="00681AF9"/>
    <w:rsid w:val="00682882"/>
    <w:rsid w:val="00684E10"/>
    <w:rsid w:val="00685B8E"/>
    <w:rsid w:val="00686342"/>
    <w:rsid w:val="00687BFB"/>
    <w:rsid w:val="00690443"/>
    <w:rsid w:val="006907E6"/>
    <w:rsid w:val="006922DD"/>
    <w:rsid w:val="0069300C"/>
    <w:rsid w:val="00693D7D"/>
    <w:rsid w:val="006952AB"/>
    <w:rsid w:val="006A300D"/>
    <w:rsid w:val="006A301F"/>
    <w:rsid w:val="006A7175"/>
    <w:rsid w:val="006B0538"/>
    <w:rsid w:val="006B1CDD"/>
    <w:rsid w:val="006B1DB6"/>
    <w:rsid w:val="006B62AB"/>
    <w:rsid w:val="006B6A30"/>
    <w:rsid w:val="006B72BA"/>
    <w:rsid w:val="006B73BF"/>
    <w:rsid w:val="006B771A"/>
    <w:rsid w:val="006C02F7"/>
    <w:rsid w:val="006C0DAB"/>
    <w:rsid w:val="006C3F8C"/>
    <w:rsid w:val="006C3F9B"/>
    <w:rsid w:val="006C56C8"/>
    <w:rsid w:val="006C5863"/>
    <w:rsid w:val="006C5C44"/>
    <w:rsid w:val="006C61E9"/>
    <w:rsid w:val="006C732E"/>
    <w:rsid w:val="006D0405"/>
    <w:rsid w:val="006D0537"/>
    <w:rsid w:val="006D541A"/>
    <w:rsid w:val="006D5928"/>
    <w:rsid w:val="006D616A"/>
    <w:rsid w:val="006D7A1D"/>
    <w:rsid w:val="006E5F64"/>
    <w:rsid w:val="006E641D"/>
    <w:rsid w:val="006E7926"/>
    <w:rsid w:val="006F0588"/>
    <w:rsid w:val="006F05F4"/>
    <w:rsid w:val="006F4427"/>
    <w:rsid w:val="006F6AC0"/>
    <w:rsid w:val="006F76F0"/>
    <w:rsid w:val="00703A4E"/>
    <w:rsid w:val="00704042"/>
    <w:rsid w:val="007059DC"/>
    <w:rsid w:val="00706554"/>
    <w:rsid w:val="00711B25"/>
    <w:rsid w:val="0071248E"/>
    <w:rsid w:val="00712E57"/>
    <w:rsid w:val="00712EDF"/>
    <w:rsid w:val="00713172"/>
    <w:rsid w:val="00713D19"/>
    <w:rsid w:val="00713F0E"/>
    <w:rsid w:val="00713FDB"/>
    <w:rsid w:val="00716BE5"/>
    <w:rsid w:val="00720763"/>
    <w:rsid w:val="00724574"/>
    <w:rsid w:val="00724C1F"/>
    <w:rsid w:val="00727069"/>
    <w:rsid w:val="007328FA"/>
    <w:rsid w:val="00732A75"/>
    <w:rsid w:val="00733231"/>
    <w:rsid w:val="00734E4E"/>
    <w:rsid w:val="00735835"/>
    <w:rsid w:val="00743258"/>
    <w:rsid w:val="00745B9E"/>
    <w:rsid w:val="00747357"/>
    <w:rsid w:val="00750C74"/>
    <w:rsid w:val="007513AB"/>
    <w:rsid w:val="0075513B"/>
    <w:rsid w:val="00757BAC"/>
    <w:rsid w:val="00757E9D"/>
    <w:rsid w:val="007633DF"/>
    <w:rsid w:val="0076369D"/>
    <w:rsid w:val="00764410"/>
    <w:rsid w:val="007654A0"/>
    <w:rsid w:val="00771222"/>
    <w:rsid w:val="00771415"/>
    <w:rsid w:val="007718DC"/>
    <w:rsid w:val="00774F3C"/>
    <w:rsid w:val="00780737"/>
    <w:rsid w:val="00780909"/>
    <w:rsid w:val="00782B04"/>
    <w:rsid w:val="00782E13"/>
    <w:rsid w:val="007842C5"/>
    <w:rsid w:val="007865A9"/>
    <w:rsid w:val="0078683C"/>
    <w:rsid w:val="00787FDF"/>
    <w:rsid w:val="00790DD7"/>
    <w:rsid w:val="007911B1"/>
    <w:rsid w:val="00791AB5"/>
    <w:rsid w:val="00792013"/>
    <w:rsid w:val="0079412A"/>
    <w:rsid w:val="00796813"/>
    <w:rsid w:val="007A2059"/>
    <w:rsid w:val="007A2149"/>
    <w:rsid w:val="007A25C2"/>
    <w:rsid w:val="007A2A30"/>
    <w:rsid w:val="007A2D79"/>
    <w:rsid w:val="007A331E"/>
    <w:rsid w:val="007A3471"/>
    <w:rsid w:val="007A5030"/>
    <w:rsid w:val="007A5095"/>
    <w:rsid w:val="007A50E1"/>
    <w:rsid w:val="007A56B0"/>
    <w:rsid w:val="007A618D"/>
    <w:rsid w:val="007B0B06"/>
    <w:rsid w:val="007B1718"/>
    <w:rsid w:val="007B36BD"/>
    <w:rsid w:val="007B514A"/>
    <w:rsid w:val="007B716B"/>
    <w:rsid w:val="007C1BB7"/>
    <w:rsid w:val="007C1BD7"/>
    <w:rsid w:val="007C2FFE"/>
    <w:rsid w:val="007C575B"/>
    <w:rsid w:val="007C7B83"/>
    <w:rsid w:val="007D05CA"/>
    <w:rsid w:val="007D33A8"/>
    <w:rsid w:val="007D41A1"/>
    <w:rsid w:val="007D4ACD"/>
    <w:rsid w:val="007D6AA6"/>
    <w:rsid w:val="007D76A0"/>
    <w:rsid w:val="007E0621"/>
    <w:rsid w:val="007E190F"/>
    <w:rsid w:val="007E34FE"/>
    <w:rsid w:val="007E3814"/>
    <w:rsid w:val="007E66FE"/>
    <w:rsid w:val="007F194A"/>
    <w:rsid w:val="007F1A87"/>
    <w:rsid w:val="007F4D60"/>
    <w:rsid w:val="007F5C95"/>
    <w:rsid w:val="007F6908"/>
    <w:rsid w:val="007F7458"/>
    <w:rsid w:val="00800420"/>
    <w:rsid w:val="0080156D"/>
    <w:rsid w:val="00805CED"/>
    <w:rsid w:val="0080625A"/>
    <w:rsid w:val="00806407"/>
    <w:rsid w:val="0080662E"/>
    <w:rsid w:val="00806DA8"/>
    <w:rsid w:val="00806E70"/>
    <w:rsid w:val="00806EBE"/>
    <w:rsid w:val="00810D61"/>
    <w:rsid w:val="00812E99"/>
    <w:rsid w:val="00813070"/>
    <w:rsid w:val="00821E90"/>
    <w:rsid w:val="008220E8"/>
    <w:rsid w:val="00822593"/>
    <w:rsid w:val="008244B4"/>
    <w:rsid w:val="00825D08"/>
    <w:rsid w:val="0083055C"/>
    <w:rsid w:val="008310CF"/>
    <w:rsid w:val="008314D1"/>
    <w:rsid w:val="008314E5"/>
    <w:rsid w:val="0083232C"/>
    <w:rsid w:val="00832D6A"/>
    <w:rsid w:val="00833EA8"/>
    <w:rsid w:val="00835BD0"/>
    <w:rsid w:val="00836224"/>
    <w:rsid w:val="008424AF"/>
    <w:rsid w:val="00842F2F"/>
    <w:rsid w:val="00845106"/>
    <w:rsid w:val="0084619E"/>
    <w:rsid w:val="008461FD"/>
    <w:rsid w:val="00846599"/>
    <w:rsid w:val="008521C5"/>
    <w:rsid w:val="008537B7"/>
    <w:rsid w:val="0085537F"/>
    <w:rsid w:val="0085723F"/>
    <w:rsid w:val="00860173"/>
    <w:rsid w:val="00860CE0"/>
    <w:rsid w:val="00861632"/>
    <w:rsid w:val="0086488E"/>
    <w:rsid w:val="008671D1"/>
    <w:rsid w:val="0086739F"/>
    <w:rsid w:val="008701E7"/>
    <w:rsid w:val="00870C8B"/>
    <w:rsid w:val="00870D26"/>
    <w:rsid w:val="00870D88"/>
    <w:rsid w:val="008711AC"/>
    <w:rsid w:val="00871F85"/>
    <w:rsid w:val="008731B4"/>
    <w:rsid w:val="00874627"/>
    <w:rsid w:val="008751D0"/>
    <w:rsid w:val="00875CED"/>
    <w:rsid w:val="00880B37"/>
    <w:rsid w:val="00881E86"/>
    <w:rsid w:val="00882DD6"/>
    <w:rsid w:val="00884B7A"/>
    <w:rsid w:val="008900D3"/>
    <w:rsid w:val="008930EF"/>
    <w:rsid w:val="0089389F"/>
    <w:rsid w:val="00893A68"/>
    <w:rsid w:val="00895433"/>
    <w:rsid w:val="00897207"/>
    <w:rsid w:val="008A113F"/>
    <w:rsid w:val="008A32A7"/>
    <w:rsid w:val="008A3BEC"/>
    <w:rsid w:val="008A3F46"/>
    <w:rsid w:val="008A6BEF"/>
    <w:rsid w:val="008B07BF"/>
    <w:rsid w:val="008B18AF"/>
    <w:rsid w:val="008B1A32"/>
    <w:rsid w:val="008B4ADA"/>
    <w:rsid w:val="008B6E21"/>
    <w:rsid w:val="008B73D8"/>
    <w:rsid w:val="008B786E"/>
    <w:rsid w:val="008C021C"/>
    <w:rsid w:val="008C0E01"/>
    <w:rsid w:val="008C3C24"/>
    <w:rsid w:val="008C47E0"/>
    <w:rsid w:val="008C6099"/>
    <w:rsid w:val="008C63C1"/>
    <w:rsid w:val="008C68AD"/>
    <w:rsid w:val="008C6BEB"/>
    <w:rsid w:val="008C71D2"/>
    <w:rsid w:val="008D1D46"/>
    <w:rsid w:val="008D4501"/>
    <w:rsid w:val="008D7057"/>
    <w:rsid w:val="008E0EDA"/>
    <w:rsid w:val="008E1D42"/>
    <w:rsid w:val="008F02E7"/>
    <w:rsid w:val="008F0F8E"/>
    <w:rsid w:val="008F2A4F"/>
    <w:rsid w:val="008F4E8C"/>
    <w:rsid w:val="008F6ADA"/>
    <w:rsid w:val="009007EB"/>
    <w:rsid w:val="009008CF"/>
    <w:rsid w:val="00901A73"/>
    <w:rsid w:val="00901C17"/>
    <w:rsid w:val="009035B0"/>
    <w:rsid w:val="00903C77"/>
    <w:rsid w:val="00906A49"/>
    <w:rsid w:val="009077A9"/>
    <w:rsid w:val="009102B7"/>
    <w:rsid w:val="0091275C"/>
    <w:rsid w:val="0091293B"/>
    <w:rsid w:val="00913653"/>
    <w:rsid w:val="00914EF8"/>
    <w:rsid w:val="00916C75"/>
    <w:rsid w:val="0092026B"/>
    <w:rsid w:val="00921801"/>
    <w:rsid w:val="009225D5"/>
    <w:rsid w:val="00926063"/>
    <w:rsid w:val="009269B9"/>
    <w:rsid w:val="00930238"/>
    <w:rsid w:val="00930255"/>
    <w:rsid w:val="0093250F"/>
    <w:rsid w:val="00932CDF"/>
    <w:rsid w:val="00935EF1"/>
    <w:rsid w:val="00936A57"/>
    <w:rsid w:val="00941E37"/>
    <w:rsid w:val="00943072"/>
    <w:rsid w:val="00943745"/>
    <w:rsid w:val="00945C41"/>
    <w:rsid w:val="00947E0E"/>
    <w:rsid w:val="009502F4"/>
    <w:rsid w:val="0095257F"/>
    <w:rsid w:val="009543A4"/>
    <w:rsid w:val="009549A2"/>
    <w:rsid w:val="009574A0"/>
    <w:rsid w:val="0096275C"/>
    <w:rsid w:val="0096551C"/>
    <w:rsid w:val="009658D8"/>
    <w:rsid w:val="00965A10"/>
    <w:rsid w:val="00967F50"/>
    <w:rsid w:val="00982001"/>
    <w:rsid w:val="0098219C"/>
    <w:rsid w:val="00982E18"/>
    <w:rsid w:val="00983225"/>
    <w:rsid w:val="00987D43"/>
    <w:rsid w:val="00994DB9"/>
    <w:rsid w:val="00995966"/>
    <w:rsid w:val="0099716A"/>
    <w:rsid w:val="009976E9"/>
    <w:rsid w:val="009A0206"/>
    <w:rsid w:val="009A0ECD"/>
    <w:rsid w:val="009A2765"/>
    <w:rsid w:val="009A34C2"/>
    <w:rsid w:val="009A35AC"/>
    <w:rsid w:val="009A4491"/>
    <w:rsid w:val="009A6D74"/>
    <w:rsid w:val="009A6EAB"/>
    <w:rsid w:val="009B2131"/>
    <w:rsid w:val="009B2881"/>
    <w:rsid w:val="009B30B3"/>
    <w:rsid w:val="009B3AC7"/>
    <w:rsid w:val="009B50A5"/>
    <w:rsid w:val="009B5EBE"/>
    <w:rsid w:val="009B6221"/>
    <w:rsid w:val="009B7A4B"/>
    <w:rsid w:val="009C0C83"/>
    <w:rsid w:val="009C11ED"/>
    <w:rsid w:val="009C442E"/>
    <w:rsid w:val="009C4C63"/>
    <w:rsid w:val="009C6EFD"/>
    <w:rsid w:val="009C77D8"/>
    <w:rsid w:val="009D3E6B"/>
    <w:rsid w:val="009D5E69"/>
    <w:rsid w:val="009E357C"/>
    <w:rsid w:val="009E3EA0"/>
    <w:rsid w:val="009E49F3"/>
    <w:rsid w:val="009E59FA"/>
    <w:rsid w:val="009F76CE"/>
    <w:rsid w:val="009F7C0B"/>
    <w:rsid w:val="00A01D2B"/>
    <w:rsid w:val="00A03340"/>
    <w:rsid w:val="00A03ACF"/>
    <w:rsid w:val="00A062D1"/>
    <w:rsid w:val="00A10526"/>
    <w:rsid w:val="00A11528"/>
    <w:rsid w:val="00A12E2A"/>
    <w:rsid w:val="00A136C3"/>
    <w:rsid w:val="00A15F3C"/>
    <w:rsid w:val="00A16BFB"/>
    <w:rsid w:val="00A21524"/>
    <w:rsid w:val="00A2193B"/>
    <w:rsid w:val="00A2219B"/>
    <w:rsid w:val="00A250A1"/>
    <w:rsid w:val="00A25448"/>
    <w:rsid w:val="00A276BC"/>
    <w:rsid w:val="00A3017F"/>
    <w:rsid w:val="00A30C8A"/>
    <w:rsid w:val="00A31BC3"/>
    <w:rsid w:val="00A33AC0"/>
    <w:rsid w:val="00A344E7"/>
    <w:rsid w:val="00A357BD"/>
    <w:rsid w:val="00A37031"/>
    <w:rsid w:val="00A37FC7"/>
    <w:rsid w:val="00A40260"/>
    <w:rsid w:val="00A42B65"/>
    <w:rsid w:val="00A4364A"/>
    <w:rsid w:val="00A43897"/>
    <w:rsid w:val="00A44BD9"/>
    <w:rsid w:val="00A45E7A"/>
    <w:rsid w:val="00A466DB"/>
    <w:rsid w:val="00A46CD2"/>
    <w:rsid w:val="00A47672"/>
    <w:rsid w:val="00A47F55"/>
    <w:rsid w:val="00A51DDA"/>
    <w:rsid w:val="00A5202E"/>
    <w:rsid w:val="00A53EC5"/>
    <w:rsid w:val="00A555E9"/>
    <w:rsid w:val="00A56B22"/>
    <w:rsid w:val="00A573CF"/>
    <w:rsid w:val="00A615F1"/>
    <w:rsid w:val="00A617F3"/>
    <w:rsid w:val="00A660CB"/>
    <w:rsid w:val="00A66567"/>
    <w:rsid w:val="00A66706"/>
    <w:rsid w:val="00A66D11"/>
    <w:rsid w:val="00A70DA5"/>
    <w:rsid w:val="00A71900"/>
    <w:rsid w:val="00A71CAF"/>
    <w:rsid w:val="00A73255"/>
    <w:rsid w:val="00A73B6A"/>
    <w:rsid w:val="00A76699"/>
    <w:rsid w:val="00A8076D"/>
    <w:rsid w:val="00A93DA9"/>
    <w:rsid w:val="00A944E3"/>
    <w:rsid w:val="00A953C6"/>
    <w:rsid w:val="00A96413"/>
    <w:rsid w:val="00A969BD"/>
    <w:rsid w:val="00AA05E4"/>
    <w:rsid w:val="00AA19EB"/>
    <w:rsid w:val="00AA3557"/>
    <w:rsid w:val="00AA3F98"/>
    <w:rsid w:val="00AA66A7"/>
    <w:rsid w:val="00AB019B"/>
    <w:rsid w:val="00AB2ACB"/>
    <w:rsid w:val="00AB2BD1"/>
    <w:rsid w:val="00AB3EFF"/>
    <w:rsid w:val="00AB48B5"/>
    <w:rsid w:val="00AB495D"/>
    <w:rsid w:val="00AB4FF6"/>
    <w:rsid w:val="00AB5560"/>
    <w:rsid w:val="00AB6F25"/>
    <w:rsid w:val="00AC1AA3"/>
    <w:rsid w:val="00AC1C86"/>
    <w:rsid w:val="00AC2049"/>
    <w:rsid w:val="00AC4FE9"/>
    <w:rsid w:val="00AC55E8"/>
    <w:rsid w:val="00AC571C"/>
    <w:rsid w:val="00AC5964"/>
    <w:rsid w:val="00AC70B5"/>
    <w:rsid w:val="00AC7C7C"/>
    <w:rsid w:val="00AD0473"/>
    <w:rsid w:val="00AD19B9"/>
    <w:rsid w:val="00AD2FC0"/>
    <w:rsid w:val="00AD35E6"/>
    <w:rsid w:val="00AE05F4"/>
    <w:rsid w:val="00AE0735"/>
    <w:rsid w:val="00AE1EA3"/>
    <w:rsid w:val="00AE4C53"/>
    <w:rsid w:val="00AE530A"/>
    <w:rsid w:val="00AE6616"/>
    <w:rsid w:val="00AE692D"/>
    <w:rsid w:val="00AF0F8B"/>
    <w:rsid w:val="00AF25CB"/>
    <w:rsid w:val="00AF3814"/>
    <w:rsid w:val="00AF7A62"/>
    <w:rsid w:val="00B0012E"/>
    <w:rsid w:val="00B00DFB"/>
    <w:rsid w:val="00B01094"/>
    <w:rsid w:val="00B01485"/>
    <w:rsid w:val="00B020CB"/>
    <w:rsid w:val="00B04F74"/>
    <w:rsid w:val="00B1026D"/>
    <w:rsid w:val="00B10336"/>
    <w:rsid w:val="00B1120C"/>
    <w:rsid w:val="00B1314A"/>
    <w:rsid w:val="00B14703"/>
    <w:rsid w:val="00B147AE"/>
    <w:rsid w:val="00B20487"/>
    <w:rsid w:val="00B21BEE"/>
    <w:rsid w:val="00B22D22"/>
    <w:rsid w:val="00B26024"/>
    <w:rsid w:val="00B26795"/>
    <w:rsid w:val="00B309B7"/>
    <w:rsid w:val="00B31749"/>
    <w:rsid w:val="00B31B41"/>
    <w:rsid w:val="00B338B2"/>
    <w:rsid w:val="00B33B9B"/>
    <w:rsid w:val="00B34B6D"/>
    <w:rsid w:val="00B37858"/>
    <w:rsid w:val="00B437EE"/>
    <w:rsid w:val="00B43AA1"/>
    <w:rsid w:val="00B451FA"/>
    <w:rsid w:val="00B4745D"/>
    <w:rsid w:val="00B51BF5"/>
    <w:rsid w:val="00B5370C"/>
    <w:rsid w:val="00B559F7"/>
    <w:rsid w:val="00B55AEB"/>
    <w:rsid w:val="00B60F9C"/>
    <w:rsid w:val="00B610C4"/>
    <w:rsid w:val="00B61FA4"/>
    <w:rsid w:val="00B6203B"/>
    <w:rsid w:val="00B63457"/>
    <w:rsid w:val="00B658B2"/>
    <w:rsid w:val="00B658EC"/>
    <w:rsid w:val="00B66702"/>
    <w:rsid w:val="00B6753B"/>
    <w:rsid w:val="00B70293"/>
    <w:rsid w:val="00B702BD"/>
    <w:rsid w:val="00B70FFC"/>
    <w:rsid w:val="00B7456F"/>
    <w:rsid w:val="00B74884"/>
    <w:rsid w:val="00B757EA"/>
    <w:rsid w:val="00B7736D"/>
    <w:rsid w:val="00B77575"/>
    <w:rsid w:val="00B800B2"/>
    <w:rsid w:val="00B8238D"/>
    <w:rsid w:val="00B83A0F"/>
    <w:rsid w:val="00B83EA8"/>
    <w:rsid w:val="00B84642"/>
    <w:rsid w:val="00B9015B"/>
    <w:rsid w:val="00B95A31"/>
    <w:rsid w:val="00B975F2"/>
    <w:rsid w:val="00BA24D3"/>
    <w:rsid w:val="00BA3989"/>
    <w:rsid w:val="00BB0CA6"/>
    <w:rsid w:val="00BB1C38"/>
    <w:rsid w:val="00BB48D7"/>
    <w:rsid w:val="00BB4BB8"/>
    <w:rsid w:val="00BB7E3D"/>
    <w:rsid w:val="00BC09D7"/>
    <w:rsid w:val="00BC0F24"/>
    <w:rsid w:val="00BC2537"/>
    <w:rsid w:val="00BC2C27"/>
    <w:rsid w:val="00BC4CE6"/>
    <w:rsid w:val="00BC7853"/>
    <w:rsid w:val="00BD0CB8"/>
    <w:rsid w:val="00BD1A40"/>
    <w:rsid w:val="00BD20A4"/>
    <w:rsid w:val="00BD36DF"/>
    <w:rsid w:val="00BD43E0"/>
    <w:rsid w:val="00BE0FE1"/>
    <w:rsid w:val="00BE3523"/>
    <w:rsid w:val="00BE4BE7"/>
    <w:rsid w:val="00BE4D62"/>
    <w:rsid w:val="00BF072C"/>
    <w:rsid w:val="00BF0767"/>
    <w:rsid w:val="00BF111A"/>
    <w:rsid w:val="00BF1162"/>
    <w:rsid w:val="00BF1C5A"/>
    <w:rsid w:val="00BF5C47"/>
    <w:rsid w:val="00BF7F49"/>
    <w:rsid w:val="00C01DCC"/>
    <w:rsid w:val="00C01EC9"/>
    <w:rsid w:val="00C05B59"/>
    <w:rsid w:val="00C070F5"/>
    <w:rsid w:val="00C071AE"/>
    <w:rsid w:val="00C10C03"/>
    <w:rsid w:val="00C11223"/>
    <w:rsid w:val="00C12097"/>
    <w:rsid w:val="00C124FE"/>
    <w:rsid w:val="00C13D3E"/>
    <w:rsid w:val="00C14696"/>
    <w:rsid w:val="00C15D47"/>
    <w:rsid w:val="00C20D9B"/>
    <w:rsid w:val="00C22702"/>
    <w:rsid w:val="00C24439"/>
    <w:rsid w:val="00C249A1"/>
    <w:rsid w:val="00C26E9E"/>
    <w:rsid w:val="00C27787"/>
    <w:rsid w:val="00C27975"/>
    <w:rsid w:val="00C310C0"/>
    <w:rsid w:val="00C320F1"/>
    <w:rsid w:val="00C358EC"/>
    <w:rsid w:val="00C41D31"/>
    <w:rsid w:val="00C42313"/>
    <w:rsid w:val="00C4466D"/>
    <w:rsid w:val="00C45A76"/>
    <w:rsid w:val="00C464C2"/>
    <w:rsid w:val="00C466DF"/>
    <w:rsid w:val="00C50E8E"/>
    <w:rsid w:val="00C52045"/>
    <w:rsid w:val="00C527C0"/>
    <w:rsid w:val="00C54B51"/>
    <w:rsid w:val="00C56535"/>
    <w:rsid w:val="00C57F3E"/>
    <w:rsid w:val="00C60262"/>
    <w:rsid w:val="00C60FB7"/>
    <w:rsid w:val="00C61F62"/>
    <w:rsid w:val="00C627B0"/>
    <w:rsid w:val="00C67A5F"/>
    <w:rsid w:val="00C71168"/>
    <w:rsid w:val="00C72559"/>
    <w:rsid w:val="00C73BEA"/>
    <w:rsid w:val="00C76B2C"/>
    <w:rsid w:val="00C77762"/>
    <w:rsid w:val="00C77B6D"/>
    <w:rsid w:val="00C77CC9"/>
    <w:rsid w:val="00C77FDF"/>
    <w:rsid w:val="00C8408C"/>
    <w:rsid w:val="00C84D50"/>
    <w:rsid w:val="00C860A5"/>
    <w:rsid w:val="00C907AF"/>
    <w:rsid w:val="00C92608"/>
    <w:rsid w:val="00C928D7"/>
    <w:rsid w:val="00C9595C"/>
    <w:rsid w:val="00C95DFB"/>
    <w:rsid w:val="00C96098"/>
    <w:rsid w:val="00C96B5E"/>
    <w:rsid w:val="00CA1ECB"/>
    <w:rsid w:val="00CA2484"/>
    <w:rsid w:val="00CA3168"/>
    <w:rsid w:val="00CA6393"/>
    <w:rsid w:val="00CA67C0"/>
    <w:rsid w:val="00CA6C3E"/>
    <w:rsid w:val="00CA7426"/>
    <w:rsid w:val="00CA754D"/>
    <w:rsid w:val="00CA7556"/>
    <w:rsid w:val="00CB11D0"/>
    <w:rsid w:val="00CB149B"/>
    <w:rsid w:val="00CB512D"/>
    <w:rsid w:val="00CC2597"/>
    <w:rsid w:val="00CC27A8"/>
    <w:rsid w:val="00CC2E18"/>
    <w:rsid w:val="00CC2E64"/>
    <w:rsid w:val="00CC32F7"/>
    <w:rsid w:val="00CC4C71"/>
    <w:rsid w:val="00CC5D1A"/>
    <w:rsid w:val="00CC6291"/>
    <w:rsid w:val="00CD1048"/>
    <w:rsid w:val="00CD1A88"/>
    <w:rsid w:val="00CE24DF"/>
    <w:rsid w:val="00CE2C89"/>
    <w:rsid w:val="00CE2F1A"/>
    <w:rsid w:val="00CE4044"/>
    <w:rsid w:val="00CE6047"/>
    <w:rsid w:val="00CE7D94"/>
    <w:rsid w:val="00D10586"/>
    <w:rsid w:val="00D123F4"/>
    <w:rsid w:val="00D15026"/>
    <w:rsid w:val="00D1582E"/>
    <w:rsid w:val="00D160D1"/>
    <w:rsid w:val="00D244F6"/>
    <w:rsid w:val="00D247C2"/>
    <w:rsid w:val="00D24A87"/>
    <w:rsid w:val="00D24DA9"/>
    <w:rsid w:val="00D26775"/>
    <w:rsid w:val="00D27A4F"/>
    <w:rsid w:val="00D30A92"/>
    <w:rsid w:val="00D30C17"/>
    <w:rsid w:val="00D3439C"/>
    <w:rsid w:val="00D403CA"/>
    <w:rsid w:val="00D4258D"/>
    <w:rsid w:val="00D44165"/>
    <w:rsid w:val="00D4670D"/>
    <w:rsid w:val="00D46936"/>
    <w:rsid w:val="00D4775E"/>
    <w:rsid w:val="00D47941"/>
    <w:rsid w:val="00D47CA0"/>
    <w:rsid w:val="00D5091E"/>
    <w:rsid w:val="00D50A49"/>
    <w:rsid w:val="00D52484"/>
    <w:rsid w:val="00D56A02"/>
    <w:rsid w:val="00D605A9"/>
    <w:rsid w:val="00D61E7B"/>
    <w:rsid w:val="00D631D8"/>
    <w:rsid w:val="00D635F4"/>
    <w:rsid w:val="00D63CAC"/>
    <w:rsid w:val="00D70EA8"/>
    <w:rsid w:val="00D72BC4"/>
    <w:rsid w:val="00D73C5A"/>
    <w:rsid w:val="00D74FA4"/>
    <w:rsid w:val="00D839FB"/>
    <w:rsid w:val="00D85889"/>
    <w:rsid w:val="00D861AD"/>
    <w:rsid w:val="00D87C65"/>
    <w:rsid w:val="00D91B03"/>
    <w:rsid w:val="00D92336"/>
    <w:rsid w:val="00D97893"/>
    <w:rsid w:val="00D97F0D"/>
    <w:rsid w:val="00DA1593"/>
    <w:rsid w:val="00DA23E9"/>
    <w:rsid w:val="00DA2702"/>
    <w:rsid w:val="00DA3154"/>
    <w:rsid w:val="00DA4AC3"/>
    <w:rsid w:val="00DA6C93"/>
    <w:rsid w:val="00DA6DF1"/>
    <w:rsid w:val="00DA6EE5"/>
    <w:rsid w:val="00DB318E"/>
    <w:rsid w:val="00DB3385"/>
    <w:rsid w:val="00DB4E21"/>
    <w:rsid w:val="00DB57B8"/>
    <w:rsid w:val="00DC063B"/>
    <w:rsid w:val="00DC1112"/>
    <w:rsid w:val="00DC1CD0"/>
    <w:rsid w:val="00DC5D77"/>
    <w:rsid w:val="00DD174C"/>
    <w:rsid w:val="00DD2386"/>
    <w:rsid w:val="00DD2B5F"/>
    <w:rsid w:val="00DD3956"/>
    <w:rsid w:val="00DD47C9"/>
    <w:rsid w:val="00DD5B47"/>
    <w:rsid w:val="00DD6337"/>
    <w:rsid w:val="00DE0D5A"/>
    <w:rsid w:val="00DE239F"/>
    <w:rsid w:val="00DE64D5"/>
    <w:rsid w:val="00DF3433"/>
    <w:rsid w:val="00DF3F29"/>
    <w:rsid w:val="00DF4BA7"/>
    <w:rsid w:val="00DF5BE4"/>
    <w:rsid w:val="00DF6F0C"/>
    <w:rsid w:val="00DF7DBC"/>
    <w:rsid w:val="00E043BE"/>
    <w:rsid w:val="00E0482F"/>
    <w:rsid w:val="00E05763"/>
    <w:rsid w:val="00E06246"/>
    <w:rsid w:val="00E105ED"/>
    <w:rsid w:val="00E11B8F"/>
    <w:rsid w:val="00E11F11"/>
    <w:rsid w:val="00E127DE"/>
    <w:rsid w:val="00E14248"/>
    <w:rsid w:val="00E1450B"/>
    <w:rsid w:val="00E14BF2"/>
    <w:rsid w:val="00E1547E"/>
    <w:rsid w:val="00E15F17"/>
    <w:rsid w:val="00E16C0E"/>
    <w:rsid w:val="00E17F97"/>
    <w:rsid w:val="00E25ABB"/>
    <w:rsid w:val="00E26D14"/>
    <w:rsid w:val="00E26FCE"/>
    <w:rsid w:val="00E30C75"/>
    <w:rsid w:val="00E30E8B"/>
    <w:rsid w:val="00E310BC"/>
    <w:rsid w:val="00E33271"/>
    <w:rsid w:val="00E34367"/>
    <w:rsid w:val="00E35C76"/>
    <w:rsid w:val="00E404E8"/>
    <w:rsid w:val="00E40B01"/>
    <w:rsid w:val="00E40B42"/>
    <w:rsid w:val="00E42109"/>
    <w:rsid w:val="00E42E94"/>
    <w:rsid w:val="00E44564"/>
    <w:rsid w:val="00E5040C"/>
    <w:rsid w:val="00E509F0"/>
    <w:rsid w:val="00E5326E"/>
    <w:rsid w:val="00E54BCC"/>
    <w:rsid w:val="00E56F2A"/>
    <w:rsid w:val="00E61443"/>
    <w:rsid w:val="00E61983"/>
    <w:rsid w:val="00E63FC2"/>
    <w:rsid w:val="00E65EEB"/>
    <w:rsid w:val="00E66B86"/>
    <w:rsid w:val="00E72B9D"/>
    <w:rsid w:val="00E738D2"/>
    <w:rsid w:val="00E742FA"/>
    <w:rsid w:val="00E74433"/>
    <w:rsid w:val="00E74D4F"/>
    <w:rsid w:val="00E76042"/>
    <w:rsid w:val="00E77B85"/>
    <w:rsid w:val="00E82959"/>
    <w:rsid w:val="00E82CF3"/>
    <w:rsid w:val="00E82EFF"/>
    <w:rsid w:val="00E84B43"/>
    <w:rsid w:val="00E85142"/>
    <w:rsid w:val="00E8571C"/>
    <w:rsid w:val="00E8636E"/>
    <w:rsid w:val="00E874E1"/>
    <w:rsid w:val="00E87BC2"/>
    <w:rsid w:val="00E919A1"/>
    <w:rsid w:val="00E93967"/>
    <w:rsid w:val="00EA09FF"/>
    <w:rsid w:val="00EA1578"/>
    <w:rsid w:val="00EA181D"/>
    <w:rsid w:val="00EA1F2D"/>
    <w:rsid w:val="00EA2856"/>
    <w:rsid w:val="00EA30DB"/>
    <w:rsid w:val="00EA3BEA"/>
    <w:rsid w:val="00EA559B"/>
    <w:rsid w:val="00EA5AEB"/>
    <w:rsid w:val="00EA6754"/>
    <w:rsid w:val="00EA72BB"/>
    <w:rsid w:val="00EA7E1E"/>
    <w:rsid w:val="00EB3BCB"/>
    <w:rsid w:val="00EC103B"/>
    <w:rsid w:val="00EC1A41"/>
    <w:rsid w:val="00EC1D27"/>
    <w:rsid w:val="00EC3AC9"/>
    <w:rsid w:val="00EC4827"/>
    <w:rsid w:val="00EC58A3"/>
    <w:rsid w:val="00EC721C"/>
    <w:rsid w:val="00ED02AA"/>
    <w:rsid w:val="00ED477A"/>
    <w:rsid w:val="00ED4D09"/>
    <w:rsid w:val="00EE5859"/>
    <w:rsid w:val="00EE5C07"/>
    <w:rsid w:val="00EE6D7D"/>
    <w:rsid w:val="00EF4A95"/>
    <w:rsid w:val="00EF5D66"/>
    <w:rsid w:val="00EF5F6A"/>
    <w:rsid w:val="00F013AD"/>
    <w:rsid w:val="00F0224D"/>
    <w:rsid w:val="00F059AD"/>
    <w:rsid w:val="00F100CE"/>
    <w:rsid w:val="00F1118E"/>
    <w:rsid w:val="00F13200"/>
    <w:rsid w:val="00F13495"/>
    <w:rsid w:val="00F20040"/>
    <w:rsid w:val="00F2043C"/>
    <w:rsid w:val="00F2130D"/>
    <w:rsid w:val="00F21C50"/>
    <w:rsid w:val="00F221F9"/>
    <w:rsid w:val="00F22F47"/>
    <w:rsid w:val="00F266B3"/>
    <w:rsid w:val="00F26ACF"/>
    <w:rsid w:val="00F276F4"/>
    <w:rsid w:val="00F32C0A"/>
    <w:rsid w:val="00F3382D"/>
    <w:rsid w:val="00F375AD"/>
    <w:rsid w:val="00F37614"/>
    <w:rsid w:val="00F41B2C"/>
    <w:rsid w:val="00F46873"/>
    <w:rsid w:val="00F517D6"/>
    <w:rsid w:val="00F52101"/>
    <w:rsid w:val="00F5351F"/>
    <w:rsid w:val="00F53551"/>
    <w:rsid w:val="00F55D49"/>
    <w:rsid w:val="00F57572"/>
    <w:rsid w:val="00F578A9"/>
    <w:rsid w:val="00F61E59"/>
    <w:rsid w:val="00F63BCC"/>
    <w:rsid w:val="00F65E3F"/>
    <w:rsid w:val="00F70BA0"/>
    <w:rsid w:val="00F71BF0"/>
    <w:rsid w:val="00F74264"/>
    <w:rsid w:val="00F752A4"/>
    <w:rsid w:val="00F761C0"/>
    <w:rsid w:val="00F76F97"/>
    <w:rsid w:val="00F7728F"/>
    <w:rsid w:val="00F77593"/>
    <w:rsid w:val="00F775C7"/>
    <w:rsid w:val="00F825A1"/>
    <w:rsid w:val="00F844C5"/>
    <w:rsid w:val="00F8597E"/>
    <w:rsid w:val="00F924B2"/>
    <w:rsid w:val="00F92C1E"/>
    <w:rsid w:val="00F964E4"/>
    <w:rsid w:val="00F96CE3"/>
    <w:rsid w:val="00FA3BB1"/>
    <w:rsid w:val="00FB47D5"/>
    <w:rsid w:val="00FB4BDF"/>
    <w:rsid w:val="00FB5BD6"/>
    <w:rsid w:val="00FB6999"/>
    <w:rsid w:val="00FC0936"/>
    <w:rsid w:val="00FC1191"/>
    <w:rsid w:val="00FC1498"/>
    <w:rsid w:val="00FC26B2"/>
    <w:rsid w:val="00FC27F3"/>
    <w:rsid w:val="00FC5120"/>
    <w:rsid w:val="00FC6EA8"/>
    <w:rsid w:val="00FD182A"/>
    <w:rsid w:val="00FD21CD"/>
    <w:rsid w:val="00FD3261"/>
    <w:rsid w:val="00FD44AA"/>
    <w:rsid w:val="00FD52BD"/>
    <w:rsid w:val="00FD797B"/>
    <w:rsid w:val="00FE0B60"/>
    <w:rsid w:val="00FE3FAF"/>
    <w:rsid w:val="00FE67BA"/>
    <w:rsid w:val="00FE7099"/>
    <w:rsid w:val="00FE773C"/>
    <w:rsid w:val="00FF2526"/>
    <w:rsid w:val="00FF398F"/>
    <w:rsid w:val="00FF4B88"/>
    <w:rsid w:val="00FF651B"/>
    <w:rsid w:val="00FF76F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A18A81D"/>
  <w15:chartTrackingRefBased/>
  <w15:docId w15:val="{04F94C63-E603-459E-B7EA-7F93B31E30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A3168"/>
    <w:pPr>
      <w:overflowPunct w:val="0"/>
      <w:autoSpaceDE w:val="0"/>
      <w:autoSpaceDN w:val="0"/>
      <w:adjustRightInd w:val="0"/>
      <w:spacing w:after="180" w:line="240" w:lineRule="auto"/>
      <w:textAlignment w:val="baseline"/>
    </w:pPr>
    <w:rPr>
      <w:rFonts w:ascii="Times New Roman" w:eastAsia="SimSun" w:hAnsi="Times New Roman" w:cs="Times New Roman"/>
      <w:sz w:val="20"/>
      <w:szCs w:val="20"/>
      <w:lang w:val="en-GB" w:eastAsia="en-US"/>
    </w:rPr>
  </w:style>
  <w:style w:type="paragraph" w:styleId="Heading1">
    <w:name w:val="heading 1"/>
    <w:next w:val="Normal"/>
    <w:link w:val="Heading1Char1"/>
    <w:qFormat/>
    <w:rsid w:val="00B975F2"/>
    <w:pPr>
      <w:keepNext/>
      <w:keepLines/>
      <w:pBdr>
        <w:top w:val="single" w:sz="12" w:space="3" w:color="auto"/>
      </w:pBdr>
      <w:overflowPunct w:val="0"/>
      <w:autoSpaceDE w:val="0"/>
      <w:autoSpaceDN w:val="0"/>
      <w:adjustRightInd w:val="0"/>
      <w:spacing w:before="240" w:after="180" w:line="240" w:lineRule="auto"/>
      <w:ind w:left="1134" w:hanging="1134"/>
      <w:textAlignment w:val="baseline"/>
      <w:outlineLvl w:val="0"/>
    </w:pPr>
    <w:rPr>
      <w:rFonts w:ascii="Arial" w:eastAsia="SimSun" w:hAnsi="Arial" w:cs="Times New Roman"/>
      <w:sz w:val="36"/>
      <w:szCs w:val="20"/>
      <w:lang w:val="en-GB" w:eastAsia="en-US"/>
    </w:rPr>
  </w:style>
  <w:style w:type="paragraph" w:styleId="Heading2">
    <w:name w:val="heading 2"/>
    <w:aliases w:val="Head2A,2,H2,UNDERRUBRIK 1-2,DO NOT USE_h2,h2,h21,H2 Char,h2 Char,Header 2,Header2,22,heading2,2nd level,H21,H22,H23,H24,H25,R2,E2,†berschrift 2,õberschrift 2"/>
    <w:basedOn w:val="Normal"/>
    <w:next w:val="Normal"/>
    <w:link w:val="Heading2Char"/>
    <w:unhideWhenUsed/>
    <w:qFormat/>
    <w:rsid w:val="00DC063B"/>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8461FD"/>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B975F2"/>
    <w:rPr>
      <w:color w:val="808080"/>
    </w:rPr>
  </w:style>
  <w:style w:type="character" w:customStyle="1" w:styleId="Heading1Char">
    <w:name w:val="Heading 1 Char"/>
    <w:basedOn w:val="DefaultParagraphFont"/>
    <w:uiPriority w:val="9"/>
    <w:rsid w:val="00B975F2"/>
    <w:rPr>
      <w:rFonts w:asciiTheme="majorHAnsi" w:eastAsiaTheme="majorEastAsia" w:hAnsiTheme="majorHAnsi" w:cstheme="majorBidi"/>
      <w:color w:val="2F5496" w:themeColor="accent1" w:themeShade="BF"/>
      <w:sz w:val="32"/>
      <w:szCs w:val="32"/>
      <w:lang w:val="en-GB" w:eastAsia="en-US"/>
    </w:rPr>
  </w:style>
  <w:style w:type="paragraph" w:styleId="Footer">
    <w:name w:val="footer"/>
    <w:basedOn w:val="Header"/>
    <w:link w:val="FooterChar"/>
    <w:uiPriority w:val="99"/>
    <w:rsid w:val="00B975F2"/>
    <w:pPr>
      <w:widowControl w:val="0"/>
      <w:tabs>
        <w:tab w:val="clear" w:pos="4680"/>
        <w:tab w:val="clear" w:pos="9360"/>
      </w:tabs>
      <w:jc w:val="center"/>
    </w:pPr>
    <w:rPr>
      <w:rFonts w:ascii="Arial" w:hAnsi="Arial"/>
      <w:b/>
      <w:i/>
      <w:noProof/>
      <w:sz w:val="18"/>
      <w:lang w:val="x-none" w:eastAsia="x-none"/>
    </w:rPr>
  </w:style>
  <w:style w:type="character" w:customStyle="1" w:styleId="FooterChar">
    <w:name w:val="Footer Char"/>
    <w:basedOn w:val="DefaultParagraphFont"/>
    <w:link w:val="Footer"/>
    <w:uiPriority w:val="99"/>
    <w:rsid w:val="00B975F2"/>
    <w:rPr>
      <w:rFonts w:ascii="Arial" w:eastAsia="SimSun" w:hAnsi="Arial" w:cs="Times New Roman"/>
      <w:b/>
      <w:i/>
      <w:noProof/>
      <w:sz w:val="18"/>
      <w:szCs w:val="20"/>
      <w:lang w:val="x-none" w:eastAsia="x-none"/>
    </w:rPr>
  </w:style>
  <w:style w:type="character" w:styleId="PageNumber">
    <w:name w:val="page number"/>
    <w:basedOn w:val="DefaultParagraphFont"/>
    <w:rsid w:val="00B975F2"/>
  </w:style>
  <w:style w:type="character" w:customStyle="1" w:styleId="Heading1Char1">
    <w:name w:val="Heading 1 Char1"/>
    <w:link w:val="Heading1"/>
    <w:rsid w:val="00B975F2"/>
    <w:rPr>
      <w:rFonts w:ascii="Arial" w:eastAsia="SimSun" w:hAnsi="Arial" w:cs="Times New Roman"/>
      <w:sz w:val="36"/>
      <w:szCs w:val="20"/>
      <w:lang w:val="en-GB" w:eastAsia="en-US"/>
    </w:rPr>
  </w:style>
  <w:style w:type="paragraph" w:styleId="Header">
    <w:name w:val="header"/>
    <w:basedOn w:val="Normal"/>
    <w:link w:val="HeaderChar"/>
    <w:uiPriority w:val="99"/>
    <w:unhideWhenUsed/>
    <w:rsid w:val="00B975F2"/>
    <w:pPr>
      <w:tabs>
        <w:tab w:val="center" w:pos="4680"/>
        <w:tab w:val="right" w:pos="9360"/>
      </w:tabs>
      <w:spacing w:after="0"/>
    </w:pPr>
  </w:style>
  <w:style w:type="character" w:customStyle="1" w:styleId="HeaderChar">
    <w:name w:val="Header Char"/>
    <w:basedOn w:val="DefaultParagraphFont"/>
    <w:link w:val="Header"/>
    <w:uiPriority w:val="99"/>
    <w:rsid w:val="00B975F2"/>
    <w:rPr>
      <w:rFonts w:ascii="Times New Roman" w:eastAsia="SimSun" w:hAnsi="Times New Roman" w:cs="Times New Roman"/>
      <w:sz w:val="20"/>
      <w:szCs w:val="20"/>
      <w:lang w:val="en-GB" w:eastAsia="en-US"/>
    </w:rPr>
  </w:style>
  <w:style w:type="paragraph" w:styleId="ListParagraph">
    <w:name w:val="List Paragraph"/>
    <w:aliases w:val="- Bullets,목록 단락,リスト段落,列出段落,?? ??,?????,????,Lista1,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B975F2"/>
    <w:pPr>
      <w:ind w:left="720"/>
      <w:contextualSpacing/>
    </w:pPr>
  </w:style>
  <w:style w:type="character" w:customStyle="1" w:styleId="Heading2Char">
    <w:name w:val="Heading 2 Char"/>
    <w:aliases w:val="Head2A Char,2 Char,H2 Char1,UNDERRUBRIK 1-2 Char,DO NOT USE_h2 Char,h2 Char1,h21 Char,H2 Char Char,h2 Char Char,Header 2 Char,Header2 Char,22 Char,heading2 Char,2nd level Char,H21 Char,H22 Char,H23 Char,H24 Char,H25 Char,R2 Char,E2 Char"/>
    <w:basedOn w:val="DefaultParagraphFont"/>
    <w:link w:val="Heading2"/>
    <w:rsid w:val="00DC063B"/>
    <w:rPr>
      <w:rFonts w:asciiTheme="majorHAnsi" w:eastAsiaTheme="majorEastAsia" w:hAnsiTheme="majorHAnsi" w:cstheme="majorBidi"/>
      <w:color w:val="2F5496" w:themeColor="accent1" w:themeShade="BF"/>
      <w:sz w:val="26"/>
      <w:szCs w:val="26"/>
      <w:lang w:val="en-GB" w:eastAsia="en-US"/>
    </w:rPr>
  </w:style>
  <w:style w:type="table" w:styleId="TableGrid">
    <w:name w:val="Table Grid"/>
    <w:basedOn w:val="TableNormal"/>
    <w:rsid w:val="00782E1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D97F0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7F0D"/>
    <w:rPr>
      <w:rFonts w:ascii="Segoe UI" w:eastAsia="SimSun" w:hAnsi="Segoe UI" w:cs="Segoe UI"/>
      <w:sz w:val="18"/>
      <w:szCs w:val="18"/>
      <w:lang w:val="en-GB" w:eastAsia="en-US"/>
    </w:rPr>
  </w:style>
  <w:style w:type="character" w:customStyle="1" w:styleId="ListParagraphChar">
    <w:name w:val="List Paragraph Char"/>
    <w:aliases w:val="- Bullets Char,목록 단락 Char,リスト段落 Char,列出段落 Char,?? ?? Char,????? Char,???? Char,Lista1 Char,列出段落1 Char,中等深浅网格 1 - 着色 21 Char,¥¡¡¡¡ì¬º¥¹¥È¶ÎÂä Char,ÁÐ³ö¶ÎÂä Char,列表段落1 Char,—ño’i—Ž Char,¥ê¥¹¥È¶ÎÂä Char,Lettre d'introduction Char"/>
    <w:link w:val="ListParagraph"/>
    <w:uiPriority w:val="34"/>
    <w:qFormat/>
    <w:rsid w:val="001949AF"/>
    <w:rPr>
      <w:rFonts w:ascii="Times New Roman" w:eastAsia="SimSun" w:hAnsi="Times New Roman" w:cs="Times New Roman"/>
      <w:sz w:val="20"/>
      <w:szCs w:val="20"/>
      <w:lang w:val="en-GB" w:eastAsia="en-US"/>
    </w:rPr>
  </w:style>
  <w:style w:type="character" w:customStyle="1" w:styleId="Heading3Char">
    <w:name w:val="Heading 3 Char"/>
    <w:basedOn w:val="DefaultParagraphFont"/>
    <w:link w:val="Heading3"/>
    <w:uiPriority w:val="9"/>
    <w:rsid w:val="008461FD"/>
    <w:rPr>
      <w:rFonts w:asciiTheme="majorHAnsi" w:eastAsiaTheme="majorEastAsia" w:hAnsiTheme="majorHAnsi" w:cstheme="majorBidi"/>
      <w:color w:val="1F3763" w:themeColor="accent1" w:themeShade="7F"/>
      <w:sz w:val="24"/>
      <w:szCs w:val="24"/>
      <w:lang w:val="en-GB" w:eastAsia="en-US"/>
    </w:rPr>
  </w:style>
  <w:style w:type="paragraph" w:customStyle="1" w:styleId="TAH">
    <w:name w:val="TAH"/>
    <w:basedOn w:val="TAC"/>
    <w:link w:val="TAHCar"/>
    <w:qFormat/>
    <w:rsid w:val="008461FD"/>
    <w:rPr>
      <w:b/>
    </w:rPr>
  </w:style>
  <w:style w:type="paragraph" w:customStyle="1" w:styleId="TAC">
    <w:name w:val="TAC"/>
    <w:basedOn w:val="Normal"/>
    <w:link w:val="TACChar"/>
    <w:qFormat/>
    <w:rsid w:val="008461FD"/>
    <w:pPr>
      <w:keepNext/>
      <w:keepLines/>
      <w:overflowPunct/>
      <w:autoSpaceDE/>
      <w:autoSpaceDN/>
      <w:adjustRightInd/>
      <w:spacing w:after="0"/>
      <w:jc w:val="center"/>
      <w:textAlignment w:val="auto"/>
    </w:pPr>
    <w:rPr>
      <w:rFonts w:ascii="Arial" w:hAnsi="Arial"/>
      <w:sz w:val="18"/>
    </w:rPr>
  </w:style>
  <w:style w:type="character" w:customStyle="1" w:styleId="TACChar">
    <w:name w:val="TAC Char"/>
    <w:link w:val="TAC"/>
    <w:qFormat/>
    <w:rsid w:val="008461FD"/>
    <w:rPr>
      <w:rFonts w:ascii="Arial" w:eastAsia="SimSun" w:hAnsi="Arial" w:cs="Times New Roman"/>
      <w:sz w:val="18"/>
      <w:szCs w:val="20"/>
      <w:lang w:val="en-GB" w:eastAsia="en-US"/>
    </w:rPr>
  </w:style>
  <w:style w:type="character" w:customStyle="1" w:styleId="TAHCar">
    <w:name w:val="TAH Car"/>
    <w:link w:val="TAH"/>
    <w:qFormat/>
    <w:rsid w:val="008461FD"/>
    <w:rPr>
      <w:rFonts w:ascii="Arial" w:eastAsia="SimSun" w:hAnsi="Arial" w:cs="Times New Roman"/>
      <w:b/>
      <w:sz w:val="18"/>
      <w:szCs w:val="20"/>
      <w:lang w:val="en-GB" w:eastAsia="en-US"/>
    </w:rPr>
  </w:style>
  <w:style w:type="paragraph" w:customStyle="1" w:styleId="TH">
    <w:name w:val="TH"/>
    <w:basedOn w:val="Normal"/>
    <w:link w:val="THChar"/>
    <w:qFormat/>
    <w:rsid w:val="008461FD"/>
    <w:pPr>
      <w:keepNext/>
      <w:keepLines/>
      <w:overflowPunct/>
      <w:autoSpaceDE/>
      <w:autoSpaceDN/>
      <w:adjustRightInd/>
      <w:spacing w:before="60"/>
      <w:jc w:val="center"/>
      <w:textAlignment w:val="auto"/>
    </w:pPr>
    <w:rPr>
      <w:rFonts w:ascii="Arial" w:hAnsi="Arial"/>
      <w:b/>
    </w:rPr>
  </w:style>
  <w:style w:type="character" w:customStyle="1" w:styleId="THChar">
    <w:name w:val="TH Char"/>
    <w:link w:val="TH"/>
    <w:qFormat/>
    <w:rsid w:val="008461FD"/>
    <w:rPr>
      <w:rFonts w:ascii="Arial" w:eastAsia="SimSun" w:hAnsi="Arial" w:cs="Times New Roman"/>
      <w:b/>
      <w:sz w:val="20"/>
      <w:szCs w:val="20"/>
      <w:lang w:val="en-GB" w:eastAsia="en-US"/>
    </w:rPr>
  </w:style>
  <w:style w:type="paragraph" w:customStyle="1" w:styleId="TAL">
    <w:name w:val="TAL"/>
    <w:basedOn w:val="Normal"/>
    <w:link w:val="TALChar"/>
    <w:rsid w:val="008F02E7"/>
    <w:pPr>
      <w:keepNext/>
      <w:keepLines/>
      <w:spacing w:after="0"/>
    </w:pPr>
    <w:rPr>
      <w:rFonts w:ascii="Arial" w:hAnsi="Arial"/>
      <w:sz w:val="18"/>
      <w:lang w:val="en-US"/>
    </w:rPr>
  </w:style>
  <w:style w:type="character" w:customStyle="1" w:styleId="TALChar">
    <w:name w:val="TAL Char"/>
    <w:basedOn w:val="DefaultParagraphFont"/>
    <w:link w:val="TAL"/>
    <w:qFormat/>
    <w:locked/>
    <w:rsid w:val="008F02E7"/>
    <w:rPr>
      <w:rFonts w:ascii="Arial" w:eastAsia="SimSun" w:hAnsi="Arial" w:cs="Times New Roman"/>
      <w:sz w:val="18"/>
      <w:szCs w:val="20"/>
      <w:lang w:eastAsia="en-US"/>
    </w:rPr>
  </w:style>
  <w:style w:type="paragraph" w:styleId="BodyText">
    <w:name w:val="Body Text"/>
    <w:aliases w:val="bt,body indent,paragraph 2,body text, ändrad,AvtalBrödtext,ändrad,Bodytext,Compliance,Response,Body3,Corps de texte Car,Corps de texte Car1 Car,Corps de texte Car Car Car,Corps de texte Car1 Car Car Car,Corps de texte Car Car Car Car Car,bt Ca"/>
    <w:basedOn w:val="Normal"/>
    <w:link w:val="BodyTextChar"/>
    <w:rsid w:val="003C60BD"/>
    <w:pPr>
      <w:overflowPunct/>
      <w:autoSpaceDE/>
      <w:autoSpaceDN/>
      <w:adjustRightInd/>
      <w:spacing w:after="120"/>
      <w:jc w:val="both"/>
      <w:textAlignment w:val="auto"/>
    </w:pPr>
    <w:rPr>
      <w:rFonts w:ascii="Times" w:eastAsia="Times New Roman" w:hAnsi="Times"/>
      <w:szCs w:val="24"/>
      <w:lang w:val="en-US"/>
    </w:rPr>
  </w:style>
  <w:style w:type="character" w:customStyle="1" w:styleId="BodyTextChar">
    <w:name w:val="Body Text Char"/>
    <w:aliases w:val="bt Char,body indent Char,paragraph 2 Char,body text Char, ändrad Char,AvtalBrödtext Char,ändrad Char,Bodytext Char,Compliance Char,Response Char,Body3 Char,Corps de texte Car Char,Corps de texte Car1 Car Char,bt Ca Char"/>
    <w:basedOn w:val="DefaultParagraphFont"/>
    <w:link w:val="BodyText"/>
    <w:rsid w:val="003C60BD"/>
    <w:rPr>
      <w:rFonts w:ascii="Times" w:eastAsia="Times New Roman" w:hAnsi="Times" w:cs="Times New Roman"/>
      <w:sz w:val="20"/>
      <w:szCs w:val="24"/>
      <w:lang w:eastAsia="en-US"/>
    </w:rPr>
  </w:style>
  <w:style w:type="character" w:styleId="CommentReference">
    <w:name w:val="annotation reference"/>
    <w:basedOn w:val="DefaultParagraphFont"/>
    <w:uiPriority w:val="99"/>
    <w:semiHidden/>
    <w:unhideWhenUsed/>
    <w:rsid w:val="00965A10"/>
    <w:rPr>
      <w:sz w:val="16"/>
      <w:szCs w:val="16"/>
    </w:rPr>
  </w:style>
  <w:style w:type="paragraph" w:styleId="CommentText">
    <w:name w:val="annotation text"/>
    <w:basedOn w:val="Normal"/>
    <w:link w:val="CommentTextChar"/>
    <w:uiPriority w:val="99"/>
    <w:semiHidden/>
    <w:unhideWhenUsed/>
    <w:rsid w:val="00965A10"/>
  </w:style>
  <w:style w:type="character" w:customStyle="1" w:styleId="CommentTextChar">
    <w:name w:val="Comment Text Char"/>
    <w:basedOn w:val="DefaultParagraphFont"/>
    <w:link w:val="CommentText"/>
    <w:uiPriority w:val="99"/>
    <w:semiHidden/>
    <w:rsid w:val="00965A10"/>
    <w:rPr>
      <w:rFonts w:ascii="Times New Roman" w:eastAsia="SimSu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965A10"/>
    <w:rPr>
      <w:b/>
      <w:bCs/>
    </w:rPr>
  </w:style>
  <w:style w:type="character" w:customStyle="1" w:styleId="CommentSubjectChar">
    <w:name w:val="Comment Subject Char"/>
    <w:basedOn w:val="CommentTextChar"/>
    <w:link w:val="CommentSubject"/>
    <w:uiPriority w:val="99"/>
    <w:semiHidden/>
    <w:rsid w:val="00965A10"/>
    <w:rPr>
      <w:rFonts w:ascii="Times New Roman" w:eastAsia="SimSun" w:hAnsi="Times New Roman" w:cs="Times New Roman"/>
      <w:b/>
      <w:bCs/>
      <w:sz w:val="20"/>
      <w:szCs w:val="20"/>
      <w:lang w:val="en-GB" w:eastAsia="en-US"/>
    </w:rPr>
  </w:style>
  <w:style w:type="paragraph" w:customStyle="1" w:styleId="B1">
    <w:name w:val="B1"/>
    <w:basedOn w:val="List"/>
    <w:link w:val="B1Char1"/>
    <w:rsid w:val="0075513B"/>
    <w:pPr>
      <w:ind w:left="568" w:hanging="284"/>
      <w:contextualSpacing w:val="0"/>
    </w:pPr>
    <w:rPr>
      <w:lang w:eastAsia="en-GB"/>
    </w:rPr>
  </w:style>
  <w:style w:type="character" w:customStyle="1" w:styleId="B1Char1">
    <w:name w:val="B1 Char1"/>
    <w:link w:val="B1"/>
    <w:locked/>
    <w:rsid w:val="0075513B"/>
    <w:rPr>
      <w:rFonts w:ascii="Times New Roman" w:eastAsia="SimSun" w:hAnsi="Times New Roman" w:cs="Times New Roman"/>
      <w:sz w:val="20"/>
      <w:szCs w:val="20"/>
      <w:lang w:val="en-GB" w:eastAsia="en-GB"/>
    </w:rPr>
  </w:style>
  <w:style w:type="paragraph" w:customStyle="1" w:styleId="b110">
    <w:name w:val="b110"/>
    <w:basedOn w:val="Normal"/>
    <w:rsid w:val="0075513B"/>
    <w:pPr>
      <w:overflowPunct/>
      <w:autoSpaceDE/>
      <w:autoSpaceDN/>
      <w:adjustRightInd/>
      <w:spacing w:before="75" w:after="75"/>
      <w:textAlignment w:val="auto"/>
    </w:pPr>
    <w:rPr>
      <w:rFonts w:eastAsia="Times New Roman"/>
      <w:sz w:val="24"/>
      <w:szCs w:val="24"/>
      <w:lang w:val="en-US" w:eastAsia="zh-CN"/>
    </w:rPr>
  </w:style>
  <w:style w:type="paragraph" w:styleId="List">
    <w:name w:val="List"/>
    <w:basedOn w:val="Normal"/>
    <w:uiPriority w:val="99"/>
    <w:semiHidden/>
    <w:unhideWhenUsed/>
    <w:rsid w:val="0075513B"/>
    <w:pPr>
      <w:ind w:left="283" w:hanging="283"/>
      <w:contextualSpacing/>
    </w:pPr>
  </w:style>
  <w:style w:type="paragraph" w:customStyle="1" w:styleId="LGTdoc">
    <w:name w:val="LGTdoc_본문"/>
    <w:basedOn w:val="Normal"/>
    <w:link w:val="LGTdocChar"/>
    <w:qFormat/>
    <w:rsid w:val="00913653"/>
    <w:pPr>
      <w:widowControl w:val="0"/>
      <w:overflowPunct/>
      <w:snapToGrid w:val="0"/>
      <w:spacing w:afterLines="50" w:after="12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913653"/>
    <w:rPr>
      <w:rFonts w:ascii="Times New Roman" w:eastAsia="Batang" w:hAnsi="Times New Roman" w:cs="Times New Roman"/>
      <w:kern w:val="2"/>
      <w:szCs w:val="24"/>
      <w:lang w:val="en-GB" w:eastAsia="ko-KR"/>
    </w:rPr>
  </w:style>
  <w:style w:type="character" w:customStyle="1" w:styleId="normaltextrun">
    <w:name w:val="normaltextrun"/>
    <w:qFormat/>
    <w:rsid w:val="00164DB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371345299">
      <w:bodyDiv w:val="1"/>
      <w:marLeft w:val="0"/>
      <w:marRight w:val="0"/>
      <w:marTop w:val="0"/>
      <w:marBottom w:val="0"/>
      <w:divBdr>
        <w:top w:val="none" w:sz="0" w:space="0" w:color="auto"/>
        <w:left w:val="none" w:sz="0" w:space="0" w:color="auto"/>
        <w:bottom w:val="none" w:sz="0" w:space="0" w:color="auto"/>
        <w:right w:val="none" w:sz="0" w:space="0" w:color="auto"/>
      </w:divBdr>
      <w:divsChild>
        <w:div w:id="2043895622">
          <w:marLeft w:val="1080"/>
          <w:marRight w:val="0"/>
          <w:marTop w:val="100"/>
          <w:marBottom w:val="0"/>
          <w:divBdr>
            <w:top w:val="none" w:sz="0" w:space="0" w:color="auto"/>
            <w:left w:val="none" w:sz="0" w:space="0" w:color="auto"/>
            <w:bottom w:val="none" w:sz="0" w:space="0" w:color="auto"/>
            <w:right w:val="none" w:sz="0" w:space="0" w:color="auto"/>
          </w:divBdr>
        </w:div>
      </w:divsChild>
    </w:div>
    <w:div w:id="452749881">
      <w:bodyDiv w:val="1"/>
      <w:marLeft w:val="0"/>
      <w:marRight w:val="0"/>
      <w:marTop w:val="0"/>
      <w:marBottom w:val="0"/>
      <w:divBdr>
        <w:top w:val="none" w:sz="0" w:space="0" w:color="auto"/>
        <w:left w:val="none" w:sz="0" w:space="0" w:color="auto"/>
        <w:bottom w:val="none" w:sz="0" w:space="0" w:color="auto"/>
        <w:right w:val="none" w:sz="0" w:space="0" w:color="auto"/>
      </w:divBdr>
    </w:div>
    <w:div w:id="456416095">
      <w:bodyDiv w:val="1"/>
      <w:marLeft w:val="0"/>
      <w:marRight w:val="0"/>
      <w:marTop w:val="0"/>
      <w:marBottom w:val="0"/>
      <w:divBdr>
        <w:top w:val="none" w:sz="0" w:space="0" w:color="auto"/>
        <w:left w:val="none" w:sz="0" w:space="0" w:color="auto"/>
        <w:bottom w:val="none" w:sz="0" w:space="0" w:color="auto"/>
        <w:right w:val="none" w:sz="0" w:space="0" w:color="auto"/>
      </w:divBdr>
    </w:div>
    <w:div w:id="603542132">
      <w:bodyDiv w:val="1"/>
      <w:marLeft w:val="0"/>
      <w:marRight w:val="0"/>
      <w:marTop w:val="0"/>
      <w:marBottom w:val="0"/>
      <w:divBdr>
        <w:top w:val="none" w:sz="0" w:space="0" w:color="auto"/>
        <w:left w:val="none" w:sz="0" w:space="0" w:color="auto"/>
        <w:bottom w:val="none" w:sz="0" w:space="0" w:color="auto"/>
        <w:right w:val="none" w:sz="0" w:space="0" w:color="auto"/>
      </w:divBdr>
    </w:div>
    <w:div w:id="685519459">
      <w:bodyDiv w:val="1"/>
      <w:marLeft w:val="0"/>
      <w:marRight w:val="0"/>
      <w:marTop w:val="0"/>
      <w:marBottom w:val="0"/>
      <w:divBdr>
        <w:top w:val="none" w:sz="0" w:space="0" w:color="auto"/>
        <w:left w:val="none" w:sz="0" w:space="0" w:color="auto"/>
        <w:bottom w:val="none" w:sz="0" w:space="0" w:color="auto"/>
        <w:right w:val="none" w:sz="0" w:space="0" w:color="auto"/>
      </w:divBdr>
    </w:div>
    <w:div w:id="1270746597">
      <w:bodyDiv w:val="1"/>
      <w:marLeft w:val="0"/>
      <w:marRight w:val="0"/>
      <w:marTop w:val="0"/>
      <w:marBottom w:val="0"/>
      <w:divBdr>
        <w:top w:val="none" w:sz="0" w:space="0" w:color="auto"/>
        <w:left w:val="none" w:sz="0" w:space="0" w:color="auto"/>
        <w:bottom w:val="none" w:sz="0" w:space="0" w:color="auto"/>
        <w:right w:val="none" w:sz="0" w:space="0" w:color="auto"/>
      </w:divBdr>
    </w:div>
    <w:div w:id="1450005323">
      <w:bodyDiv w:val="1"/>
      <w:marLeft w:val="0"/>
      <w:marRight w:val="0"/>
      <w:marTop w:val="0"/>
      <w:marBottom w:val="0"/>
      <w:divBdr>
        <w:top w:val="none" w:sz="0" w:space="0" w:color="auto"/>
        <w:left w:val="none" w:sz="0" w:space="0" w:color="auto"/>
        <w:bottom w:val="none" w:sz="0" w:space="0" w:color="auto"/>
        <w:right w:val="none" w:sz="0" w:space="0" w:color="auto"/>
      </w:divBdr>
    </w:div>
    <w:div w:id="1595169450">
      <w:bodyDiv w:val="1"/>
      <w:marLeft w:val="0"/>
      <w:marRight w:val="0"/>
      <w:marTop w:val="0"/>
      <w:marBottom w:val="0"/>
      <w:divBdr>
        <w:top w:val="none" w:sz="0" w:space="0" w:color="auto"/>
        <w:left w:val="none" w:sz="0" w:space="0" w:color="auto"/>
        <w:bottom w:val="none" w:sz="0" w:space="0" w:color="auto"/>
        <w:right w:val="none" w:sz="0" w:space="0" w:color="auto"/>
      </w:divBdr>
      <w:divsChild>
        <w:div w:id="2005888416">
          <w:marLeft w:val="360"/>
          <w:marRight w:val="0"/>
          <w:marTop w:val="200"/>
          <w:marBottom w:val="0"/>
          <w:divBdr>
            <w:top w:val="none" w:sz="0" w:space="0" w:color="auto"/>
            <w:left w:val="none" w:sz="0" w:space="0" w:color="auto"/>
            <w:bottom w:val="none" w:sz="0" w:space="0" w:color="auto"/>
            <w:right w:val="none" w:sz="0" w:space="0" w:color="auto"/>
          </w:divBdr>
        </w:div>
        <w:div w:id="134220748">
          <w:marLeft w:val="1080"/>
          <w:marRight w:val="0"/>
          <w:marTop w:val="100"/>
          <w:marBottom w:val="0"/>
          <w:divBdr>
            <w:top w:val="none" w:sz="0" w:space="0" w:color="auto"/>
            <w:left w:val="none" w:sz="0" w:space="0" w:color="auto"/>
            <w:bottom w:val="none" w:sz="0" w:space="0" w:color="auto"/>
            <w:right w:val="none" w:sz="0" w:space="0" w:color="auto"/>
          </w:divBdr>
        </w:div>
        <w:div w:id="322010099">
          <w:marLeft w:val="1800"/>
          <w:marRight w:val="0"/>
          <w:marTop w:val="100"/>
          <w:marBottom w:val="0"/>
          <w:divBdr>
            <w:top w:val="none" w:sz="0" w:space="0" w:color="auto"/>
            <w:left w:val="none" w:sz="0" w:space="0" w:color="auto"/>
            <w:bottom w:val="none" w:sz="0" w:space="0" w:color="auto"/>
            <w:right w:val="none" w:sz="0" w:space="0" w:color="auto"/>
          </w:divBdr>
        </w:div>
        <w:div w:id="1125076000">
          <w:marLeft w:val="1800"/>
          <w:marRight w:val="0"/>
          <w:marTop w:val="100"/>
          <w:marBottom w:val="0"/>
          <w:divBdr>
            <w:top w:val="none" w:sz="0" w:space="0" w:color="auto"/>
            <w:left w:val="none" w:sz="0" w:space="0" w:color="auto"/>
            <w:bottom w:val="none" w:sz="0" w:space="0" w:color="auto"/>
            <w:right w:val="none" w:sz="0" w:space="0" w:color="auto"/>
          </w:divBdr>
        </w:div>
        <w:div w:id="1196622923">
          <w:marLeft w:val="2520"/>
          <w:marRight w:val="0"/>
          <w:marTop w:val="100"/>
          <w:marBottom w:val="0"/>
          <w:divBdr>
            <w:top w:val="none" w:sz="0" w:space="0" w:color="auto"/>
            <w:left w:val="none" w:sz="0" w:space="0" w:color="auto"/>
            <w:bottom w:val="none" w:sz="0" w:space="0" w:color="auto"/>
            <w:right w:val="none" w:sz="0" w:space="0" w:color="auto"/>
          </w:divBdr>
        </w:div>
        <w:div w:id="1114401376">
          <w:marLeft w:val="2520"/>
          <w:marRight w:val="0"/>
          <w:marTop w:val="100"/>
          <w:marBottom w:val="0"/>
          <w:divBdr>
            <w:top w:val="none" w:sz="0" w:space="0" w:color="auto"/>
            <w:left w:val="none" w:sz="0" w:space="0" w:color="auto"/>
            <w:bottom w:val="none" w:sz="0" w:space="0" w:color="auto"/>
            <w:right w:val="none" w:sz="0" w:space="0" w:color="auto"/>
          </w:divBdr>
        </w:div>
        <w:div w:id="1831947896">
          <w:marLeft w:val="1080"/>
          <w:marRight w:val="0"/>
          <w:marTop w:val="100"/>
          <w:marBottom w:val="0"/>
          <w:divBdr>
            <w:top w:val="none" w:sz="0" w:space="0" w:color="auto"/>
            <w:left w:val="none" w:sz="0" w:space="0" w:color="auto"/>
            <w:bottom w:val="none" w:sz="0" w:space="0" w:color="auto"/>
            <w:right w:val="none" w:sz="0" w:space="0" w:color="auto"/>
          </w:divBdr>
        </w:div>
      </w:divsChild>
    </w:div>
    <w:div w:id="1736661522">
      <w:bodyDiv w:val="1"/>
      <w:marLeft w:val="0"/>
      <w:marRight w:val="0"/>
      <w:marTop w:val="0"/>
      <w:marBottom w:val="0"/>
      <w:divBdr>
        <w:top w:val="none" w:sz="0" w:space="0" w:color="auto"/>
        <w:left w:val="none" w:sz="0" w:space="0" w:color="auto"/>
        <w:bottom w:val="none" w:sz="0" w:space="0" w:color="auto"/>
        <w:right w:val="none" w:sz="0" w:space="0" w:color="auto"/>
      </w:divBdr>
    </w:div>
    <w:div w:id="1747410540">
      <w:bodyDiv w:val="1"/>
      <w:marLeft w:val="0"/>
      <w:marRight w:val="0"/>
      <w:marTop w:val="0"/>
      <w:marBottom w:val="0"/>
      <w:divBdr>
        <w:top w:val="none" w:sz="0" w:space="0" w:color="auto"/>
        <w:left w:val="none" w:sz="0" w:space="0" w:color="auto"/>
        <w:bottom w:val="none" w:sz="0" w:space="0" w:color="auto"/>
        <w:right w:val="none" w:sz="0" w:space="0" w:color="auto"/>
      </w:divBdr>
      <w:divsChild>
        <w:div w:id="523127921">
          <w:marLeft w:val="274"/>
          <w:marRight w:val="0"/>
          <w:marTop w:val="0"/>
          <w:marBottom w:val="0"/>
          <w:divBdr>
            <w:top w:val="none" w:sz="0" w:space="0" w:color="auto"/>
            <w:left w:val="none" w:sz="0" w:space="0" w:color="auto"/>
            <w:bottom w:val="none" w:sz="0" w:space="0" w:color="auto"/>
            <w:right w:val="none" w:sz="0" w:space="0" w:color="auto"/>
          </w:divBdr>
        </w:div>
        <w:div w:id="1566793113">
          <w:marLeft w:val="547"/>
          <w:marRight w:val="0"/>
          <w:marTop w:val="0"/>
          <w:marBottom w:val="0"/>
          <w:divBdr>
            <w:top w:val="none" w:sz="0" w:space="0" w:color="auto"/>
            <w:left w:val="none" w:sz="0" w:space="0" w:color="auto"/>
            <w:bottom w:val="none" w:sz="0" w:space="0" w:color="auto"/>
            <w:right w:val="none" w:sz="0" w:space="0" w:color="auto"/>
          </w:divBdr>
        </w:div>
        <w:div w:id="1808623063">
          <w:marLeft w:val="274"/>
          <w:marRight w:val="0"/>
          <w:marTop w:val="0"/>
          <w:marBottom w:val="0"/>
          <w:divBdr>
            <w:top w:val="none" w:sz="0" w:space="0" w:color="auto"/>
            <w:left w:val="none" w:sz="0" w:space="0" w:color="auto"/>
            <w:bottom w:val="none" w:sz="0" w:space="0" w:color="auto"/>
            <w:right w:val="none" w:sz="0" w:space="0" w:color="auto"/>
          </w:divBdr>
        </w:div>
        <w:div w:id="90205189">
          <w:marLeft w:val="547"/>
          <w:marRight w:val="0"/>
          <w:marTop w:val="0"/>
          <w:marBottom w:val="0"/>
          <w:divBdr>
            <w:top w:val="none" w:sz="0" w:space="0" w:color="auto"/>
            <w:left w:val="none" w:sz="0" w:space="0" w:color="auto"/>
            <w:bottom w:val="none" w:sz="0" w:space="0" w:color="auto"/>
            <w:right w:val="none" w:sz="0" w:space="0" w:color="auto"/>
          </w:divBdr>
        </w:div>
        <w:div w:id="205605107">
          <w:marLeft w:val="274"/>
          <w:marRight w:val="0"/>
          <w:marTop w:val="0"/>
          <w:marBottom w:val="0"/>
          <w:divBdr>
            <w:top w:val="none" w:sz="0" w:space="0" w:color="auto"/>
            <w:left w:val="none" w:sz="0" w:space="0" w:color="auto"/>
            <w:bottom w:val="none" w:sz="0" w:space="0" w:color="auto"/>
            <w:right w:val="none" w:sz="0" w:space="0" w:color="auto"/>
          </w:divBdr>
        </w:div>
        <w:div w:id="18896637">
          <w:marLeft w:val="547"/>
          <w:marRight w:val="0"/>
          <w:marTop w:val="0"/>
          <w:marBottom w:val="0"/>
          <w:divBdr>
            <w:top w:val="none" w:sz="0" w:space="0" w:color="auto"/>
            <w:left w:val="none" w:sz="0" w:space="0" w:color="auto"/>
            <w:bottom w:val="none" w:sz="0" w:space="0" w:color="auto"/>
            <w:right w:val="none" w:sz="0" w:space="0" w:color="auto"/>
          </w:divBdr>
        </w:div>
      </w:divsChild>
    </w:div>
    <w:div w:id="1785885320">
      <w:bodyDiv w:val="1"/>
      <w:marLeft w:val="0"/>
      <w:marRight w:val="0"/>
      <w:marTop w:val="0"/>
      <w:marBottom w:val="0"/>
      <w:divBdr>
        <w:top w:val="none" w:sz="0" w:space="0" w:color="auto"/>
        <w:left w:val="none" w:sz="0" w:space="0" w:color="auto"/>
        <w:bottom w:val="none" w:sz="0" w:space="0" w:color="auto"/>
        <w:right w:val="none" w:sz="0" w:space="0" w:color="auto"/>
      </w:divBdr>
      <w:divsChild>
        <w:div w:id="1529297717">
          <w:marLeft w:val="1800"/>
          <w:marRight w:val="0"/>
          <w:marTop w:val="100"/>
          <w:marBottom w:val="0"/>
          <w:divBdr>
            <w:top w:val="none" w:sz="0" w:space="0" w:color="auto"/>
            <w:left w:val="none" w:sz="0" w:space="0" w:color="auto"/>
            <w:bottom w:val="none" w:sz="0" w:space="0" w:color="auto"/>
            <w:right w:val="none" w:sz="0" w:space="0" w:color="auto"/>
          </w:divBdr>
        </w:div>
        <w:div w:id="492375804">
          <w:marLeft w:val="1800"/>
          <w:marRight w:val="0"/>
          <w:marTop w:val="100"/>
          <w:marBottom w:val="0"/>
          <w:divBdr>
            <w:top w:val="none" w:sz="0" w:space="0" w:color="auto"/>
            <w:left w:val="none" w:sz="0" w:space="0" w:color="auto"/>
            <w:bottom w:val="none" w:sz="0" w:space="0" w:color="auto"/>
            <w:right w:val="none" w:sz="0" w:space="0" w:color="auto"/>
          </w:divBdr>
        </w:div>
      </w:divsChild>
    </w:div>
    <w:div w:id="1968386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3D43F57E59D7E4A910EF21B3F4BA21F" ma:contentTypeVersion="13" ma:contentTypeDescription="Create a new document." ma:contentTypeScope="" ma:versionID="fd8b324595fbb83e4ab17fcbeb412256">
  <xsd:schema xmlns:xsd="http://www.w3.org/2001/XMLSchema" xmlns:xs="http://www.w3.org/2001/XMLSchema" xmlns:p="http://schemas.microsoft.com/office/2006/metadata/properties" xmlns:ns3="2ac063a8-4d83-4348-960d-d0def7933531" xmlns:ns4="dec3ac0a-d2b3-42c7-882c-afaa74762ccc" targetNamespace="http://schemas.microsoft.com/office/2006/metadata/properties" ma:root="true" ma:fieldsID="bc21a11d65ca93ea57547951003f0aca" ns3:_="" ns4:_="">
    <xsd:import namespace="2ac063a8-4d83-4348-960d-d0def7933531"/>
    <xsd:import namespace="dec3ac0a-d2b3-42c7-882c-afaa74762ccc"/>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ac063a8-4d83-4348-960d-d0def793353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ec3ac0a-d2b3-42c7-882c-afaa74762ccc"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CE62E2-90A6-4D7A-941B-DB914B43360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8700552E-6275-454C-95C3-16F3C6695C2C}">
  <ds:schemaRefs>
    <ds:schemaRef ds:uri="http://schemas.openxmlformats.org/officeDocument/2006/bibliography"/>
  </ds:schemaRefs>
</ds:datastoreItem>
</file>

<file path=customXml/itemProps3.xml><?xml version="1.0" encoding="utf-8"?>
<ds:datastoreItem xmlns:ds="http://schemas.openxmlformats.org/officeDocument/2006/customXml" ds:itemID="{E947BB2F-CEF2-4CC8-BC12-12B42B6EFBC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ac063a8-4d83-4348-960d-d0def7933531"/>
    <ds:schemaRef ds:uri="dec3ac0a-d2b3-42c7-882c-afaa74762c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E3754F2-FC29-4C97-88B3-79124C6C3A3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3350</Words>
  <Characters>21107</Characters>
  <Application>Microsoft Office Word</Application>
  <DocSecurity>0</DocSecurity>
  <Lines>175</Lines>
  <Paragraphs>48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abhamri@lenovo.com</dc:creator>
  <cp:keywords/>
  <dc:description/>
  <cp:lastModifiedBy>ANKIT BHAMRI</cp:lastModifiedBy>
  <cp:revision>30</cp:revision>
  <cp:lastPrinted>2019-01-22T03:27:00Z</cp:lastPrinted>
  <dcterms:created xsi:type="dcterms:W3CDTF">2021-05-11T18:38:00Z</dcterms:created>
  <dcterms:modified xsi:type="dcterms:W3CDTF">2021-05-11T18:44:00Z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0x010100D3D43F57E59D7E4A910EF21B3F4BA21F</vt:lpwstr>
  </property>
</Properties>
</file>