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7F03A56B"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551A1">
        <w:rPr>
          <w:rFonts w:ascii="Arial" w:hAnsi="Arial" w:cs="Arial"/>
          <w:b/>
          <w:bCs/>
          <w:lang w:val="en-GB"/>
        </w:rPr>
        <w:t>5</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64056">
        <w:rPr>
          <w:rFonts w:ascii="Arial" w:hAnsi="Arial" w:cs="Arial"/>
          <w:b/>
          <w:bCs/>
          <w:lang w:val="en-GB" w:eastAsia="zh-CN"/>
        </w:rPr>
        <w:t xml:space="preserve">  </w:t>
      </w:r>
      <w:r w:rsidR="00516509" w:rsidRPr="00C439FA">
        <w:rPr>
          <w:rFonts w:ascii="Arial" w:hAnsi="Arial" w:cs="Arial"/>
          <w:b/>
          <w:bCs/>
          <w:lang w:val="en-GB"/>
        </w:rPr>
        <w:t>R1-2</w:t>
      </w:r>
      <w:r w:rsidR="008A5A57">
        <w:rPr>
          <w:rFonts w:ascii="Arial" w:hAnsi="Arial" w:cs="Arial"/>
          <w:b/>
          <w:bCs/>
          <w:lang w:val="en-GB"/>
        </w:rPr>
        <w:t>1</w:t>
      </w:r>
      <w:r w:rsidR="002F74B4">
        <w:rPr>
          <w:rFonts w:ascii="Arial" w:hAnsi="Arial" w:cs="Arial"/>
          <w:b/>
          <w:bCs/>
          <w:lang w:val="en-GB" w:eastAsia="zh-CN"/>
        </w:rPr>
        <w:t>0</w:t>
      </w:r>
      <w:r w:rsidR="00D64056">
        <w:rPr>
          <w:rFonts w:ascii="Arial" w:hAnsi="Arial" w:cs="Arial"/>
          <w:b/>
          <w:bCs/>
          <w:lang w:val="en-GB" w:eastAsia="zh-CN"/>
        </w:rPr>
        <w:t>4867</w:t>
      </w:r>
    </w:p>
    <w:p w14:paraId="2501BD26" w14:textId="7AE29B2D"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0" w:name="_Hlk61342301"/>
      <w:r w:rsidR="008551A1" w:rsidRPr="005708D2">
        <w:rPr>
          <w:rFonts w:ascii="Arial" w:eastAsia="MS Mincho" w:hAnsi="Arial" w:cs="Arial"/>
          <w:b/>
          <w:bCs/>
          <w:lang w:eastAsia="ja-JP"/>
        </w:rPr>
        <w:t>May 10</w:t>
      </w:r>
      <w:r w:rsidR="008551A1" w:rsidRPr="005708D2">
        <w:rPr>
          <w:rFonts w:ascii="Arial" w:eastAsia="MS Mincho" w:hAnsi="Arial" w:cs="Arial"/>
          <w:b/>
          <w:bCs/>
          <w:vertAlign w:val="superscript"/>
          <w:lang w:eastAsia="ja-JP"/>
        </w:rPr>
        <w:t>th</w:t>
      </w:r>
      <w:r w:rsidR="008551A1" w:rsidRPr="005708D2">
        <w:rPr>
          <w:rFonts w:ascii="Arial" w:eastAsia="MS Mincho" w:hAnsi="Arial" w:cs="Arial"/>
          <w:b/>
          <w:bCs/>
          <w:lang w:eastAsia="ja-JP"/>
        </w:rPr>
        <w:t xml:space="preserve"> – 27</w:t>
      </w:r>
      <w:r w:rsidR="008551A1" w:rsidRPr="005708D2">
        <w:rPr>
          <w:rFonts w:ascii="Arial" w:eastAsia="MS Mincho" w:hAnsi="Arial" w:cs="Arial"/>
          <w:b/>
          <w:bCs/>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8A5A57">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5C7841C6" w:rsidR="000C654B" w:rsidRDefault="000C654B" w:rsidP="000C654B">
      <w:pPr>
        <w:pStyle w:val="BodyText"/>
      </w:pPr>
      <w:r w:rsidRPr="00593E99">
        <w:t>In RAN1#10</w:t>
      </w:r>
      <w:r w:rsidR="0076660C">
        <w:rPr>
          <w:lang w:val="en-US"/>
        </w:rPr>
        <w:t>4</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65D2522A"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highlight w:val="green"/>
                <w:lang w:val="en-GB" w:eastAsia="en-US"/>
              </w:rPr>
              <w:t>Agreement:</w:t>
            </w:r>
          </w:p>
          <w:p w14:paraId="50A6F564"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lang w:val="en-GB" w:eastAsia="en-US"/>
              </w:rPr>
              <w:t>For RRC_IDLE/RRC_INACTIVE UEs, one common frequency resource for group-common PDCCH/PDSCH can be defined/configured.</w:t>
            </w:r>
          </w:p>
          <w:p w14:paraId="3020D8E4" w14:textId="77777777" w:rsidR="0076660C" w:rsidRPr="0076660C" w:rsidRDefault="0076660C" w:rsidP="0076660C">
            <w:pPr>
              <w:numPr>
                <w:ilvl w:val="0"/>
                <w:numId w:val="33"/>
              </w:numPr>
              <w:overflowPunct w:val="0"/>
              <w:textAlignment w:val="baseline"/>
              <w:rPr>
                <w:rFonts w:ascii="Times" w:eastAsia="Batang" w:hAnsi="Times"/>
                <w:szCs w:val="24"/>
                <w:lang w:val="en-GB" w:eastAsia="en-US"/>
              </w:rPr>
            </w:pPr>
            <w:r w:rsidRPr="0076660C">
              <w:rPr>
                <w:rFonts w:ascii="Times" w:eastAsia="Batang" w:hAnsi="Times"/>
                <w:szCs w:val="24"/>
                <w:lang w:val="en-GB" w:eastAsia="en-US"/>
              </w:rPr>
              <w:t>FFS: whether to define/configure more than one common frequency resources</w:t>
            </w:r>
          </w:p>
          <w:p w14:paraId="772D7B51" w14:textId="77777777" w:rsidR="0076660C" w:rsidRPr="0076660C" w:rsidRDefault="0076660C" w:rsidP="0076660C">
            <w:pPr>
              <w:spacing w:after="0"/>
              <w:rPr>
                <w:rFonts w:ascii="Times" w:eastAsia="Batang" w:hAnsi="Times"/>
                <w:szCs w:val="24"/>
                <w:lang w:val="en-GB" w:eastAsia="en-US"/>
              </w:rPr>
            </w:pPr>
          </w:p>
          <w:p w14:paraId="26E0C01F"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highlight w:val="green"/>
                <w:lang w:val="en-GB" w:eastAsia="en-US"/>
              </w:rPr>
              <w:t>Agreement:</w:t>
            </w:r>
          </w:p>
          <w:p w14:paraId="17373C1B"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lang w:val="en-GB" w:eastAsia="en-US"/>
              </w:rPr>
              <w:t xml:space="preserve">For RRC_IDLE/RRC_INACTIVE UEs, for broadcast reception, the UE may assume that </w:t>
            </w:r>
            <w:proofErr w:type="gramStart"/>
            <w:r w:rsidRPr="0076660C">
              <w:rPr>
                <w:rFonts w:ascii="Times" w:eastAsia="Batang" w:hAnsi="Times"/>
                <w:szCs w:val="24"/>
                <w:lang w:val="en-GB" w:eastAsia="en-US"/>
              </w:rPr>
              <w:t>group-common</w:t>
            </w:r>
            <w:proofErr w:type="gramEnd"/>
            <w:r w:rsidRPr="0076660C">
              <w:rPr>
                <w:rFonts w:ascii="Times" w:eastAsia="Batang" w:hAnsi="Times"/>
                <w:szCs w:val="24"/>
                <w:lang w:val="en-GB" w:eastAsia="en-US"/>
              </w:rPr>
              <w:t xml:space="preserve"> PDCCH/PDSCH is </w:t>
            </w:r>
            <w:proofErr w:type="spellStart"/>
            <w:r w:rsidRPr="0076660C">
              <w:rPr>
                <w:rFonts w:ascii="Times" w:eastAsia="Batang" w:hAnsi="Times"/>
                <w:szCs w:val="24"/>
                <w:lang w:val="en-GB" w:eastAsia="en-US"/>
              </w:rPr>
              <w:t>QCL’d</w:t>
            </w:r>
            <w:proofErr w:type="spellEnd"/>
            <w:r w:rsidRPr="0076660C">
              <w:rPr>
                <w:rFonts w:ascii="Times" w:eastAsia="Batang" w:hAnsi="Times"/>
                <w:szCs w:val="24"/>
                <w:lang w:val="en-GB" w:eastAsia="en-US"/>
              </w:rPr>
              <w:t xml:space="preserve"> with SSB.</w:t>
            </w:r>
          </w:p>
          <w:p w14:paraId="3D099F4A" w14:textId="77777777" w:rsidR="0076660C" w:rsidRPr="0076660C" w:rsidRDefault="0076660C" w:rsidP="0076660C">
            <w:pPr>
              <w:numPr>
                <w:ilvl w:val="0"/>
                <w:numId w:val="34"/>
              </w:numPr>
              <w:spacing w:after="0"/>
              <w:rPr>
                <w:rFonts w:ascii="Times" w:eastAsia="Batang" w:hAnsi="Times"/>
                <w:szCs w:val="24"/>
                <w:lang w:val="en-GB" w:eastAsia="en-US"/>
              </w:rPr>
            </w:pPr>
            <w:r w:rsidRPr="0076660C">
              <w:rPr>
                <w:rFonts w:ascii="Times" w:eastAsia="Batang" w:hAnsi="Times"/>
                <w:szCs w:val="24"/>
                <w:lang w:val="en-GB" w:eastAsia="en-US"/>
              </w:rPr>
              <w:t xml:space="preserve">It is up to UE implementation whether UE monitors monitoring occasions corresponding to all SSB indexes or monitoring occasions corresponding to a subset of all SSB indexes. </w:t>
            </w:r>
          </w:p>
          <w:p w14:paraId="3530BEAA" w14:textId="77777777" w:rsidR="0076660C" w:rsidRPr="0076660C" w:rsidRDefault="0076660C" w:rsidP="0076660C">
            <w:pPr>
              <w:numPr>
                <w:ilvl w:val="0"/>
                <w:numId w:val="34"/>
              </w:numPr>
              <w:spacing w:after="0"/>
              <w:rPr>
                <w:rFonts w:ascii="Times" w:eastAsia="Batang" w:hAnsi="Times"/>
                <w:szCs w:val="24"/>
                <w:lang w:val="en-GB" w:eastAsia="en-US"/>
              </w:rPr>
            </w:pPr>
            <w:r w:rsidRPr="0076660C">
              <w:rPr>
                <w:rFonts w:ascii="Times" w:eastAsia="Batang" w:hAnsi="Times"/>
                <w:szCs w:val="24"/>
                <w:lang w:val="en-GB" w:eastAsia="en-US"/>
              </w:rPr>
              <w:t>FFS: association rules between SSB indexes and UE monitoring occasions.</w:t>
            </w:r>
          </w:p>
          <w:p w14:paraId="2A0F3F00" w14:textId="77777777" w:rsidR="0076660C" w:rsidRPr="0076660C" w:rsidRDefault="0076660C" w:rsidP="0076660C">
            <w:pPr>
              <w:numPr>
                <w:ilvl w:val="0"/>
                <w:numId w:val="34"/>
              </w:numPr>
              <w:spacing w:after="0"/>
              <w:rPr>
                <w:rFonts w:ascii="Times" w:eastAsia="Batang" w:hAnsi="Times"/>
                <w:szCs w:val="24"/>
                <w:lang w:val="en-GB" w:eastAsia="en-US"/>
              </w:rPr>
            </w:pPr>
            <w:r w:rsidRPr="0076660C">
              <w:rPr>
                <w:rFonts w:ascii="Times" w:eastAsia="Batang" w:hAnsi="Times"/>
                <w:szCs w:val="24"/>
                <w:lang w:val="en-GB" w:eastAsia="en-US"/>
              </w:rPr>
              <w:t xml:space="preserve">FFS: group-common PDCCH/PDSCH is </w:t>
            </w:r>
            <w:proofErr w:type="spellStart"/>
            <w:r w:rsidRPr="0076660C">
              <w:rPr>
                <w:rFonts w:ascii="Times" w:eastAsia="Batang" w:hAnsi="Times"/>
                <w:szCs w:val="24"/>
                <w:lang w:val="en-GB" w:eastAsia="en-US"/>
              </w:rPr>
              <w:t>QCl’d</w:t>
            </w:r>
            <w:proofErr w:type="spellEnd"/>
            <w:r w:rsidRPr="0076660C">
              <w:rPr>
                <w:rFonts w:ascii="Times" w:eastAsia="Batang" w:hAnsi="Times"/>
                <w:szCs w:val="24"/>
                <w:lang w:val="en-GB" w:eastAsia="en-US"/>
              </w:rPr>
              <w:t xml:space="preserve"> with TRS if configured</w:t>
            </w:r>
          </w:p>
          <w:p w14:paraId="25F0A22B" w14:textId="77777777" w:rsidR="0076660C" w:rsidRPr="0076660C" w:rsidRDefault="0076660C" w:rsidP="0076660C">
            <w:pPr>
              <w:spacing w:after="0"/>
              <w:rPr>
                <w:rFonts w:ascii="Times" w:eastAsia="Batang" w:hAnsi="Times"/>
                <w:szCs w:val="24"/>
                <w:lang w:val="en-GB" w:eastAsia="en-US"/>
              </w:rPr>
            </w:pPr>
          </w:p>
          <w:p w14:paraId="1B8A03D2"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highlight w:val="green"/>
                <w:lang w:val="en-GB" w:eastAsia="en-US"/>
              </w:rPr>
              <w:t>Agreement:</w:t>
            </w:r>
          </w:p>
          <w:p w14:paraId="18C14B9C"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lang w:val="en-GB" w:eastAsia="en-US"/>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A7E5B9D" w14:textId="77777777" w:rsidR="0076660C" w:rsidRPr="0076660C" w:rsidRDefault="0076660C" w:rsidP="0076660C">
            <w:pPr>
              <w:numPr>
                <w:ilvl w:val="0"/>
                <w:numId w:val="35"/>
              </w:numPr>
              <w:spacing w:after="0"/>
              <w:rPr>
                <w:rFonts w:ascii="Times" w:eastAsia="Batang" w:hAnsi="Times"/>
                <w:szCs w:val="24"/>
                <w:lang w:val="en-GB" w:eastAsia="en-US"/>
              </w:rPr>
            </w:pPr>
            <w:r w:rsidRPr="0076660C">
              <w:rPr>
                <w:rFonts w:ascii="Times" w:eastAsia="Batang" w:hAnsi="Times" w:hint="eastAsia"/>
                <w:szCs w:val="24"/>
                <w:lang w:val="en-GB" w:eastAsia="en-US"/>
              </w:rPr>
              <w:t xml:space="preserve">FFS: the case when </w:t>
            </w:r>
            <w:r w:rsidRPr="0076660C">
              <w:rPr>
                <w:rFonts w:ascii="Times" w:eastAsia="Batang" w:hAnsi="Times"/>
                <w:szCs w:val="24"/>
                <w:lang w:val="en-GB" w:eastAsia="en-US"/>
              </w:rPr>
              <w:t xml:space="preserve">UE-specific active BWP of RRC_CONNECTED UE </w:t>
            </w:r>
            <w:r w:rsidRPr="0076660C">
              <w:rPr>
                <w:rFonts w:ascii="Times" w:eastAsia="Batang" w:hAnsi="Times" w:hint="eastAsia"/>
                <w:szCs w:val="24"/>
                <w:lang w:val="en-GB" w:eastAsia="en-US"/>
              </w:rPr>
              <w:t xml:space="preserve">does not </w:t>
            </w:r>
            <w:r w:rsidRPr="0076660C">
              <w:rPr>
                <w:rFonts w:ascii="Times" w:eastAsia="Batang" w:hAnsi="Times"/>
                <w:szCs w:val="24"/>
                <w:lang w:val="en-GB" w:eastAsia="en-US"/>
              </w:rPr>
              <w:t>contain the common frequency resource of RRC_IDLE/INACTIVE UEs</w:t>
            </w:r>
            <w:r w:rsidRPr="0076660C">
              <w:rPr>
                <w:rFonts w:ascii="Times" w:eastAsia="Batang" w:hAnsi="Times" w:hint="eastAsia"/>
                <w:szCs w:val="24"/>
                <w:lang w:val="en-GB" w:eastAsia="en-US"/>
              </w:rPr>
              <w:t>.</w:t>
            </w:r>
          </w:p>
          <w:p w14:paraId="0AD5A15C" w14:textId="77777777" w:rsidR="0076660C" w:rsidRPr="0076660C" w:rsidRDefault="0076660C" w:rsidP="0076660C">
            <w:pPr>
              <w:spacing w:after="0"/>
              <w:rPr>
                <w:rFonts w:ascii="Times" w:eastAsiaTheme="minorEastAsia" w:hAnsi="Times"/>
                <w:szCs w:val="24"/>
                <w:lang w:val="en-GB"/>
              </w:rPr>
            </w:pPr>
          </w:p>
          <w:p w14:paraId="409BF268"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highlight w:val="green"/>
                <w:lang w:val="en-GB" w:eastAsia="en-US"/>
              </w:rPr>
              <w:t>Agreement:</w:t>
            </w:r>
          </w:p>
          <w:p w14:paraId="39AF4B29" w14:textId="77777777" w:rsidR="0076660C" w:rsidRPr="0076660C" w:rsidRDefault="0076660C" w:rsidP="0076660C">
            <w:pPr>
              <w:spacing w:after="0"/>
              <w:rPr>
                <w:rFonts w:ascii="Times" w:eastAsia="Batang" w:hAnsi="Times"/>
                <w:szCs w:val="24"/>
                <w:lang w:val="en-GB" w:eastAsia="en-US"/>
              </w:rPr>
            </w:pPr>
            <w:r w:rsidRPr="0076660C">
              <w:rPr>
                <w:rFonts w:ascii="Times" w:eastAsia="Batang" w:hAnsi="Times"/>
                <w:szCs w:val="24"/>
                <w:lang w:val="en-GB" w:eastAsia="en-US"/>
              </w:rPr>
              <w:t xml:space="preserve">For RRC_IDLE/RRC_INACTIVE UEs, for broadcast reception, further study the following cases of a configured/defined specific common frequency resource (CFR) for group-common PDCCH/PDSCH, </w:t>
            </w:r>
            <w:r w:rsidRPr="0076660C">
              <w:rPr>
                <w:rFonts w:ascii="Times" w:eastAsia="Batang" w:hAnsi="Times"/>
                <w:szCs w:val="24"/>
                <w:u w:val="single"/>
                <w:lang w:val="en-GB" w:eastAsia="en-US"/>
              </w:rPr>
              <w:t>and identify which case(s) will be supported</w:t>
            </w:r>
            <w:r w:rsidRPr="0076660C">
              <w:rPr>
                <w:rFonts w:ascii="Times" w:eastAsia="Batang" w:hAnsi="Times"/>
                <w:szCs w:val="24"/>
                <w:lang w:val="en-GB" w:eastAsia="en-US"/>
              </w:rPr>
              <w:t>:</w:t>
            </w:r>
          </w:p>
          <w:p w14:paraId="14E33365" w14:textId="77777777" w:rsidR="0076660C" w:rsidRPr="0076660C" w:rsidRDefault="0076660C" w:rsidP="0076660C">
            <w:pPr>
              <w:numPr>
                <w:ilvl w:val="0"/>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 xml:space="preserve">[Case E] the case where a CFR is defined based on a configured BWP. </w:t>
            </w:r>
          </w:p>
          <w:p w14:paraId="6B3778D0"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proofErr w:type="gramStart"/>
            <w:r w:rsidRPr="0076660C">
              <w:rPr>
                <w:rFonts w:ascii="Times" w:eastAsia="Batang" w:hAnsi="Times"/>
                <w:szCs w:val="24"/>
                <w:lang w:val="en-GB" w:eastAsia="en-US"/>
              </w:rPr>
              <w:t>In particular, study</w:t>
            </w:r>
            <w:proofErr w:type="gramEnd"/>
            <w:r w:rsidRPr="0076660C">
              <w:rPr>
                <w:rFonts w:ascii="Times" w:eastAsia="Batang" w:hAnsi="Times"/>
                <w:szCs w:val="24"/>
                <w:lang w:val="en-GB" w:eastAsia="en-US"/>
              </w:rPr>
              <w:t xml:space="preserve"> the following:</w:t>
            </w:r>
          </w:p>
          <w:p w14:paraId="4A22BC92"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whether a configured BWP for MBS is needed or not.</w:t>
            </w:r>
          </w:p>
          <w:p w14:paraId="31A9145E"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 xml:space="preserve">whether </w:t>
            </w:r>
            <w:r w:rsidRPr="0076660C">
              <w:rPr>
                <w:rFonts w:ascii="Times" w:eastAsia="Batang" w:hAnsi="Times"/>
                <w:szCs w:val="24"/>
                <w:lang w:val="en-GB"/>
              </w:rPr>
              <w:t>BWP switching is needed or not.</w:t>
            </w:r>
          </w:p>
          <w:p w14:paraId="3E7F2022"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In this study, the configured BWP has the following properties:</w:t>
            </w:r>
          </w:p>
          <w:p w14:paraId="2E0084DB"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 xml:space="preserve">The configured BWP is different than the initial BWP where the frequency resources of this initial BWP are configured smaller than the full carrier bandwidth. </w:t>
            </w:r>
          </w:p>
          <w:p w14:paraId="64F58A7E"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The CFR has the frequency resources identical to the configured BWP.</w:t>
            </w:r>
          </w:p>
          <w:p w14:paraId="3ACEE1CF"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 xml:space="preserve">The configured BWP needs to fully contain the initial BWP in frequency domain and has the same SCS and CP as the initial BWP. </w:t>
            </w:r>
          </w:p>
          <w:p w14:paraId="2DB99A77"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Note: The configured BWP is not larger than the carrier bandwidth</w:t>
            </w:r>
          </w:p>
          <w:p w14:paraId="4467A005" w14:textId="77777777" w:rsidR="0076660C" w:rsidRPr="0076660C" w:rsidRDefault="0076660C" w:rsidP="0076660C">
            <w:pPr>
              <w:numPr>
                <w:ilvl w:val="0"/>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lastRenderedPageBreak/>
              <w:t>the case where the initial BWP fully contains the CFR in the frequency domain.</w:t>
            </w:r>
          </w:p>
          <w:p w14:paraId="5672C305"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In this study the following sub-cases are considered:</w:t>
            </w:r>
          </w:p>
          <w:p w14:paraId="0BB0838A"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[Case B] A CFR with smaller size than the initial BWP, where the initial BWP has the same frequency resources as CORESET0. In this case the CFR has the frequency resources confined within the initial BWP and have the same SCS and CP as the initial BWP.</w:t>
            </w:r>
          </w:p>
          <w:p w14:paraId="0DB30E1E"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2931453B"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proofErr w:type="gramStart"/>
            <w:r w:rsidRPr="0076660C">
              <w:rPr>
                <w:rFonts w:ascii="Times" w:eastAsia="Batang" w:hAnsi="Times"/>
                <w:szCs w:val="24"/>
                <w:lang w:val="en-GB" w:eastAsia="en-US"/>
              </w:rPr>
              <w:t>In particular, study</w:t>
            </w:r>
            <w:proofErr w:type="gramEnd"/>
            <w:r w:rsidRPr="0076660C">
              <w:rPr>
                <w:rFonts w:ascii="Times" w:eastAsia="Batang" w:hAnsi="Times"/>
                <w:szCs w:val="24"/>
                <w:lang w:val="en-GB" w:eastAsia="en-US"/>
              </w:rPr>
              <w:t xml:space="preserve"> the following:</w:t>
            </w:r>
          </w:p>
          <w:p w14:paraId="6239A1FA"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Whether the considered two options with a CFR with smaller size than the initial BWP are needed or not for MBS.</w:t>
            </w:r>
          </w:p>
          <w:p w14:paraId="5807E0D7" w14:textId="77777777" w:rsidR="0076660C" w:rsidRPr="0076660C" w:rsidRDefault="0076660C" w:rsidP="0076660C">
            <w:pPr>
              <w:numPr>
                <w:ilvl w:val="0"/>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 xml:space="preserve">the case where the initial BWP has same size as the CFR in the frequency domain. </w:t>
            </w:r>
          </w:p>
          <w:p w14:paraId="41497CF6"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In this study the following two sub-cases are considered:</w:t>
            </w:r>
          </w:p>
          <w:p w14:paraId="3B4BAF93"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[Case A] A CFR with the same size as the initial BWP, where the initial BWP has the same frequency resources as CORESET0. In this case the CFR has the same frequency resources and same SCS and CP as the initial BWP.</w:t>
            </w:r>
          </w:p>
          <w:p w14:paraId="619B7BCF" w14:textId="77777777" w:rsidR="0076660C"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[Case C] A CFR with same size as the initial BWP, where the initial BWP has the frequency resources configured by SIB1. In this case the CFR has the same frequency resources and same SCS and CP as the initial BWP.</w:t>
            </w:r>
          </w:p>
          <w:p w14:paraId="24E99323" w14:textId="77777777" w:rsidR="0076660C" w:rsidRPr="0076660C" w:rsidRDefault="0076660C" w:rsidP="0076660C">
            <w:pPr>
              <w:numPr>
                <w:ilvl w:val="1"/>
                <w:numId w:val="36"/>
              </w:numPr>
              <w:overflowPunct w:val="0"/>
              <w:spacing w:after="0"/>
              <w:textAlignment w:val="baseline"/>
              <w:rPr>
                <w:rFonts w:ascii="Times" w:eastAsia="Batang" w:hAnsi="Times"/>
                <w:szCs w:val="24"/>
                <w:lang w:val="en-GB" w:eastAsia="en-US"/>
              </w:rPr>
            </w:pPr>
            <w:proofErr w:type="gramStart"/>
            <w:r w:rsidRPr="0076660C">
              <w:rPr>
                <w:rFonts w:ascii="Times" w:eastAsia="Batang" w:hAnsi="Times"/>
                <w:szCs w:val="24"/>
                <w:lang w:val="en-GB" w:eastAsia="en-US"/>
              </w:rPr>
              <w:t>In particular, study</w:t>
            </w:r>
            <w:proofErr w:type="gramEnd"/>
            <w:r w:rsidRPr="0076660C">
              <w:rPr>
                <w:rFonts w:ascii="Times" w:eastAsia="Batang" w:hAnsi="Times"/>
                <w:szCs w:val="24"/>
                <w:lang w:val="en-GB" w:eastAsia="en-US"/>
              </w:rPr>
              <w:t xml:space="preserve"> the following:</w:t>
            </w:r>
          </w:p>
          <w:p w14:paraId="4A50102E" w14:textId="03011E80" w:rsidR="00BF1746" w:rsidRPr="0076660C" w:rsidRDefault="0076660C" w:rsidP="0076660C">
            <w:pPr>
              <w:numPr>
                <w:ilvl w:val="2"/>
                <w:numId w:val="36"/>
              </w:numPr>
              <w:overflowPunct w:val="0"/>
              <w:spacing w:after="0"/>
              <w:textAlignment w:val="baseline"/>
              <w:rPr>
                <w:rFonts w:ascii="Times" w:eastAsia="Batang" w:hAnsi="Times"/>
                <w:szCs w:val="24"/>
                <w:lang w:val="en-GB" w:eastAsia="en-US"/>
              </w:rPr>
            </w:pPr>
            <w:r w:rsidRPr="0076660C">
              <w:rPr>
                <w:rFonts w:ascii="Times" w:eastAsia="Batang" w:hAnsi="Times"/>
                <w:szCs w:val="24"/>
                <w:lang w:val="en-GB" w:eastAsia="en-US"/>
              </w:rPr>
              <w:t>Whether the considered two options with a CFR with the same size as the initial BWP are needed or not for MBS.</w:t>
            </w:r>
          </w:p>
        </w:tc>
      </w:tr>
    </w:tbl>
    <w:p w14:paraId="5F11BE5A" w14:textId="77777777" w:rsidR="00BF1746" w:rsidRPr="006B3D7B" w:rsidRDefault="00BF1746" w:rsidP="000C654B">
      <w:pPr>
        <w:pStyle w:val="BodyText"/>
        <w:rPr>
          <w:lang w:val="en-GB"/>
        </w:rPr>
      </w:pPr>
    </w:p>
    <w:p w14:paraId="20D71091" w14:textId="5CFBC7AD" w:rsidR="000C654B" w:rsidRDefault="000C654B" w:rsidP="000C654B">
      <w:pPr>
        <w:pStyle w:val="BodyText"/>
      </w:pPr>
      <w:r>
        <w:t>Hence, i</w:t>
      </w:r>
      <w:r w:rsidRPr="00593E99">
        <w:t xml:space="preserve">n this contribution, </w:t>
      </w:r>
      <w:r>
        <w:t>more detailed</w:t>
      </w:r>
      <w:r w:rsidRPr="00593E99">
        <w:t xml:space="preserve"> views </w:t>
      </w:r>
      <w:r w:rsidR="008775E5">
        <w:t xml:space="preserve">on RRC </w:t>
      </w:r>
      <w:r w:rsidR="009A7965">
        <w:t xml:space="preserve">IDLE/RRC 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4412A35A" w14:textId="0F919A47" w:rsidR="00213FD8" w:rsidRDefault="00213FD8" w:rsidP="00213FD8">
      <w:pPr>
        <w:pStyle w:val="Heading2"/>
        <w:rPr>
          <w:lang w:eastAsia="zh-CN"/>
        </w:rPr>
      </w:pPr>
      <w:r>
        <w:rPr>
          <w:lang w:eastAsia="zh-CN"/>
        </w:rPr>
        <w:t xml:space="preserve">Frequency resource </w:t>
      </w:r>
      <w:r w:rsidR="006B3D7B">
        <w:rPr>
          <w:lang w:eastAsia="zh-CN"/>
        </w:rPr>
        <w:t>configuration</w:t>
      </w:r>
    </w:p>
    <w:p w14:paraId="04491737" w14:textId="1116E1A1" w:rsidR="006B3D7B" w:rsidRPr="006B3D7B" w:rsidRDefault="006B3D7B" w:rsidP="006B3D7B">
      <w:pPr>
        <w:pStyle w:val="BodyText"/>
        <w:rPr>
          <w:rFonts w:eastAsia="MS Mincho"/>
          <w:lang w:val="en-GB" w:eastAsia="ja-JP"/>
        </w:rPr>
      </w:pPr>
      <w:r>
        <w:rPr>
          <w:lang w:val="en-GB"/>
        </w:rPr>
        <w:t>For RRC_IDLE/RRC_INACTIVE UEs</w:t>
      </w:r>
      <w:r>
        <w:rPr>
          <w:rFonts w:eastAsia="MS Mincho"/>
          <w:lang w:val="en-US" w:eastAsia="ja-JP"/>
        </w:rPr>
        <w:t>,</w:t>
      </w:r>
      <w:r w:rsidRPr="007A787E">
        <w:rPr>
          <w:rFonts w:eastAsia="MS Mincho"/>
          <w:lang w:val="en-US" w:eastAsia="ja-JP"/>
        </w:rPr>
        <w:t xml:space="preserve"> </w:t>
      </w:r>
      <w:r>
        <w:rPr>
          <w:rFonts w:eastAsia="MS Mincho"/>
          <w:lang w:val="en-US" w:eastAsia="ja-JP"/>
        </w:rPr>
        <w:t>a</w:t>
      </w:r>
      <w:r w:rsidRPr="007A787E">
        <w:rPr>
          <w:rFonts w:eastAsia="MS Mincho"/>
          <w:lang w:val="en-US" w:eastAsia="ja-JP"/>
        </w:rPr>
        <w:t xml:space="preserve"> common frequency region </w:t>
      </w:r>
      <w:r>
        <w:rPr>
          <w:rFonts w:eastAsia="MS Mincho"/>
          <w:lang w:val="en-US" w:eastAsia="ja-JP"/>
        </w:rPr>
        <w:t>should</w:t>
      </w:r>
      <w:r w:rsidRPr="007A787E">
        <w:rPr>
          <w:rFonts w:eastAsia="MS Mincho"/>
          <w:lang w:val="en-US" w:eastAsia="ja-JP"/>
        </w:rPr>
        <w:t xml:space="preserve"> be defined</w:t>
      </w:r>
      <w:r>
        <w:rPr>
          <w:rFonts w:eastAsia="MS Mincho"/>
          <w:lang w:val="en-US" w:eastAsia="ja-JP"/>
        </w:rPr>
        <w:t xml:space="preserve"> or configured</w:t>
      </w:r>
      <w:r w:rsidRPr="007A787E">
        <w:rPr>
          <w:rFonts w:eastAsia="MS Mincho"/>
          <w:lang w:val="en-US" w:eastAsia="ja-JP"/>
        </w:rPr>
        <w:t xml:space="preserve"> </w:t>
      </w:r>
      <w:r>
        <w:rPr>
          <w:rFonts w:eastAsia="MS Mincho"/>
          <w:lang w:val="en-US" w:eastAsia="ja-JP"/>
        </w:rPr>
        <w:t>for</w:t>
      </w:r>
      <w:r w:rsidRPr="007A787E">
        <w:rPr>
          <w:rFonts w:eastAsia="MS Mincho"/>
          <w:lang w:val="en-US" w:eastAsia="ja-JP"/>
        </w:rPr>
        <w:t xml:space="preserve"> each UE to receive the group-common DCI and associated group-common PDSCH.</w:t>
      </w:r>
      <w:r>
        <w:rPr>
          <w:rFonts w:eastAsia="MS Mincho"/>
          <w:lang w:val="en-US" w:eastAsia="ja-JP"/>
        </w:rPr>
        <w:t xml:space="preserve"> I</w:t>
      </w:r>
      <w:r w:rsidRPr="006B3D7B">
        <w:rPr>
          <w:rFonts w:eastAsia="MS Mincho"/>
          <w:lang w:val="en-US" w:eastAsia="ja-JP"/>
        </w:rPr>
        <w:t xml:space="preserve">f </w:t>
      </w:r>
      <w:r>
        <w:rPr>
          <w:rFonts w:eastAsia="MS Mincho"/>
          <w:lang w:val="en-US" w:eastAsia="ja-JP"/>
        </w:rPr>
        <w:t>this</w:t>
      </w:r>
      <w:r w:rsidRPr="006B3D7B">
        <w:rPr>
          <w:rFonts w:eastAsia="MS Mincho"/>
          <w:lang w:val="en-US" w:eastAsia="ja-JP"/>
        </w:rPr>
        <w:t xml:space="preserve"> specific common frequency resource is not configured</w:t>
      </w:r>
      <w:r>
        <w:rPr>
          <w:rFonts w:eastAsia="MS Mincho"/>
          <w:lang w:val="en-US" w:eastAsia="ja-JP"/>
        </w:rPr>
        <w:t>, t</w:t>
      </w:r>
      <w:r w:rsidRPr="006B3D7B">
        <w:rPr>
          <w:rFonts w:eastAsia="MS Mincho"/>
          <w:lang w:val="en-US" w:eastAsia="ja-JP"/>
        </w:rPr>
        <w:t xml:space="preserve">he UE may assume the initial </w:t>
      </w:r>
      <w:r>
        <w:rPr>
          <w:rFonts w:eastAsia="MS Mincho"/>
          <w:lang w:val="en-US" w:eastAsia="ja-JP"/>
        </w:rPr>
        <w:t xml:space="preserve">DL </w:t>
      </w:r>
      <w:r w:rsidRPr="006B3D7B">
        <w:rPr>
          <w:rFonts w:eastAsia="MS Mincho"/>
          <w:lang w:val="en-US" w:eastAsia="ja-JP"/>
        </w:rPr>
        <w:t xml:space="preserve">BWP as the default common frequency resource for </w:t>
      </w:r>
      <w:r>
        <w:rPr>
          <w:rFonts w:eastAsia="MS Mincho"/>
          <w:lang w:val="en-US" w:eastAsia="ja-JP"/>
        </w:rPr>
        <w:t xml:space="preserve">receiving the </w:t>
      </w:r>
      <w:r w:rsidRPr="006B3D7B">
        <w:rPr>
          <w:rFonts w:eastAsia="MS Mincho"/>
          <w:lang w:val="en-US" w:eastAsia="ja-JP"/>
        </w:rPr>
        <w:t>group-common PDCCH/PDSCH.</w:t>
      </w:r>
      <w:r>
        <w:rPr>
          <w:rFonts w:eastAsia="MS Mincho"/>
          <w:lang w:val="en-US" w:eastAsia="ja-JP"/>
        </w:rPr>
        <w:t xml:space="preserve"> If this specific common frequency resource is configured, it should be confined within the initial DL BWP and share same numerology. </w:t>
      </w:r>
    </w:p>
    <w:p w14:paraId="07E2C948" w14:textId="7B3F3299" w:rsidR="006B3D7B" w:rsidRDefault="006B3D7B" w:rsidP="006B3D7B">
      <w:pPr>
        <w:pStyle w:val="BodyText"/>
        <w:rPr>
          <w:rFonts w:eastAsia="MS Mincho"/>
          <w:lang w:val="en-US" w:eastAsia="ja-JP"/>
        </w:rPr>
      </w:pPr>
      <w:r>
        <w:rPr>
          <w:rFonts w:eastAsia="MS Mincho"/>
          <w:lang w:val="en-US" w:eastAsia="ja-JP"/>
        </w:rPr>
        <w:t xml:space="preserve">Regarding the configuration of this specific common frequency region, one straightforward solution is to configure the starting PRB and the number of contiguous PRBs of the specific common frequency region via RRC signaling. </w:t>
      </w:r>
    </w:p>
    <w:p w14:paraId="42851B9B" w14:textId="09E3F5DC" w:rsidR="006B3D7B" w:rsidRDefault="006B3D7B" w:rsidP="006B3D7B">
      <w:pPr>
        <w:pStyle w:val="BodyText"/>
        <w:rPr>
          <w:rFonts w:eastAsia="MS Mincho"/>
          <w:lang w:val="en-US" w:eastAsia="ja-JP"/>
        </w:rPr>
      </w:pPr>
      <w:r>
        <w:rPr>
          <w:rFonts w:eastAsia="MS Mincho"/>
          <w:lang w:val="en-US" w:eastAsia="ja-JP"/>
        </w:rPr>
        <w:t>Furthermore, one discussion point in previous meeting is whether to configure one or more common frequency resources for one or more MBS services. If more than one common frequency resource is required, these common frequency resources should be confined within the initial DL BWP. In that sense, more straightforward solution is to configure a larger frequency resource to cover the multiple separate common frequency resources. Hence, one common frequency resource is enough for group-common PDCCH/PDSCH reception.</w:t>
      </w:r>
    </w:p>
    <w:p w14:paraId="22508A21" w14:textId="77777777" w:rsidR="006B3D7B" w:rsidRPr="00D67877" w:rsidRDefault="006B3D7B" w:rsidP="006B3D7B">
      <w:pPr>
        <w:pStyle w:val="BodyText"/>
      </w:pPr>
      <w:r>
        <w:t>Based on above discussion, we have below proposals:</w:t>
      </w:r>
    </w:p>
    <w:p w14:paraId="06CFC598" w14:textId="3FE80892" w:rsidR="006B3D7B" w:rsidRDefault="006B3D7B" w:rsidP="006B3D7B">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6BDC1522" w14:textId="78BA0626" w:rsidR="006B3D7B" w:rsidRDefault="006B3D7B" w:rsidP="006B3D7B">
      <w:pPr>
        <w:pStyle w:val="BodyText"/>
        <w:rPr>
          <w:b/>
          <w:i/>
        </w:rPr>
      </w:pPr>
      <w:r>
        <w:rPr>
          <w:b/>
          <w:i/>
        </w:rPr>
        <w:t>Proposal 2: The starting PRB index and the number of contiguous PRBs of the specific common frequency resource are configured within the initial DL BWP via RRC signaling.</w:t>
      </w:r>
    </w:p>
    <w:p w14:paraId="725B4151" w14:textId="6107A31A" w:rsidR="006B3D7B" w:rsidRDefault="006B3D7B" w:rsidP="006B3D7B">
      <w:pPr>
        <w:pStyle w:val="BodyText"/>
        <w:rPr>
          <w:b/>
          <w:i/>
        </w:rPr>
      </w:pPr>
      <w:r>
        <w:rPr>
          <w:b/>
          <w:i/>
        </w:rPr>
        <w:t>Proposal 3: O</w:t>
      </w:r>
      <w:r w:rsidR="0063069E">
        <w:rPr>
          <w:b/>
          <w:i/>
        </w:rPr>
        <w:t>nly o</w:t>
      </w:r>
      <w:r>
        <w:rPr>
          <w:b/>
          <w:i/>
        </w:rPr>
        <w:t xml:space="preserve">ne common frequency resource </w:t>
      </w:r>
      <w:r w:rsidR="0063069E">
        <w:rPr>
          <w:b/>
          <w:i/>
        </w:rPr>
        <w:t>is</w:t>
      </w:r>
      <w:r>
        <w:rPr>
          <w:b/>
          <w:i/>
        </w:rPr>
        <w:t xml:space="preserve"> configured within the initial DL BWP </w:t>
      </w:r>
      <w:r w:rsidR="0063069E">
        <w:rPr>
          <w:b/>
          <w:i/>
        </w:rPr>
        <w:t>for</w:t>
      </w:r>
      <w:r w:rsidR="0063069E" w:rsidRPr="006B3D7B">
        <w:t xml:space="preserve"> </w:t>
      </w:r>
      <w:r w:rsidR="0063069E" w:rsidRPr="006B3D7B">
        <w:rPr>
          <w:b/>
          <w:i/>
        </w:rPr>
        <w:t>RRC_IDLE/RRC_INACTIVE UEs</w:t>
      </w:r>
      <w:r>
        <w:rPr>
          <w:b/>
          <w:i/>
        </w:rPr>
        <w:t>.</w:t>
      </w:r>
    </w:p>
    <w:p w14:paraId="07C18E7E" w14:textId="440CBBE5" w:rsidR="006B3D7B" w:rsidRDefault="006B3D7B" w:rsidP="006B3D7B">
      <w:pPr>
        <w:pStyle w:val="BodyText"/>
        <w:rPr>
          <w:rFonts w:eastAsia="MS Mincho"/>
          <w:lang w:eastAsia="ja-JP"/>
        </w:rPr>
      </w:pPr>
    </w:p>
    <w:p w14:paraId="379125DF" w14:textId="06632DE4" w:rsidR="00E45721" w:rsidRDefault="00E45721" w:rsidP="006B3D7B">
      <w:pPr>
        <w:pStyle w:val="BodyText"/>
        <w:rPr>
          <w:rFonts w:eastAsia="MS Mincho"/>
          <w:lang w:val="en-US" w:eastAsia="ja-JP"/>
        </w:rPr>
      </w:pPr>
      <w:r>
        <w:rPr>
          <w:rFonts w:eastAsia="MS Mincho"/>
          <w:lang w:val="en-US" w:eastAsia="ja-JP"/>
        </w:rPr>
        <w:t>Regarding the relationship between CFR and the initial DL BWP, discussions on the possible cases are extensively discussed in RAN1#104 meeting. Five cases are identified to cover the case of MBS-specific BWP, same size of CFR and initial DL BWP as well as smaller size of CFR than initial DL BWP. Firstly, regarding</w:t>
      </w:r>
      <w:r w:rsidRPr="00E45721">
        <w:rPr>
          <w:rFonts w:eastAsia="MS Mincho"/>
          <w:lang w:val="en-US" w:eastAsia="ja-JP"/>
        </w:rPr>
        <w:t xml:space="preserve"> </w:t>
      </w:r>
      <w:r>
        <w:rPr>
          <w:rFonts w:eastAsia="MS Mincho"/>
          <w:lang w:val="en-US" w:eastAsia="ja-JP"/>
        </w:rPr>
        <w:t>Case</w:t>
      </w:r>
      <w:r w:rsidRPr="00E45721">
        <w:rPr>
          <w:rFonts w:eastAsia="MS Mincho"/>
          <w:lang w:val="en-US" w:eastAsia="ja-JP"/>
        </w:rPr>
        <w:t xml:space="preserve"> B and </w:t>
      </w:r>
      <w:r>
        <w:rPr>
          <w:rFonts w:eastAsia="MS Mincho"/>
          <w:lang w:val="en-US" w:eastAsia="ja-JP"/>
        </w:rPr>
        <w:t xml:space="preserve">Case </w:t>
      </w:r>
      <w:r w:rsidRPr="00E45721">
        <w:rPr>
          <w:rFonts w:eastAsia="MS Mincho"/>
          <w:lang w:val="en-US" w:eastAsia="ja-JP"/>
        </w:rPr>
        <w:t xml:space="preserve">D, </w:t>
      </w:r>
      <w:r>
        <w:rPr>
          <w:rFonts w:eastAsia="MS Mincho"/>
          <w:lang w:val="en-US" w:eastAsia="ja-JP"/>
        </w:rPr>
        <w:t xml:space="preserve">the motivation </w:t>
      </w:r>
      <w:r w:rsidRPr="00E45721">
        <w:rPr>
          <w:rFonts w:eastAsia="MS Mincho"/>
          <w:lang w:val="en-US" w:eastAsia="ja-JP"/>
        </w:rPr>
        <w:t xml:space="preserve">to </w:t>
      </w:r>
      <w:r>
        <w:rPr>
          <w:rFonts w:eastAsia="MS Mincho"/>
          <w:lang w:val="en-US" w:eastAsia="ja-JP"/>
        </w:rPr>
        <w:t>configure a</w:t>
      </w:r>
      <w:r w:rsidRPr="00E45721">
        <w:rPr>
          <w:rFonts w:eastAsia="MS Mincho"/>
          <w:lang w:val="en-US" w:eastAsia="ja-JP"/>
        </w:rPr>
        <w:t xml:space="preserve"> CFR </w:t>
      </w:r>
      <w:r>
        <w:rPr>
          <w:rFonts w:eastAsia="MS Mincho"/>
          <w:lang w:val="en-US" w:eastAsia="ja-JP"/>
        </w:rPr>
        <w:t xml:space="preserve">with </w:t>
      </w:r>
      <w:r w:rsidRPr="00E45721">
        <w:rPr>
          <w:rFonts w:eastAsia="MS Mincho"/>
          <w:lang w:val="en-US" w:eastAsia="ja-JP"/>
        </w:rPr>
        <w:t>smaller</w:t>
      </w:r>
      <w:r>
        <w:rPr>
          <w:rFonts w:eastAsia="MS Mincho"/>
          <w:lang w:val="en-US" w:eastAsia="ja-JP"/>
        </w:rPr>
        <w:t xml:space="preserve"> size</w:t>
      </w:r>
      <w:r w:rsidRPr="00E45721">
        <w:rPr>
          <w:rFonts w:eastAsia="MS Mincho"/>
          <w:lang w:val="en-US" w:eastAsia="ja-JP"/>
        </w:rPr>
        <w:t xml:space="preserve"> than the initial </w:t>
      </w:r>
      <w:r>
        <w:rPr>
          <w:rFonts w:eastAsia="MS Mincho"/>
          <w:lang w:val="en-US" w:eastAsia="ja-JP"/>
        </w:rPr>
        <w:t xml:space="preserve">DL </w:t>
      </w:r>
      <w:r w:rsidRPr="00E45721">
        <w:rPr>
          <w:rFonts w:eastAsia="MS Mincho"/>
          <w:lang w:val="en-US" w:eastAsia="ja-JP"/>
        </w:rPr>
        <w:t>BWP</w:t>
      </w:r>
      <w:r>
        <w:rPr>
          <w:rFonts w:eastAsia="MS Mincho"/>
          <w:lang w:val="en-US" w:eastAsia="ja-JP"/>
        </w:rPr>
        <w:t xml:space="preserve"> is not clear</w:t>
      </w:r>
      <w:r w:rsidRPr="00E45721">
        <w:rPr>
          <w:rFonts w:eastAsia="MS Mincho"/>
          <w:lang w:val="en-US" w:eastAsia="ja-JP"/>
        </w:rPr>
        <w:t xml:space="preserve">. </w:t>
      </w:r>
      <w:r w:rsidRPr="00A02B2A">
        <w:rPr>
          <w:rFonts w:eastAsia="MS Mincho"/>
          <w:lang w:val="en-US" w:eastAsia="ja-JP"/>
        </w:rPr>
        <w:t xml:space="preserve">In both cases, when </w:t>
      </w:r>
      <w:r w:rsidR="00A02B2A" w:rsidRPr="00A02B2A">
        <w:rPr>
          <w:rFonts w:eastAsia="MS Mincho"/>
          <w:lang w:val="en-US" w:eastAsia="ja-JP"/>
        </w:rPr>
        <w:t xml:space="preserve">the required </w:t>
      </w:r>
      <w:r w:rsidRPr="00A02B2A">
        <w:rPr>
          <w:rFonts w:eastAsia="MS Mincho"/>
          <w:lang w:val="en-US" w:eastAsia="ja-JP"/>
        </w:rPr>
        <w:lastRenderedPageBreak/>
        <w:t>bandwidth for multicast/broadcast for idle/inactive UEs is</w:t>
      </w:r>
      <w:r>
        <w:rPr>
          <w:rFonts w:eastAsia="MS Mincho"/>
          <w:lang w:val="en-US" w:eastAsia="ja-JP"/>
        </w:rPr>
        <w:t xml:space="preserve"> </w:t>
      </w:r>
      <w:r w:rsidR="00A02B2A">
        <w:rPr>
          <w:rFonts w:eastAsia="MS Mincho"/>
          <w:lang w:val="en-US" w:eastAsia="ja-JP"/>
        </w:rPr>
        <w:t>narrow than the initial DL BWP</w:t>
      </w:r>
      <w:r w:rsidRPr="00E45721">
        <w:rPr>
          <w:rFonts w:eastAsia="MS Mincho"/>
          <w:lang w:val="en-US" w:eastAsia="ja-JP"/>
        </w:rPr>
        <w:t>,</w:t>
      </w:r>
      <w:r w:rsidR="00A02B2A">
        <w:rPr>
          <w:rFonts w:eastAsia="MS Mincho"/>
          <w:lang w:val="en-US" w:eastAsia="ja-JP"/>
        </w:rPr>
        <w:t xml:space="preserve"> gNB can schedule</w:t>
      </w:r>
      <w:r w:rsidRPr="00E45721">
        <w:rPr>
          <w:rFonts w:eastAsia="MS Mincho"/>
          <w:lang w:val="en-US" w:eastAsia="ja-JP"/>
        </w:rPr>
        <w:t xml:space="preserve"> appropriate frequency allocation </w:t>
      </w:r>
      <w:r w:rsidR="00A02B2A">
        <w:rPr>
          <w:rFonts w:eastAsia="MS Mincho"/>
          <w:lang w:val="en-US" w:eastAsia="ja-JP"/>
        </w:rPr>
        <w:t>within</w:t>
      </w:r>
      <w:r w:rsidRPr="00E45721">
        <w:rPr>
          <w:rFonts w:eastAsia="MS Mincho"/>
          <w:lang w:val="en-US" w:eastAsia="ja-JP"/>
        </w:rPr>
        <w:t xml:space="preserve"> the initial </w:t>
      </w:r>
      <w:r w:rsidR="00A02B2A">
        <w:rPr>
          <w:rFonts w:eastAsia="MS Mincho"/>
          <w:lang w:val="en-US" w:eastAsia="ja-JP"/>
        </w:rPr>
        <w:t xml:space="preserve">DL </w:t>
      </w:r>
      <w:r w:rsidRPr="00E45721">
        <w:rPr>
          <w:rFonts w:eastAsia="MS Mincho"/>
          <w:lang w:val="en-US" w:eastAsia="ja-JP"/>
        </w:rPr>
        <w:t xml:space="preserve">BWP. </w:t>
      </w:r>
      <w:r w:rsidR="00A02B2A">
        <w:rPr>
          <w:rFonts w:eastAsia="MS Mincho"/>
          <w:lang w:val="en-US" w:eastAsia="ja-JP"/>
        </w:rPr>
        <w:t xml:space="preserve">Furthermore, since </w:t>
      </w:r>
      <w:r w:rsidR="00A02B2A">
        <w:rPr>
          <w:rFonts w:eastAsia="等线"/>
          <w:lang w:eastAsia="zh-CN"/>
        </w:rPr>
        <w:t xml:space="preserve">the FDRA bits in the DCI is </w:t>
      </w:r>
      <w:r w:rsidR="00A02B2A">
        <w:rPr>
          <w:rFonts w:eastAsia="等线"/>
          <w:lang w:val="en-US" w:eastAsia="zh-CN"/>
        </w:rPr>
        <w:t xml:space="preserve">determined </w:t>
      </w:r>
      <w:r w:rsidR="00A02B2A">
        <w:rPr>
          <w:rFonts w:eastAsia="等线"/>
          <w:lang w:eastAsia="zh-CN"/>
        </w:rPr>
        <w:t xml:space="preserve">according to the </w:t>
      </w:r>
      <w:r w:rsidR="00A02B2A">
        <w:rPr>
          <w:rFonts w:eastAsia="等线"/>
          <w:lang w:val="en-US" w:eastAsia="zh-CN"/>
        </w:rPr>
        <w:t xml:space="preserve">bandwidth of </w:t>
      </w:r>
      <w:r w:rsidR="00A02B2A">
        <w:rPr>
          <w:rFonts w:eastAsia="等线"/>
          <w:lang w:eastAsia="zh-CN"/>
        </w:rPr>
        <w:t xml:space="preserve">initial </w:t>
      </w:r>
      <w:r w:rsidR="00A02B2A">
        <w:rPr>
          <w:rFonts w:eastAsia="等线"/>
          <w:lang w:val="en-US" w:eastAsia="zh-CN"/>
        </w:rPr>
        <w:t xml:space="preserve">DL </w:t>
      </w:r>
      <w:r w:rsidR="00A02B2A">
        <w:rPr>
          <w:rFonts w:eastAsia="等线"/>
          <w:lang w:eastAsia="zh-CN"/>
        </w:rPr>
        <w:t>BWP</w:t>
      </w:r>
      <w:r w:rsidR="00A02B2A">
        <w:rPr>
          <w:rFonts w:eastAsia="等线"/>
          <w:lang w:val="en-US" w:eastAsia="zh-CN"/>
        </w:rPr>
        <w:t>, there is no</w:t>
      </w:r>
      <w:r w:rsidR="00A02B2A">
        <w:rPr>
          <w:rFonts w:eastAsia="等线"/>
          <w:lang w:eastAsia="zh-CN"/>
        </w:rPr>
        <w:t xml:space="preserve"> performance gain</w:t>
      </w:r>
      <w:r w:rsidR="00A02B2A">
        <w:rPr>
          <w:rFonts w:eastAsia="等线"/>
          <w:lang w:val="en-US" w:eastAsia="zh-CN"/>
        </w:rPr>
        <w:t xml:space="preserve"> of DCI payload size reduction.</w:t>
      </w:r>
      <w:r w:rsidR="00A02B2A" w:rsidRPr="00E45721">
        <w:rPr>
          <w:rFonts w:eastAsia="MS Mincho"/>
          <w:lang w:val="en-US" w:eastAsia="ja-JP"/>
        </w:rPr>
        <w:t xml:space="preserve"> </w:t>
      </w:r>
      <w:r w:rsidR="00A02B2A">
        <w:rPr>
          <w:rFonts w:eastAsia="MS Mincho"/>
          <w:lang w:val="en-US" w:eastAsia="ja-JP"/>
        </w:rPr>
        <w:t>Hence,</w:t>
      </w:r>
      <w:r w:rsidRPr="00E45721">
        <w:rPr>
          <w:rFonts w:eastAsia="MS Mincho"/>
          <w:lang w:val="en-US" w:eastAsia="ja-JP"/>
        </w:rPr>
        <w:t xml:space="preserve"> </w:t>
      </w:r>
      <w:r w:rsidR="00A02B2A">
        <w:rPr>
          <w:rFonts w:eastAsia="MS Mincho"/>
          <w:lang w:val="en-US" w:eastAsia="ja-JP"/>
        </w:rPr>
        <w:t>Case</w:t>
      </w:r>
      <w:r w:rsidRPr="00E45721">
        <w:rPr>
          <w:rFonts w:eastAsia="MS Mincho"/>
          <w:lang w:val="en-US" w:eastAsia="ja-JP"/>
        </w:rPr>
        <w:t xml:space="preserve"> B and </w:t>
      </w:r>
      <w:r w:rsidR="00A02B2A">
        <w:rPr>
          <w:rFonts w:eastAsia="MS Mincho"/>
          <w:lang w:val="en-US" w:eastAsia="ja-JP"/>
        </w:rPr>
        <w:t>Case D</w:t>
      </w:r>
      <w:r w:rsidRPr="00E45721">
        <w:rPr>
          <w:rFonts w:eastAsia="MS Mincho"/>
          <w:lang w:val="en-US" w:eastAsia="ja-JP"/>
        </w:rPr>
        <w:t xml:space="preserve"> can be </w:t>
      </w:r>
      <w:r w:rsidR="00A02B2A">
        <w:rPr>
          <w:rFonts w:eastAsia="MS Mincho"/>
          <w:lang w:val="en-US" w:eastAsia="ja-JP"/>
        </w:rPr>
        <w:t>excluded</w:t>
      </w:r>
      <w:r w:rsidRPr="00E45721">
        <w:rPr>
          <w:rFonts w:eastAsia="MS Mincho"/>
          <w:lang w:val="en-US" w:eastAsia="ja-JP"/>
        </w:rPr>
        <w:t>.</w:t>
      </w:r>
      <w:r w:rsidR="00A02B2A">
        <w:rPr>
          <w:rFonts w:eastAsia="MS Mincho"/>
          <w:lang w:val="en-US" w:eastAsia="ja-JP"/>
        </w:rPr>
        <w:t xml:space="preserve"> Secondly, regarding Case E, an MBS-specific BWP is configured. As discussed in our companion paper [3], introduction of MBS-specific BWP leads to significant standard impact and UE complexity as well as the resource waste due to BWP switching delay between MBS-specific BWP and unicast BWP. Hence, Case E is excluded. Then Case A and Case C are straightforward and can maximum CFR configuration within the initial DL BWP.</w:t>
      </w:r>
    </w:p>
    <w:p w14:paraId="42049C29" w14:textId="77777777" w:rsidR="00A02B2A" w:rsidRPr="00D67877" w:rsidRDefault="00A02B2A" w:rsidP="00A02B2A">
      <w:pPr>
        <w:pStyle w:val="BodyText"/>
      </w:pPr>
      <w:r>
        <w:t>Based on above discussion, we have below proposals:</w:t>
      </w:r>
    </w:p>
    <w:p w14:paraId="61D8D3A0" w14:textId="088B5FB4" w:rsidR="00A02B2A" w:rsidRPr="0076660C" w:rsidRDefault="00A02B2A" w:rsidP="00A02B2A">
      <w:pPr>
        <w:pStyle w:val="BodyText"/>
        <w:rPr>
          <w:b/>
          <w:i/>
          <w:lang w:val="en-US"/>
        </w:rPr>
      </w:pPr>
      <w:r>
        <w:rPr>
          <w:b/>
          <w:i/>
        </w:rPr>
        <w:t xml:space="preserve">Proposal </w:t>
      </w:r>
      <w:r>
        <w:rPr>
          <w:b/>
          <w:i/>
          <w:lang w:val="en-US"/>
        </w:rPr>
        <w:t>4</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both Case A and Case C are supported.</w:t>
      </w:r>
    </w:p>
    <w:p w14:paraId="5A39E316" w14:textId="52377944" w:rsidR="00A02B2A" w:rsidRPr="0076660C" w:rsidRDefault="00A02B2A" w:rsidP="00A02B2A">
      <w:pPr>
        <w:pStyle w:val="BodyText"/>
        <w:rPr>
          <w:b/>
          <w:i/>
          <w:lang w:val="en-US"/>
        </w:rPr>
      </w:pPr>
      <w:r>
        <w:rPr>
          <w:b/>
          <w:i/>
        </w:rPr>
        <w:t xml:space="preserve">Proposal </w:t>
      </w:r>
      <w:r>
        <w:rPr>
          <w:b/>
          <w:i/>
          <w:lang w:val="en-US"/>
        </w:rPr>
        <w:t>5</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none of Case B, Case D and Case </w:t>
      </w:r>
      <w:r w:rsidR="00BB1E1A">
        <w:rPr>
          <w:b/>
          <w:i/>
          <w:lang w:val="en-US"/>
        </w:rPr>
        <w:t>E</w:t>
      </w:r>
      <w:r>
        <w:rPr>
          <w:b/>
          <w:i/>
          <w:lang w:val="en-US"/>
        </w:rPr>
        <w:t xml:space="preserve"> </w:t>
      </w:r>
      <w:r w:rsidR="00BB1E1A">
        <w:rPr>
          <w:b/>
          <w:i/>
          <w:lang w:val="en-US"/>
        </w:rPr>
        <w:t>is</w:t>
      </w:r>
      <w:r>
        <w:rPr>
          <w:b/>
          <w:i/>
          <w:lang w:val="en-US"/>
        </w:rPr>
        <w:t xml:space="preserve"> supported.</w:t>
      </w:r>
    </w:p>
    <w:p w14:paraId="0815B6A6" w14:textId="77777777" w:rsidR="00E45721" w:rsidRDefault="00E45721" w:rsidP="006B3D7B">
      <w:pPr>
        <w:pStyle w:val="BodyText"/>
        <w:rPr>
          <w:rFonts w:eastAsia="MS Mincho"/>
          <w:lang w:eastAsia="ja-JP"/>
        </w:rPr>
      </w:pPr>
    </w:p>
    <w:p w14:paraId="72928773" w14:textId="77777777" w:rsidR="006B3D7B" w:rsidRDefault="006B3D7B" w:rsidP="006B3D7B">
      <w:pPr>
        <w:pStyle w:val="Heading2"/>
        <w:rPr>
          <w:lang w:eastAsia="zh-CN"/>
        </w:rPr>
      </w:pPr>
      <w:r>
        <w:rPr>
          <w:lang w:eastAsia="zh-CN"/>
        </w:rPr>
        <w:t>MBS PDSCH scheduling and frequency resource</w:t>
      </w:r>
    </w:p>
    <w:p w14:paraId="00341219" w14:textId="74F6AB25" w:rsidR="0063069E" w:rsidRDefault="0063069E" w:rsidP="0063069E">
      <w:pPr>
        <w:pStyle w:val="BodyText"/>
        <w:rPr>
          <w:rFonts w:eastAsia="MS Mincho"/>
          <w:lang w:val="en-US" w:eastAsia="ja-JP"/>
        </w:rPr>
      </w:pPr>
      <w:r>
        <w:rPr>
          <w:lang w:val="en-GB"/>
        </w:rPr>
        <w:t>For RRC_IDLE/RRC_INACTIVE UEs</w:t>
      </w:r>
      <w:r w:rsidRPr="0032538A">
        <w:rPr>
          <w:rFonts w:eastAsia="MS Mincho"/>
          <w:lang w:val="en-US" w:eastAsia="ja-JP"/>
        </w:rPr>
        <w:t xml:space="preserve">, </w:t>
      </w:r>
      <w:r>
        <w:rPr>
          <w:rFonts w:eastAsia="MS Mincho"/>
          <w:lang w:val="en-US" w:eastAsia="ja-JP"/>
        </w:rPr>
        <w:t>the scheduled group-common PDSCH is transmitted within the initial DL BWP if the specific common frequency resource is not configured or within the specific common frequency resource if the specific common frequency resource is configured. Correspondingly, the RB numbering can be based on the starting RB of the initial DL BWP if the specific common frequency resource is not configured or the starting RB of the configured specific common frequency resource if the specific common frequency resource is configured</w:t>
      </w:r>
      <w:r w:rsidRPr="0032538A">
        <w:rPr>
          <w:rFonts w:eastAsia="MS Mincho"/>
          <w:lang w:val="en-US" w:eastAsia="ja-JP"/>
        </w:rPr>
        <w:t xml:space="preserve">. In detail, </w:t>
      </w:r>
      <w:r w:rsidR="00D13080">
        <w:rPr>
          <w:rFonts w:eastAsia="MS Mincho"/>
          <w:lang w:val="en-US" w:eastAsia="ja-JP"/>
        </w:rPr>
        <w:t xml:space="preserve">when </w:t>
      </w:r>
      <w:r w:rsidR="00D13080" w:rsidRPr="0032538A">
        <w:rPr>
          <w:rFonts w:eastAsia="MS Mincho"/>
          <w:lang w:val="en-US" w:eastAsia="ja-JP"/>
        </w:rPr>
        <w:t>either resource allocation type 0 or type 1 is used for allocating frequency resource</w:t>
      </w:r>
      <w:r w:rsidR="00D13080">
        <w:rPr>
          <w:rFonts w:eastAsia="MS Mincho"/>
          <w:lang w:val="en-US" w:eastAsia="ja-JP"/>
        </w:rPr>
        <w:t xml:space="preserve">, if the specific common frequency resource is not configured, </w:t>
      </w:r>
      <w:r>
        <w:rPr>
          <w:rFonts w:eastAsia="MS Mincho"/>
          <w:lang w:val="en-US" w:eastAsia="ja-JP"/>
        </w:rPr>
        <w:t>the lowest RB of the initial DL BWP is deemed PRB 0 and other RBs of the BWP is numbered with reference to PRB 0</w:t>
      </w:r>
      <w:r w:rsidR="00D13080">
        <w:rPr>
          <w:rFonts w:eastAsia="MS Mincho"/>
          <w:lang w:val="en-US" w:eastAsia="ja-JP"/>
        </w:rPr>
        <w:t>;</w:t>
      </w:r>
      <w:r w:rsidRPr="0032538A">
        <w:rPr>
          <w:rFonts w:eastAsia="MS Mincho"/>
          <w:lang w:val="en-US" w:eastAsia="ja-JP"/>
        </w:rPr>
        <w:t xml:space="preserve"> </w:t>
      </w:r>
      <w:r w:rsidR="00D13080">
        <w:rPr>
          <w:rFonts w:eastAsia="MS Mincho"/>
          <w:lang w:val="en-US" w:eastAsia="ja-JP"/>
        </w:rPr>
        <w:t>if the specific common frequency resource is configured, the lowest RB of the specific common frequency resource is deemed PRB 0 and other RBs within the specific common frequency resource is numbered with reference to PRB 0</w:t>
      </w:r>
      <w:r w:rsidR="00D13080" w:rsidRPr="0032538A">
        <w:rPr>
          <w:rFonts w:eastAsia="MS Mincho"/>
          <w:lang w:val="en-US" w:eastAsia="ja-JP"/>
        </w:rPr>
        <w:t>.</w:t>
      </w:r>
    </w:p>
    <w:p w14:paraId="68A6F07E" w14:textId="78E16C54" w:rsidR="0063069E" w:rsidRPr="0032538A" w:rsidRDefault="0063069E" w:rsidP="0063069E">
      <w:pPr>
        <w:pStyle w:val="BodyText"/>
        <w:rPr>
          <w:rFonts w:eastAsia="MS Mincho"/>
          <w:lang w:val="en-US" w:eastAsia="ja-JP"/>
        </w:rPr>
      </w:pPr>
      <w:r w:rsidRPr="0032538A">
        <w:rPr>
          <w:rFonts w:eastAsia="MS Mincho"/>
          <w:lang w:val="en-US" w:eastAsia="ja-JP"/>
        </w:rPr>
        <w:t xml:space="preserve">Another issue is how to determine the payload size of frequency domain resource assignment (FDRA) indicator in the DCI from a UE’s perspective. Since the number of bits required for FDRA indicator is based on the bandwidth </w:t>
      </w:r>
      <w:r w:rsidR="008D3C07">
        <w:rPr>
          <w:rFonts w:eastAsia="MS Mincho"/>
          <w:lang w:val="en-US" w:eastAsia="ja-JP"/>
        </w:rPr>
        <w:t>in frequency domain, if the specific common frequency resource is not configured</w:t>
      </w:r>
      <w:r w:rsidRPr="0032538A">
        <w:rPr>
          <w:rFonts w:eastAsia="MS Mincho"/>
          <w:lang w:val="en-US" w:eastAsia="ja-JP"/>
        </w:rPr>
        <w:t xml:space="preserve">, </w:t>
      </w:r>
      <w:r>
        <w:rPr>
          <w:rFonts w:eastAsia="MS Mincho"/>
          <w:lang w:val="en-US" w:eastAsia="ja-JP"/>
        </w:rPr>
        <w:t>the bandwidth of the initial DL BWP is used to determine the number of bits for FDRA indicator in the DCI</w:t>
      </w:r>
      <w:r w:rsidR="008D3C07">
        <w:rPr>
          <w:rFonts w:eastAsia="MS Mincho"/>
          <w:lang w:val="en-US" w:eastAsia="ja-JP"/>
        </w:rPr>
        <w:t>; if the specific common frequency resource is configured, the bandwidth of the specific common frequency resource is used to determine the number of bits for FDRA indicator in the DCI</w:t>
      </w:r>
      <w:r>
        <w:rPr>
          <w:rFonts w:eastAsia="MS Mincho"/>
          <w:lang w:val="en-US" w:eastAsia="ja-JP"/>
        </w:rPr>
        <w:t>. In this way, the RB numbering and the DCI payload size determination can be solved.</w:t>
      </w:r>
    </w:p>
    <w:p w14:paraId="67650071" w14:textId="28EA71A2" w:rsidR="0063069E" w:rsidRDefault="0063069E" w:rsidP="0063069E">
      <w:pPr>
        <w:pStyle w:val="BodyText"/>
        <w:rPr>
          <w:b/>
          <w:i/>
        </w:rPr>
      </w:pPr>
      <w:r>
        <w:rPr>
          <w:b/>
          <w:i/>
        </w:rPr>
        <w:t xml:space="preserve">Proposal </w:t>
      </w:r>
      <w:r w:rsidR="00BB1E1A">
        <w:rPr>
          <w:b/>
          <w:i/>
          <w:lang w:val="en-US"/>
        </w:rPr>
        <w:t>6</w:t>
      </w:r>
      <w:r>
        <w:rPr>
          <w:b/>
          <w:i/>
        </w:rPr>
        <w:t xml:space="preserve">: RB numbering for </w:t>
      </w:r>
      <w:r w:rsidR="00496D2B">
        <w:rPr>
          <w:b/>
          <w:i/>
        </w:rPr>
        <w:t>group-common</w:t>
      </w:r>
      <w:r>
        <w:rPr>
          <w:b/>
          <w:i/>
        </w:rPr>
        <w:t xml:space="preserve"> PDSCH scheduling is with reference to the lowest RB of the initial DL BWP</w:t>
      </w:r>
      <w:r w:rsidR="00496D2B">
        <w:rPr>
          <w:b/>
          <w:i/>
        </w:rPr>
        <w:t xml:space="preserve"> </w:t>
      </w:r>
      <w:r w:rsidR="00496D2B" w:rsidRPr="00496D2B">
        <w:rPr>
          <w:b/>
          <w:i/>
        </w:rPr>
        <w:t>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28CEE224" w14:textId="70D1F955" w:rsidR="0063069E" w:rsidRPr="00280006" w:rsidRDefault="0063069E" w:rsidP="0063069E">
      <w:pPr>
        <w:pStyle w:val="BodyText"/>
        <w:rPr>
          <w:b/>
          <w:i/>
        </w:rPr>
      </w:pPr>
      <w:r>
        <w:rPr>
          <w:b/>
          <w:i/>
        </w:rPr>
        <w:t>Proposal</w:t>
      </w:r>
      <w:r w:rsidR="00BB1E1A">
        <w:rPr>
          <w:b/>
          <w:i/>
          <w:lang w:val="en-US"/>
        </w:rPr>
        <w:t xml:space="preserve"> 7</w:t>
      </w:r>
      <w:r>
        <w:rPr>
          <w:b/>
          <w:i/>
        </w:rPr>
        <w:t>: The number of bits for frequency domain resource assignment indicator in the group-common DCI is determined based on the bandwidth of the initial DL BWP</w:t>
      </w:r>
      <w:r w:rsidR="00496D2B" w:rsidRPr="00496D2B">
        <w:rPr>
          <w:b/>
          <w:i/>
        </w:rPr>
        <w:t xml:space="preserve"> 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61242368" w14:textId="77777777" w:rsidR="0063069E" w:rsidRDefault="0063069E" w:rsidP="006B3D7B">
      <w:pPr>
        <w:pStyle w:val="BodyText"/>
      </w:pP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258268E1" w:rsidR="006B3D7B" w:rsidRDefault="006B3D7B" w:rsidP="006B3D7B">
      <w:pPr>
        <w:pStyle w:val="BodyText"/>
        <w:rPr>
          <w:b/>
          <w:i/>
        </w:rPr>
      </w:pPr>
      <w:r w:rsidRPr="009C7176">
        <w:rPr>
          <w:b/>
          <w:i/>
        </w:rPr>
        <w:t xml:space="preserve">Proposal </w:t>
      </w:r>
      <w:r w:rsidR="00BB1E1A">
        <w:rPr>
          <w:b/>
          <w:i/>
          <w:lang w:val="en-US"/>
        </w:rPr>
        <w:t>8</w:t>
      </w:r>
      <w:r w:rsidRPr="009C7176">
        <w:rPr>
          <w:b/>
          <w:i/>
        </w:rPr>
        <w:t xml:space="preserve">: </w:t>
      </w:r>
      <w:r w:rsidR="00A33943">
        <w:rPr>
          <w:b/>
          <w:i/>
        </w:rPr>
        <w:t xml:space="preserve">A CSS is configured for </w:t>
      </w:r>
      <w:r w:rsidR="00FB3F4C">
        <w:rPr>
          <w:b/>
          <w:i/>
          <w:lang w:val="de-DE"/>
        </w:rPr>
        <w:t xml:space="preserve">RRC </w:t>
      </w:r>
      <w:r w:rsidR="00A33943" w:rsidRPr="00A33943">
        <w:rPr>
          <w:b/>
          <w:i/>
        </w:rPr>
        <w:t>IDLE/RRC INACTIVE UEs</w:t>
      </w:r>
      <w:r w:rsidR="00A33943">
        <w:rPr>
          <w:b/>
          <w:i/>
        </w:rPr>
        <w:t xml:space="preserve"> by reusing existing CSS type</w:t>
      </w:r>
      <w:r w:rsidRPr="009C7176">
        <w:rPr>
          <w:b/>
          <w:i/>
        </w:rPr>
        <w:t xml:space="preserve">. </w:t>
      </w:r>
    </w:p>
    <w:p w14:paraId="1C7CB9D8" w14:textId="77777777" w:rsidR="0030192F" w:rsidRDefault="0030192F" w:rsidP="0006166C">
      <w:pPr>
        <w:pStyle w:val="BodyText"/>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740CEB4A" w14:textId="7C4807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have below proposals:</w:t>
      </w:r>
    </w:p>
    <w:p w14:paraId="0D194CD7" w14:textId="77777777" w:rsidR="00A33943" w:rsidRDefault="00A33943" w:rsidP="00A33943">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1EA58EED" w14:textId="77777777" w:rsidR="00A33943" w:rsidRDefault="00A33943" w:rsidP="00A33943">
      <w:pPr>
        <w:pStyle w:val="BodyText"/>
        <w:rPr>
          <w:b/>
          <w:i/>
        </w:rPr>
      </w:pPr>
      <w:r>
        <w:rPr>
          <w:b/>
          <w:i/>
        </w:rPr>
        <w:t>Proposal 2: The starting PRB index and the number of contiguous PRBs of the specific common frequency resource are configured within the initial DL BWP via RRC signaling.</w:t>
      </w:r>
    </w:p>
    <w:p w14:paraId="5068E420" w14:textId="26A629A5" w:rsidR="00A33943" w:rsidRDefault="00A33943" w:rsidP="00A33943">
      <w:pPr>
        <w:pStyle w:val="BodyText"/>
        <w:rPr>
          <w:b/>
          <w:i/>
        </w:rPr>
      </w:pPr>
      <w:r>
        <w:rPr>
          <w:b/>
          <w:i/>
        </w:rPr>
        <w:t>Proposal 3: Only one common frequency resource is configured within the initial DL BWP for</w:t>
      </w:r>
      <w:r w:rsidRPr="006B3D7B">
        <w:t xml:space="preserve"> </w:t>
      </w:r>
      <w:r w:rsidRPr="006B3D7B">
        <w:rPr>
          <w:b/>
          <w:i/>
        </w:rPr>
        <w:t>RRC_IDLE/RRC_INACTIVE UEs</w:t>
      </w:r>
      <w:r>
        <w:rPr>
          <w:b/>
          <w:i/>
        </w:rPr>
        <w:t>.</w:t>
      </w:r>
    </w:p>
    <w:p w14:paraId="25A3B63F" w14:textId="77777777" w:rsidR="00BB1E1A" w:rsidRPr="0076660C" w:rsidRDefault="00BB1E1A" w:rsidP="00BB1E1A">
      <w:pPr>
        <w:pStyle w:val="BodyText"/>
        <w:rPr>
          <w:b/>
          <w:i/>
          <w:lang w:val="en-US"/>
        </w:rPr>
      </w:pPr>
      <w:r>
        <w:rPr>
          <w:b/>
          <w:i/>
        </w:rPr>
        <w:t xml:space="preserve">Proposal </w:t>
      </w:r>
      <w:r>
        <w:rPr>
          <w:b/>
          <w:i/>
          <w:lang w:val="en-US"/>
        </w:rPr>
        <w:t>4</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both Case A and Case C are supported.</w:t>
      </w:r>
    </w:p>
    <w:p w14:paraId="149356BF" w14:textId="77777777" w:rsidR="00BB1E1A" w:rsidRPr="0076660C" w:rsidRDefault="00BB1E1A" w:rsidP="00BB1E1A">
      <w:pPr>
        <w:pStyle w:val="BodyText"/>
        <w:rPr>
          <w:b/>
          <w:i/>
          <w:lang w:val="en-US"/>
        </w:rPr>
      </w:pPr>
      <w:r>
        <w:rPr>
          <w:b/>
          <w:i/>
        </w:rPr>
        <w:t xml:space="preserve">Proposal </w:t>
      </w:r>
      <w:r>
        <w:rPr>
          <w:b/>
          <w:i/>
          <w:lang w:val="en-US"/>
        </w:rPr>
        <w:t>5</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none of Case B, Case D and Case E is supported.</w:t>
      </w:r>
    </w:p>
    <w:p w14:paraId="7280E4EE" w14:textId="34A5D328" w:rsidR="00A33943" w:rsidRDefault="00A33943" w:rsidP="00A33943">
      <w:pPr>
        <w:pStyle w:val="BodyText"/>
        <w:rPr>
          <w:b/>
          <w:i/>
        </w:rPr>
      </w:pPr>
      <w:r>
        <w:rPr>
          <w:b/>
          <w:i/>
        </w:rPr>
        <w:t xml:space="preserve">Proposal </w:t>
      </w:r>
      <w:r w:rsidR="00BB1E1A">
        <w:rPr>
          <w:b/>
          <w:i/>
          <w:lang w:val="en-US"/>
        </w:rPr>
        <w:t>6</w:t>
      </w:r>
      <w:r>
        <w:rPr>
          <w:b/>
          <w:i/>
        </w:rPr>
        <w:t xml:space="preserve">: RB numbering for group-common PDSCH scheduling is with reference to the lowest RB of the initial DL BWP </w:t>
      </w:r>
      <w:r w:rsidRPr="00496D2B">
        <w:rPr>
          <w:b/>
          <w:i/>
        </w:rPr>
        <w:t>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55DB7A2B" w14:textId="69489BDC" w:rsidR="00A33943" w:rsidRPr="00280006" w:rsidRDefault="00A33943" w:rsidP="00A33943">
      <w:pPr>
        <w:pStyle w:val="BodyText"/>
        <w:rPr>
          <w:b/>
          <w:i/>
        </w:rPr>
      </w:pPr>
      <w:r>
        <w:rPr>
          <w:b/>
          <w:i/>
        </w:rPr>
        <w:t xml:space="preserve">Proposal </w:t>
      </w:r>
      <w:r w:rsidR="00BB1E1A">
        <w:rPr>
          <w:b/>
          <w:i/>
          <w:lang w:val="en-US"/>
        </w:rPr>
        <w:t>7</w:t>
      </w:r>
      <w:r>
        <w:rPr>
          <w:b/>
          <w:i/>
        </w:rPr>
        <w:t>: The number of bits for frequency domain resource assignment indicator in the group-common DCI is determined based on the bandwidth of the initial DL BWP</w:t>
      </w:r>
      <w:r w:rsidRPr="00496D2B">
        <w:rPr>
          <w:b/>
          <w:i/>
        </w:rPr>
        <w:t xml:space="preserve"> 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0C902A70" w14:textId="33C98D8B" w:rsidR="00A33943" w:rsidRDefault="00A33943" w:rsidP="00A33943">
      <w:pPr>
        <w:pStyle w:val="BodyText"/>
        <w:rPr>
          <w:b/>
          <w:i/>
        </w:rPr>
      </w:pPr>
      <w:r w:rsidRPr="009C7176">
        <w:rPr>
          <w:b/>
          <w:i/>
        </w:rPr>
        <w:t xml:space="preserve">Proposal </w:t>
      </w:r>
      <w:r w:rsidR="00BB1E1A">
        <w:rPr>
          <w:b/>
          <w:i/>
          <w:lang w:val="en-US"/>
        </w:rPr>
        <w:t>8</w:t>
      </w:r>
      <w:r w:rsidRPr="009C7176">
        <w:rPr>
          <w:b/>
          <w:i/>
        </w:rPr>
        <w:t xml:space="preserve">: </w:t>
      </w:r>
      <w:r>
        <w:rPr>
          <w:b/>
          <w:i/>
        </w:rPr>
        <w:t xml:space="preserve">A CSS is configured for </w:t>
      </w:r>
      <w:r w:rsidR="00FB3F4C">
        <w:rPr>
          <w:b/>
          <w:i/>
          <w:lang w:val="de-DE"/>
        </w:rPr>
        <w:t xml:space="preserve">RRC </w:t>
      </w:r>
      <w:r w:rsidRPr="00A33943">
        <w:rPr>
          <w:b/>
          <w:i/>
        </w:rPr>
        <w:t>IDLE/RRC INACTIVE UEs</w:t>
      </w:r>
      <w:r>
        <w:rPr>
          <w:b/>
          <w:i/>
        </w:rPr>
        <w:t xml:space="preserve"> by reusing existing CSS type</w:t>
      </w:r>
      <w:r w:rsidRPr="009C7176">
        <w:rPr>
          <w:b/>
          <w:i/>
        </w:rPr>
        <w:t xml:space="preserve">. </w:t>
      </w:r>
    </w:p>
    <w:p w14:paraId="13A8CE65" w14:textId="466DF262" w:rsidR="000C654B" w:rsidRDefault="000C654B" w:rsidP="000C654B">
      <w:pPr>
        <w:pStyle w:val="BodyText"/>
        <w:rPr>
          <w:rFonts w:ascii="Arial" w:hAnsi="Arial" w:cs="Arial"/>
        </w:rPr>
      </w:pPr>
    </w:p>
    <w:p w14:paraId="02F872C5" w14:textId="67F0E203" w:rsidR="00213FD8" w:rsidRDefault="00213FD8" w:rsidP="000C654B">
      <w:pPr>
        <w:pStyle w:val="BodyText"/>
        <w:rPr>
          <w:rFonts w:ascii="Arial" w:hAnsi="Arial" w:cs="Arial"/>
        </w:rPr>
      </w:pPr>
    </w:p>
    <w:p w14:paraId="1F1B7AF0" w14:textId="77777777" w:rsidR="00213FD8" w:rsidRPr="007C4D79" w:rsidRDefault="00213FD8"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460690C8" w:rsidR="000C654B" w:rsidRDefault="000C654B" w:rsidP="000C654B">
      <w:pPr>
        <w:pStyle w:val="References"/>
      </w:pPr>
      <w:r>
        <w:t>Chairman’s notes on RAN1#10</w:t>
      </w:r>
      <w:r w:rsidR="00A33943">
        <w:t>3</w:t>
      </w:r>
      <w:r>
        <w:t>-e meeting</w:t>
      </w:r>
    </w:p>
    <w:p w14:paraId="507F8298" w14:textId="77777777" w:rsidR="00516509" w:rsidRPr="002E0F97" w:rsidRDefault="00516509" w:rsidP="00516509">
      <w:pPr>
        <w:pStyle w:val="References"/>
      </w:pPr>
      <w:bookmarkStart w:id="3" w:name="_Ref473620807"/>
      <w:bookmarkStart w:id="4" w:name="_Ref16191158"/>
      <w:r w:rsidRPr="002E0F97">
        <w:t>RP-</w:t>
      </w:r>
      <w:bookmarkEnd w:id="3"/>
      <w:bookmarkEnd w:id="4"/>
      <w:r w:rsidRPr="002E0F97">
        <w:t>201038, ‘New Work Item on NR support of Multicast and Broadcast Services’, Huawei</w:t>
      </w:r>
    </w:p>
    <w:p w14:paraId="4506EB16" w14:textId="3F9D3E80" w:rsidR="00A02B2A" w:rsidRPr="00D64056" w:rsidRDefault="00A02B2A" w:rsidP="00A02B2A">
      <w:pPr>
        <w:pStyle w:val="References"/>
      </w:pPr>
      <w:r w:rsidRPr="00D64056">
        <w:rPr>
          <w:rFonts w:eastAsia="Times New Roman"/>
          <w:color w:val="333333"/>
          <w:sz w:val="18"/>
          <w:szCs w:val="18"/>
        </w:rPr>
        <w:t>R1-210</w:t>
      </w:r>
      <w:r w:rsidR="00D64056" w:rsidRPr="00D64056">
        <w:rPr>
          <w:rFonts w:eastAsia="Times New Roman"/>
          <w:color w:val="333333"/>
          <w:sz w:val="18"/>
          <w:szCs w:val="18"/>
        </w:rPr>
        <w:t>4865</w:t>
      </w:r>
      <w:r w:rsidRPr="00D64056">
        <w:t>, “On group scheduling for RRC-CONNECTED UEs”, Lenovo, Motorola Mobility</w:t>
      </w:r>
    </w:p>
    <w:p w14:paraId="569DE6CD" w14:textId="420687CB" w:rsidR="000C654B" w:rsidRPr="00D64056" w:rsidRDefault="002E0F97" w:rsidP="000C654B">
      <w:pPr>
        <w:pStyle w:val="References"/>
      </w:pPr>
      <w:r w:rsidRPr="00D64056">
        <w:rPr>
          <w:rFonts w:eastAsia="Times New Roman"/>
          <w:color w:val="333333"/>
          <w:sz w:val="18"/>
          <w:szCs w:val="18"/>
        </w:rPr>
        <w:t>R1-210</w:t>
      </w:r>
      <w:r w:rsidR="00D64056" w:rsidRPr="00D64056">
        <w:rPr>
          <w:rFonts w:eastAsia="Times New Roman"/>
          <w:color w:val="333333"/>
          <w:sz w:val="18"/>
          <w:szCs w:val="18"/>
        </w:rPr>
        <w:t>4866</w:t>
      </w:r>
      <w:r w:rsidR="000C654B" w:rsidRPr="00D64056">
        <w:t>, “</w:t>
      </w:r>
      <w:r w:rsidR="00A02B2A" w:rsidRPr="00D64056">
        <w:t>O</w:t>
      </w:r>
      <w:r w:rsidR="007B27C4" w:rsidRPr="00D64056">
        <w:t>n reliability improvement</w:t>
      </w:r>
      <w:r w:rsidR="000C654B" w:rsidRPr="00D64056">
        <w:t xml:space="preserve"> for RRC-CONNECTED UEs”, Lenovo, Motorola Mobility</w:t>
      </w:r>
    </w:p>
    <w:p w14:paraId="72402613" w14:textId="57B9573C" w:rsidR="00A02B2A" w:rsidRPr="00A02B2A" w:rsidRDefault="00003FA4" w:rsidP="00A02B2A">
      <w:pPr>
        <w:pStyle w:val="References"/>
        <w:rPr>
          <w:rFonts w:eastAsia="Times New Roman"/>
          <w:color w:val="333333"/>
          <w:sz w:val="18"/>
          <w:szCs w:val="18"/>
        </w:rPr>
      </w:pPr>
      <w:hyperlink r:id="rId7" w:history="1">
        <w:r w:rsidR="00A02B2A" w:rsidRPr="00A02B2A">
          <w:rPr>
            <w:rFonts w:eastAsia="Times New Roman"/>
            <w:color w:val="333333"/>
            <w:sz w:val="18"/>
            <w:szCs w:val="18"/>
          </w:rPr>
          <w:t>R1-2102180</w:t>
        </w:r>
      </w:hyperlink>
      <w:r w:rsidR="00A02B2A">
        <w:rPr>
          <w:rFonts w:eastAsia="Times New Roman"/>
          <w:color w:val="333333"/>
          <w:sz w:val="18"/>
          <w:szCs w:val="18"/>
        </w:rPr>
        <w:t>,</w:t>
      </w:r>
      <w:r w:rsidR="00A02B2A" w:rsidRPr="00A02B2A">
        <w:rPr>
          <w:rFonts w:eastAsia="Times New Roman"/>
          <w:color w:val="333333"/>
          <w:sz w:val="18"/>
          <w:szCs w:val="18"/>
        </w:rPr>
        <w:tab/>
      </w:r>
      <w:r w:rsidR="00A02B2A">
        <w:rPr>
          <w:rFonts w:eastAsia="Times New Roman"/>
          <w:color w:val="333333"/>
          <w:sz w:val="18"/>
          <w:szCs w:val="18"/>
        </w:rPr>
        <w:t>“</w:t>
      </w:r>
      <w:r w:rsidR="00A02B2A" w:rsidRPr="00A02B2A">
        <w:rPr>
          <w:rFonts w:eastAsia="Times New Roman"/>
          <w:color w:val="333333"/>
          <w:sz w:val="18"/>
          <w:szCs w:val="18"/>
        </w:rPr>
        <w:t>Feature lead summary # 6 on RAN basic functions for broadcast/multicast for UEs in RRC_IDLE/ RRC_INACTIVE states</w:t>
      </w:r>
      <w:r w:rsidR="00A02B2A">
        <w:rPr>
          <w:rFonts w:eastAsia="Times New Roman"/>
          <w:color w:val="333333"/>
          <w:sz w:val="18"/>
          <w:szCs w:val="18"/>
        </w:rPr>
        <w:t xml:space="preserve">”, </w:t>
      </w:r>
      <w:r w:rsidR="00A02B2A" w:rsidRPr="00A02B2A">
        <w:rPr>
          <w:rFonts w:eastAsia="Times New Roman"/>
          <w:color w:val="333333"/>
          <w:sz w:val="18"/>
          <w:szCs w:val="18"/>
        </w:rPr>
        <w:t>Moderator (BBC)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89320" w14:textId="77777777" w:rsidR="00003FA4" w:rsidRDefault="00003FA4" w:rsidP="000D45AD">
      <w:pPr>
        <w:spacing w:after="0" w:line="240" w:lineRule="auto"/>
      </w:pPr>
      <w:r>
        <w:separator/>
      </w:r>
    </w:p>
  </w:endnote>
  <w:endnote w:type="continuationSeparator" w:id="0">
    <w:p w14:paraId="5BE3F8C3" w14:textId="77777777" w:rsidR="00003FA4" w:rsidRDefault="00003FA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1E70E" w14:textId="77777777" w:rsidR="00003FA4" w:rsidRDefault="00003FA4" w:rsidP="000D45AD">
      <w:pPr>
        <w:spacing w:after="0" w:line="240" w:lineRule="auto"/>
      </w:pPr>
      <w:r>
        <w:separator/>
      </w:r>
    </w:p>
  </w:footnote>
  <w:footnote w:type="continuationSeparator" w:id="0">
    <w:p w14:paraId="143A4CDE" w14:textId="77777777" w:rsidR="00003FA4" w:rsidRDefault="00003FA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31"/>
  </w:num>
  <w:num w:numId="4">
    <w:abstractNumId w:val="7"/>
  </w:num>
  <w:num w:numId="5">
    <w:abstractNumId w:val="30"/>
  </w:num>
  <w:num w:numId="6">
    <w:abstractNumId w:val="26"/>
  </w:num>
  <w:num w:numId="7">
    <w:abstractNumId w:val="19"/>
  </w:num>
  <w:num w:numId="8">
    <w:abstractNumId w:val="18"/>
  </w:num>
  <w:num w:numId="9">
    <w:abstractNumId w:val="20"/>
  </w:num>
  <w:num w:numId="10">
    <w:abstractNumId w:val="11"/>
  </w:num>
  <w:num w:numId="11">
    <w:abstractNumId w:val="4"/>
  </w:num>
  <w:num w:numId="12">
    <w:abstractNumId w:val="2"/>
  </w:num>
  <w:num w:numId="13">
    <w:abstractNumId w:val="33"/>
  </w:num>
  <w:num w:numId="14">
    <w:abstractNumId w:val="3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5"/>
  </w:num>
  <w:num w:numId="17">
    <w:abstractNumId w:val="28"/>
  </w:num>
  <w:num w:numId="18">
    <w:abstractNumId w:val="32"/>
  </w:num>
  <w:num w:numId="19">
    <w:abstractNumId w:val="14"/>
  </w:num>
  <w:num w:numId="20">
    <w:abstractNumId w:val="1"/>
  </w:num>
  <w:num w:numId="21">
    <w:abstractNumId w:val="16"/>
  </w:num>
  <w:num w:numId="22">
    <w:abstractNumId w:val="21"/>
  </w:num>
  <w:num w:numId="23">
    <w:abstractNumId w:val="15"/>
  </w:num>
  <w:num w:numId="24">
    <w:abstractNumId w:val="9"/>
  </w:num>
  <w:num w:numId="25">
    <w:abstractNumId w:val="23"/>
  </w:num>
  <w:num w:numId="26">
    <w:abstractNumId w:val="35"/>
  </w:num>
  <w:num w:numId="27">
    <w:abstractNumId w:val="22"/>
  </w:num>
  <w:num w:numId="28">
    <w:abstractNumId w:val="17"/>
  </w:num>
  <w:num w:numId="29">
    <w:abstractNumId w:val="12"/>
  </w:num>
  <w:num w:numId="30">
    <w:abstractNumId w:val="5"/>
  </w:num>
  <w:num w:numId="31">
    <w:abstractNumId w:val="3"/>
  </w:num>
  <w:num w:numId="32">
    <w:abstractNumId w:val="27"/>
  </w:num>
  <w:num w:numId="33">
    <w:abstractNumId w:val="6"/>
  </w:num>
  <w:num w:numId="34">
    <w:abstractNumId w:val="8"/>
  </w:num>
  <w:num w:numId="35">
    <w:abstractNumId w:val="29"/>
  </w:num>
  <w:num w:numId="36">
    <w:abstractNumId w:val="24"/>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21643"/>
    <w:rsid w:val="00023422"/>
    <w:rsid w:val="0006166C"/>
    <w:rsid w:val="00070BC6"/>
    <w:rsid w:val="0008638F"/>
    <w:rsid w:val="000A024E"/>
    <w:rsid w:val="000A41C4"/>
    <w:rsid w:val="000C654B"/>
    <w:rsid w:val="000D45AD"/>
    <w:rsid w:val="001007C3"/>
    <w:rsid w:val="00151080"/>
    <w:rsid w:val="001918F4"/>
    <w:rsid w:val="001C044A"/>
    <w:rsid w:val="00210A17"/>
    <w:rsid w:val="00213FD8"/>
    <w:rsid w:val="002233A6"/>
    <w:rsid w:val="00247005"/>
    <w:rsid w:val="00250271"/>
    <w:rsid w:val="00261BA8"/>
    <w:rsid w:val="002661A9"/>
    <w:rsid w:val="00267F53"/>
    <w:rsid w:val="00274132"/>
    <w:rsid w:val="0028058C"/>
    <w:rsid w:val="002869F6"/>
    <w:rsid w:val="002E0F97"/>
    <w:rsid w:val="002F74B4"/>
    <w:rsid w:val="00301291"/>
    <w:rsid w:val="0030192F"/>
    <w:rsid w:val="00301EDA"/>
    <w:rsid w:val="0032538A"/>
    <w:rsid w:val="003506CC"/>
    <w:rsid w:val="0036220F"/>
    <w:rsid w:val="003648B7"/>
    <w:rsid w:val="0037578B"/>
    <w:rsid w:val="00387B56"/>
    <w:rsid w:val="00392167"/>
    <w:rsid w:val="003B34E2"/>
    <w:rsid w:val="003C3815"/>
    <w:rsid w:val="003C4961"/>
    <w:rsid w:val="004618EE"/>
    <w:rsid w:val="00464095"/>
    <w:rsid w:val="00496D2B"/>
    <w:rsid w:val="004A1B37"/>
    <w:rsid w:val="004B682D"/>
    <w:rsid w:val="004B776B"/>
    <w:rsid w:val="004C0B6B"/>
    <w:rsid w:val="004C6134"/>
    <w:rsid w:val="00516509"/>
    <w:rsid w:val="00524E79"/>
    <w:rsid w:val="00533D25"/>
    <w:rsid w:val="00537638"/>
    <w:rsid w:val="00555360"/>
    <w:rsid w:val="005779FF"/>
    <w:rsid w:val="00592CA0"/>
    <w:rsid w:val="00593E99"/>
    <w:rsid w:val="005A0804"/>
    <w:rsid w:val="00602684"/>
    <w:rsid w:val="0063069E"/>
    <w:rsid w:val="00633B3D"/>
    <w:rsid w:val="00637F1A"/>
    <w:rsid w:val="006450B5"/>
    <w:rsid w:val="00676AE5"/>
    <w:rsid w:val="0069062D"/>
    <w:rsid w:val="00697C42"/>
    <w:rsid w:val="006A5D17"/>
    <w:rsid w:val="006B3D7B"/>
    <w:rsid w:val="006B7CB1"/>
    <w:rsid w:val="006E3176"/>
    <w:rsid w:val="006E7F55"/>
    <w:rsid w:val="006F6EF3"/>
    <w:rsid w:val="0071362E"/>
    <w:rsid w:val="00715E66"/>
    <w:rsid w:val="007175D8"/>
    <w:rsid w:val="00731FFD"/>
    <w:rsid w:val="007528E9"/>
    <w:rsid w:val="00755BFB"/>
    <w:rsid w:val="00755C3F"/>
    <w:rsid w:val="0076250E"/>
    <w:rsid w:val="0076660C"/>
    <w:rsid w:val="007771DA"/>
    <w:rsid w:val="007806C3"/>
    <w:rsid w:val="00781A0B"/>
    <w:rsid w:val="007A763D"/>
    <w:rsid w:val="007B27C4"/>
    <w:rsid w:val="007C615C"/>
    <w:rsid w:val="007D07DE"/>
    <w:rsid w:val="007F5598"/>
    <w:rsid w:val="00811C71"/>
    <w:rsid w:val="0084140E"/>
    <w:rsid w:val="0084758D"/>
    <w:rsid w:val="008551A1"/>
    <w:rsid w:val="00874CE2"/>
    <w:rsid w:val="008775E5"/>
    <w:rsid w:val="0089630A"/>
    <w:rsid w:val="0089679E"/>
    <w:rsid w:val="008A5A57"/>
    <w:rsid w:val="008C1DE0"/>
    <w:rsid w:val="008D3C07"/>
    <w:rsid w:val="009034A1"/>
    <w:rsid w:val="009125B1"/>
    <w:rsid w:val="00920BB2"/>
    <w:rsid w:val="009462BB"/>
    <w:rsid w:val="0094687B"/>
    <w:rsid w:val="00962451"/>
    <w:rsid w:val="00967EF3"/>
    <w:rsid w:val="00976B75"/>
    <w:rsid w:val="0098202C"/>
    <w:rsid w:val="00982761"/>
    <w:rsid w:val="009A2BB4"/>
    <w:rsid w:val="009A7965"/>
    <w:rsid w:val="009C37B0"/>
    <w:rsid w:val="009C7176"/>
    <w:rsid w:val="009C7187"/>
    <w:rsid w:val="009F4BC0"/>
    <w:rsid w:val="00A02B2A"/>
    <w:rsid w:val="00A13B7A"/>
    <w:rsid w:val="00A22F2F"/>
    <w:rsid w:val="00A33943"/>
    <w:rsid w:val="00A40295"/>
    <w:rsid w:val="00A667FC"/>
    <w:rsid w:val="00A77BCE"/>
    <w:rsid w:val="00A93F81"/>
    <w:rsid w:val="00AC4B97"/>
    <w:rsid w:val="00B45092"/>
    <w:rsid w:val="00B75AF8"/>
    <w:rsid w:val="00B917CD"/>
    <w:rsid w:val="00BA0676"/>
    <w:rsid w:val="00BB1E1A"/>
    <w:rsid w:val="00BF1746"/>
    <w:rsid w:val="00C2217F"/>
    <w:rsid w:val="00C439FA"/>
    <w:rsid w:val="00CC6540"/>
    <w:rsid w:val="00D13080"/>
    <w:rsid w:val="00D2258E"/>
    <w:rsid w:val="00D27935"/>
    <w:rsid w:val="00D64056"/>
    <w:rsid w:val="00D67877"/>
    <w:rsid w:val="00D7293C"/>
    <w:rsid w:val="00D85EED"/>
    <w:rsid w:val="00DC7141"/>
    <w:rsid w:val="00DC7ADF"/>
    <w:rsid w:val="00E0083C"/>
    <w:rsid w:val="00E45721"/>
    <w:rsid w:val="00EB6F9E"/>
    <w:rsid w:val="00EC3DE9"/>
    <w:rsid w:val="00ED158D"/>
    <w:rsid w:val="00F2315D"/>
    <w:rsid w:val="00F279E4"/>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4-e\tdocs\R1-210218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2029</Words>
  <Characters>11568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2021-05-11T07:09:00Z</dcterms:created>
  <dcterms:modified xsi:type="dcterms:W3CDTF">2021-05-11T07:09:00Z</dcterms:modified>
</cp:coreProperties>
</file>