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1E50FBA5"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10</w:t>
      </w:r>
      <w:r w:rsidR="00322219">
        <w:rPr>
          <w:rFonts w:ascii="Times New Roman" w:eastAsiaTheme="minorHAnsi" w:hAnsi="Times New Roman"/>
          <w:b/>
          <w:bCs/>
          <w:sz w:val="24"/>
          <w:szCs w:val="28"/>
          <w:lang w:val="en-US"/>
        </w:rPr>
        <w:t>5</w:t>
      </w:r>
      <w:r>
        <w:rPr>
          <w:rFonts w:ascii="Times New Roman" w:eastAsiaTheme="minorHAnsi" w:hAnsi="Times New Roman"/>
          <w:b/>
          <w:bCs/>
          <w:sz w:val="24"/>
          <w:szCs w:val="28"/>
          <w:lang w:val="en-US"/>
        </w:rPr>
        <w:t>-e</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CA67B2">
        <w:rPr>
          <w:rFonts w:ascii="Times New Roman" w:eastAsiaTheme="minorHAnsi" w:hAnsi="Times New Roman" w:cstheme="minorBidi"/>
          <w:b/>
          <w:bCs/>
          <w:sz w:val="24"/>
          <w:szCs w:val="28"/>
          <w:lang w:val="en-US"/>
        </w:rPr>
        <w:t xml:space="preserve">  </w:t>
      </w:r>
      <w:r w:rsidR="00E72F35">
        <w:rPr>
          <w:rFonts w:ascii="Times New Roman" w:eastAsiaTheme="minorHAnsi" w:hAnsi="Times New Roman" w:cstheme="minorBidi"/>
          <w:b/>
          <w:bCs/>
          <w:sz w:val="24"/>
          <w:szCs w:val="28"/>
          <w:lang w:val="en-US"/>
        </w:rPr>
        <w:t xml:space="preserve"> </w:t>
      </w:r>
      <w:r w:rsidR="001B4442" w:rsidRPr="001B4442">
        <w:rPr>
          <w:rFonts w:ascii="Times New Roman" w:eastAsiaTheme="minorHAnsi" w:hAnsi="Times New Roman" w:cstheme="minorBidi"/>
          <w:b/>
          <w:bCs/>
          <w:sz w:val="24"/>
          <w:szCs w:val="28"/>
          <w:lang w:val="en-US"/>
        </w:rPr>
        <w:t>R1-</w:t>
      </w:r>
      <w:r w:rsidR="00E72F35" w:rsidRPr="00E72F35">
        <w:rPr>
          <w:rFonts w:ascii="Times New Roman" w:eastAsiaTheme="minorHAnsi" w:hAnsi="Times New Roman" w:cstheme="minorBidi"/>
          <w:b/>
          <w:bCs/>
          <w:sz w:val="24"/>
          <w:szCs w:val="28"/>
          <w:lang w:val="en-US"/>
        </w:rPr>
        <w:t>2104862</w:t>
      </w:r>
    </w:p>
    <w:p w14:paraId="421A1909" w14:textId="6D6C6618" w:rsidR="003346F0" w:rsidRDefault="00322219"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9D2E3B">
        <w:rPr>
          <w:rFonts w:ascii="Times New Roman" w:eastAsiaTheme="minorHAnsi" w:hAnsi="Times New Roman"/>
          <w:b/>
          <w:bCs/>
          <w:sz w:val="24"/>
          <w:szCs w:val="28"/>
          <w:lang w:val="en-US"/>
        </w:rPr>
        <w:t>e-Meeting, May 1</w:t>
      </w:r>
      <w:r w:rsidR="00D16847">
        <w:rPr>
          <w:rFonts w:ascii="Times New Roman" w:eastAsiaTheme="minorHAnsi" w:hAnsi="Times New Roman"/>
          <w:b/>
          <w:bCs/>
          <w:sz w:val="24"/>
          <w:szCs w:val="28"/>
          <w:lang w:val="en-US"/>
        </w:rPr>
        <w:t>0</w:t>
      </w:r>
      <w:r w:rsidRPr="009D2E3B">
        <w:rPr>
          <w:rFonts w:ascii="Times New Roman" w:eastAsiaTheme="minorHAnsi" w:hAnsi="Times New Roman"/>
          <w:b/>
          <w:bCs/>
          <w:sz w:val="24"/>
          <w:szCs w:val="28"/>
          <w:lang w:val="en-US"/>
        </w:rPr>
        <w:t>th – May 27th, 2021</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39D10D5F" w:rsidR="003346F0" w:rsidRPr="00295DC8"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295DC8">
        <w:rPr>
          <w:rFonts w:ascii="Times New Roman" w:hAnsi="Times New Roman"/>
          <w:b/>
          <w:bCs/>
          <w:sz w:val="22"/>
          <w:szCs w:val="22"/>
          <w:lang w:val="en-US"/>
        </w:rPr>
        <w:t>Agenda Item:</w:t>
      </w:r>
      <w:r w:rsidRPr="00295DC8">
        <w:rPr>
          <w:rFonts w:ascii="Times New Roman" w:hAnsi="Times New Roman"/>
          <w:b/>
          <w:bCs/>
          <w:sz w:val="22"/>
          <w:szCs w:val="22"/>
          <w:lang w:val="en-US"/>
        </w:rPr>
        <w:tab/>
      </w:r>
      <w:r w:rsidR="0074273B" w:rsidRPr="00295DC8">
        <w:rPr>
          <w:rFonts w:ascii="Times New Roman" w:hAnsi="Times New Roman"/>
          <w:b/>
          <w:bCs/>
          <w:sz w:val="22"/>
          <w:szCs w:val="22"/>
          <w:lang w:val="en-US"/>
        </w:rPr>
        <w:t>8.8.2</w:t>
      </w:r>
    </w:p>
    <w:p w14:paraId="5BD454BF" w14:textId="77777777" w:rsidR="003346F0" w:rsidRPr="00295DC8" w:rsidRDefault="003346F0" w:rsidP="00914B0A">
      <w:pPr>
        <w:tabs>
          <w:tab w:val="left" w:pos="1985"/>
        </w:tabs>
        <w:spacing w:after="0" w:line="276" w:lineRule="auto"/>
        <w:contextualSpacing/>
        <w:rPr>
          <w:rFonts w:ascii="Times New Roman" w:hAnsi="Times New Roman" w:cs="Times New Roman"/>
          <w:bCs/>
        </w:rPr>
      </w:pPr>
      <w:r w:rsidRPr="00295DC8">
        <w:rPr>
          <w:rFonts w:ascii="Times New Roman" w:hAnsi="Times New Roman" w:cs="Times New Roman"/>
          <w:b/>
          <w:bCs/>
        </w:rPr>
        <w:t>Source:</w:t>
      </w:r>
      <w:r w:rsidRPr="00295DC8">
        <w:rPr>
          <w:rFonts w:ascii="Times New Roman" w:hAnsi="Times New Roman" w:cs="Times New Roman"/>
          <w:b/>
          <w:bCs/>
        </w:rPr>
        <w:tab/>
        <w:t>InterDigital Inc.</w:t>
      </w:r>
    </w:p>
    <w:p w14:paraId="7BC40CBC" w14:textId="4D009F34"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DB48C7">
        <w:rPr>
          <w:rFonts w:ascii="Times New Roman" w:hAnsi="Times New Roman" w:cs="Times New Roman"/>
          <w:b/>
          <w:bCs/>
        </w:rPr>
        <w:t>Discussions on PUCCH enhancements</w:t>
      </w:r>
    </w:p>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6FDFD0DA" w14:textId="497FF906" w:rsidR="003346F0" w:rsidRDefault="003346F0" w:rsidP="00403690">
      <w:pPr>
        <w:pStyle w:val="Heading1"/>
      </w:pPr>
      <w:bookmarkStart w:id="0" w:name="_Ref513464071"/>
      <w:r w:rsidRPr="00146444">
        <w:t>Introduction</w:t>
      </w:r>
      <w:bookmarkEnd w:id="0"/>
    </w:p>
    <w:p w14:paraId="60B62A42" w14:textId="12F5C6A9" w:rsidR="002C3764" w:rsidRPr="001B74DD" w:rsidRDefault="002C3764" w:rsidP="00E91F64">
      <w:pPr>
        <w:spacing w:after="0"/>
        <w:jc w:val="both"/>
        <w:rPr>
          <w:rFonts w:ascii="Times New Roman" w:hAnsi="Times New Roman" w:cs="Times New Roman"/>
          <w:sz w:val="21"/>
          <w:szCs w:val="21"/>
        </w:rPr>
      </w:pPr>
      <w:r w:rsidRPr="001B74DD">
        <w:rPr>
          <w:rFonts w:ascii="Times New Roman" w:hAnsi="Times New Roman" w:cs="Times New Roman"/>
          <w:sz w:val="21"/>
          <w:szCs w:val="21"/>
        </w:rPr>
        <w:t xml:space="preserve">In </w:t>
      </w:r>
      <w:r w:rsidR="00757E1D" w:rsidRPr="001B74DD">
        <w:rPr>
          <w:rFonts w:ascii="Times New Roman" w:hAnsi="Times New Roman" w:cs="Times New Roman"/>
          <w:sz w:val="21"/>
          <w:szCs w:val="21"/>
        </w:rPr>
        <w:t>RAN</w:t>
      </w:r>
      <w:r w:rsidR="006D29E3">
        <w:rPr>
          <w:rFonts w:ascii="Times New Roman" w:hAnsi="Times New Roman" w:cs="Times New Roman"/>
          <w:sz w:val="21"/>
          <w:szCs w:val="21"/>
        </w:rPr>
        <w:t>1</w:t>
      </w:r>
      <w:r w:rsidR="00757E1D" w:rsidRPr="001B74DD">
        <w:rPr>
          <w:rFonts w:ascii="Times New Roman" w:hAnsi="Times New Roman" w:cs="Times New Roman"/>
          <w:sz w:val="21"/>
          <w:szCs w:val="21"/>
        </w:rPr>
        <w:t>#</w:t>
      </w:r>
      <w:r w:rsidR="006D29E3">
        <w:rPr>
          <w:rFonts w:ascii="Times New Roman" w:hAnsi="Times New Roman" w:cs="Times New Roman"/>
          <w:sz w:val="21"/>
          <w:szCs w:val="21"/>
        </w:rPr>
        <w:t>104e</w:t>
      </w:r>
      <w:r w:rsidRPr="001B74DD">
        <w:rPr>
          <w:rFonts w:ascii="Times New Roman" w:hAnsi="Times New Roman" w:cs="Times New Roman"/>
          <w:sz w:val="21"/>
          <w:szCs w:val="21"/>
        </w:rPr>
        <w:t xml:space="preserve">, </w:t>
      </w:r>
      <w:r w:rsidR="006D29E3">
        <w:rPr>
          <w:rFonts w:ascii="Times New Roman" w:hAnsi="Times New Roman" w:cs="Times New Roman"/>
          <w:sz w:val="21"/>
          <w:szCs w:val="21"/>
        </w:rPr>
        <w:t>the following agreements were made</w:t>
      </w:r>
      <w:r w:rsidR="00845446" w:rsidRPr="001B74DD">
        <w:rPr>
          <w:rFonts w:ascii="Times New Roman" w:hAnsi="Times New Roman" w:cs="Times New Roman"/>
          <w:sz w:val="21"/>
          <w:szCs w:val="21"/>
        </w:rPr>
        <w:t xml:space="preserve"> [1]</w:t>
      </w:r>
      <w:r w:rsidR="00757E1D" w:rsidRPr="001B74DD">
        <w:rPr>
          <w:rFonts w:ascii="Times New Roman" w:hAnsi="Times New Roman" w:cs="Times New Roman"/>
          <w:sz w:val="21"/>
          <w:szCs w:val="21"/>
        </w:rPr>
        <w:t>.</w:t>
      </w:r>
    </w:p>
    <w:p w14:paraId="4813803B" w14:textId="77777777" w:rsidR="00E91F64" w:rsidRDefault="00E91F64" w:rsidP="00E91F64">
      <w:pPr>
        <w:spacing w:after="0"/>
        <w:jc w:val="both"/>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25169F" w14:paraId="730FFF40" w14:textId="77777777" w:rsidTr="00AD7F72">
        <w:trPr>
          <w:trHeight w:val="890"/>
        </w:trPr>
        <w:tc>
          <w:tcPr>
            <w:tcW w:w="9350" w:type="dxa"/>
          </w:tcPr>
          <w:p w14:paraId="22A3FEFC" w14:textId="77777777" w:rsidR="006D29E3" w:rsidRPr="006D29E3" w:rsidRDefault="006D29E3" w:rsidP="006D29E3">
            <w:pPr>
              <w:rPr>
                <w:rFonts w:ascii="Times New Roman" w:hAnsi="Times New Roman"/>
                <w:sz w:val="20"/>
                <w:szCs w:val="20"/>
              </w:rPr>
            </w:pPr>
            <w:r w:rsidRPr="006D29E3">
              <w:rPr>
                <w:sz w:val="20"/>
                <w:szCs w:val="20"/>
                <w:highlight w:val="green"/>
              </w:rPr>
              <w:t>Agreements</w:t>
            </w:r>
            <w:r w:rsidRPr="006D29E3">
              <w:rPr>
                <w:sz w:val="20"/>
                <w:szCs w:val="20"/>
              </w:rPr>
              <w:t>: Down select from the following two options to support dynamic PUCCH repetition factor indication.</w:t>
            </w:r>
          </w:p>
          <w:p w14:paraId="0879C0B3" w14:textId="77777777" w:rsidR="006D29E3" w:rsidRPr="006D29E3" w:rsidRDefault="006D29E3" w:rsidP="006D29E3">
            <w:pPr>
              <w:pStyle w:val="ListParagraph"/>
              <w:numPr>
                <w:ilvl w:val="0"/>
                <w:numId w:val="16"/>
              </w:numPr>
              <w:spacing w:line="280" w:lineRule="atLeast"/>
              <w:rPr>
                <w:rFonts w:ascii="Times New Roman" w:hAnsi="Times New Roman"/>
                <w:sz w:val="20"/>
                <w:szCs w:val="20"/>
              </w:rPr>
            </w:pPr>
            <w:r w:rsidRPr="006D29E3">
              <w:rPr>
                <w:rFonts w:ascii="Times New Roman" w:hAnsi="Times New Roman"/>
                <w:sz w:val="20"/>
                <w:szCs w:val="20"/>
              </w:rPr>
              <w:t>Option 1 (without DCI enhancement): Enhance RRC signaling to allow configuration of PUCCH repetition factor per PUCCH resource. PUCCH repetition factor is implicitly indicated by DCI.</w:t>
            </w:r>
          </w:p>
          <w:p w14:paraId="41E23A84" w14:textId="77777777" w:rsidR="006D29E3" w:rsidRPr="006D29E3" w:rsidRDefault="006D29E3" w:rsidP="006D29E3">
            <w:pPr>
              <w:pStyle w:val="ListParagraph"/>
              <w:numPr>
                <w:ilvl w:val="1"/>
                <w:numId w:val="16"/>
              </w:numPr>
              <w:spacing w:line="280" w:lineRule="atLeast"/>
              <w:rPr>
                <w:rFonts w:ascii="Times New Roman" w:hAnsi="Times New Roman"/>
                <w:color w:val="000000"/>
                <w:sz w:val="20"/>
                <w:szCs w:val="20"/>
              </w:rPr>
            </w:pPr>
            <w:r w:rsidRPr="006D29E3">
              <w:rPr>
                <w:rFonts w:ascii="Times New Roman" w:hAnsi="Times New Roman"/>
                <w:sz w:val="20"/>
                <w:szCs w:val="20"/>
              </w:rPr>
              <w:t xml:space="preserve">FFS details, e.g., via reusing the “PUCCH resource indicator” field (without increase # bits of it), </w:t>
            </w:r>
            <w:r w:rsidRPr="006D29E3">
              <w:rPr>
                <w:rFonts w:ascii="Times New Roman" w:hAnsi="Times New Roman"/>
                <w:color w:val="000000"/>
                <w:sz w:val="20"/>
                <w:szCs w:val="20"/>
              </w:rPr>
              <w:t>starting CCE index</w:t>
            </w:r>
            <w:r w:rsidRPr="006D29E3">
              <w:rPr>
                <w:color w:val="000000"/>
                <w:sz w:val="20"/>
                <w:szCs w:val="20"/>
              </w:rPr>
              <w:t xml:space="preserve"> (when applicable) </w:t>
            </w:r>
            <w:r w:rsidRPr="006D29E3">
              <w:rPr>
                <w:rFonts w:ascii="Times New Roman" w:hAnsi="Times New Roman"/>
                <w:color w:val="000000"/>
                <w:sz w:val="20"/>
                <w:szCs w:val="20"/>
              </w:rPr>
              <w:t>of DCI</w:t>
            </w:r>
            <w:r w:rsidRPr="006D29E3">
              <w:rPr>
                <w:color w:val="000000"/>
                <w:sz w:val="20"/>
                <w:szCs w:val="20"/>
              </w:rPr>
              <w:t>,  by PDCCH aggregation level</w:t>
            </w:r>
            <w:r w:rsidRPr="006D29E3">
              <w:rPr>
                <w:rFonts w:ascii="Times New Roman" w:hAnsi="Times New Roman"/>
                <w:color w:val="000000"/>
                <w:sz w:val="20"/>
                <w:szCs w:val="20"/>
              </w:rPr>
              <w:t>, etc.</w:t>
            </w:r>
          </w:p>
          <w:p w14:paraId="1EEBA93B" w14:textId="77777777" w:rsidR="006D29E3" w:rsidRPr="006D29E3" w:rsidRDefault="006D29E3" w:rsidP="006D29E3">
            <w:pPr>
              <w:pStyle w:val="ListParagraph"/>
              <w:numPr>
                <w:ilvl w:val="1"/>
                <w:numId w:val="16"/>
              </w:numPr>
              <w:spacing w:line="280" w:lineRule="atLeast"/>
              <w:rPr>
                <w:rFonts w:ascii="Times New Roman" w:hAnsi="Times New Roman"/>
                <w:color w:val="000000"/>
                <w:sz w:val="20"/>
                <w:szCs w:val="20"/>
              </w:rPr>
            </w:pPr>
            <w:r w:rsidRPr="006D29E3">
              <w:rPr>
                <w:rFonts w:ascii="Times New Roman" w:hAnsi="Times New Roman"/>
                <w:color w:val="000000"/>
                <w:sz w:val="20"/>
                <w:szCs w:val="20"/>
              </w:rPr>
              <w:t>FFS: RRC signaling enhancement details</w:t>
            </w:r>
          </w:p>
          <w:p w14:paraId="51C7F6A7" w14:textId="77777777" w:rsidR="006D29E3" w:rsidRPr="006D29E3" w:rsidRDefault="006D29E3" w:rsidP="006D29E3">
            <w:pPr>
              <w:pStyle w:val="ListParagraph"/>
              <w:numPr>
                <w:ilvl w:val="0"/>
                <w:numId w:val="16"/>
              </w:numPr>
              <w:spacing w:line="280" w:lineRule="atLeast"/>
              <w:rPr>
                <w:rFonts w:ascii="Times New Roman" w:hAnsi="Times New Roman"/>
                <w:sz w:val="20"/>
                <w:szCs w:val="20"/>
              </w:rPr>
            </w:pPr>
            <w:r w:rsidRPr="006D29E3">
              <w:rPr>
                <w:rFonts w:ascii="Times New Roman" w:hAnsi="Times New Roman"/>
                <w:sz w:val="20"/>
                <w:szCs w:val="20"/>
              </w:rPr>
              <w:t>Option 2 (with DCI enhancement): PUCCH repetition factor is explicitly indicated by DCI</w:t>
            </w:r>
          </w:p>
          <w:p w14:paraId="7F4E43AC" w14:textId="77777777" w:rsidR="006D29E3" w:rsidRPr="006D29E3" w:rsidRDefault="006D29E3" w:rsidP="006D29E3">
            <w:pPr>
              <w:pStyle w:val="ListParagraph"/>
              <w:numPr>
                <w:ilvl w:val="1"/>
                <w:numId w:val="16"/>
              </w:numPr>
              <w:spacing w:line="280" w:lineRule="atLeast"/>
              <w:rPr>
                <w:rFonts w:ascii="Times New Roman" w:hAnsi="Times New Roman"/>
                <w:sz w:val="20"/>
                <w:szCs w:val="20"/>
              </w:rPr>
            </w:pPr>
            <w:r w:rsidRPr="006D29E3">
              <w:rPr>
                <w:rFonts w:ascii="Times New Roman" w:hAnsi="Times New Roman"/>
                <w:sz w:val="20"/>
                <w:szCs w:val="20"/>
              </w:rPr>
              <w:t>e.g., introduce a new field or increase the number of bits of an existing field (e.g., PRI) in DCI for PUCCH repetition factor indication</w:t>
            </w:r>
          </w:p>
          <w:p w14:paraId="74622579" w14:textId="76EB815B" w:rsidR="006D29E3" w:rsidRPr="006D29E3" w:rsidRDefault="006D29E3" w:rsidP="006D29E3">
            <w:pPr>
              <w:pStyle w:val="ListParagraph"/>
              <w:numPr>
                <w:ilvl w:val="1"/>
                <w:numId w:val="16"/>
              </w:numPr>
              <w:spacing w:line="280" w:lineRule="atLeast"/>
              <w:rPr>
                <w:rFonts w:ascii="Times New Roman" w:hAnsi="Times New Roman"/>
                <w:sz w:val="20"/>
                <w:szCs w:val="20"/>
              </w:rPr>
            </w:pPr>
            <w:r w:rsidRPr="006D29E3">
              <w:rPr>
                <w:rFonts w:ascii="Times New Roman" w:hAnsi="Times New Roman"/>
                <w:sz w:val="20"/>
                <w:szCs w:val="20"/>
              </w:rPr>
              <w:t>FFS whether there is a need for RRC update</w:t>
            </w:r>
          </w:p>
          <w:p w14:paraId="74448213" w14:textId="77777777" w:rsidR="006D29E3" w:rsidRPr="006D29E3" w:rsidRDefault="006D29E3" w:rsidP="006D29E3">
            <w:pPr>
              <w:rPr>
                <w:rFonts w:ascii="Calibri" w:hAnsi="Calibri" w:cs="Calibri"/>
                <w:sz w:val="20"/>
                <w:szCs w:val="20"/>
              </w:rPr>
            </w:pPr>
          </w:p>
          <w:p w14:paraId="033EFB22" w14:textId="77777777" w:rsidR="006D29E3" w:rsidRPr="006D29E3" w:rsidRDefault="006D29E3" w:rsidP="006D29E3">
            <w:pPr>
              <w:rPr>
                <w:rFonts w:ascii="Times New Roman" w:hAnsi="Times New Roman"/>
                <w:sz w:val="20"/>
                <w:szCs w:val="20"/>
              </w:rPr>
            </w:pPr>
            <w:r w:rsidRPr="006D29E3">
              <w:rPr>
                <w:sz w:val="20"/>
                <w:szCs w:val="20"/>
                <w:highlight w:val="green"/>
              </w:rPr>
              <w:t>Agreements</w:t>
            </w:r>
            <w:r w:rsidRPr="006D29E3">
              <w:rPr>
                <w:sz w:val="20"/>
                <w:szCs w:val="20"/>
              </w:rPr>
              <w:t xml:space="preserve">: Subject to the prerequisite of DMRS bundling for PUCCH repetitions, enhance inter-slot frequency hopping pattern for PUCCH repetitions with DMRS bundling. </w:t>
            </w:r>
          </w:p>
          <w:p w14:paraId="2234EDF1" w14:textId="77777777" w:rsidR="006D29E3" w:rsidRPr="006D29E3" w:rsidRDefault="006D29E3" w:rsidP="006D29E3">
            <w:pPr>
              <w:pStyle w:val="ListParagraph"/>
              <w:numPr>
                <w:ilvl w:val="0"/>
                <w:numId w:val="17"/>
              </w:numPr>
              <w:spacing w:line="280" w:lineRule="atLeast"/>
              <w:rPr>
                <w:rFonts w:ascii="Times New Roman" w:hAnsi="Times New Roman"/>
                <w:color w:val="000000"/>
                <w:sz w:val="20"/>
                <w:szCs w:val="20"/>
              </w:rPr>
            </w:pPr>
            <w:r w:rsidRPr="006D29E3">
              <w:rPr>
                <w:rFonts w:ascii="Times New Roman" w:hAnsi="Times New Roman"/>
                <w:sz w:val="20"/>
                <w:szCs w:val="20"/>
              </w:rPr>
              <w:t>FFS: details in inter-slot frequency hopping pattern enhancement</w:t>
            </w:r>
            <w:r w:rsidRPr="006D29E3">
              <w:rPr>
                <w:rFonts w:ascii="Times New Roman" w:hAnsi="Times New Roman"/>
                <w:color w:val="000000"/>
                <w:sz w:val="20"/>
                <w:szCs w:val="20"/>
              </w:rPr>
              <w:t>, e.g., additional frequency hopping patterns than Rel-16.</w:t>
            </w:r>
          </w:p>
          <w:p w14:paraId="6398FEEF" w14:textId="77777777" w:rsidR="006D29E3" w:rsidRPr="006D29E3" w:rsidRDefault="006D29E3" w:rsidP="006D29E3">
            <w:pPr>
              <w:pStyle w:val="ListParagraph"/>
              <w:numPr>
                <w:ilvl w:val="0"/>
                <w:numId w:val="17"/>
              </w:numPr>
              <w:spacing w:line="280" w:lineRule="atLeast"/>
              <w:rPr>
                <w:rFonts w:ascii="Times New Roman" w:hAnsi="Times New Roman"/>
                <w:sz w:val="20"/>
                <w:szCs w:val="20"/>
              </w:rPr>
            </w:pPr>
            <w:r w:rsidRPr="006D29E3">
              <w:rPr>
                <w:rFonts w:ascii="Times New Roman" w:hAnsi="Times New Roman"/>
                <w:color w:val="000000"/>
                <w:sz w:val="20"/>
                <w:szCs w:val="20"/>
              </w:rPr>
              <w:t>Strive for common design for PUSCH/PUCCH with DMRS bundling as much</w:t>
            </w:r>
            <w:r w:rsidRPr="006D29E3">
              <w:rPr>
                <w:rFonts w:ascii="Times New Roman" w:hAnsi="Times New Roman"/>
                <w:sz w:val="20"/>
                <w:szCs w:val="20"/>
              </w:rPr>
              <w:t xml:space="preserve"> as possible</w:t>
            </w:r>
          </w:p>
          <w:p w14:paraId="7F78F322" w14:textId="77777777" w:rsidR="006D29E3" w:rsidRPr="006D29E3" w:rsidRDefault="006D29E3" w:rsidP="006D29E3">
            <w:pPr>
              <w:rPr>
                <w:rFonts w:ascii="Calibri" w:hAnsi="Calibri" w:cs="Calibri"/>
                <w:sz w:val="20"/>
                <w:szCs w:val="20"/>
              </w:rPr>
            </w:pPr>
          </w:p>
          <w:p w14:paraId="4D60AAD1" w14:textId="77777777" w:rsidR="006D29E3" w:rsidRPr="006D29E3" w:rsidRDefault="006D29E3" w:rsidP="006D29E3">
            <w:pPr>
              <w:rPr>
                <w:rFonts w:ascii="Calibri" w:hAnsi="Calibri" w:cs="Calibri"/>
                <w:sz w:val="20"/>
                <w:szCs w:val="20"/>
              </w:rPr>
            </w:pPr>
            <w:r w:rsidRPr="006D29E3">
              <w:rPr>
                <w:rFonts w:ascii="Calibri" w:hAnsi="Calibri" w:cs="Calibri"/>
                <w:sz w:val="20"/>
                <w:szCs w:val="20"/>
                <w:highlight w:val="green"/>
              </w:rPr>
              <w:t>Agreements:</w:t>
            </w:r>
          </w:p>
          <w:p w14:paraId="1085F57C" w14:textId="77777777" w:rsidR="006D29E3" w:rsidRPr="006D29E3" w:rsidRDefault="006D29E3" w:rsidP="006D29E3">
            <w:pPr>
              <w:rPr>
                <w:rFonts w:ascii="Times New Roman" w:hAnsi="Times New Roman"/>
                <w:sz w:val="20"/>
                <w:szCs w:val="20"/>
              </w:rPr>
            </w:pPr>
            <w:r w:rsidRPr="006D29E3">
              <w:rPr>
                <w:sz w:val="20"/>
                <w:szCs w:val="20"/>
              </w:rPr>
              <w:t xml:space="preserve">Subject to the prerequisites of DMRS bundling for PUCCH repetitions, support enabling PUCCH repetitions with DMRS bundling via RRC configuration. </w:t>
            </w:r>
          </w:p>
          <w:p w14:paraId="7E275C8D" w14:textId="77777777" w:rsidR="006D29E3" w:rsidRPr="006D29E3" w:rsidRDefault="006D29E3" w:rsidP="006D29E3">
            <w:pPr>
              <w:rPr>
                <w:rFonts w:ascii="Calibri" w:hAnsi="Calibri" w:cs="Calibri"/>
                <w:sz w:val="20"/>
                <w:szCs w:val="20"/>
              </w:rPr>
            </w:pPr>
          </w:p>
          <w:p w14:paraId="47168A81" w14:textId="77777777" w:rsidR="006D29E3" w:rsidRPr="006D29E3" w:rsidRDefault="006D29E3" w:rsidP="006D29E3">
            <w:pPr>
              <w:numPr>
                <w:ilvl w:val="0"/>
                <w:numId w:val="18"/>
              </w:numPr>
              <w:spacing w:line="280" w:lineRule="atLeast"/>
              <w:rPr>
                <w:rFonts w:ascii="Times New Roman" w:eastAsia="Times New Roman" w:hAnsi="Times New Roman"/>
                <w:sz w:val="20"/>
                <w:szCs w:val="20"/>
              </w:rPr>
            </w:pPr>
            <w:r w:rsidRPr="006D29E3">
              <w:rPr>
                <w:rFonts w:ascii="Times New Roman" w:eastAsia="Times New Roman" w:hAnsi="Times New Roman"/>
                <w:sz w:val="20"/>
                <w:szCs w:val="20"/>
              </w:rPr>
              <w:t xml:space="preserve">FFS: the configuration is per UE or per PUCCH resource. </w:t>
            </w:r>
          </w:p>
          <w:p w14:paraId="46CC4550" w14:textId="77777777" w:rsidR="006D29E3" w:rsidRPr="006D29E3" w:rsidRDefault="006D29E3" w:rsidP="006D29E3">
            <w:pPr>
              <w:pStyle w:val="ListParagraph"/>
              <w:numPr>
                <w:ilvl w:val="0"/>
                <w:numId w:val="18"/>
              </w:numPr>
              <w:spacing w:line="280" w:lineRule="atLeast"/>
              <w:rPr>
                <w:rFonts w:ascii="Times New Roman" w:eastAsia="Times New Roman" w:hAnsi="Times New Roman"/>
                <w:sz w:val="20"/>
                <w:szCs w:val="20"/>
              </w:rPr>
            </w:pPr>
            <w:r w:rsidRPr="006D29E3">
              <w:rPr>
                <w:rFonts w:ascii="Times New Roman" w:hAnsi="Times New Roman"/>
                <w:sz w:val="20"/>
                <w:szCs w:val="20"/>
              </w:rPr>
              <w:t>FFS: whether additional dynamic signaling is needed to enable/disable PUCCH repetitions with DMRS bundling</w:t>
            </w:r>
          </w:p>
          <w:p w14:paraId="258BEEB9" w14:textId="77777777" w:rsidR="006D29E3" w:rsidRPr="006D29E3" w:rsidRDefault="006D29E3" w:rsidP="006D29E3">
            <w:pPr>
              <w:numPr>
                <w:ilvl w:val="0"/>
                <w:numId w:val="19"/>
              </w:numPr>
              <w:spacing w:line="280" w:lineRule="atLeast"/>
              <w:rPr>
                <w:rFonts w:ascii="Calibri" w:eastAsia="Times New Roman" w:hAnsi="Calibri" w:cs="Calibri"/>
                <w:sz w:val="20"/>
                <w:szCs w:val="20"/>
              </w:rPr>
            </w:pPr>
            <w:r w:rsidRPr="006D29E3">
              <w:rPr>
                <w:rFonts w:ascii="Times New Roman" w:eastAsia="Times New Roman" w:hAnsi="Times New Roman"/>
                <w:sz w:val="20"/>
                <w:szCs w:val="20"/>
              </w:rPr>
              <w:t>FFS: necessity of additional signaling/configuration of DMRS bundling duration/window and associated size</w:t>
            </w:r>
          </w:p>
          <w:p w14:paraId="5643D04B" w14:textId="77777777" w:rsidR="006D29E3" w:rsidRPr="006D29E3" w:rsidRDefault="006D29E3" w:rsidP="006D29E3">
            <w:pPr>
              <w:rPr>
                <w:sz w:val="20"/>
                <w:szCs w:val="20"/>
                <w:lang w:eastAsia="x-none"/>
              </w:rPr>
            </w:pPr>
          </w:p>
          <w:p w14:paraId="029ABD91" w14:textId="77777777" w:rsidR="006D29E3" w:rsidRPr="006D29E3" w:rsidRDefault="006D29E3" w:rsidP="006D29E3">
            <w:pPr>
              <w:rPr>
                <w:rFonts w:ascii="Times New Roman" w:hAnsi="Times New Roman"/>
                <w:sz w:val="20"/>
                <w:szCs w:val="20"/>
              </w:rPr>
            </w:pPr>
            <w:r w:rsidRPr="006D29E3">
              <w:rPr>
                <w:b/>
                <w:bCs/>
                <w:sz w:val="20"/>
                <w:szCs w:val="20"/>
                <w:u w:val="single"/>
              </w:rPr>
              <w:t>Conclusion</w:t>
            </w:r>
            <w:r w:rsidRPr="006D29E3">
              <w:rPr>
                <w:sz w:val="20"/>
                <w:szCs w:val="20"/>
              </w:rPr>
              <w:t xml:space="preserve">: In Rel-17, deprioritize the study of DMRS pattern/location/granularity optimization for PUCCH coverage enhancement in AI 8.8.2. This conclusion could be revisited after the progress on the study of  DMRS pattern/location/granularity optimization for PUSCH coverage enhancement in AI 8.8.1.3. </w:t>
            </w:r>
          </w:p>
          <w:p w14:paraId="608B1259" w14:textId="77777777" w:rsidR="006D29E3" w:rsidRPr="006D29E3" w:rsidRDefault="006D29E3" w:rsidP="006D29E3">
            <w:pPr>
              <w:rPr>
                <w:sz w:val="20"/>
                <w:szCs w:val="20"/>
                <w:lang w:eastAsia="x-none"/>
              </w:rPr>
            </w:pPr>
          </w:p>
          <w:p w14:paraId="524BC2DA" w14:textId="77777777" w:rsidR="006D29E3" w:rsidRPr="006D29E3" w:rsidRDefault="006D29E3" w:rsidP="006D29E3">
            <w:pPr>
              <w:rPr>
                <w:rFonts w:ascii="Times New Roman" w:hAnsi="Times New Roman"/>
                <w:sz w:val="20"/>
                <w:szCs w:val="20"/>
              </w:rPr>
            </w:pPr>
            <w:r w:rsidRPr="006D29E3">
              <w:rPr>
                <w:rFonts w:ascii="Times New Roman" w:hAnsi="Times New Roman"/>
                <w:b/>
                <w:bCs/>
                <w:color w:val="000000"/>
                <w:sz w:val="20"/>
                <w:szCs w:val="20"/>
                <w:u w:val="single"/>
              </w:rPr>
              <w:t>Conclusion</w:t>
            </w:r>
            <w:r w:rsidRPr="006D29E3">
              <w:rPr>
                <w:rFonts w:ascii="Times New Roman" w:hAnsi="Times New Roman"/>
                <w:color w:val="000000"/>
                <w:sz w:val="20"/>
                <w:szCs w:val="20"/>
              </w:rPr>
              <w:t xml:space="preserve">: For the study of enhancing </w:t>
            </w:r>
            <w:r w:rsidRPr="006D29E3">
              <w:rPr>
                <w:rFonts w:ascii="Times New Roman" w:hAnsi="Times New Roman"/>
                <w:sz w:val="20"/>
                <w:szCs w:val="20"/>
              </w:rPr>
              <w:t>inter-slot frequency hopping pattern for PUCCH repetitions with DMRS bundling, at least the following aspects can be considered:</w:t>
            </w:r>
          </w:p>
          <w:p w14:paraId="3F7F10A5" w14:textId="77777777" w:rsidR="006D29E3" w:rsidRPr="006D29E3" w:rsidRDefault="006D29E3" w:rsidP="006D29E3">
            <w:pPr>
              <w:pStyle w:val="ListParagraph"/>
              <w:numPr>
                <w:ilvl w:val="0"/>
                <w:numId w:val="20"/>
              </w:numPr>
              <w:spacing w:line="280" w:lineRule="atLeast"/>
              <w:jc w:val="both"/>
              <w:rPr>
                <w:rFonts w:ascii="Times New Roman" w:hAnsi="Times New Roman"/>
                <w:color w:val="000000"/>
                <w:sz w:val="20"/>
                <w:szCs w:val="20"/>
              </w:rPr>
            </w:pPr>
            <w:r w:rsidRPr="006D29E3">
              <w:rPr>
                <w:rFonts w:ascii="Times New Roman" w:hAnsi="Times New Roman"/>
                <w:color w:val="000000"/>
                <w:sz w:val="20"/>
                <w:szCs w:val="20"/>
              </w:rPr>
              <w:lastRenderedPageBreak/>
              <w:t>Performance tradeoff between maximizing # consecutive UL slots in one frequency hop (to achieve more DMRS bundling gain) and maximizing # hops (to achieve more diversity gain)</w:t>
            </w:r>
          </w:p>
          <w:p w14:paraId="08AE4F8E" w14:textId="77777777" w:rsidR="006D29E3" w:rsidRPr="006D29E3" w:rsidRDefault="006D29E3" w:rsidP="006D29E3">
            <w:pPr>
              <w:pStyle w:val="ListParagraph"/>
              <w:numPr>
                <w:ilvl w:val="1"/>
                <w:numId w:val="20"/>
              </w:numPr>
              <w:spacing w:line="280" w:lineRule="atLeast"/>
              <w:jc w:val="both"/>
              <w:rPr>
                <w:rFonts w:ascii="Times New Roman" w:hAnsi="Times New Roman"/>
                <w:color w:val="000000"/>
                <w:sz w:val="20"/>
                <w:szCs w:val="20"/>
              </w:rPr>
            </w:pPr>
            <w:r w:rsidRPr="006D29E3">
              <w:rPr>
                <w:rFonts w:ascii="Times New Roman" w:hAnsi="Times New Roman"/>
                <w:color w:val="000000"/>
                <w:sz w:val="20"/>
                <w:szCs w:val="20"/>
              </w:rPr>
              <w:t xml:space="preserve">Note: the </w:t>
            </w:r>
            <w:r w:rsidRPr="006D29E3">
              <w:rPr>
                <w:rFonts w:ascii="Times New Roman" w:hAnsi="Times New Roman"/>
                <w:color w:val="FF0000"/>
                <w:sz w:val="20"/>
                <w:szCs w:val="20"/>
              </w:rPr>
              <w:t>maximum</w:t>
            </w:r>
            <w:r w:rsidRPr="006D29E3">
              <w:rPr>
                <w:rFonts w:ascii="Times New Roman" w:hAnsi="Times New Roman"/>
                <w:color w:val="000000"/>
                <w:sz w:val="20"/>
                <w:szCs w:val="20"/>
              </w:rPr>
              <w:t xml:space="preserve"> # frequency hopping positions is still 2 as in Rel-15/16.</w:t>
            </w:r>
            <w:r w:rsidRPr="006D29E3">
              <w:rPr>
                <w:rFonts w:ascii="Times New Roman" w:hAnsi="Times New Roman"/>
                <w:strike/>
                <w:color w:val="000000"/>
                <w:sz w:val="20"/>
                <w:szCs w:val="20"/>
              </w:rPr>
              <w:t xml:space="preserve">, which is signaled by </w:t>
            </w:r>
            <w:r w:rsidRPr="006D29E3">
              <w:rPr>
                <w:rFonts w:ascii="Times New Roman" w:hAnsi="Times New Roman"/>
                <w:i/>
                <w:iCs/>
                <w:strike/>
                <w:color w:val="000000"/>
                <w:sz w:val="20"/>
                <w:szCs w:val="20"/>
              </w:rPr>
              <w:t>startingPRB</w:t>
            </w:r>
            <w:r w:rsidRPr="006D29E3">
              <w:rPr>
                <w:rFonts w:ascii="Times New Roman" w:hAnsi="Times New Roman"/>
                <w:strike/>
                <w:color w:val="000000"/>
                <w:sz w:val="20"/>
                <w:szCs w:val="20"/>
              </w:rPr>
              <w:t xml:space="preserve"> and </w:t>
            </w:r>
            <w:r w:rsidRPr="006D29E3">
              <w:rPr>
                <w:rFonts w:ascii="Times New Roman" w:hAnsi="Times New Roman"/>
                <w:i/>
                <w:iCs/>
                <w:strike/>
                <w:color w:val="000000"/>
                <w:sz w:val="20"/>
                <w:szCs w:val="20"/>
              </w:rPr>
              <w:t>secondHopPRB</w:t>
            </w:r>
          </w:p>
          <w:p w14:paraId="222EA440" w14:textId="77777777" w:rsidR="006D29E3" w:rsidRPr="006D29E3" w:rsidRDefault="006D29E3" w:rsidP="006D29E3">
            <w:pPr>
              <w:pStyle w:val="ListParagraph"/>
              <w:numPr>
                <w:ilvl w:val="0"/>
                <w:numId w:val="20"/>
              </w:numPr>
              <w:spacing w:line="280" w:lineRule="atLeast"/>
              <w:jc w:val="both"/>
              <w:rPr>
                <w:rFonts w:ascii="Times New Roman" w:hAnsi="Times New Roman"/>
                <w:color w:val="000000"/>
                <w:sz w:val="20"/>
                <w:szCs w:val="20"/>
              </w:rPr>
            </w:pPr>
            <w:r w:rsidRPr="006D29E3">
              <w:rPr>
                <w:rFonts w:ascii="Times New Roman" w:hAnsi="Times New Roman"/>
                <w:color w:val="000000"/>
                <w:sz w:val="20"/>
                <w:szCs w:val="20"/>
              </w:rPr>
              <w:t>Interaction between hopping boundary determination and TDD configuration</w:t>
            </w:r>
          </w:p>
          <w:p w14:paraId="725FDE6C" w14:textId="77777777" w:rsidR="006D29E3" w:rsidRPr="006D29E3" w:rsidRDefault="006D29E3" w:rsidP="006D29E3">
            <w:pPr>
              <w:rPr>
                <w:rFonts w:ascii="Times New Roman" w:hAnsi="Times New Roman"/>
                <w:sz w:val="20"/>
                <w:szCs w:val="20"/>
              </w:rPr>
            </w:pPr>
          </w:p>
          <w:p w14:paraId="62E4D7C2" w14:textId="7B453701" w:rsidR="006D29E3" w:rsidRPr="006D29E3" w:rsidRDefault="006D29E3" w:rsidP="006D29E3">
            <w:pPr>
              <w:rPr>
                <w:rFonts w:ascii="Times New Roman" w:hAnsi="Times New Roman"/>
                <w:sz w:val="20"/>
                <w:szCs w:val="20"/>
              </w:rPr>
            </w:pPr>
            <w:r w:rsidRPr="006D29E3">
              <w:rPr>
                <w:rFonts w:ascii="Times New Roman" w:hAnsi="Times New Roman"/>
                <w:b/>
                <w:bCs/>
                <w:color w:val="000000"/>
                <w:sz w:val="20"/>
                <w:szCs w:val="20"/>
                <w:u w:val="single"/>
              </w:rPr>
              <w:t>Conclusion</w:t>
            </w:r>
            <w:r w:rsidRPr="006D29E3">
              <w:rPr>
                <w:rFonts w:ascii="Times New Roman" w:hAnsi="Times New Roman"/>
                <w:color w:val="000000"/>
                <w:sz w:val="20"/>
                <w:szCs w:val="20"/>
              </w:rPr>
              <w:t xml:space="preserve">: For the simulations to study the enhancement of </w:t>
            </w:r>
            <w:r w:rsidRPr="006D29E3">
              <w:rPr>
                <w:rFonts w:ascii="Times New Roman" w:hAnsi="Times New Roman"/>
                <w:sz w:val="20"/>
                <w:szCs w:val="20"/>
              </w:rPr>
              <w:t xml:space="preserve">inter-slot frequency hopping pattern for PUCCH repetitions with DMRS bundling, simulation assumptions in 38.830 are reused as a starting point. </w:t>
            </w:r>
          </w:p>
          <w:p w14:paraId="4A9C8E68" w14:textId="1E90E3AB" w:rsidR="00132664" w:rsidRPr="00AD7F72" w:rsidRDefault="006D29E3" w:rsidP="006D29E3">
            <w:pPr>
              <w:rPr>
                <w:bCs/>
                <w:sz w:val="16"/>
                <w:szCs w:val="16"/>
              </w:rPr>
            </w:pPr>
            <w:r w:rsidRPr="006D29E3">
              <w:rPr>
                <w:rFonts w:ascii="Times New Roman" w:hAnsi="Times New Roman"/>
                <w:sz w:val="20"/>
                <w:szCs w:val="20"/>
              </w:rPr>
              <w:t>Note: Additional simulation scenarios/assumptions are not precluded.</w:t>
            </w:r>
            <w:r w:rsidRPr="006D29E3">
              <w:rPr>
                <w:rFonts w:ascii="Times New Roman" w:hAnsi="Times New Roman"/>
                <w:sz w:val="20"/>
                <w:szCs w:val="16"/>
              </w:rPr>
              <w:t xml:space="preserve"> </w:t>
            </w:r>
          </w:p>
        </w:tc>
      </w:tr>
    </w:tbl>
    <w:p w14:paraId="38BAAE38" w14:textId="77777777" w:rsidR="00E91F64" w:rsidRDefault="00E91F64" w:rsidP="00E91F64">
      <w:pPr>
        <w:spacing w:after="0"/>
        <w:jc w:val="both"/>
        <w:rPr>
          <w:rFonts w:ascii="Times New Roman" w:hAnsi="Times New Roman" w:cs="Times New Roman"/>
          <w:sz w:val="20"/>
          <w:szCs w:val="20"/>
        </w:rPr>
      </w:pPr>
    </w:p>
    <w:p w14:paraId="08B42BB5" w14:textId="2D53DC32" w:rsidR="00254662" w:rsidRPr="001B74DD" w:rsidRDefault="007F320C" w:rsidP="00E91F64">
      <w:pPr>
        <w:spacing w:after="0"/>
        <w:jc w:val="both"/>
        <w:rPr>
          <w:rFonts w:ascii="Times New Roman" w:hAnsi="Times New Roman" w:cs="Times New Roman"/>
          <w:sz w:val="21"/>
          <w:szCs w:val="21"/>
        </w:rPr>
      </w:pPr>
      <w:r w:rsidRPr="001B74DD">
        <w:rPr>
          <w:rFonts w:ascii="Times New Roman" w:hAnsi="Times New Roman" w:cs="Times New Roman"/>
          <w:sz w:val="21"/>
          <w:szCs w:val="21"/>
        </w:rPr>
        <w:t xml:space="preserve">In this contribution, </w:t>
      </w:r>
      <w:r w:rsidR="00C6599B" w:rsidRPr="001B74DD">
        <w:rPr>
          <w:rFonts w:ascii="Times New Roman" w:hAnsi="Times New Roman" w:cs="Times New Roman"/>
          <w:sz w:val="21"/>
          <w:szCs w:val="21"/>
        </w:rPr>
        <w:t xml:space="preserve">enhancements related to dynamic PUCCH repetition factor indication and </w:t>
      </w:r>
      <w:r w:rsidRPr="001B74DD">
        <w:rPr>
          <w:rFonts w:ascii="Times New Roman" w:hAnsi="Times New Roman" w:cs="Times New Roman"/>
          <w:sz w:val="21"/>
          <w:szCs w:val="21"/>
        </w:rPr>
        <w:t>DMRS bundling across PUCCH repetitions are discussed.</w:t>
      </w:r>
      <w:r w:rsidR="008F39CD">
        <w:rPr>
          <w:rFonts w:ascii="Times New Roman" w:hAnsi="Times New Roman" w:cs="Times New Roman"/>
          <w:sz w:val="21"/>
          <w:szCs w:val="21"/>
        </w:rPr>
        <w:t xml:space="preserve"> Evaluation results are presented to demonstrate performance difference among different frequency hopping patterns.</w:t>
      </w:r>
      <w:r w:rsidR="000E0D4F">
        <w:rPr>
          <w:rFonts w:ascii="Times New Roman" w:hAnsi="Times New Roman" w:cs="Times New Roman"/>
          <w:sz w:val="21"/>
          <w:szCs w:val="21"/>
        </w:rPr>
        <w:t xml:space="preserve"> A signaling mechanism is proposed to support DMRS bundling for PUCCH.</w:t>
      </w:r>
    </w:p>
    <w:p w14:paraId="3D252887" w14:textId="6282D1B1" w:rsidR="0016709B" w:rsidRDefault="0016709B" w:rsidP="00403690">
      <w:pPr>
        <w:pStyle w:val="Heading1"/>
      </w:pPr>
      <w:r>
        <w:t>Dynamic PUCCH repetition factor</w:t>
      </w:r>
      <w:r w:rsidR="003B43D8">
        <w:t xml:space="preserve"> indication</w:t>
      </w:r>
    </w:p>
    <w:p w14:paraId="6DA8FDB1" w14:textId="4DF3AFD5" w:rsidR="00087494" w:rsidRDefault="007F263C" w:rsidP="007D6E09">
      <w:pPr>
        <w:jc w:val="both"/>
        <w:rPr>
          <w:rFonts w:ascii="Times New Roman" w:hAnsi="Times New Roman" w:cs="Times New Roman"/>
          <w:sz w:val="21"/>
          <w:szCs w:val="21"/>
          <w:lang w:val="en-GB" w:eastAsia="zh-CN"/>
        </w:rPr>
      </w:pPr>
      <w:r>
        <w:rPr>
          <w:rFonts w:ascii="Times New Roman" w:hAnsi="Times New Roman" w:cs="Times New Roman"/>
          <w:sz w:val="21"/>
          <w:szCs w:val="21"/>
          <w:lang w:val="en-GB" w:eastAsia="zh-CN"/>
        </w:rPr>
        <w:t xml:space="preserve">In RAN1#104-e, RAN1 agreed to downselect from two options to support dynamic PUCCH repetition. </w:t>
      </w:r>
      <w:r w:rsidR="00E87824">
        <w:rPr>
          <w:rFonts w:ascii="Times New Roman" w:hAnsi="Times New Roman" w:cs="Times New Roman"/>
          <w:sz w:val="21"/>
          <w:szCs w:val="21"/>
          <w:lang w:val="en-GB" w:eastAsia="zh-CN"/>
        </w:rPr>
        <w:t>The first option enables implicit indication of the repetition factor by configuring the repetition factor by PUCCH resource. Any existing signaling mechanism to obtain a PUCCH resource from DCI (as described e.g. in section 9.2.3 of 38.213) can then be reused without any further modification. The second option involves modification to the DCI to add a new field or to increase the size an existing field such as PRI to explicitly indicate a repetition factor.</w:t>
      </w:r>
    </w:p>
    <w:p w14:paraId="429E69EB" w14:textId="4FD305B4" w:rsidR="001B2745" w:rsidRDefault="001B2745" w:rsidP="007D6E09">
      <w:pPr>
        <w:jc w:val="both"/>
        <w:rPr>
          <w:rFonts w:ascii="Times New Roman" w:hAnsi="Times New Roman" w:cs="Times New Roman"/>
          <w:sz w:val="21"/>
          <w:szCs w:val="21"/>
          <w:lang w:val="en-GB" w:eastAsia="zh-CN"/>
        </w:rPr>
      </w:pPr>
      <w:r>
        <w:rPr>
          <w:rFonts w:ascii="Times New Roman" w:hAnsi="Times New Roman" w:cs="Times New Roman"/>
          <w:sz w:val="21"/>
          <w:szCs w:val="21"/>
          <w:lang w:val="en-GB" w:eastAsia="zh-CN"/>
        </w:rPr>
        <w:t xml:space="preserve">It should be considered that PUCCH repetition feature is useful for UEs that may be in coverage-limited conditions. This </w:t>
      </w:r>
      <w:r w:rsidR="001C234A">
        <w:rPr>
          <w:rFonts w:ascii="Times New Roman" w:hAnsi="Times New Roman" w:cs="Times New Roman"/>
          <w:sz w:val="21"/>
          <w:szCs w:val="21"/>
          <w:lang w:val="en-GB" w:eastAsia="zh-CN"/>
        </w:rPr>
        <w:t>means that explicit indication by new field or increased field size is rather undesirable. There is also the possibility (within the second option) to use PDCCH aggregation level, but this approach introduces scheduling restrictions. These issues do not exist with the first option. In addition, the</w:t>
      </w:r>
      <w:r>
        <w:rPr>
          <w:rFonts w:ascii="Times New Roman" w:hAnsi="Times New Roman" w:cs="Times New Roman"/>
          <w:sz w:val="21"/>
          <w:szCs w:val="21"/>
          <w:lang w:val="en-GB" w:eastAsia="zh-CN"/>
        </w:rPr>
        <w:t xml:space="preserve"> first option could also be considered simpler since it restricts the specification impact to RRC configuration. Indeed, all that may be required is an additional IE for the number of repetitions within the PUCCH-Resource IE.</w:t>
      </w:r>
      <w:r w:rsidR="001C234A">
        <w:rPr>
          <w:rFonts w:ascii="Times New Roman" w:hAnsi="Times New Roman" w:cs="Times New Roman"/>
          <w:sz w:val="21"/>
          <w:szCs w:val="21"/>
          <w:lang w:val="en-GB" w:eastAsia="zh-CN"/>
        </w:rPr>
        <w:t xml:space="preserve"> It is preferred to enable configurability per PUCCH resource instead of e.g. per PUCCH format or PUCCH resource set which would needlessly reduce flexibility.</w:t>
      </w:r>
    </w:p>
    <w:p w14:paraId="5F895A9B" w14:textId="40C6A78B" w:rsidR="001B2745" w:rsidRPr="008F016A" w:rsidRDefault="001B2745" w:rsidP="001B2745">
      <w:pPr>
        <w:jc w:val="both"/>
        <w:rPr>
          <w:rFonts w:ascii="Times New Roman" w:hAnsi="Times New Roman" w:cs="Times New Roman"/>
          <w:b/>
          <w:bCs/>
          <w:sz w:val="21"/>
          <w:szCs w:val="21"/>
          <w:lang w:val="en-GB" w:eastAsia="zh-CN"/>
        </w:rPr>
      </w:pPr>
      <w:r w:rsidRPr="008F016A">
        <w:rPr>
          <w:rFonts w:ascii="Times New Roman" w:hAnsi="Times New Roman" w:cs="Times New Roman"/>
          <w:b/>
          <w:bCs/>
          <w:sz w:val="21"/>
          <w:szCs w:val="21"/>
          <w:lang w:val="en-GB" w:eastAsia="zh-CN"/>
        </w:rPr>
        <w:t>Proposal</w:t>
      </w:r>
      <w:r w:rsidR="002821A9">
        <w:rPr>
          <w:rFonts w:ascii="Times New Roman" w:hAnsi="Times New Roman" w:cs="Times New Roman"/>
          <w:b/>
          <w:bCs/>
          <w:sz w:val="21"/>
          <w:szCs w:val="21"/>
          <w:lang w:val="en-GB" w:eastAsia="zh-CN"/>
        </w:rPr>
        <w:t xml:space="preserve"> 1</w:t>
      </w:r>
      <w:r w:rsidRPr="008F016A">
        <w:rPr>
          <w:rFonts w:ascii="Times New Roman" w:hAnsi="Times New Roman" w:cs="Times New Roman"/>
          <w:b/>
          <w:bCs/>
          <w:sz w:val="21"/>
          <w:szCs w:val="21"/>
          <w:lang w:val="en-GB" w:eastAsia="zh-CN"/>
        </w:rPr>
        <w:t>: No change to DCI to support dynamic indication of PUCCH repetition factor (Option 1).</w:t>
      </w:r>
    </w:p>
    <w:p w14:paraId="20C9292F" w14:textId="1199AA82" w:rsidR="001B2745" w:rsidRPr="008F016A" w:rsidRDefault="001B2745" w:rsidP="007D6E09">
      <w:pPr>
        <w:jc w:val="both"/>
        <w:rPr>
          <w:rFonts w:ascii="Times New Roman" w:hAnsi="Times New Roman" w:cs="Times New Roman"/>
          <w:b/>
          <w:bCs/>
          <w:sz w:val="21"/>
          <w:szCs w:val="21"/>
          <w:lang w:val="en-GB" w:eastAsia="zh-CN"/>
        </w:rPr>
      </w:pPr>
      <w:r w:rsidRPr="008F016A">
        <w:rPr>
          <w:rFonts w:ascii="Times New Roman" w:hAnsi="Times New Roman" w:cs="Times New Roman"/>
          <w:b/>
          <w:bCs/>
          <w:sz w:val="21"/>
          <w:szCs w:val="21"/>
          <w:lang w:val="en-GB" w:eastAsia="zh-CN"/>
        </w:rPr>
        <w:t>Proposal</w:t>
      </w:r>
      <w:r w:rsidR="002821A9">
        <w:rPr>
          <w:rFonts w:ascii="Times New Roman" w:hAnsi="Times New Roman" w:cs="Times New Roman"/>
          <w:b/>
          <w:bCs/>
          <w:sz w:val="21"/>
          <w:szCs w:val="21"/>
          <w:lang w:val="en-GB" w:eastAsia="zh-CN"/>
        </w:rPr>
        <w:t xml:space="preserve"> 2</w:t>
      </w:r>
      <w:r w:rsidRPr="008F016A">
        <w:rPr>
          <w:rFonts w:ascii="Times New Roman" w:hAnsi="Times New Roman" w:cs="Times New Roman"/>
          <w:b/>
          <w:bCs/>
          <w:sz w:val="21"/>
          <w:szCs w:val="21"/>
          <w:lang w:val="en-GB" w:eastAsia="zh-CN"/>
        </w:rPr>
        <w:t>: Support RRC configuration of PUCCH repetition factor for each PUCCH resource.</w:t>
      </w:r>
    </w:p>
    <w:p w14:paraId="22F95BBD" w14:textId="08D3C585" w:rsidR="005D3BB7" w:rsidRDefault="002D3B58" w:rsidP="00403690">
      <w:pPr>
        <w:pStyle w:val="Heading1"/>
      </w:pPr>
      <w:r>
        <w:t>DMRS Bundling</w:t>
      </w:r>
      <w:r w:rsidR="00F60A64">
        <w:t xml:space="preserve"> for PUCCH</w:t>
      </w:r>
      <w:r w:rsidR="004E3ADD">
        <w:t xml:space="preserve"> repetitions</w:t>
      </w:r>
    </w:p>
    <w:p w14:paraId="0999C687" w14:textId="4696BB46" w:rsidR="006700F9" w:rsidRDefault="006700F9" w:rsidP="00295DC8">
      <w:pPr>
        <w:pStyle w:val="Heading2"/>
      </w:pPr>
      <w:r>
        <w:t>Background</w:t>
      </w:r>
    </w:p>
    <w:p w14:paraId="5D0994F7" w14:textId="07B468D5" w:rsidR="00F14A20" w:rsidRDefault="00E66414" w:rsidP="00FA4946">
      <w:pPr>
        <w:spacing w:after="0"/>
        <w:jc w:val="both"/>
        <w:rPr>
          <w:rFonts w:ascii="Times New Roman" w:hAnsi="Times New Roman" w:cs="Times New Roman"/>
          <w:sz w:val="21"/>
          <w:szCs w:val="21"/>
          <w:lang w:val="en-GB" w:eastAsia="zh-CN"/>
        </w:rPr>
      </w:pPr>
      <w:r w:rsidRPr="00FB2955">
        <w:rPr>
          <w:rFonts w:ascii="Times New Roman" w:hAnsi="Times New Roman" w:cs="Times New Roman"/>
          <w:sz w:val="21"/>
          <w:szCs w:val="21"/>
          <w:lang w:val="en-GB" w:eastAsia="zh-CN"/>
        </w:rPr>
        <w:t>DMRS bundling is a technique to allow channel estimation using multiple DM-RS symbols across different slots or repetitions.</w:t>
      </w:r>
      <w:r w:rsidR="000B31F8" w:rsidRPr="00FB2955">
        <w:rPr>
          <w:rFonts w:ascii="Times New Roman" w:hAnsi="Times New Roman" w:cs="Times New Roman"/>
          <w:sz w:val="21"/>
          <w:szCs w:val="21"/>
          <w:lang w:val="en-GB" w:eastAsia="zh-CN"/>
        </w:rPr>
        <w:t xml:space="preserve"> </w:t>
      </w:r>
      <w:r w:rsidR="00115859" w:rsidRPr="00FB2955">
        <w:rPr>
          <w:rFonts w:ascii="Times New Roman" w:hAnsi="Times New Roman" w:cs="Times New Roman"/>
          <w:sz w:val="21"/>
          <w:szCs w:val="21"/>
          <w:lang w:val="en-GB" w:eastAsia="zh-CN"/>
        </w:rPr>
        <w:t>In the presence of time varying fading channels, using DM-RS symbols across slots or repetitions will be beneficial.</w:t>
      </w:r>
      <w:r w:rsidR="002E55C8" w:rsidRPr="00FB2955">
        <w:rPr>
          <w:rFonts w:ascii="Times New Roman" w:hAnsi="Times New Roman" w:cs="Times New Roman"/>
          <w:sz w:val="21"/>
          <w:szCs w:val="21"/>
          <w:lang w:val="en-GB" w:eastAsia="zh-CN"/>
        </w:rPr>
        <w:t xml:space="preserve"> </w:t>
      </w:r>
      <w:r w:rsidR="006421A9" w:rsidRPr="00FB2955">
        <w:rPr>
          <w:rFonts w:ascii="Times New Roman" w:hAnsi="Times New Roman" w:cs="Times New Roman"/>
          <w:sz w:val="21"/>
          <w:szCs w:val="21"/>
          <w:lang w:val="en-GB" w:eastAsia="zh-CN"/>
        </w:rPr>
        <w:t>There are several elements to be considered for DMRS bundling across PUCCH repetitions</w:t>
      </w:r>
      <w:r w:rsidR="00F14A20" w:rsidRPr="00FB2955">
        <w:rPr>
          <w:rFonts w:ascii="Times New Roman" w:hAnsi="Times New Roman" w:cs="Times New Roman"/>
          <w:sz w:val="21"/>
          <w:szCs w:val="21"/>
          <w:lang w:val="en-GB" w:eastAsia="zh-CN"/>
        </w:rPr>
        <w:t>.</w:t>
      </w:r>
      <w:r w:rsidR="007D41C8" w:rsidRPr="00FB2955">
        <w:rPr>
          <w:rFonts w:ascii="Times New Roman" w:hAnsi="Times New Roman" w:cs="Times New Roman"/>
          <w:sz w:val="21"/>
          <w:szCs w:val="21"/>
          <w:lang w:val="en-GB" w:eastAsia="zh-CN"/>
        </w:rPr>
        <w:t xml:space="preserve"> </w:t>
      </w:r>
      <w:r w:rsidR="00F14A20" w:rsidRPr="00FB2955">
        <w:rPr>
          <w:rFonts w:ascii="Times New Roman" w:hAnsi="Times New Roman" w:cs="Times New Roman"/>
          <w:sz w:val="21"/>
          <w:szCs w:val="21"/>
          <w:lang w:val="en-GB" w:eastAsia="zh-CN"/>
        </w:rPr>
        <w:t>Repetitions are applicable to PUCCH format 1, 3 and</w:t>
      </w:r>
      <w:r w:rsidR="007D41C8" w:rsidRPr="00FB2955">
        <w:rPr>
          <w:rFonts w:ascii="Times New Roman" w:hAnsi="Times New Roman" w:cs="Times New Roman"/>
          <w:sz w:val="21"/>
          <w:szCs w:val="21"/>
          <w:lang w:val="en-GB" w:eastAsia="zh-CN"/>
        </w:rPr>
        <w:t xml:space="preserve"> 4 </w:t>
      </w:r>
      <w:r w:rsidR="002A69A8" w:rsidRPr="00FB2955">
        <w:rPr>
          <w:rFonts w:ascii="Times New Roman" w:hAnsi="Times New Roman" w:cs="Times New Roman"/>
          <w:sz w:val="21"/>
          <w:szCs w:val="21"/>
          <w:lang w:val="en-GB" w:eastAsia="zh-CN"/>
        </w:rPr>
        <w:t xml:space="preserve">which </w:t>
      </w:r>
      <w:r w:rsidR="00287D75" w:rsidRPr="00FB2955">
        <w:rPr>
          <w:rFonts w:ascii="Times New Roman" w:hAnsi="Times New Roman" w:cs="Times New Roman"/>
          <w:sz w:val="21"/>
          <w:szCs w:val="21"/>
          <w:lang w:val="en-GB" w:eastAsia="zh-CN"/>
        </w:rPr>
        <w:t>can be considered for DMRS bundling</w:t>
      </w:r>
      <w:r w:rsidR="00896789" w:rsidRPr="00FB2955">
        <w:rPr>
          <w:rFonts w:ascii="Times New Roman" w:hAnsi="Times New Roman" w:cs="Times New Roman"/>
          <w:sz w:val="21"/>
          <w:szCs w:val="21"/>
          <w:lang w:val="en-GB" w:eastAsia="zh-CN"/>
        </w:rPr>
        <w:t xml:space="preserve"> [</w:t>
      </w:r>
      <w:r w:rsidR="00013D9B" w:rsidRPr="00FB2955">
        <w:rPr>
          <w:rFonts w:ascii="Times New Roman" w:hAnsi="Times New Roman" w:cs="Times New Roman"/>
          <w:sz w:val="21"/>
          <w:szCs w:val="21"/>
          <w:lang w:val="en-GB" w:eastAsia="zh-CN"/>
        </w:rPr>
        <w:t>3</w:t>
      </w:r>
      <w:r w:rsidR="00896789" w:rsidRPr="00FB2955">
        <w:rPr>
          <w:rFonts w:ascii="Times New Roman" w:hAnsi="Times New Roman" w:cs="Times New Roman"/>
          <w:sz w:val="21"/>
          <w:szCs w:val="21"/>
          <w:lang w:val="en-GB" w:eastAsia="zh-CN"/>
        </w:rPr>
        <w:t>]</w:t>
      </w:r>
      <w:r w:rsidR="00287D75" w:rsidRPr="00FB2955">
        <w:rPr>
          <w:rFonts w:ascii="Times New Roman" w:hAnsi="Times New Roman" w:cs="Times New Roman"/>
          <w:sz w:val="21"/>
          <w:szCs w:val="21"/>
          <w:lang w:val="en-GB" w:eastAsia="zh-CN"/>
        </w:rPr>
        <w:t>.</w:t>
      </w:r>
    </w:p>
    <w:p w14:paraId="1FA3045E" w14:textId="14E4FE56" w:rsidR="00CC0E34" w:rsidRDefault="00D2364D" w:rsidP="00CC0E34">
      <w:pPr>
        <w:pStyle w:val="Heading2"/>
      </w:pPr>
      <w:r>
        <w:t>Signalling</w:t>
      </w:r>
      <w:r w:rsidR="00645FE6">
        <w:t xml:space="preserve"> aspects</w:t>
      </w:r>
    </w:p>
    <w:p w14:paraId="6D376EB9" w14:textId="4F941FBD" w:rsidR="0014071A" w:rsidRPr="00AB6F90" w:rsidRDefault="0014071A" w:rsidP="0014071A">
      <w:pPr>
        <w:jc w:val="both"/>
        <w:rPr>
          <w:rFonts w:ascii="Times New Roman" w:hAnsi="Times New Roman" w:cs="Times New Roman"/>
          <w:sz w:val="21"/>
          <w:szCs w:val="21"/>
          <w:lang w:val="en-GB" w:eastAsia="zh-CN"/>
        </w:rPr>
      </w:pPr>
      <w:r w:rsidRPr="00AB6F90">
        <w:rPr>
          <w:rFonts w:ascii="Times New Roman" w:hAnsi="Times New Roman" w:cs="Times New Roman"/>
          <w:sz w:val="21"/>
          <w:szCs w:val="21"/>
          <w:lang w:val="en-GB" w:eastAsia="zh-CN"/>
        </w:rPr>
        <w:t>As discussed in our companion contribution for PUSCH DMRS bundling [</w:t>
      </w:r>
      <w:r w:rsidR="00063A60" w:rsidRPr="00AB6F90">
        <w:rPr>
          <w:rFonts w:ascii="Times New Roman" w:hAnsi="Times New Roman" w:cs="Times New Roman"/>
          <w:sz w:val="21"/>
          <w:szCs w:val="21"/>
          <w:lang w:val="en-GB" w:eastAsia="zh-CN"/>
        </w:rPr>
        <w:t>4</w:t>
      </w:r>
      <w:r w:rsidRPr="00AB6F90">
        <w:rPr>
          <w:rFonts w:ascii="Times New Roman" w:hAnsi="Times New Roman" w:cs="Times New Roman"/>
          <w:sz w:val="21"/>
          <w:szCs w:val="21"/>
          <w:lang w:val="en-GB" w:eastAsia="zh-CN"/>
        </w:rPr>
        <w:t>],</w:t>
      </w:r>
      <w:r w:rsidRPr="00AB6F90">
        <w:t xml:space="preserve"> </w:t>
      </w:r>
      <w:r w:rsidRPr="00AB6F90">
        <w:rPr>
          <w:rFonts w:ascii="Times New Roman" w:hAnsi="Times New Roman" w:cs="Times New Roman"/>
          <w:sz w:val="21"/>
          <w:szCs w:val="21"/>
          <w:lang w:val="en-GB" w:eastAsia="zh-CN"/>
        </w:rPr>
        <w:t xml:space="preserve">to enable joint channel estimation, there should be an expectation from the gNB that the UE maintained power and phase continuity between </w:t>
      </w:r>
      <w:r w:rsidRPr="00AB6F90">
        <w:rPr>
          <w:rFonts w:ascii="Times New Roman" w:hAnsi="Times New Roman" w:cs="Times New Roman"/>
          <w:sz w:val="21"/>
          <w:szCs w:val="21"/>
          <w:lang w:val="en-GB" w:eastAsia="zh-CN"/>
        </w:rPr>
        <w:lastRenderedPageBreak/>
        <w:t xml:space="preserve">PUCCH repetitions. Thus, the gNB needs to inform the UE either implicitly or explicitly which PUCCH repetitions that contain DMRS needs to be bundled so that the gNB can perform joint channel estimation. Whether to execute DMRS bundling may be determined based on channel estimates obtained by the gNB. </w:t>
      </w:r>
    </w:p>
    <w:p w14:paraId="029F9411" w14:textId="18AD6FD3" w:rsidR="0014071A" w:rsidRPr="00FB2955" w:rsidRDefault="0014071A" w:rsidP="0014071A">
      <w:pPr>
        <w:rPr>
          <w:rFonts w:ascii="Times New Roman" w:hAnsi="Times New Roman" w:cs="Times New Roman"/>
          <w:sz w:val="21"/>
          <w:szCs w:val="21"/>
          <w:lang w:val="en-GB" w:eastAsia="zh-CN"/>
        </w:rPr>
      </w:pPr>
      <w:r w:rsidRPr="00AB6F90">
        <w:rPr>
          <w:rFonts w:ascii="Times New Roman" w:hAnsi="Times New Roman" w:cs="Times New Roman"/>
          <w:sz w:val="21"/>
          <w:szCs w:val="21"/>
          <w:lang w:val="en-GB" w:eastAsia="zh-CN"/>
        </w:rPr>
        <w:t>As explained in our companion contribution for DMRS bundling support for PUSCH [</w:t>
      </w:r>
      <w:r w:rsidR="001A5405" w:rsidRPr="00AB6F90">
        <w:rPr>
          <w:rFonts w:ascii="Times New Roman" w:hAnsi="Times New Roman" w:cs="Times New Roman"/>
          <w:sz w:val="21"/>
          <w:szCs w:val="21"/>
          <w:lang w:val="en-GB" w:eastAsia="zh-CN"/>
        </w:rPr>
        <w:t>4</w:t>
      </w:r>
      <w:r w:rsidRPr="00AB6F90">
        <w:rPr>
          <w:rFonts w:ascii="Times New Roman" w:hAnsi="Times New Roman" w:cs="Times New Roman"/>
          <w:sz w:val="21"/>
          <w:szCs w:val="21"/>
          <w:lang w:val="en-GB" w:eastAsia="zh-CN"/>
        </w:rPr>
        <w:t>], depending on grant types, different signalling mechanism may be needed. For example, DCI which indicates to the UE that DMRS</w:t>
      </w:r>
      <w:r w:rsidRPr="00FB2955">
        <w:rPr>
          <w:rFonts w:ascii="Times New Roman" w:hAnsi="Times New Roman" w:cs="Times New Roman"/>
          <w:sz w:val="21"/>
          <w:szCs w:val="21"/>
          <w:lang w:val="en-GB" w:eastAsia="zh-CN"/>
        </w:rPr>
        <w:t xml:space="preserve"> bundling is enabled may be needed if grant is dynamic. Timing of receipt of DCI (e.g., before each PUCCH transmission), needs to be discussed and specified. DCI may be used to signal to the UE to switch DMRS bundling on or off. Disadvantage of dynamic indication of bundling is that it may cost overhead and loss of DCI may cause performance loss and inefficiency for DMRS bundling operation. As PUCCH contains critical messages, the performance loss for failure in preforming DMRS bundling may cause critical system performance loss.</w:t>
      </w:r>
    </w:p>
    <w:p w14:paraId="3EFFF02C" w14:textId="048B1AF5" w:rsidR="0014071A" w:rsidRPr="00FB2955" w:rsidRDefault="0014071A" w:rsidP="0014071A">
      <w:pPr>
        <w:rPr>
          <w:rFonts w:ascii="Times New Roman" w:hAnsi="Times New Roman" w:cs="Times New Roman"/>
          <w:b/>
          <w:bCs/>
          <w:sz w:val="21"/>
          <w:szCs w:val="21"/>
          <w:lang w:val="en-GB" w:eastAsia="zh-CN"/>
        </w:rPr>
      </w:pPr>
      <w:r w:rsidRPr="00FB2955">
        <w:rPr>
          <w:rFonts w:ascii="Times New Roman" w:hAnsi="Times New Roman" w:cs="Times New Roman"/>
          <w:b/>
          <w:bCs/>
          <w:sz w:val="21"/>
          <w:szCs w:val="21"/>
          <w:lang w:val="en-GB" w:eastAsia="zh-CN"/>
        </w:rPr>
        <w:t>Observation</w:t>
      </w:r>
      <w:r w:rsidR="00DF1AA0">
        <w:rPr>
          <w:rFonts w:ascii="Times New Roman" w:hAnsi="Times New Roman" w:cs="Times New Roman"/>
          <w:b/>
          <w:bCs/>
          <w:sz w:val="21"/>
          <w:szCs w:val="21"/>
          <w:lang w:val="en-GB" w:eastAsia="zh-CN"/>
        </w:rPr>
        <w:t xml:space="preserve"> </w:t>
      </w:r>
      <w:r w:rsidR="003D26DD">
        <w:rPr>
          <w:rFonts w:ascii="Times New Roman" w:hAnsi="Times New Roman" w:cs="Times New Roman"/>
          <w:b/>
          <w:bCs/>
          <w:sz w:val="21"/>
          <w:szCs w:val="21"/>
          <w:lang w:val="en-GB" w:eastAsia="zh-CN"/>
        </w:rPr>
        <w:t>1</w:t>
      </w:r>
      <w:r w:rsidRPr="00FB2955">
        <w:rPr>
          <w:rFonts w:ascii="Times New Roman" w:hAnsi="Times New Roman" w:cs="Times New Roman"/>
          <w:b/>
          <w:bCs/>
          <w:sz w:val="21"/>
          <w:szCs w:val="21"/>
          <w:lang w:val="en-GB" w:eastAsia="zh-CN"/>
        </w:rPr>
        <w:t>: Dynamic indication of bundling (e.g., indicating to the UE to perform power/phase continuity maintenance for the next PUCCH) may cost overhead and loss of DCI may cause performance loss and inefficiency for DMRS bundling operation</w:t>
      </w:r>
    </w:p>
    <w:p w14:paraId="0445BB89" w14:textId="77777777" w:rsidR="0014071A" w:rsidRPr="00540F5C" w:rsidRDefault="0014071A" w:rsidP="0051607C">
      <w:pPr>
        <w:pStyle w:val="Heading3"/>
      </w:pPr>
      <w:r>
        <w:t>Grant dependent signalling for DMRS bundling</w:t>
      </w:r>
    </w:p>
    <w:p w14:paraId="02383530" w14:textId="50A7A547" w:rsidR="0014071A" w:rsidRPr="00FB2955" w:rsidRDefault="0014071A" w:rsidP="0014071A">
      <w:pPr>
        <w:rPr>
          <w:rFonts w:ascii="Times New Roman" w:hAnsi="Times New Roman" w:cs="Times New Roman"/>
          <w:sz w:val="21"/>
          <w:szCs w:val="21"/>
        </w:rPr>
      </w:pPr>
      <w:r w:rsidRPr="00FB2955">
        <w:rPr>
          <w:rFonts w:ascii="Times New Roman" w:hAnsi="Times New Roman" w:cs="Times New Roman"/>
          <w:sz w:val="21"/>
          <w:szCs w:val="21"/>
        </w:rPr>
        <w:t xml:space="preserve">One approach to increase efficiency </w:t>
      </w:r>
      <w:r w:rsidR="00371CD3">
        <w:rPr>
          <w:rFonts w:ascii="Times New Roman" w:hAnsi="Times New Roman" w:cs="Times New Roman"/>
          <w:sz w:val="21"/>
          <w:szCs w:val="21"/>
        </w:rPr>
        <w:t xml:space="preserve">is </w:t>
      </w:r>
      <w:r w:rsidRPr="00FB2955">
        <w:rPr>
          <w:rFonts w:ascii="Times New Roman" w:hAnsi="Times New Roman" w:cs="Times New Roman"/>
          <w:sz w:val="21"/>
          <w:szCs w:val="21"/>
        </w:rPr>
        <w:t xml:space="preserve">to organize DMRS bundling via </w:t>
      </w:r>
      <w:r w:rsidR="00071275">
        <w:rPr>
          <w:rFonts w:ascii="Times New Roman" w:hAnsi="Times New Roman" w:cs="Times New Roman"/>
          <w:sz w:val="21"/>
          <w:szCs w:val="21"/>
        </w:rPr>
        <w:t>book</w:t>
      </w:r>
      <w:r w:rsidR="00071275" w:rsidRPr="00FB2955">
        <w:rPr>
          <w:rFonts w:ascii="Times New Roman" w:hAnsi="Times New Roman" w:cs="Times New Roman"/>
          <w:sz w:val="21"/>
          <w:szCs w:val="21"/>
        </w:rPr>
        <w:t xml:space="preserve"> </w:t>
      </w:r>
      <w:r w:rsidRPr="00FB2955">
        <w:rPr>
          <w:rFonts w:ascii="Times New Roman" w:hAnsi="Times New Roman" w:cs="Times New Roman"/>
          <w:sz w:val="21"/>
          <w:szCs w:val="21"/>
        </w:rPr>
        <w:t xml:space="preserve">keeping index, e.g., a bundling group index as </w:t>
      </w:r>
      <w:r>
        <w:rPr>
          <w:rFonts w:ascii="Times New Roman" w:hAnsi="Times New Roman" w:cs="Times New Roman"/>
          <w:sz w:val="21"/>
          <w:szCs w:val="21"/>
        </w:rPr>
        <w:t>explained</w:t>
      </w:r>
      <w:r w:rsidRPr="00FB2955">
        <w:rPr>
          <w:rFonts w:ascii="Times New Roman" w:hAnsi="Times New Roman" w:cs="Times New Roman"/>
          <w:sz w:val="21"/>
          <w:szCs w:val="21"/>
        </w:rPr>
        <w:t xml:space="preserve"> in our PUSCH contribution </w:t>
      </w:r>
      <w:r w:rsidR="00E06D44" w:rsidRPr="00AB6F90">
        <w:rPr>
          <w:rFonts w:ascii="Times New Roman" w:hAnsi="Times New Roman" w:cs="Times New Roman"/>
          <w:sz w:val="21"/>
          <w:szCs w:val="21"/>
          <w:lang w:val="en-GB" w:eastAsia="zh-CN"/>
        </w:rPr>
        <w:t>[</w:t>
      </w:r>
      <w:r w:rsidR="00AB6F90" w:rsidRPr="00AB6F90">
        <w:rPr>
          <w:rFonts w:ascii="Times New Roman" w:hAnsi="Times New Roman" w:cs="Times New Roman"/>
          <w:sz w:val="21"/>
          <w:szCs w:val="21"/>
          <w:lang w:val="en-GB" w:eastAsia="zh-CN"/>
        </w:rPr>
        <w:t>4</w:t>
      </w:r>
      <w:r w:rsidR="00E06D44" w:rsidRPr="00AB6F90">
        <w:rPr>
          <w:rFonts w:ascii="Times New Roman" w:hAnsi="Times New Roman" w:cs="Times New Roman"/>
          <w:sz w:val="21"/>
          <w:szCs w:val="21"/>
          <w:lang w:val="en-GB" w:eastAsia="zh-CN"/>
        </w:rPr>
        <w:t>]</w:t>
      </w:r>
      <w:r w:rsidRPr="00DB1062">
        <w:rPr>
          <w:rFonts w:ascii="Times New Roman" w:hAnsi="Times New Roman" w:cs="Times New Roman"/>
          <w:sz w:val="21"/>
          <w:szCs w:val="21"/>
        </w:rPr>
        <w:t>. The</w:t>
      </w:r>
      <w:r w:rsidRPr="00FB2955">
        <w:rPr>
          <w:rFonts w:ascii="Times New Roman" w:hAnsi="Times New Roman" w:cs="Times New Roman"/>
          <w:sz w:val="21"/>
          <w:szCs w:val="21"/>
        </w:rPr>
        <w:t xml:space="preserve"> UE determines to bundle DMRS in PUCCH in configured/dynamic grants if the grant is associated with the same bundling group index. The index can be indicated explicitly or implicitly. For example, the UE can receive configuration RRC or signaling in MAC-CE that associate the index with a configured grant.  The UE may bundle DMRS(s) on configured grants that are associated with the same bundling group index.</w:t>
      </w:r>
    </w:p>
    <w:p w14:paraId="415D31AD" w14:textId="77777777" w:rsidR="0014071A" w:rsidRPr="00FB2955" w:rsidRDefault="0014071A" w:rsidP="0014071A">
      <w:pPr>
        <w:rPr>
          <w:rFonts w:ascii="Times New Roman" w:hAnsi="Times New Roman" w:cs="Times New Roman"/>
          <w:sz w:val="21"/>
          <w:szCs w:val="21"/>
        </w:rPr>
      </w:pPr>
      <w:r w:rsidRPr="003025BF">
        <w:rPr>
          <w:rFonts w:ascii="Times New Roman" w:hAnsi="Times New Roman" w:cs="Times New Roman"/>
          <w:sz w:val="21"/>
          <w:szCs w:val="21"/>
        </w:rPr>
        <w:t xml:space="preserve">Alternatively, the UE may receive semi-static configuration for indexing </w:t>
      </w:r>
      <w:r>
        <w:rPr>
          <w:rFonts w:ascii="Times New Roman" w:hAnsi="Times New Roman" w:cs="Times New Roman"/>
          <w:sz w:val="21"/>
          <w:szCs w:val="21"/>
        </w:rPr>
        <w:t>which can be applied to both configured and</w:t>
      </w:r>
      <w:r w:rsidRPr="003025BF">
        <w:rPr>
          <w:rFonts w:ascii="Times New Roman" w:hAnsi="Times New Roman" w:cs="Times New Roman"/>
          <w:sz w:val="21"/>
          <w:szCs w:val="21"/>
        </w:rPr>
        <w:t xml:space="preserve"> dynamic grants</w:t>
      </w:r>
      <w:r w:rsidRPr="00FB2955">
        <w:rPr>
          <w:rFonts w:ascii="Times New Roman" w:hAnsi="Times New Roman" w:cs="Times New Roman"/>
          <w:sz w:val="21"/>
          <w:szCs w:val="21"/>
        </w:rPr>
        <w:t xml:space="preserve"> </w:t>
      </w:r>
      <w:r>
        <w:rPr>
          <w:rFonts w:ascii="Times New Roman" w:hAnsi="Times New Roman" w:cs="Times New Roman"/>
          <w:sz w:val="21"/>
          <w:szCs w:val="21"/>
        </w:rPr>
        <w:t xml:space="preserve"> </w:t>
      </w:r>
      <w:r w:rsidRPr="00FB2955">
        <w:rPr>
          <w:rFonts w:ascii="Times New Roman" w:hAnsi="Times New Roman" w:cs="Times New Roman"/>
          <w:sz w:val="21"/>
          <w:szCs w:val="21"/>
        </w:rPr>
        <w:t xml:space="preserve">Examples are explained in our PUSCH </w:t>
      </w:r>
      <w:r w:rsidRPr="00DB1062">
        <w:rPr>
          <w:rFonts w:ascii="Times New Roman" w:hAnsi="Times New Roman" w:cs="Times New Roman"/>
          <w:sz w:val="21"/>
          <w:szCs w:val="21"/>
        </w:rPr>
        <w:t>contributions [</w:t>
      </w:r>
      <w:r>
        <w:rPr>
          <w:rFonts w:ascii="Times New Roman" w:hAnsi="Times New Roman" w:cs="Times New Roman"/>
          <w:sz w:val="21"/>
          <w:szCs w:val="21"/>
        </w:rPr>
        <w:t>5</w:t>
      </w:r>
      <w:r w:rsidRPr="00DB1062">
        <w:rPr>
          <w:rFonts w:ascii="Times New Roman" w:hAnsi="Times New Roman" w:cs="Times New Roman"/>
          <w:sz w:val="21"/>
          <w:szCs w:val="21"/>
        </w:rPr>
        <w:t>]</w:t>
      </w:r>
      <w:r w:rsidRPr="00FB2955">
        <w:rPr>
          <w:rFonts w:ascii="Times New Roman" w:hAnsi="Times New Roman" w:cs="Times New Roman"/>
          <w:sz w:val="21"/>
          <w:szCs w:val="21"/>
        </w:rPr>
        <w:t>. The indication can also be used to support DMRS bundling for PUCCH(s) with different types of grants, i.e., dynamic and configured grants.</w:t>
      </w:r>
    </w:p>
    <w:p w14:paraId="2F479F61" w14:textId="0B74616A" w:rsidR="0014071A" w:rsidRPr="00FB2955" w:rsidRDefault="0014071A" w:rsidP="0014071A">
      <w:pPr>
        <w:rPr>
          <w:rFonts w:ascii="Times New Roman" w:hAnsi="Times New Roman" w:cs="Times New Roman"/>
          <w:b/>
          <w:bCs/>
          <w:sz w:val="21"/>
          <w:szCs w:val="21"/>
          <w:lang w:val="en-GB" w:eastAsia="zh-CN"/>
        </w:rPr>
      </w:pPr>
      <w:bookmarkStart w:id="1" w:name="_Hlk61532729"/>
      <w:r w:rsidRPr="00FB2955">
        <w:rPr>
          <w:rFonts w:ascii="Times New Roman" w:hAnsi="Times New Roman" w:cs="Times New Roman"/>
          <w:b/>
          <w:bCs/>
          <w:sz w:val="21"/>
          <w:szCs w:val="21"/>
          <w:lang w:val="en-GB" w:eastAsia="zh-CN"/>
        </w:rPr>
        <w:t xml:space="preserve">Observation </w:t>
      </w:r>
      <w:r w:rsidR="00AA2FCD">
        <w:rPr>
          <w:rFonts w:ascii="Times New Roman" w:hAnsi="Times New Roman" w:cs="Times New Roman"/>
          <w:b/>
          <w:bCs/>
          <w:sz w:val="21"/>
          <w:szCs w:val="21"/>
          <w:lang w:val="en-GB" w:eastAsia="zh-CN"/>
        </w:rPr>
        <w:t>2</w:t>
      </w:r>
      <w:r w:rsidRPr="00FB2955">
        <w:rPr>
          <w:rFonts w:ascii="Times New Roman" w:hAnsi="Times New Roman" w:cs="Times New Roman"/>
          <w:b/>
          <w:bCs/>
          <w:sz w:val="21"/>
          <w:szCs w:val="21"/>
          <w:lang w:val="en-GB" w:eastAsia="zh-CN"/>
        </w:rPr>
        <w:t>: Considering different grant types for PUCCH (s), an indication mechanism that is adjusted for grant type offers flexibility and robustness</w:t>
      </w:r>
    </w:p>
    <w:p w14:paraId="69BA1B6F" w14:textId="0AC9C580" w:rsidR="0014071A" w:rsidRPr="00FB2955" w:rsidRDefault="0014071A" w:rsidP="0014071A">
      <w:pPr>
        <w:spacing w:after="0"/>
        <w:rPr>
          <w:rFonts w:ascii="Times New Roman" w:hAnsi="Times New Roman" w:cs="Times New Roman"/>
          <w:sz w:val="21"/>
          <w:szCs w:val="21"/>
          <w:lang w:val="en-GB" w:eastAsia="zh-CN"/>
        </w:rPr>
      </w:pPr>
      <w:r w:rsidRPr="00FB2955">
        <w:rPr>
          <w:rFonts w:ascii="Times New Roman" w:hAnsi="Times New Roman" w:cs="Times New Roman"/>
          <w:b/>
          <w:bCs/>
          <w:sz w:val="21"/>
          <w:szCs w:val="21"/>
          <w:lang w:val="en-GB" w:eastAsia="zh-CN"/>
        </w:rPr>
        <w:t xml:space="preserve">Proposal </w:t>
      </w:r>
      <w:r w:rsidR="00AA2FCD">
        <w:rPr>
          <w:rFonts w:ascii="Times New Roman" w:hAnsi="Times New Roman" w:cs="Times New Roman"/>
          <w:b/>
          <w:bCs/>
          <w:sz w:val="21"/>
          <w:szCs w:val="21"/>
          <w:lang w:val="en-GB" w:eastAsia="zh-CN"/>
        </w:rPr>
        <w:t>3</w:t>
      </w:r>
      <w:r w:rsidRPr="00FB2955">
        <w:rPr>
          <w:rFonts w:ascii="Times New Roman" w:hAnsi="Times New Roman" w:cs="Times New Roman"/>
          <w:b/>
          <w:bCs/>
          <w:sz w:val="21"/>
          <w:szCs w:val="21"/>
          <w:lang w:val="en-GB" w:eastAsia="zh-CN"/>
        </w:rPr>
        <w:t>: Support a grant-type dependent index which indicates to the UE</w:t>
      </w:r>
      <w:r w:rsidR="00C30537">
        <w:rPr>
          <w:rFonts w:ascii="Times New Roman" w:hAnsi="Times New Roman" w:cs="Times New Roman"/>
          <w:b/>
          <w:bCs/>
          <w:sz w:val="21"/>
          <w:szCs w:val="21"/>
          <w:lang w:val="en-GB" w:eastAsia="zh-CN"/>
        </w:rPr>
        <w:t xml:space="preserve"> which</w:t>
      </w:r>
      <w:r w:rsidRPr="00FB2955">
        <w:rPr>
          <w:rFonts w:ascii="Times New Roman" w:hAnsi="Times New Roman" w:cs="Times New Roman"/>
          <w:b/>
          <w:bCs/>
          <w:sz w:val="21"/>
          <w:szCs w:val="21"/>
          <w:lang w:val="en-GB" w:eastAsia="zh-CN"/>
        </w:rPr>
        <w:t xml:space="preserve"> PUCCH repetitions to bundle</w:t>
      </w:r>
      <w:bookmarkEnd w:id="1"/>
    </w:p>
    <w:p w14:paraId="42ADC673" w14:textId="542A0E61" w:rsidR="00CC0E34" w:rsidRDefault="00CC0E34" w:rsidP="00FA4946">
      <w:pPr>
        <w:spacing w:after="0"/>
        <w:jc w:val="both"/>
        <w:rPr>
          <w:rFonts w:ascii="Times New Roman" w:hAnsi="Times New Roman" w:cs="Times New Roman"/>
          <w:sz w:val="21"/>
          <w:szCs w:val="21"/>
          <w:lang w:val="en-GB" w:eastAsia="zh-CN"/>
        </w:rPr>
      </w:pPr>
    </w:p>
    <w:p w14:paraId="7BC1E1DF" w14:textId="47D921AA" w:rsidR="002A4450" w:rsidRDefault="00B27C7A" w:rsidP="00B27C7A">
      <w:pPr>
        <w:spacing w:line="280" w:lineRule="atLeast"/>
        <w:rPr>
          <w:rFonts w:ascii="Times New Roman" w:eastAsia="Times New Roman" w:hAnsi="Times New Roman"/>
          <w:sz w:val="21"/>
          <w:szCs w:val="21"/>
        </w:rPr>
      </w:pPr>
      <w:r w:rsidRPr="00B27C7A">
        <w:rPr>
          <w:rFonts w:ascii="Times New Roman" w:eastAsia="Times New Roman" w:hAnsi="Times New Roman"/>
          <w:sz w:val="21"/>
          <w:szCs w:val="21"/>
        </w:rPr>
        <w:t xml:space="preserve">Regarding </w:t>
      </w:r>
      <w:r w:rsidR="00B00C46" w:rsidRPr="00B27C7A">
        <w:rPr>
          <w:rFonts w:ascii="Times New Roman" w:eastAsia="Times New Roman" w:hAnsi="Times New Roman"/>
          <w:sz w:val="21"/>
          <w:szCs w:val="21"/>
        </w:rPr>
        <w:t>necessity of additional signaling/configuration of DMRS bundling duration/window and associated size</w:t>
      </w:r>
      <w:r>
        <w:rPr>
          <w:rFonts w:ascii="Times New Roman" w:eastAsia="Times New Roman" w:hAnsi="Times New Roman"/>
          <w:sz w:val="21"/>
          <w:szCs w:val="21"/>
        </w:rPr>
        <w:t xml:space="preserve">, </w:t>
      </w:r>
      <w:r w:rsidR="00792A59">
        <w:rPr>
          <w:rFonts w:ascii="Times New Roman" w:eastAsia="Times New Roman" w:hAnsi="Times New Roman"/>
          <w:sz w:val="21"/>
          <w:szCs w:val="21"/>
        </w:rPr>
        <w:t>it may be dependent on the enhancement for frequency hopping patterns</w:t>
      </w:r>
      <w:r w:rsidR="00B273BF">
        <w:rPr>
          <w:rFonts w:ascii="Times New Roman" w:eastAsia="Times New Roman" w:hAnsi="Times New Roman"/>
          <w:sz w:val="21"/>
          <w:szCs w:val="21"/>
        </w:rPr>
        <w:t xml:space="preserve"> for DMRS bundling. </w:t>
      </w:r>
      <w:r w:rsidR="0079589E">
        <w:rPr>
          <w:rFonts w:ascii="Times New Roman" w:eastAsia="Times New Roman" w:hAnsi="Times New Roman"/>
          <w:sz w:val="21"/>
          <w:szCs w:val="21"/>
        </w:rPr>
        <w:t xml:space="preserve">In the next section, details related to inter-slot frequency hopping are discussed. At least for a frequency hopping pattern where a hop includes all K repetitions, a window associated with a bundle of repetitions can be configured  </w:t>
      </w:r>
      <w:r w:rsidR="002A4450">
        <w:rPr>
          <w:rFonts w:ascii="Times New Roman" w:eastAsia="Times New Roman" w:hAnsi="Times New Roman"/>
          <w:sz w:val="21"/>
          <w:szCs w:val="21"/>
        </w:rPr>
        <w:t>to enable DMRS bundlin</w:t>
      </w:r>
      <w:r w:rsidR="00D5032E">
        <w:rPr>
          <w:rFonts w:ascii="Times New Roman" w:eastAsia="Times New Roman" w:hAnsi="Times New Roman"/>
          <w:sz w:val="21"/>
          <w:szCs w:val="21"/>
        </w:rPr>
        <w:t>g.</w:t>
      </w:r>
      <w:r w:rsidR="00F60B5F">
        <w:rPr>
          <w:rFonts w:ascii="Times New Roman" w:eastAsia="Times New Roman" w:hAnsi="Times New Roman"/>
          <w:sz w:val="21"/>
          <w:szCs w:val="21"/>
        </w:rPr>
        <w:t xml:space="preserve"> Such configuration can also be applied to joint channel estimation for PUSCH where a time window can be applied to a repetition bundle.</w:t>
      </w:r>
    </w:p>
    <w:p w14:paraId="6C7681C4" w14:textId="08B75054" w:rsidR="00B00C46" w:rsidRPr="00B00C46" w:rsidRDefault="005E1E9D" w:rsidP="00465A71">
      <w:pPr>
        <w:spacing w:line="280" w:lineRule="atLeast"/>
        <w:rPr>
          <w:rFonts w:ascii="Times New Roman" w:hAnsi="Times New Roman" w:cs="Times New Roman"/>
          <w:sz w:val="21"/>
          <w:szCs w:val="21"/>
          <w:lang w:eastAsia="zh-CN"/>
        </w:rPr>
      </w:pPr>
      <w:r w:rsidRPr="00D351BA">
        <w:rPr>
          <w:rFonts w:ascii="Times New Roman" w:eastAsia="Times New Roman" w:hAnsi="Times New Roman"/>
          <w:b/>
          <w:bCs/>
          <w:sz w:val="21"/>
          <w:szCs w:val="21"/>
        </w:rPr>
        <w:t xml:space="preserve">Proposal </w:t>
      </w:r>
      <w:r w:rsidR="00970C5A">
        <w:rPr>
          <w:rFonts w:ascii="Times New Roman" w:eastAsia="Times New Roman" w:hAnsi="Times New Roman"/>
          <w:b/>
          <w:bCs/>
          <w:sz w:val="21"/>
          <w:szCs w:val="21"/>
        </w:rPr>
        <w:t>4</w:t>
      </w:r>
      <w:r w:rsidRPr="00D351BA">
        <w:rPr>
          <w:rFonts w:ascii="Times New Roman" w:eastAsia="Times New Roman" w:hAnsi="Times New Roman"/>
          <w:b/>
          <w:bCs/>
          <w:sz w:val="21"/>
          <w:szCs w:val="21"/>
        </w:rPr>
        <w:t xml:space="preserve">: </w:t>
      </w:r>
      <w:r w:rsidR="00477172">
        <w:rPr>
          <w:rFonts w:ascii="Times New Roman" w:eastAsia="Times New Roman" w:hAnsi="Times New Roman"/>
          <w:b/>
          <w:bCs/>
          <w:sz w:val="21"/>
          <w:szCs w:val="21"/>
        </w:rPr>
        <w:t>For a hopping pattern that includes all of K repetitions in a hop, configure one time window matching the duration of a hop</w:t>
      </w:r>
      <w:r w:rsidR="007F4876">
        <w:rPr>
          <w:rFonts w:ascii="Times New Roman" w:eastAsia="Times New Roman" w:hAnsi="Times New Roman"/>
          <w:b/>
          <w:bCs/>
          <w:sz w:val="21"/>
          <w:szCs w:val="21"/>
        </w:rPr>
        <w:t>.</w:t>
      </w:r>
    </w:p>
    <w:p w14:paraId="550BC4EC" w14:textId="0F28397D" w:rsidR="006700F9" w:rsidRDefault="00051BBE" w:rsidP="006700F9">
      <w:pPr>
        <w:pStyle w:val="Heading2"/>
      </w:pPr>
      <w:r>
        <w:lastRenderedPageBreak/>
        <w:t>Bundle size for PUCCH</w:t>
      </w:r>
      <w:r w:rsidR="006700F9">
        <w:t xml:space="preserve"> DMRS bundling</w:t>
      </w:r>
    </w:p>
    <w:p w14:paraId="74804976" w14:textId="26CCB0B9" w:rsidR="00455A8B" w:rsidRDefault="00292161" w:rsidP="00455A8B">
      <w:pPr>
        <w:keepNext/>
        <w:jc w:val="center"/>
      </w:pPr>
      <w:r w:rsidRPr="00292161">
        <w:rPr>
          <w:noProof/>
        </w:rPr>
        <w:drawing>
          <wp:inline distT="0" distB="0" distL="0" distR="0" wp14:anchorId="7D6E986B" wp14:editId="79E13447">
            <wp:extent cx="4229570" cy="3693886"/>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65002" cy="3724830"/>
                    </a:xfrm>
                    <a:prstGeom prst="rect">
                      <a:avLst/>
                    </a:prstGeom>
                    <a:noFill/>
                    <a:ln>
                      <a:noFill/>
                    </a:ln>
                  </pic:spPr>
                </pic:pic>
              </a:graphicData>
            </a:graphic>
          </wp:inline>
        </w:drawing>
      </w:r>
    </w:p>
    <w:p w14:paraId="01653D75" w14:textId="540E965E" w:rsidR="00DD3EAF" w:rsidRDefault="00455A8B" w:rsidP="00455A8B">
      <w:pPr>
        <w:pStyle w:val="Caption"/>
        <w:rPr>
          <w:lang w:val="en-GB" w:eastAsia="zh-CN"/>
        </w:rPr>
      </w:pPr>
      <w:bookmarkStart w:id="2" w:name="_Ref71362025"/>
      <w:r>
        <w:t xml:space="preserve">Figure </w:t>
      </w:r>
      <w:r w:rsidR="00AE15D8">
        <w:fldChar w:fldCharType="begin"/>
      </w:r>
      <w:r w:rsidR="00AE15D8">
        <w:instrText xml:space="preserve"> SEQ Figure \* ARABIC </w:instrText>
      </w:r>
      <w:r w:rsidR="00AE15D8">
        <w:fldChar w:fldCharType="separate"/>
      </w:r>
      <w:r w:rsidR="00441ED3">
        <w:rPr>
          <w:noProof/>
        </w:rPr>
        <w:t>1</w:t>
      </w:r>
      <w:r w:rsidR="00AE15D8">
        <w:rPr>
          <w:noProof/>
        </w:rPr>
        <w:fldChar w:fldCharType="end"/>
      </w:r>
      <w:bookmarkEnd w:id="2"/>
      <w:r>
        <w:t xml:space="preserve"> </w:t>
      </w:r>
      <w:r w:rsidR="00AD451A">
        <w:t>Two</w:t>
      </w:r>
      <w:r w:rsidR="006A749B">
        <w:t xml:space="preserve"> inter-slot</w:t>
      </w:r>
      <w:r w:rsidR="00AD451A">
        <w:t xml:space="preserve"> frequency </w:t>
      </w:r>
      <w:r>
        <w:t>hopping pattern</w:t>
      </w:r>
      <w:r w:rsidR="00AD451A">
        <w:t>s (K=2,4)</w:t>
      </w:r>
      <w:r>
        <w:t xml:space="preserve"> for PUCCH repetitions</w:t>
      </w:r>
      <w:r w:rsidR="00393FEF">
        <w:t xml:space="preserve"> with DMRS bundling</w:t>
      </w:r>
    </w:p>
    <w:p w14:paraId="6F297AA2" w14:textId="71428B15" w:rsidR="002D5993" w:rsidRPr="00F00B47" w:rsidRDefault="00051BBE" w:rsidP="00DD3EAF">
      <w:pPr>
        <w:rPr>
          <w:rFonts w:ascii="Times New Roman" w:hAnsi="Times New Roman" w:cs="Times New Roman"/>
          <w:sz w:val="21"/>
          <w:szCs w:val="21"/>
          <w:lang w:val="en-GB" w:eastAsia="zh-CN"/>
        </w:rPr>
      </w:pPr>
      <w:r w:rsidRPr="00F00B47">
        <w:rPr>
          <w:rFonts w:ascii="Times New Roman" w:hAnsi="Times New Roman" w:cs="Times New Roman"/>
          <w:sz w:val="21"/>
          <w:szCs w:val="21"/>
          <w:lang w:val="en-GB" w:eastAsia="zh-CN"/>
        </w:rPr>
        <w:t xml:space="preserve">The frequency hopping pattern considered in the evaluation is shown in </w:t>
      </w:r>
      <w:r w:rsidRPr="00F00B47">
        <w:rPr>
          <w:rFonts w:ascii="Times New Roman" w:hAnsi="Times New Roman" w:cs="Times New Roman"/>
          <w:sz w:val="21"/>
          <w:szCs w:val="21"/>
          <w:lang w:val="en-GB" w:eastAsia="zh-CN"/>
        </w:rPr>
        <w:fldChar w:fldCharType="begin"/>
      </w:r>
      <w:r w:rsidRPr="00F00B47">
        <w:rPr>
          <w:rFonts w:ascii="Times New Roman" w:hAnsi="Times New Roman" w:cs="Times New Roman"/>
          <w:sz w:val="21"/>
          <w:szCs w:val="21"/>
          <w:lang w:val="en-GB" w:eastAsia="zh-CN"/>
        </w:rPr>
        <w:instrText xml:space="preserve"> REF _Ref71362025 \h </w:instrText>
      </w:r>
      <w:r w:rsidR="00F00B47" w:rsidRPr="00F00B47">
        <w:rPr>
          <w:rFonts w:ascii="Times New Roman" w:hAnsi="Times New Roman" w:cs="Times New Roman"/>
          <w:sz w:val="21"/>
          <w:szCs w:val="21"/>
          <w:lang w:val="en-GB" w:eastAsia="zh-CN"/>
        </w:rPr>
        <w:instrText xml:space="preserve"> \* MERGEFORMAT </w:instrText>
      </w:r>
      <w:r w:rsidRPr="00F00B47">
        <w:rPr>
          <w:rFonts w:ascii="Times New Roman" w:hAnsi="Times New Roman" w:cs="Times New Roman"/>
          <w:sz w:val="21"/>
          <w:szCs w:val="21"/>
          <w:lang w:val="en-GB" w:eastAsia="zh-CN"/>
        </w:rPr>
      </w:r>
      <w:r w:rsidRPr="00F00B47">
        <w:rPr>
          <w:rFonts w:ascii="Times New Roman" w:hAnsi="Times New Roman" w:cs="Times New Roman"/>
          <w:sz w:val="21"/>
          <w:szCs w:val="21"/>
          <w:lang w:val="en-GB" w:eastAsia="zh-CN"/>
        </w:rPr>
        <w:fldChar w:fldCharType="separate"/>
      </w:r>
      <w:r w:rsidR="00441ED3" w:rsidRPr="008F016A">
        <w:rPr>
          <w:rFonts w:ascii="Times New Roman" w:hAnsi="Times New Roman" w:cs="Times New Roman"/>
          <w:sz w:val="21"/>
          <w:szCs w:val="21"/>
        </w:rPr>
        <w:t xml:space="preserve">Figure </w:t>
      </w:r>
      <w:r w:rsidR="00441ED3" w:rsidRPr="008F016A">
        <w:rPr>
          <w:rFonts w:ascii="Times New Roman" w:hAnsi="Times New Roman" w:cs="Times New Roman"/>
          <w:noProof/>
          <w:sz w:val="21"/>
          <w:szCs w:val="21"/>
        </w:rPr>
        <w:t>1</w:t>
      </w:r>
      <w:r w:rsidRPr="00F00B47">
        <w:rPr>
          <w:rFonts w:ascii="Times New Roman" w:hAnsi="Times New Roman" w:cs="Times New Roman"/>
          <w:sz w:val="21"/>
          <w:szCs w:val="21"/>
          <w:lang w:val="en-GB" w:eastAsia="zh-CN"/>
        </w:rPr>
        <w:fldChar w:fldCharType="end"/>
      </w:r>
      <w:r w:rsidRPr="00F00B47">
        <w:rPr>
          <w:rFonts w:ascii="Times New Roman" w:hAnsi="Times New Roman" w:cs="Times New Roman"/>
          <w:sz w:val="21"/>
          <w:szCs w:val="21"/>
          <w:lang w:val="en-GB" w:eastAsia="zh-CN"/>
        </w:rPr>
        <w:t xml:space="preserve"> where the number of repetitions is denoted by K. </w:t>
      </w:r>
      <w:r w:rsidR="005C3CF0" w:rsidRPr="00F00B47">
        <w:rPr>
          <w:rFonts w:ascii="Times New Roman" w:hAnsi="Times New Roman" w:cs="Times New Roman"/>
          <w:sz w:val="21"/>
          <w:szCs w:val="21"/>
          <w:lang w:val="en-GB" w:eastAsia="zh-CN"/>
        </w:rPr>
        <w:t xml:space="preserve">DMRS bundling is performed across K repetitions </w:t>
      </w:r>
      <w:r w:rsidR="00F77DA7" w:rsidRPr="00F00B47">
        <w:rPr>
          <w:rFonts w:ascii="Times New Roman" w:hAnsi="Times New Roman" w:cs="Times New Roman"/>
          <w:sz w:val="21"/>
          <w:szCs w:val="21"/>
          <w:lang w:val="en-GB" w:eastAsia="zh-CN"/>
        </w:rPr>
        <w:t>during</w:t>
      </w:r>
      <w:r w:rsidR="005C3CF0" w:rsidRPr="00F00B47">
        <w:rPr>
          <w:rFonts w:ascii="Times New Roman" w:hAnsi="Times New Roman" w:cs="Times New Roman"/>
          <w:sz w:val="21"/>
          <w:szCs w:val="21"/>
          <w:lang w:val="en-GB" w:eastAsia="zh-CN"/>
        </w:rPr>
        <w:t xml:space="preserve"> a hop.</w:t>
      </w:r>
      <w:r w:rsidR="002C50D4" w:rsidRPr="00F00B47">
        <w:rPr>
          <w:rFonts w:ascii="Times New Roman" w:hAnsi="Times New Roman" w:cs="Times New Roman"/>
          <w:sz w:val="21"/>
          <w:szCs w:val="21"/>
          <w:lang w:val="en-GB" w:eastAsia="zh-CN"/>
        </w:rPr>
        <w:t xml:space="preserve"> In </w:t>
      </w:r>
      <w:r w:rsidR="006327CA" w:rsidRPr="00F00B47">
        <w:rPr>
          <w:rFonts w:ascii="Times New Roman" w:hAnsi="Times New Roman" w:cs="Times New Roman"/>
          <w:sz w:val="21"/>
          <w:szCs w:val="21"/>
          <w:lang w:val="en-GB" w:eastAsia="zh-CN"/>
        </w:rPr>
        <w:t>the</w:t>
      </w:r>
      <w:r w:rsidR="002C50D4" w:rsidRPr="00F00B47">
        <w:rPr>
          <w:rFonts w:ascii="Times New Roman" w:hAnsi="Times New Roman" w:cs="Times New Roman"/>
          <w:sz w:val="21"/>
          <w:szCs w:val="21"/>
          <w:lang w:val="en-GB" w:eastAsia="zh-CN"/>
        </w:rPr>
        <w:t xml:space="preserve"> evaluation K=2,4,8 are </w:t>
      </w:r>
      <w:r w:rsidR="00843F92" w:rsidRPr="00F00B47">
        <w:rPr>
          <w:rFonts w:ascii="Times New Roman" w:hAnsi="Times New Roman" w:cs="Times New Roman"/>
          <w:sz w:val="21"/>
          <w:szCs w:val="21"/>
          <w:lang w:val="en-GB" w:eastAsia="zh-CN"/>
        </w:rPr>
        <w:t>considered</w:t>
      </w:r>
      <w:r w:rsidR="002C50D4" w:rsidRPr="00F00B47">
        <w:rPr>
          <w:rFonts w:ascii="Times New Roman" w:hAnsi="Times New Roman" w:cs="Times New Roman"/>
          <w:sz w:val="21"/>
          <w:szCs w:val="21"/>
          <w:lang w:val="en-GB" w:eastAsia="zh-CN"/>
        </w:rPr>
        <w:t xml:space="preserve"> for FDD scenario. </w:t>
      </w:r>
      <w:r w:rsidR="006327CA" w:rsidRPr="00F00B47">
        <w:rPr>
          <w:rFonts w:ascii="Times New Roman" w:hAnsi="Times New Roman" w:cs="Times New Roman"/>
          <w:sz w:val="21"/>
          <w:szCs w:val="21"/>
          <w:lang w:val="en-GB" w:eastAsia="zh-CN"/>
        </w:rPr>
        <w:t xml:space="preserve">Details of evaluation parameters are shown in </w:t>
      </w:r>
      <w:r w:rsidR="00AA7C1B" w:rsidRPr="00F00B47">
        <w:rPr>
          <w:rFonts w:ascii="Times New Roman" w:hAnsi="Times New Roman" w:cs="Times New Roman"/>
          <w:sz w:val="21"/>
          <w:szCs w:val="21"/>
          <w:lang w:val="en-GB" w:eastAsia="zh-CN"/>
        </w:rPr>
        <w:t>Appendix</w:t>
      </w:r>
      <w:r w:rsidR="006327CA" w:rsidRPr="00F00B47">
        <w:rPr>
          <w:rFonts w:ascii="Times New Roman" w:hAnsi="Times New Roman" w:cs="Times New Roman"/>
          <w:sz w:val="21"/>
          <w:szCs w:val="21"/>
          <w:lang w:val="en-GB" w:eastAsia="zh-CN"/>
        </w:rPr>
        <w:t xml:space="preserve">. </w:t>
      </w:r>
      <w:r w:rsidR="002D5993" w:rsidRPr="00F00B47">
        <w:rPr>
          <w:rFonts w:ascii="Times New Roman" w:hAnsi="Times New Roman" w:cs="Times New Roman"/>
          <w:sz w:val="21"/>
          <w:szCs w:val="21"/>
          <w:lang w:val="en-GB" w:eastAsia="zh-CN"/>
        </w:rPr>
        <w:t xml:space="preserve">From the evaluation results shown in </w:t>
      </w:r>
      <w:r w:rsidR="002D5993" w:rsidRPr="00F00B47">
        <w:rPr>
          <w:rFonts w:ascii="Times New Roman" w:hAnsi="Times New Roman" w:cs="Times New Roman"/>
          <w:sz w:val="21"/>
          <w:szCs w:val="21"/>
          <w:lang w:val="en-GB" w:eastAsia="zh-CN"/>
        </w:rPr>
        <w:fldChar w:fldCharType="begin"/>
      </w:r>
      <w:r w:rsidR="002D5993" w:rsidRPr="00F00B47">
        <w:rPr>
          <w:rFonts w:ascii="Times New Roman" w:hAnsi="Times New Roman" w:cs="Times New Roman"/>
          <w:sz w:val="21"/>
          <w:szCs w:val="21"/>
          <w:lang w:val="en-GB" w:eastAsia="zh-CN"/>
        </w:rPr>
        <w:instrText xml:space="preserve"> REF _Ref71363166 \h </w:instrText>
      </w:r>
      <w:r w:rsidR="00F00B47" w:rsidRPr="00F00B47">
        <w:rPr>
          <w:rFonts w:ascii="Times New Roman" w:hAnsi="Times New Roman" w:cs="Times New Roman"/>
          <w:sz w:val="21"/>
          <w:szCs w:val="21"/>
          <w:lang w:val="en-GB" w:eastAsia="zh-CN"/>
        </w:rPr>
        <w:instrText xml:space="preserve"> \* MERGEFORMAT </w:instrText>
      </w:r>
      <w:r w:rsidR="002D5993" w:rsidRPr="00F00B47">
        <w:rPr>
          <w:rFonts w:ascii="Times New Roman" w:hAnsi="Times New Roman" w:cs="Times New Roman"/>
          <w:sz w:val="21"/>
          <w:szCs w:val="21"/>
          <w:lang w:val="en-GB" w:eastAsia="zh-CN"/>
        </w:rPr>
      </w:r>
      <w:r w:rsidR="002D5993" w:rsidRPr="00F00B47">
        <w:rPr>
          <w:rFonts w:ascii="Times New Roman" w:hAnsi="Times New Roman" w:cs="Times New Roman"/>
          <w:sz w:val="21"/>
          <w:szCs w:val="21"/>
          <w:lang w:val="en-GB" w:eastAsia="zh-CN"/>
        </w:rPr>
        <w:fldChar w:fldCharType="separate"/>
      </w:r>
      <w:r w:rsidR="00441ED3" w:rsidRPr="008F016A">
        <w:rPr>
          <w:rFonts w:ascii="Times New Roman" w:hAnsi="Times New Roman" w:cs="Times New Roman"/>
          <w:sz w:val="21"/>
          <w:szCs w:val="21"/>
        </w:rPr>
        <w:t xml:space="preserve">Figure </w:t>
      </w:r>
      <w:r w:rsidR="00441ED3" w:rsidRPr="008F016A">
        <w:rPr>
          <w:rFonts w:ascii="Times New Roman" w:hAnsi="Times New Roman" w:cs="Times New Roman"/>
          <w:noProof/>
          <w:sz w:val="21"/>
          <w:szCs w:val="21"/>
        </w:rPr>
        <w:t>2</w:t>
      </w:r>
      <w:r w:rsidR="002D5993" w:rsidRPr="00F00B47">
        <w:rPr>
          <w:rFonts w:ascii="Times New Roman" w:hAnsi="Times New Roman" w:cs="Times New Roman"/>
          <w:sz w:val="21"/>
          <w:szCs w:val="21"/>
          <w:lang w:val="en-GB" w:eastAsia="zh-CN"/>
        </w:rPr>
        <w:fldChar w:fldCharType="end"/>
      </w:r>
      <w:r w:rsidR="002D5993" w:rsidRPr="00F00B47">
        <w:rPr>
          <w:rFonts w:ascii="Times New Roman" w:hAnsi="Times New Roman" w:cs="Times New Roman"/>
          <w:sz w:val="21"/>
          <w:szCs w:val="21"/>
          <w:lang w:val="en-GB" w:eastAsia="zh-CN"/>
        </w:rPr>
        <w:t>, it is clear that</w:t>
      </w:r>
      <w:r w:rsidR="00C9408C" w:rsidRPr="00F00B47">
        <w:rPr>
          <w:rFonts w:ascii="Times New Roman" w:hAnsi="Times New Roman" w:cs="Times New Roman"/>
          <w:sz w:val="21"/>
          <w:szCs w:val="21"/>
          <w:lang w:val="en-GB" w:eastAsia="zh-CN"/>
        </w:rPr>
        <w:t xml:space="preserve"> as the number of repetitions per hop increases more gain can be obtained by bundling DM-RS symbols across repetitions.</w:t>
      </w:r>
      <w:r w:rsidR="00F96F79">
        <w:rPr>
          <w:rFonts w:ascii="Times New Roman" w:hAnsi="Times New Roman" w:cs="Times New Roman"/>
          <w:sz w:val="21"/>
          <w:szCs w:val="21"/>
          <w:lang w:val="en-GB" w:eastAsia="zh-CN"/>
        </w:rPr>
        <w:t xml:space="preserve"> In the evaluation, 11-bit PUCCH format 3 </w:t>
      </w:r>
      <w:r w:rsidR="001E333C">
        <w:rPr>
          <w:rFonts w:ascii="Times New Roman" w:hAnsi="Times New Roman" w:cs="Times New Roman"/>
          <w:sz w:val="21"/>
          <w:szCs w:val="21"/>
          <w:lang w:val="en-GB" w:eastAsia="zh-CN"/>
        </w:rPr>
        <w:t>is</w:t>
      </w:r>
      <w:r w:rsidR="00F96F79">
        <w:rPr>
          <w:rFonts w:ascii="Times New Roman" w:hAnsi="Times New Roman" w:cs="Times New Roman"/>
          <w:sz w:val="21"/>
          <w:szCs w:val="21"/>
          <w:lang w:val="en-GB" w:eastAsia="zh-CN"/>
        </w:rPr>
        <w:t xml:space="preserve"> evaluate</w:t>
      </w:r>
      <w:r w:rsidR="00F4141C">
        <w:rPr>
          <w:rFonts w:ascii="Times New Roman" w:hAnsi="Times New Roman" w:cs="Times New Roman"/>
          <w:sz w:val="21"/>
          <w:szCs w:val="21"/>
          <w:lang w:val="en-GB" w:eastAsia="zh-CN"/>
        </w:rPr>
        <w:t>d</w:t>
      </w:r>
      <w:r w:rsidR="00781590">
        <w:rPr>
          <w:rFonts w:ascii="Times New Roman" w:hAnsi="Times New Roman" w:cs="Times New Roman"/>
          <w:sz w:val="21"/>
          <w:szCs w:val="21"/>
          <w:lang w:val="en-GB" w:eastAsia="zh-CN"/>
        </w:rPr>
        <w:t xml:space="preserve"> and frequency hopping patte</w:t>
      </w:r>
      <w:r w:rsidR="00E35EEF">
        <w:rPr>
          <w:rFonts w:ascii="Times New Roman" w:hAnsi="Times New Roman" w:cs="Times New Roman"/>
          <w:sz w:val="21"/>
          <w:szCs w:val="21"/>
          <w:lang w:val="en-GB" w:eastAsia="zh-CN"/>
        </w:rPr>
        <w:t>r</w:t>
      </w:r>
      <w:r w:rsidR="00781590">
        <w:rPr>
          <w:rFonts w:ascii="Times New Roman" w:hAnsi="Times New Roman" w:cs="Times New Roman"/>
          <w:sz w:val="21"/>
          <w:szCs w:val="21"/>
          <w:lang w:val="en-GB" w:eastAsia="zh-CN"/>
        </w:rPr>
        <w:t>n shown in Figure 1 is ev</w:t>
      </w:r>
      <w:r w:rsidR="005206E6">
        <w:rPr>
          <w:rFonts w:ascii="Times New Roman" w:hAnsi="Times New Roman" w:cs="Times New Roman"/>
          <w:sz w:val="21"/>
          <w:szCs w:val="21"/>
          <w:lang w:val="en-GB" w:eastAsia="zh-CN"/>
        </w:rPr>
        <w:t>aluated</w:t>
      </w:r>
      <w:r w:rsidR="00F96F79">
        <w:rPr>
          <w:rFonts w:ascii="Times New Roman" w:hAnsi="Times New Roman" w:cs="Times New Roman"/>
          <w:sz w:val="21"/>
          <w:szCs w:val="21"/>
          <w:lang w:val="en-GB" w:eastAsia="zh-CN"/>
        </w:rPr>
        <w:t>.</w:t>
      </w:r>
      <w:r w:rsidR="0069233C" w:rsidRPr="00F00B47">
        <w:rPr>
          <w:rFonts w:ascii="Times New Roman" w:hAnsi="Times New Roman" w:cs="Times New Roman"/>
          <w:sz w:val="21"/>
          <w:szCs w:val="21"/>
          <w:lang w:val="en-GB" w:eastAsia="zh-CN"/>
        </w:rPr>
        <w:t xml:space="preserve"> The loss of performance due to</w:t>
      </w:r>
      <w:r w:rsidR="00AF0D42" w:rsidRPr="00F00B47">
        <w:rPr>
          <w:rFonts w:ascii="Times New Roman" w:hAnsi="Times New Roman" w:cs="Times New Roman"/>
          <w:sz w:val="21"/>
          <w:szCs w:val="21"/>
          <w:lang w:val="en-GB" w:eastAsia="zh-CN"/>
        </w:rPr>
        <w:t xml:space="preserve"> mobility</w:t>
      </w:r>
      <w:r w:rsidR="0069233C" w:rsidRPr="00F00B47">
        <w:rPr>
          <w:rFonts w:ascii="Times New Roman" w:hAnsi="Times New Roman" w:cs="Times New Roman"/>
          <w:sz w:val="21"/>
          <w:szCs w:val="21"/>
          <w:lang w:val="en-GB" w:eastAsia="zh-CN"/>
        </w:rPr>
        <w:t xml:space="preserve"> is not visible from the evaluation results.</w:t>
      </w:r>
      <w:r w:rsidR="00EB5090" w:rsidRPr="00F00B47">
        <w:rPr>
          <w:rFonts w:ascii="Times New Roman" w:hAnsi="Times New Roman" w:cs="Times New Roman"/>
          <w:sz w:val="21"/>
          <w:szCs w:val="21"/>
          <w:lang w:val="en-GB" w:eastAsia="zh-CN"/>
        </w:rPr>
        <w:t xml:space="preserve"> Thus, based on the evaluation results, we make the following observations</w:t>
      </w:r>
      <w:r w:rsidR="00DF2513">
        <w:rPr>
          <w:rFonts w:ascii="Times New Roman" w:hAnsi="Times New Roman" w:cs="Times New Roman"/>
          <w:sz w:val="21"/>
          <w:szCs w:val="21"/>
          <w:lang w:val="en-GB" w:eastAsia="zh-CN"/>
        </w:rPr>
        <w:t xml:space="preserve"> and proposals</w:t>
      </w:r>
      <w:r w:rsidR="00E81024">
        <w:rPr>
          <w:rFonts w:ascii="Times New Roman" w:hAnsi="Times New Roman" w:cs="Times New Roman"/>
          <w:sz w:val="21"/>
          <w:szCs w:val="21"/>
          <w:lang w:val="en-GB" w:eastAsia="zh-CN"/>
        </w:rPr>
        <w:t>.</w:t>
      </w:r>
    </w:p>
    <w:p w14:paraId="17A0474D" w14:textId="629AA46D" w:rsidR="00EB5090" w:rsidRPr="00F00B47" w:rsidRDefault="0051650B" w:rsidP="00DD3EAF">
      <w:pPr>
        <w:rPr>
          <w:rFonts w:ascii="Times New Roman" w:hAnsi="Times New Roman" w:cs="Times New Roman"/>
          <w:b/>
          <w:bCs/>
          <w:sz w:val="21"/>
          <w:szCs w:val="21"/>
          <w:lang w:val="en-GB" w:eastAsia="zh-CN"/>
        </w:rPr>
      </w:pPr>
      <w:r w:rsidRPr="00F00B47">
        <w:rPr>
          <w:rFonts w:ascii="Times New Roman" w:hAnsi="Times New Roman" w:cs="Times New Roman"/>
          <w:b/>
          <w:bCs/>
          <w:sz w:val="21"/>
          <w:szCs w:val="21"/>
          <w:lang w:val="en-GB" w:eastAsia="zh-CN"/>
        </w:rPr>
        <w:t>Observation</w:t>
      </w:r>
      <w:r w:rsidR="00EE2D4E" w:rsidRPr="00F00B47">
        <w:rPr>
          <w:rFonts w:ascii="Times New Roman" w:hAnsi="Times New Roman" w:cs="Times New Roman"/>
          <w:b/>
          <w:bCs/>
          <w:sz w:val="21"/>
          <w:szCs w:val="21"/>
          <w:lang w:val="en-GB" w:eastAsia="zh-CN"/>
        </w:rPr>
        <w:t xml:space="preserve"> </w:t>
      </w:r>
      <w:r w:rsidR="00770E01">
        <w:rPr>
          <w:rFonts w:ascii="Times New Roman" w:hAnsi="Times New Roman" w:cs="Times New Roman"/>
          <w:b/>
          <w:bCs/>
          <w:sz w:val="21"/>
          <w:szCs w:val="21"/>
          <w:lang w:val="en-GB" w:eastAsia="zh-CN"/>
        </w:rPr>
        <w:t>3</w:t>
      </w:r>
      <w:r w:rsidR="00EE2D4E" w:rsidRPr="00F00B47">
        <w:rPr>
          <w:rFonts w:ascii="Times New Roman" w:hAnsi="Times New Roman" w:cs="Times New Roman"/>
          <w:b/>
          <w:bCs/>
          <w:sz w:val="21"/>
          <w:szCs w:val="21"/>
          <w:lang w:val="en-GB" w:eastAsia="zh-CN"/>
        </w:rPr>
        <w:t xml:space="preserve">: For inter-slot </w:t>
      </w:r>
      <w:r w:rsidRPr="00F00B47">
        <w:rPr>
          <w:rFonts w:ascii="Times New Roman" w:hAnsi="Times New Roman" w:cs="Times New Roman"/>
          <w:b/>
          <w:bCs/>
          <w:sz w:val="21"/>
          <w:szCs w:val="21"/>
          <w:lang w:val="en-GB" w:eastAsia="zh-CN"/>
        </w:rPr>
        <w:t>frequency</w:t>
      </w:r>
      <w:r w:rsidR="00EE2D4E" w:rsidRPr="00F00B47">
        <w:rPr>
          <w:rFonts w:ascii="Times New Roman" w:hAnsi="Times New Roman" w:cs="Times New Roman"/>
          <w:b/>
          <w:bCs/>
          <w:sz w:val="21"/>
          <w:szCs w:val="21"/>
          <w:lang w:val="en-GB" w:eastAsia="zh-CN"/>
        </w:rPr>
        <w:t xml:space="preserve"> hopping for PUCCH with </w:t>
      </w:r>
      <w:r w:rsidR="00BD00C9" w:rsidRPr="00F00B47">
        <w:rPr>
          <w:rFonts w:ascii="Times New Roman" w:hAnsi="Times New Roman" w:cs="Times New Roman"/>
          <w:b/>
          <w:bCs/>
          <w:sz w:val="21"/>
          <w:szCs w:val="21"/>
          <w:lang w:val="en-GB" w:eastAsia="zh-CN"/>
        </w:rPr>
        <w:t>DMRS bundling</w:t>
      </w:r>
      <w:r w:rsidR="00EE2D4E" w:rsidRPr="00F00B47">
        <w:rPr>
          <w:rFonts w:ascii="Times New Roman" w:hAnsi="Times New Roman" w:cs="Times New Roman"/>
          <w:b/>
          <w:bCs/>
          <w:sz w:val="21"/>
          <w:szCs w:val="21"/>
          <w:lang w:val="en-GB" w:eastAsia="zh-CN"/>
        </w:rPr>
        <w:t>, extending the number of repetitions up to K=8 per hop yields significant gain.</w:t>
      </w:r>
    </w:p>
    <w:p w14:paraId="208DE4A6" w14:textId="3E465F68" w:rsidR="0051650B" w:rsidRPr="00F00B47" w:rsidRDefault="0051650B" w:rsidP="00DD3EAF">
      <w:pPr>
        <w:rPr>
          <w:rFonts w:ascii="Times New Roman" w:hAnsi="Times New Roman" w:cs="Times New Roman"/>
          <w:b/>
          <w:bCs/>
          <w:sz w:val="21"/>
          <w:szCs w:val="21"/>
          <w:lang w:val="en-GB" w:eastAsia="zh-CN"/>
        </w:rPr>
      </w:pPr>
      <w:r w:rsidRPr="00F00B47">
        <w:rPr>
          <w:rFonts w:ascii="Times New Roman" w:hAnsi="Times New Roman" w:cs="Times New Roman"/>
          <w:b/>
          <w:bCs/>
          <w:sz w:val="21"/>
          <w:szCs w:val="21"/>
          <w:lang w:val="en-GB" w:eastAsia="zh-CN"/>
        </w:rPr>
        <w:t xml:space="preserve">Proposal </w:t>
      </w:r>
      <w:r w:rsidR="00770E01">
        <w:rPr>
          <w:rFonts w:ascii="Times New Roman" w:hAnsi="Times New Roman" w:cs="Times New Roman"/>
          <w:b/>
          <w:bCs/>
          <w:sz w:val="21"/>
          <w:szCs w:val="21"/>
          <w:lang w:val="en-GB" w:eastAsia="zh-CN"/>
        </w:rPr>
        <w:t>5</w:t>
      </w:r>
      <w:r w:rsidRPr="00F00B47">
        <w:rPr>
          <w:rFonts w:ascii="Times New Roman" w:hAnsi="Times New Roman" w:cs="Times New Roman"/>
          <w:b/>
          <w:bCs/>
          <w:sz w:val="21"/>
          <w:szCs w:val="21"/>
          <w:lang w:val="en-GB" w:eastAsia="zh-CN"/>
        </w:rPr>
        <w:t>: Support a hopping pattern</w:t>
      </w:r>
      <w:r w:rsidR="00BA3B02" w:rsidRPr="00F00B47">
        <w:rPr>
          <w:rFonts w:ascii="Times New Roman" w:hAnsi="Times New Roman" w:cs="Times New Roman"/>
          <w:b/>
          <w:bCs/>
          <w:sz w:val="21"/>
          <w:szCs w:val="21"/>
          <w:lang w:val="en-GB" w:eastAsia="zh-CN"/>
        </w:rPr>
        <w:t xml:space="preserve"> </w:t>
      </w:r>
      <w:r w:rsidR="00662ED5" w:rsidRPr="00F00B47">
        <w:rPr>
          <w:rFonts w:ascii="Times New Roman" w:hAnsi="Times New Roman" w:cs="Times New Roman"/>
          <w:b/>
          <w:bCs/>
          <w:sz w:val="21"/>
          <w:szCs w:val="21"/>
          <w:lang w:val="en-GB" w:eastAsia="zh-CN"/>
        </w:rPr>
        <w:t>with</w:t>
      </w:r>
      <w:r w:rsidR="00BA3B02" w:rsidRPr="00F00B47">
        <w:rPr>
          <w:rFonts w:ascii="Times New Roman" w:hAnsi="Times New Roman" w:cs="Times New Roman"/>
          <w:b/>
          <w:bCs/>
          <w:sz w:val="21"/>
          <w:szCs w:val="21"/>
          <w:lang w:val="en-GB" w:eastAsia="zh-CN"/>
        </w:rPr>
        <w:t xml:space="preserve"> DMRS bundling</w:t>
      </w:r>
      <w:r w:rsidRPr="00F00B47">
        <w:rPr>
          <w:rFonts w:ascii="Times New Roman" w:hAnsi="Times New Roman" w:cs="Times New Roman"/>
          <w:b/>
          <w:bCs/>
          <w:sz w:val="21"/>
          <w:szCs w:val="21"/>
          <w:lang w:val="en-GB" w:eastAsia="zh-CN"/>
        </w:rPr>
        <w:t xml:space="preserve"> where during one hop, all of K </w:t>
      </w:r>
      <w:r w:rsidR="00796019" w:rsidRPr="00F00B47">
        <w:rPr>
          <w:rFonts w:ascii="Times New Roman" w:hAnsi="Times New Roman" w:cs="Times New Roman"/>
          <w:b/>
          <w:bCs/>
          <w:sz w:val="21"/>
          <w:szCs w:val="21"/>
          <w:lang w:val="en-GB" w:eastAsia="zh-CN"/>
        </w:rPr>
        <w:t>repetitions</w:t>
      </w:r>
      <w:r w:rsidRPr="00F00B47">
        <w:rPr>
          <w:rFonts w:ascii="Times New Roman" w:hAnsi="Times New Roman" w:cs="Times New Roman"/>
          <w:b/>
          <w:bCs/>
          <w:sz w:val="21"/>
          <w:szCs w:val="21"/>
          <w:lang w:val="en-GB" w:eastAsia="zh-CN"/>
        </w:rPr>
        <w:t xml:space="preserve"> are included</w:t>
      </w:r>
    </w:p>
    <w:p w14:paraId="472710E4" w14:textId="2CC6FA44" w:rsidR="0051650B" w:rsidRPr="00F00B47" w:rsidRDefault="0051650B" w:rsidP="00DD3EAF">
      <w:pPr>
        <w:rPr>
          <w:rFonts w:ascii="Times New Roman" w:hAnsi="Times New Roman" w:cs="Times New Roman"/>
          <w:b/>
          <w:bCs/>
          <w:sz w:val="21"/>
          <w:szCs w:val="21"/>
          <w:lang w:val="en-GB" w:eastAsia="zh-CN"/>
        </w:rPr>
      </w:pPr>
      <w:r w:rsidRPr="00F00B47">
        <w:rPr>
          <w:rFonts w:ascii="Times New Roman" w:hAnsi="Times New Roman" w:cs="Times New Roman"/>
          <w:b/>
          <w:bCs/>
          <w:sz w:val="21"/>
          <w:szCs w:val="21"/>
          <w:lang w:val="en-GB" w:eastAsia="zh-CN"/>
        </w:rPr>
        <w:t xml:space="preserve">Proposal </w:t>
      </w:r>
      <w:r w:rsidR="00770E01">
        <w:rPr>
          <w:rFonts w:ascii="Times New Roman" w:hAnsi="Times New Roman" w:cs="Times New Roman"/>
          <w:b/>
          <w:bCs/>
          <w:sz w:val="21"/>
          <w:szCs w:val="21"/>
          <w:lang w:val="en-GB" w:eastAsia="zh-CN"/>
        </w:rPr>
        <w:t>6</w:t>
      </w:r>
      <w:r w:rsidRPr="00F00B47">
        <w:rPr>
          <w:rFonts w:ascii="Times New Roman" w:hAnsi="Times New Roman" w:cs="Times New Roman"/>
          <w:b/>
          <w:bCs/>
          <w:sz w:val="21"/>
          <w:szCs w:val="21"/>
          <w:lang w:val="en-GB" w:eastAsia="zh-CN"/>
        </w:rPr>
        <w:t xml:space="preserve">: Support at least K=2,4,8 for the number of repetitions for inter-slot FH with joint channel estimation </w:t>
      </w:r>
    </w:p>
    <w:p w14:paraId="7458EA95" w14:textId="42F0538A" w:rsidR="0082476B" w:rsidRDefault="00A72F55" w:rsidP="002D5993">
      <w:pPr>
        <w:keepNext/>
        <w:spacing w:after="0"/>
        <w:jc w:val="center"/>
      </w:pPr>
      <w:r w:rsidRPr="00A72F55">
        <w:rPr>
          <w:noProof/>
        </w:rPr>
        <w:lastRenderedPageBreak/>
        <w:drawing>
          <wp:inline distT="0" distB="0" distL="0" distR="0" wp14:anchorId="6A30FE3C" wp14:editId="25042FB3">
            <wp:extent cx="4546600" cy="34085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58805" cy="3417745"/>
                    </a:xfrm>
                    <a:prstGeom prst="rect">
                      <a:avLst/>
                    </a:prstGeom>
                    <a:noFill/>
                    <a:ln>
                      <a:noFill/>
                    </a:ln>
                  </pic:spPr>
                </pic:pic>
              </a:graphicData>
            </a:graphic>
          </wp:inline>
        </w:drawing>
      </w:r>
    </w:p>
    <w:p w14:paraId="7C909E22" w14:textId="196345BF" w:rsidR="00A04CF0" w:rsidRDefault="0082476B" w:rsidP="00F71E87">
      <w:pPr>
        <w:pStyle w:val="Caption"/>
      </w:pPr>
      <w:bookmarkStart w:id="3" w:name="_Ref71363166"/>
      <w:r w:rsidRPr="008D49F8">
        <w:t xml:space="preserve">Figure </w:t>
      </w:r>
      <w:r w:rsidR="00AE15D8">
        <w:fldChar w:fldCharType="begin"/>
      </w:r>
      <w:r w:rsidR="00AE15D8">
        <w:instrText xml:space="preserve"> SEQ Figure \* ARABIC </w:instrText>
      </w:r>
      <w:r w:rsidR="00AE15D8">
        <w:fldChar w:fldCharType="separate"/>
      </w:r>
      <w:r w:rsidR="00441ED3">
        <w:rPr>
          <w:noProof/>
        </w:rPr>
        <w:t>2</w:t>
      </w:r>
      <w:r w:rsidR="00AE15D8">
        <w:rPr>
          <w:noProof/>
        </w:rPr>
        <w:fldChar w:fldCharType="end"/>
      </w:r>
      <w:bookmarkEnd w:id="3"/>
      <w:r w:rsidRPr="008D49F8">
        <w:t xml:space="preserve"> </w:t>
      </w:r>
      <w:r w:rsidR="00583AC2" w:rsidRPr="008D49F8">
        <w:t>BLER performance of PUCCH,</w:t>
      </w:r>
      <w:r w:rsidR="001D32F7">
        <w:t xml:space="preserve"> with inter-slot frequency hopping</w:t>
      </w:r>
      <w:r w:rsidR="007E630C">
        <w:t>,</w:t>
      </w:r>
      <w:r w:rsidR="00583AC2" w:rsidRPr="008D49F8">
        <w:t xml:space="preserve"> format 3 with </w:t>
      </w:r>
      <w:r w:rsidR="008619DE">
        <w:t>11</w:t>
      </w:r>
      <w:r w:rsidR="008619DE" w:rsidRPr="008D49F8">
        <w:t xml:space="preserve"> </w:t>
      </w:r>
      <w:r w:rsidR="00583AC2" w:rsidRPr="008D49F8">
        <w:t>bits</w:t>
      </w:r>
      <w:r w:rsidR="006B76CB" w:rsidRPr="008D49F8">
        <w:t xml:space="preserve"> with different number of repetitions (K)</w:t>
      </w:r>
      <w:r w:rsidR="00F77DA7">
        <w:t>, FDD</w:t>
      </w:r>
      <w:r w:rsidR="00E91CEA">
        <w:t xml:space="preserve">, </w:t>
      </w:r>
      <w:r w:rsidR="000D1DDE">
        <w:t>120</w:t>
      </w:r>
      <w:r w:rsidR="00E91CEA">
        <w:t>km/hr</w:t>
      </w:r>
    </w:p>
    <w:p w14:paraId="3358BB15" w14:textId="3DAF818C" w:rsidR="00E83C18" w:rsidRPr="00E83C18" w:rsidRDefault="000A258F" w:rsidP="00E83C18">
      <w:r>
        <w:t xml:space="preserve">In addition, the BLER performance of a frequency hopping pattern shown in </w:t>
      </w:r>
      <w:r>
        <w:fldChar w:fldCharType="begin"/>
      </w:r>
      <w:r>
        <w:instrText xml:space="preserve"> REF _Ref71621620 \h </w:instrText>
      </w:r>
      <w:r>
        <w:fldChar w:fldCharType="separate"/>
      </w:r>
      <w:r w:rsidR="00441ED3">
        <w:t xml:space="preserve">Figure </w:t>
      </w:r>
      <w:r w:rsidR="00441ED3">
        <w:rPr>
          <w:noProof/>
        </w:rPr>
        <w:t>3</w:t>
      </w:r>
      <w:r>
        <w:fldChar w:fldCharType="end"/>
      </w:r>
      <w:r>
        <w:t xml:space="preserve"> </w:t>
      </w:r>
      <w:r w:rsidR="009C6953">
        <w:t xml:space="preserve">where K=4 denotes the number of repetitions in a bundle and </w:t>
      </w:r>
      <w:r w:rsidR="00597F91">
        <w:t xml:space="preserve">M </w:t>
      </w:r>
      <w:r w:rsidR="009C6953">
        <w:t>denotes the number of repetitions contained in a sub-bundle hop.</w:t>
      </w:r>
      <w:r w:rsidR="000C0B5D">
        <w:t xml:space="preserve"> The intention of the frequency pattern is to gain additional frequency gain by hopping within a bundle.</w:t>
      </w:r>
      <w:r w:rsidR="00DC686D">
        <w:t xml:space="preserve"> The </w:t>
      </w:r>
      <w:r w:rsidR="00687968">
        <w:t>performance</w:t>
      </w:r>
      <w:r w:rsidR="00DC686D">
        <w:t xml:space="preserve"> </w:t>
      </w:r>
      <w:r w:rsidR="00687968">
        <w:t>comparison</w:t>
      </w:r>
      <w:r w:rsidR="00DC686D">
        <w:t xml:space="preserve"> between the hopping pattern </w:t>
      </w:r>
      <w:r w:rsidR="000F5E17">
        <w:t xml:space="preserve">illustrated </w:t>
      </w:r>
      <w:r w:rsidR="00DC686D">
        <w:t xml:space="preserve">in </w:t>
      </w:r>
      <w:r w:rsidR="00441ED3">
        <w:fldChar w:fldCharType="begin"/>
      </w:r>
      <w:r w:rsidR="00441ED3">
        <w:instrText xml:space="preserve"> REF _Ref71362025 \h </w:instrText>
      </w:r>
      <w:r w:rsidR="00441ED3">
        <w:fldChar w:fldCharType="separate"/>
      </w:r>
      <w:r w:rsidR="00441ED3">
        <w:t xml:space="preserve">Figure </w:t>
      </w:r>
      <w:r w:rsidR="00441ED3">
        <w:rPr>
          <w:noProof/>
        </w:rPr>
        <w:t>1</w:t>
      </w:r>
      <w:r w:rsidR="00441ED3">
        <w:fldChar w:fldCharType="end"/>
      </w:r>
      <w:r w:rsidR="00441ED3">
        <w:t xml:space="preserve"> </w:t>
      </w:r>
      <w:r w:rsidR="00DC686D">
        <w:t xml:space="preserve">and </w:t>
      </w:r>
      <w:r w:rsidR="00441ED3">
        <w:fldChar w:fldCharType="begin"/>
      </w:r>
      <w:r w:rsidR="00441ED3">
        <w:instrText xml:space="preserve"> REF _Ref71621620 \h </w:instrText>
      </w:r>
      <w:r w:rsidR="00441ED3">
        <w:fldChar w:fldCharType="separate"/>
      </w:r>
      <w:r w:rsidR="00441ED3">
        <w:t xml:space="preserve">Figure </w:t>
      </w:r>
      <w:r w:rsidR="00441ED3">
        <w:rPr>
          <w:noProof/>
        </w:rPr>
        <w:t>3</w:t>
      </w:r>
      <w:r w:rsidR="00441ED3">
        <w:fldChar w:fldCharType="end"/>
      </w:r>
      <w:r w:rsidR="00DC686D">
        <w:t xml:space="preserve"> are shown in Figure 4.</w:t>
      </w:r>
      <w:r w:rsidR="00687968">
        <w:t xml:space="preserve"> Both K=4 and K=8 are evaluated and 22-bit format 3 PUCCH was used in the evaluation.</w:t>
      </w:r>
      <w:r w:rsidR="004A703D">
        <w:t xml:space="preserve"> For both parameters, one sub-bundle hop (M=2 for K=4 and M=4 for K=8) was evaluated.</w:t>
      </w:r>
      <w:r w:rsidR="00687968">
        <w:t xml:space="preserve"> From the evaluation result, it is clear that approximate performance gain of 2-3dB at BLER=</w:t>
      </w:r>
      <m:oMath>
        <m:sSup>
          <m:sSupPr>
            <m:ctrlPr>
              <w:rPr>
                <w:rFonts w:ascii="Cambria Math" w:hAnsi="Cambria Math"/>
                <w:i/>
              </w:rPr>
            </m:ctrlPr>
          </m:sSupPr>
          <m:e>
            <m:r>
              <w:rPr>
                <w:rFonts w:ascii="Cambria Math" w:hAnsi="Cambria Math"/>
              </w:rPr>
              <m:t>10</m:t>
            </m:r>
          </m:e>
          <m:sup>
            <m:r>
              <w:rPr>
                <w:rFonts w:ascii="Cambria Math" w:hAnsi="Cambria Math"/>
              </w:rPr>
              <m:t>-3</m:t>
            </m:r>
          </m:sup>
        </m:sSup>
      </m:oMath>
      <w:r w:rsidR="00687968">
        <w:t xml:space="preserve"> can be obtained by using the sub-bundle FH pattern.  </w:t>
      </w:r>
    </w:p>
    <w:p w14:paraId="6854E8D9" w14:textId="77777777" w:rsidR="00CB477A" w:rsidRDefault="00CB477A" w:rsidP="00CB477A">
      <w:pPr>
        <w:keepNext/>
        <w:spacing w:after="0"/>
        <w:jc w:val="center"/>
      </w:pPr>
      <w:r w:rsidRPr="00CB477A">
        <w:rPr>
          <w:noProof/>
        </w:rPr>
        <w:drawing>
          <wp:inline distT="0" distB="0" distL="0" distR="0" wp14:anchorId="350DB855" wp14:editId="27AF9F4F">
            <wp:extent cx="3499508" cy="2470150"/>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06866" cy="2475344"/>
                    </a:xfrm>
                    <a:prstGeom prst="rect">
                      <a:avLst/>
                    </a:prstGeom>
                    <a:noFill/>
                    <a:ln>
                      <a:noFill/>
                    </a:ln>
                  </pic:spPr>
                </pic:pic>
              </a:graphicData>
            </a:graphic>
          </wp:inline>
        </w:drawing>
      </w:r>
    </w:p>
    <w:p w14:paraId="119420A6" w14:textId="637F483C" w:rsidR="00A04CF0" w:rsidRDefault="00CB477A" w:rsidP="00CB477A">
      <w:pPr>
        <w:pStyle w:val="Caption"/>
        <w:rPr>
          <w:rFonts w:ascii="Times New Roman" w:hAnsi="Times New Roman" w:cs="Times New Roman"/>
          <w:sz w:val="21"/>
          <w:szCs w:val="21"/>
          <w:lang w:val="en-GB" w:eastAsia="zh-CN"/>
        </w:rPr>
      </w:pPr>
      <w:bookmarkStart w:id="4" w:name="_Ref71621620"/>
      <w:r>
        <w:t xml:space="preserve">Figure </w:t>
      </w:r>
      <w:r w:rsidR="00AE15D8">
        <w:fldChar w:fldCharType="begin"/>
      </w:r>
      <w:r w:rsidR="00AE15D8">
        <w:instrText xml:space="preserve"> SEQ Figure \* ARABIC </w:instrText>
      </w:r>
      <w:r w:rsidR="00AE15D8">
        <w:fldChar w:fldCharType="separate"/>
      </w:r>
      <w:r w:rsidR="00441ED3">
        <w:rPr>
          <w:noProof/>
        </w:rPr>
        <w:t>3</w:t>
      </w:r>
      <w:r w:rsidR="00AE15D8">
        <w:rPr>
          <w:noProof/>
        </w:rPr>
        <w:fldChar w:fldCharType="end"/>
      </w:r>
      <w:bookmarkEnd w:id="4"/>
      <w:r>
        <w:t xml:space="preserve"> </w:t>
      </w:r>
      <w:r w:rsidR="000B0F59">
        <w:t xml:space="preserve">An example </w:t>
      </w:r>
      <w:r w:rsidR="000348E6">
        <w:t xml:space="preserve">of a </w:t>
      </w:r>
      <w:r>
        <w:t>sub-</w:t>
      </w:r>
      <w:r w:rsidR="00773A6A">
        <w:t xml:space="preserve">bundle </w:t>
      </w:r>
      <w:r>
        <w:t xml:space="preserve">FH </w:t>
      </w:r>
      <w:r w:rsidR="005F53DB">
        <w:t>pattern</w:t>
      </w:r>
      <w:r w:rsidR="00B529DB">
        <w:t>, K=4, M=2</w:t>
      </w:r>
      <w:r w:rsidR="00EE2D67">
        <w:t xml:space="preserve"> (sub-bundle hop duration)</w:t>
      </w:r>
    </w:p>
    <w:p w14:paraId="0B477A3D" w14:textId="227B1F50" w:rsidR="00DD3EAF" w:rsidRDefault="00DD3EAF" w:rsidP="00B21536">
      <w:pPr>
        <w:spacing w:after="0"/>
        <w:rPr>
          <w:rFonts w:ascii="Times New Roman" w:hAnsi="Times New Roman" w:cs="Times New Roman"/>
          <w:sz w:val="21"/>
          <w:szCs w:val="21"/>
          <w:lang w:val="en-GB" w:eastAsia="zh-CN"/>
        </w:rPr>
      </w:pPr>
    </w:p>
    <w:p w14:paraId="14176780" w14:textId="11099F45" w:rsidR="00500EFC" w:rsidRDefault="00A24741" w:rsidP="00500EFC">
      <w:pPr>
        <w:keepNext/>
        <w:spacing w:after="0"/>
        <w:jc w:val="center"/>
      </w:pPr>
      <w:r w:rsidRPr="00A24741">
        <w:t xml:space="preserve"> </w:t>
      </w:r>
      <w:r w:rsidR="00853B1D" w:rsidRPr="00853B1D">
        <w:rPr>
          <w:noProof/>
        </w:rPr>
        <w:drawing>
          <wp:inline distT="0" distB="0" distL="0" distR="0" wp14:anchorId="648266A6" wp14:editId="17595888">
            <wp:extent cx="5329555" cy="39973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29555" cy="3997325"/>
                    </a:xfrm>
                    <a:prstGeom prst="rect">
                      <a:avLst/>
                    </a:prstGeom>
                    <a:noFill/>
                    <a:ln>
                      <a:noFill/>
                    </a:ln>
                  </pic:spPr>
                </pic:pic>
              </a:graphicData>
            </a:graphic>
          </wp:inline>
        </w:drawing>
      </w:r>
    </w:p>
    <w:p w14:paraId="686D01C6" w14:textId="27EE5D4F" w:rsidR="00DD3EAF" w:rsidRDefault="00500EFC" w:rsidP="00500EFC">
      <w:pPr>
        <w:pStyle w:val="Caption"/>
      </w:pPr>
      <w:r>
        <w:t xml:space="preserve">Figure </w:t>
      </w:r>
      <w:r w:rsidR="00AE15D8">
        <w:fldChar w:fldCharType="begin"/>
      </w:r>
      <w:r w:rsidR="00AE15D8">
        <w:instrText xml:space="preserve"> SEQ Figure \* ARABIC </w:instrText>
      </w:r>
      <w:r w:rsidR="00AE15D8">
        <w:fldChar w:fldCharType="separate"/>
      </w:r>
      <w:r w:rsidR="00441ED3">
        <w:rPr>
          <w:noProof/>
        </w:rPr>
        <w:t>4</w:t>
      </w:r>
      <w:r w:rsidR="00AE15D8">
        <w:rPr>
          <w:noProof/>
        </w:rPr>
        <w:fldChar w:fldCharType="end"/>
      </w:r>
      <w:r>
        <w:t xml:space="preserve"> BLER performance </w:t>
      </w:r>
      <w:r w:rsidR="00C8177F">
        <w:t>comparison</w:t>
      </w:r>
      <w:r>
        <w:t xml:space="preserve"> between inter-slot FH and inter-slot sub</w:t>
      </w:r>
      <w:r w:rsidR="00C8177F">
        <w:t>-</w:t>
      </w:r>
      <w:r>
        <w:t>bundle FH</w:t>
      </w:r>
      <w:r w:rsidR="00853B1D">
        <w:t>, 22-bit Format 3 PUCCH</w:t>
      </w:r>
    </w:p>
    <w:p w14:paraId="6D57CBEE" w14:textId="3874FF4E" w:rsidR="00DE7A3E" w:rsidRPr="00DE7A3E" w:rsidRDefault="00DE7A3E" w:rsidP="007A6F56">
      <w:r>
        <w:t>From the evaluation results above, we make the following proposal</w:t>
      </w:r>
      <w:r w:rsidR="005B6C65">
        <w:t>.</w:t>
      </w:r>
    </w:p>
    <w:p w14:paraId="4BC0C20E" w14:textId="6CB9C55B" w:rsidR="007A6F56" w:rsidRPr="007A6F56" w:rsidRDefault="007A6F56" w:rsidP="007A6F56">
      <w:pPr>
        <w:rPr>
          <w:b/>
          <w:bCs/>
        </w:rPr>
      </w:pPr>
      <w:r>
        <w:rPr>
          <w:b/>
          <w:bCs/>
        </w:rPr>
        <w:t xml:space="preserve">Proposal </w:t>
      </w:r>
      <w:r w:rsidR="002C126C">
        <w:rPr>
          <w:b/>
          <w:bCs/>
        </w:rPr>
        <w:t>7</w:t>
      </w:r>
      <w:r>
        <w:rPr>
          <w:b/>
          <w:bCs/>
        </w:rPr>
        <w:t>: Support at least one hop within a repetition bundle in inter-slot FH</w:t>
      </w:r>
    </w:p>
    <w:p w14:paraId="771A4464" w14:textId="77777777" w:rsidR="0079265C" w:rsidRPr="009519C6" w:rsidRDefault="0079265C" w:rsidP="0079265C">
      <w:pPr>
        <w:pStyle w:val="Heading1"/>
        <w:rPr>
          <w:rFonts w:cs="Arial"/>
          <w:szCs w:val="32"/>
          <w:lang w:val="en-US"/>
        </w:rPr>
      </w:pPr>
      <w:r w:rsidRPr="009519C6">
        <w:rPr>
          <w:rFonts w:cs="Arial"/>
          <w:szCs w:val="32"/>
        </w:rPr>
        <w:t>Conclusion</w:t>
      </w:r>
      <w:r w:rsidRPr="009519C6">
        <w:rPr>
          <w:rFonts w:cs="Arial"/>
          <w:i/>
          <w:sz w:val="20"/>
          <w:szCs w:val="20"/>
        </w:rPr>
        <w:t>.</w:t>
      </w:r>
    </w:p>
    <w:p w14:paraId="48F0F690" w14:textId="6D315BE2" w:rsidR="00EB5FE4" w:rsidRPr="00EB5FE4" w:rsidRDefault="00EB5FE4" w:rsidP="009D7FC6">
      <w:pPr>
        <w:rPr>
          <w:rFonts w:ascii="Times New Roman" w:hAnsi="Times New Roman" w:cs="Times New Roman"/>
          <w:sz w:val="21"/>
          <w:szCs w:val="21"/>
        </w:rPr>
      </w:pPr>
      <w:r>
        <w:rPr>
          <w:rFonts w:ascii="Times New Roman" w:hAnsi="Times New Roman" w:cs="Times New Roman"/>
          <w:sz w:val="21"/>
          <w:szCs w:val="21"/>
        </w:rPr>
        <w:t>The following observations and proposals are made in this contribution.</w:t>
      </w:r>
    </w:p>
    <w:p w14:paraId="73558A9E" w14:textId="1A969755" w:rsidR="005401B0" w:rsidRDefault="005401B0" w:rsidP="005401B0">
      <w:pPr>
        <w:rPr>
          <w:rFonts w:ascii="Times New Roman" w:hAnsi="Times New Roman" w:cs="Times New Roman"/>
          <w:b/>
          <w:bCs/>
          <w:sz w:val="21"/>
          <w:szCs w:val="21"/>
          <w:lang w:val="en-GB" w:eastAsia="zh-CN"/>
        </w:rPr>
      </w:pPr>
      <w:r w:rsidRPr="00FB2955">
        <w:rPr>
          <w:rFonts w:ascii="Times New Roman" w:hAnsi="Times New Roman" w:cs="Times New Roman"/>
          <w:b/>
          <w:bCs/>
          <w:sz w:val="21"/>
          <w:szCs w:val="21"/>
          <w:lang w:val="en-GB" w:eastAsia="zh-CN"/>
        </w:rPr>
        <w:t>Observation</w:t>
      </w:r>
      <w:r>
        <w:rPr>
          <w:rFonts w:ascii="Times New Roman" w:hAnsi="Times New Roman" w:cs="Times New Roman"/>
          <w:b/>
          <w:bCs/>
          <w:sz w:val="21"/>
          <w:szCs w:val="21"/>
          <w:lang w:val="en-GB" w:eastAsia="zh-CN"/>
        </w:rPr>
        <w:t xml:space="preserve"> 1</w:t>
      </w:r>
      <w:r w:rsidRPr="00FB2955">
        <w:rPr>
          <w:rFonts w:ascii="Times New Roman" w:hAnsi="Times New Roman" w:cs="Times New Roman"/>
          <w:b/>
          <w:bCs/>
          <w:sz w:val="21"/>
          <w:szCs w:val="21"/>
          <w:lang w:val="en-GB" w:eastAsia="zh-CN"/>
        </w:rPr>
        <w:t>: Dynamic indication of bundling (e.g., indicating to the UE to perform power/phase continuity maintenance for the next PUCCH) may cost overhead and loss of DCI may cause performance loss and inefficiency for DMRS bundling operation</w:t>
      </w:r>
    </w:p>
    <w:p w14:paraId="73F70DF7" w14:textId="57CE4D4F" w:rsidR="00FE7767" w:rsidRDefault="00FE7767" w:rsidP="00FE7767">
      <w:pPr>
        <w:rPr>
          <w:rFonts w:ascii="Times New Roman" w:hAnsi="Times New Roman" w:cs="Times New Roman"/>
          <w:b/>
          <w:bCs/>
          <w:sz w:val="21"/>
          <w:szCs w:val="21"/>
          <w:lang w:val="en-GB" w:eastAsia="zh-CN"/>
        </w:rPr>
      </w:pPr>
      <w:r w:rsidRPr="00FB2955">
        <w:rPr>
          <w:rFonts w:ascii="Times New Roman" w:hAnsi="Times New Roman" w:cs="Times New Roman"/>
          <w:b/>
          <w:bCs/>
          <w:sz w:val="21"/>
          <w:szCs w:val="21"/>
          <w:lang w:val="en-GB" w:eastAsia="zh-CN"/>
        </w:rPr>
        <w:t xml:space="preserve">Observation </w:t>
      </w:r>
      <w:r>
        <w:rPr>
          <w:rFonts w:ascii="Times New Roman" w:hAnsi="Times New Roman" w:cs="Times New Roman"/>
          <w:b/>
          <w:bCs/>
          <w:sz w:val="21"/>
          <w:szCs w:val="21"/>
          <w:lang w:val="en-GB" w:eastAsia="zh-CN"/>
        </w:rPr>
        <w:t>2</w:t>
      </w:r>
      <w:r w:rsidRPr="00FB2955">
        <w:rPr>
          <w:rFonts w:ascii="Times New Roman" w:hAnsi="Times New Roman" w:cs="Times New Roman"/>
          <w:b/>
          <w:bCs/>
          <w:sz w:val="21"/>
          <w:szCs w:val="21"/>
          <w:lang w:val="en-GB" w:eastAsia="zh-CN"/>
        </w:rPr>
        <w:t>: Considering different grant types for PUCCH (s), an indication mechanism that is adjusted for grant type offers flexibility and robustness</w:t>
      </w:r>
    </w:p>
    <w:p w14:paraId="506BC089" w14:textId="77777777" w:rsidR="001069D3" w:rsidRPr="00F00B47" w:rsidRDefault="001069D3" w:rsidP="001069D3">
      <w:pPr>
        <w:rPr>
          <w:rFonts w:ascii="Times New Roman" w:hAnsi="Times New Roman" w:cs="Times New Roman"/>
          <w:b/>
          <w:bCs/>
          <w:sz w:val="21"/>
          <w:szCs w:val="21"/>
          <w:lang w:val="en-GB" w:eastAsia="zh-CN"/>
        </w:rPr>
      </w:pPr>
      <w:r w:rsidRPr="00F00B47">
        <w:rPr>
          <w:rFonts w:ascii="Times New Roman" w:hAnsi="Times New Roman" w:cs="Times New Roman"/>
          <w:b/>
          <w:bCs/>
          <w:sz w:val="21"/>
          <w:szCs w:val="21"/>
          <w:lang w:val="en-GB" w:eastAsia="zh-CN"/>
        </w:rPr>
        <w:t xml:space="preserve">Observation </w:t>
      </w:r>
      <w:r>
        <w:rPr>
          <w:rFonts w:ascii="Times New Roman" w:hAnsi="Times New Roman" w:cs="Times New Roman"/>
          <w:b/>
          <w:bCs/>
          <w:sz w:val="21"/>
          <w:szCs w:val="21"/>
          <w:lang w:val="en-GB" w:eastAsia="zh-CN"/>
        </w:rPr>
        <w:t>3</w:t>
      </w:r>
      <w:r w:rsidRPr="00F00B47">
        <w:rPr>
          <w:rFonts w:ascii="Times New Roman" w:hAnsi="Times New Roman" w:cs="Times New Roman"/>
          <w:b/>
          <w:bCs/>
          <w:sz w:val="21"/>
          <w:szCs w:val="21"/>
          <w:lang w:val="en-GB" w:eastAsia="zh-CN"/>
        </w:rPr>
        <w:t>: For inter-slot frequency hopping for PUCCH with DMRS bundling, extending the number of repetitions up to K=8 per hop yields significant gain.</w:t>
      </w:r>
    </w:p>
    <w:p w14:paraId="4BBBFC97" w14:textId="2ACAAE5C" w:rsidR="00F04571" w:rsidRPr="00D76EE7" w:rsidRDefault="00F04571" w:rsidP="00F04571">
      <w:pPr>
        <w:jc w:val="both"/>
        <w:rPr>
          <w:rFonts w:ascii="Times New Roman" w:hAnsi="Times New Roman" w:cs="Times New Roman"/>
          <w:b/>
          <w:bCs/>
          <w:sz w:val="21"/>
          <w:szCs w:val="21"/>
          <w:lang w:val="en-GB" w:eastAsia="zh-CN"/>
        </w:rPr>
      </w:pPr>
      <w:r w:rsidRPr="00D76EE7">
        <w:rPr>
          <w:rFonts w:ascii="Times New Roman" w:hAnsi="Times New Roman" w:cs="Times New Roman"/>
          <w:b/>
          <w:bCs/>
          <w:sz w:val="21"/>
          <w:szCs w:val="21"/>
          <w:lang w:val="en-GB" w:eastAsia="zh-CN"/>
        </w:rPr>
        <w:t>Proposal</w:t>
      </w:r>
      <w:r>
        <w:rPr>
          <w:rFonts w:ascii="Times New Roman" w:hAnsi="Times New Roman" w:cs="Times New Roman"/>
          <w:b/>
          <w:bCs/>
          <w:sz w:val="21"/>
          <w:szCs w:val="21"/>
          <w:lang w:val="en-GB" w:eastAsia="zh-CN"/>
        </w:rPr>
        <w:t xml:space="preserve"> 1</w:t>
      </w:r>
      <w:r w:rsidRPr="00D76EE7">
        <w:rPr>
          <w:rFonts w:ascii="Times New Roman" w:hAnsi="Times New Roman" w:cs="Times New Roman"/>
          <w:b/>
          <w:bCs/>
          <w:sz w:val="21"/>
          <w:szCs w:val="21"/>
          <w:lang w:val="en-GB" w:eastAsia="zh-CN"/>
        </w:rPr>
        <w:t>: No change to DCI to support dynamic indication of PUCCH repetition factor (Option 1).</w:t>
      </w:r>
    </w:p>
    <w:p w14:paraId="05D608F2" w14:textId="77777777" w:rsidR="00F04571" w:rsidRPr="00D76EE7" w:rsidRDefault="00F04571" w:rsidP="00F04571">
      <w:pPr>
        <w:jc w:val="both"/>
        <w:rPr>
          <w:rFonts w:ascii="Times New Roman" w:hAnsi="Times New Roman" w:cs="Times New Roman"/>
          <w:b/>
          <w:bCs/>
          <w:sz w:val="21"/>
          <w:szCs w:val="21"/>
          <w:lang w:val="en-GB" w:eastAsia="zh-CN"/>
        </w:rPr>
      </w:pPr>
      <w:r w:rsidRPr="00D76EE7">
        <w:rPr>
          <w:rFonts w:ascii="Times New Roman" w:hAnsi="Times New Roman" w:cs="Times New Roman"/>
          <w:b/>
          <w:bCs/>
          <w:sz w:val="21"/>
          <w:szCs w:val="21"/>
          <w:lang w:val="en-GB" w:eastAsia="zh-CN"/>
        </w:rPr>
        <w:t>Proposal</w:t>
      </w:r>
      <w:r>
        <w:rPr>
          <w:rFonts w:ascii="Times New Roman" w:hAnsi="Times New Roman" w:cs="Times New Roman"/>
          <w:b/>
          <w:bCs/>
          <w:sz w:val="21"/>
          <w:szCs w:val="21"/>
          <w:lang w:val="en-GB" w:eastAsia="zh-CN"/>
        </w:rPr>
        <w:t xml:space="preserve"> 2</w:t>
      </w:r>
      <w:r w:rsidRPr="00D76EE7">
        <w:rPr>
          <w:rFonts w:ascii="Times New Roman" w:hAnsi="Times New Roman" w:cs="Times New Roman"/>
          <w:b/>
          <w:bCs/>
          <w:sz w:val="21"/>
          <w:szCs w:val="21"/>
          <w:lang w:val="en-GB" w:eastAsia="zh-CN"/>
        </w:rPr>
        <w:t>: Support RRC configuration of PUCCH repetition factor for each PUCCH resource.</w:t>
      </w:r>
    </w:p>
    <w:p w14:paraId="3628BF26" w14:textId="77777777" w:rsidR="0005424E" w:rsidRPr="00FB2955" w:rsidRDefault="0005424E" w:rsidP="008F016A">
      <w:pPr>
        <w:spacing w:before="240" w:after="0"/>
        <w:rPr>
          <w:rFonts w:ascii="Times New Roman" w:hAnsi="Times New Roman" w:cs="Times New Roman"/>
          <w:sz w:val="21"/>
          <w:szCs w:val="21"/>
          <w:lang w:val="en-GB" w:eastAsia="zh-CN"/>
        </w:rPr>
      </w:pPr>
      <w:r w:rsidRPr="00FB2955">
        <w:rPr>
          <w:rFonts w:ascii="Times New Roman" w:hAnsi="Times New Roman" w:cs="Times New Roman"/>
          <w:b/>
          <w:bCs/>
          <w:sz w:val="21"/>
          <w:szCs w:val="21"/>
          <w:lang w:val="en-GB" w:eastAsia="zh-CN"/>
        </w:rPr>
        <w:lastRenderedPageBreak/>
        <w:t xml:space="preserve">Proposal </w:t>
      </w:r>
      <w:r>
        <w:rPr>
          <w:rFonts w:ascii="Times New Roman" w:hAnsi="Times New Roman" w:cs="Times New Roman"/>
          <w:b/>
          <w:bCs/>
          <w:sz w:val="21"/>
          <w:szCs w:val="21"/>
          <w:lang w:val="en-GB" w:eastAsia="zh-CN"/>
        </w:rPr>
        <w:t>3</w:t>
      </w:r>
      <w:r w:rsidRPr="00FB2955">
        <w:rPr>
          <w:rFonts w:ascii="Times New Roman" w:hAnsi="Times New Roman" w:cs="Times New Roman"/>
          <w:b/>
          <w:bCs/>
          <w:sz w:val="21"/>
          <w:szCs w:val="21"/>
          <w:lang w:val="en-GB" w:eastAsia="zh-CN"/>
        </w:rPr>
        <w:t>: Support a grant-type dependent index which indicates to the UE</w:t>
      </w:r>
      <w:r>
        <w:rPr>
          <w:rFonts w:ascii="Times New Roman" w:hAnsi="Times New Roman" w:cs="Times New Roman"/>
          <w:b/>
          <w:bCs/>
          <w:sz w:val="21"/>
          <w:szCs w:val="21"/>
          <w:lang w:val="en-GB" w:eastAsia="zh-CN"/>
        </w:rPr>
        <w:t xml:space="preserve"> which</w:t>
      </w:r>
      <w:r w:rsidRPr="00FB2955">
        <w:rPr>
          <w:rFonts w:ascii="Times New Roman" w:hAnsi="Times New Roman" w:cs="Times New Roman"/>
          <w:b/>
          <w:bCs/>
          <w:sz w:val="21"/>
          <w:szCs w:val="21"/>
          <w:lang w:val="en-GB" w:eastAsia="zh-CN"/>
        </w:rPr>
        <w:t xml:space="preserve"> PUCCH repetitions to bundle</w:t>
      </w:r>
    </w:p>
    <w:p w14:paraId="152A34EF" w14:textId="77777777" w:rsidR="00970C5A" w:rsidRPr="00B00C46" w:rsidRDefault="00970C5A" w:rsidP="008F016A">
      <w:pPr>
        <w:spacing w:before="240" w:line="280" w:lineRule="atLeast"/>
        <w:rPr>
          <w:rFonts w:ascii="Times New Roman" w:hAnsi="Times New Roman" w:cs="Times New Roman"/>
          <w:sz w:val="21"/>
          <w:szCs w:val="21"/>
          <w:lang w:eastAsia="zh-CN"/>
        </w:rPr>
      </w:pPr>
      <w:r w:rsidRPr="00D351BA">
        <w:rPr>
          <w:rFonts w:ascii="Times New Roman" w:eastAsia="Times New Roman" w:hAnsi="Times New Roman"/>
          <w:b/>
          <w:bCs/>
          <w:sz w:val="21"/>
          <w:szCs w:val="21"/>
        </w:rPr>
        <w:t xml:space="preserve">Proposal </w:t>
      </w:r>
      <w:r>
        <w:rPr>
          <w:rFonts w:ascii="Times New Roman" w:eastAsia="Times New Roman" w:hAnsi="Times New Roman"/>
          <w:b/>
          <w:bCs/>
          <w:sz w:val="21"/>
          <w:szCs w:val="21"/>
        </w:rPr>
        <w:t>4</w:t>
      </w:r>
      <w:r w:rsidRPr="00D351BA">
        <w:rPr>
          <w:rFonts w:ascii="Times New Roman" w:eastAsia="Times New Roman" w:hAnsi="Times New Roman"/>
          <w:b/>
          <w:bCs/>
          <w:sz w:val="21"/>
          <w:szCs w:val="21"/>
        </w:rPr>
        <w:t xml:space="preserve">: </w:t>
      </w:r>
      <w:r>
        <w:rPr>
          <w:rFonts w:ascii="Times New Roman" w:eastAsia="Times New Roman" w:hAnsi="Times New Roman"/>
          <w:b/>
          <w:bCs/>
          <w:sz w:val="21"/>
          <w:szCs w:val="21"/>
        </w:rPr>
        <w:t>For a hopping pattern that includes all of K repetitions in a hop, configure one time window matching the duration of a hop.</w:t>
      </w:r>
    </w:p>
    <w:p w14:paraId="460DB43D" w14:textId="77777777" w:rsidR="00337AC1" w:rsidRPr="00F00B47" w:rsidRDefault="00337AC1" w:rsidP="00337AC1">
      <w:pPr>
        <w:rPr>
          <w:rFonts w:ascii="Times New Roman" w:hAnsi="Times New Roman" w:cs="Times New Roman"/>
          <w:b/>
          <w:bCs/>
          <w:sz w:val="21"/>
          <w:szCs w:val="21"/>
          <w:lang w:val="en-GB" w:eastAsia="zh-CN"/>
        </w:rPr>
      </w:pPr>
      <w:r w:rsidRPr="00F00B47">
        <w:rPr>
          <w:rFonts w:ascii="Times New Roman" w:hAnsi="Times New Roman" w:cs="Times New Roman"/>
          <w:b/>
          <w:bCs/>
          <w:sz w:val="21"/>
          <w:szCs w:val="21"/>
          <w:lang w:val="en-GB" w:eastAsia="zh-CN"/>
        </w:rPr>
        <w:t xml:space="preserve">Proposal </w:t>
      </w:r>
      <w:r>
        <w:rPr>
          <w:rFonts w:ascii="Times New Roman" w:hAnsi="Times New Roman" w:cs="Times New Roman"/>
          <w:b/>
          <w:bCs/>
          <w:sz w:val="21"/>
          <w:szCs w:val="21"/>
          <w:lang w:val="en-GB" w:eastAsia="zh-CN"/>
        </w:rPr>
        <w:t>5</w:t>
      </w:r>
      <w:r w:rsidRPr="00F00B47">
        <w:rPr>
          <w:rFonts w:ascii="Times New Roman" w:hAnsi="Times New Roman" w:cs="Times New Roman"/>
          <w:b/>
          <w:bCs/>
          <w:sz w:val="21"/>
          <w:szCs w:val="21"/>
          <w:lang w:val="en-GB" w:eastAsia="zh-CN"/>
        </w:rPr>
        <w:t>: Support a hopping pattern with DMRS bundling where during one hop, all of K repetitions are included</w:t>
      </w:r>
    </w:p>
    <w:p w14:paraId="16C874BC" w14:textId="77777777" w:rsidR="00337AC1" w:rsidRPr="00F00B47" w:rsidRDefault="00337AC1" w:rsidP="00337AC1">
      <w:pPr>
        <w:rPr>
          <w:rFonts w:ascii="Times New Roman" w:hAnsi="Times New Roman" w:cs="Times New Roman"/>
          <w:b/>
          <w:bCs/>
          <w:sz w:val="21"/>
          <w:szCs w:val="21"/>
          <w:lang w:val="en-GB" w:eastAsia="zh-CN"/>
        </w:rPr>
      </w:pPr>
      <w:r w:rsidRPr="00F00B47">
        <w:rPr>
          <w:rFonts w:ascii="Times New Roman" w:hAnsi="Times New Roman" w:cs="Times New Roman"/>
          <w:b/>
          <w:bCs/>
          <w:sz w:val="21"/>
          <w:szCs w:val="21"/>
          <w:lang w:val="en-GB" w:eastAsia="zh-CN"/>
        </w:rPr>
        <w:t xml:space="preserve">Proposal </w:t>
      </w:r>
      <w:r>
        <w:rPr>
          <w:rFonts w:ascii="Times New Roman" w:hAnsi="Times New Roman" w:cs="Times New Roman"/>
          <w:b/>
          <w:bCs/>
          <w:sz w:val="21"/>
          <w:szCs w:val="21"/>
          <w:lang w:val="en-GB" w:eastAsia="zh-CN"/>
        </w:rPr>
        <w:t>6</w:t>
      </w:r>
      <w:r w:rsidRPr="00F00B47">
        <w:rPr>
          <w:rFonts w:ascii="Times New Roman" w:hAnsi="Times New Roman" w:cs="Times New Roman"/>
          <w:b/>
          <w:bCs/>
          <w:sz w:val="21"/>
          <w:szCs w:val="21"/>
          <w:lang w:val="en-GB" w:eastAsia="zh-CN"/>
        </w:rPr>
        <w:t xml:space="preserve">: Support at least K=2,4,8 for the number of repetitions for inter-slot FH with joint channel estimation </w:t>
      </w:r>
    </w:p>
    <w:p w14:paraId="14B717E3" w14:textId="77777777" w:rsidR="00BC01DE" w:rsidRPr="008F016A" w:rsidRDefault="00BC01DE" w:rsidP="00BC01DE">
      <w:pPr>
        <w:rPr>
          <w:rFonts w:ascii="Times New Roman" w:hAnsi="Times New Roman" w:cs="Times New Roman"/>
          <w:b/>
          <w:bCs/>
          <w:sz w:val="21"/>
          <w:szCs w:val="21"/>
        </w:rPr>
      </w:pPr>
      <w:r w:rsidRPr="008F016A">
        <w:rPr>
          <w:rFonts w:ascii="Times New Roman" w:hAnsi="Times New Roman" w:cs="Times New Roman"/>
          <w:b/>
          <w:bCs/>
          <w:sz w:val="21"/>
          <w:szCs w:val="21"/>
        </w:rPr>
        <w:t>Proposal 7: Support at least one hop within a repetition bundle in inter-slot FH</w:t>
      </w:r>
    </w:p>
    <w:p w14:paraId="72727A27" w14:textId="70E9289E" w:rsidR="00403690" w:rsidRPr="008F7262" w:rsidRDefault="00024B0C" w:rsidP="00403690">
      <w:pPr>
        <w:rPr>
          <w:rFonts w:ascii="Times New Roman" w:hAnsi="Times New Roman" w:cs="Times New Roman"/>
          <w:b/>
          <w:bCs/>
          <w:sz w:val="28"/>
          <w:szCs w:val="28"/>
          <w:lang w:val="en-GB" w:eastAsia="zh-CN"/>
        </w:rPr>
      </w:pPr>
      <w:r w:rsidRPr="008F7262">
        <w:rPr>
          <w:rFonts w:ascii="Times New Roman" w:hAnsi="Times New Roman" w:cs="Times New Roman"/>
          <w:b/>
          <w:bCs/>
          <w:sz w:val="28"/>
          <w:szCs w:val="28"/>
          <w:lang w:val="en-GB" w:eastAsia="zh-CN"/>
        </w:rPr>
        <w:t>Reference</w:t>
      </w:r>
    </w:p>
    <w:p w14:paraId="3BC82C4F" w14:textId="65A29C80" w:rsidR="00C5622C" w:rsidRDefault="0018216D" w:rsidP="00A22FA1">
      <w:pPr>
        <w:spacing w:before="240" w:after="0"/>
        <w:rPr>
          <w:rFonts w:ascii="Times New Roman" w:hAnsi="Times New Roman" w:cs="Times New Roman"/>
          <w:sz w:val="20"/>
          <w:szCs w:val="20"/>
          <w:lang w:eastAsia="zh-CN"/>
        </w:rPr>
      </w:pPr>
      <w:r w:rsidRPr="008F7262">
        <w:rPr>
          <w:rFonts w:ascii="Times New Roman" w:hAnsi="Times New Roman" w:cs="Times New Roman"/>
          <w:sz w:val="20"/>
          <w:szCs w:val="20"/>
          <w:lang w:eastAsia="zh-CN"/>
        </w:rPr>
        <w:t xml:space="preserve">[1] </w:t>
      </w:r>
      <w:r w:rsidR="00980C6B" w:rsidRPr="00980C6B">
        <w:rPr>
          <w:rFonts w:ascii="Times New Roman" w:hAnsi="Times New Roman" w:cs="Times New Roman"/>
          <w:sz w:val="20"/>
          <w:szCs w:val="20"/>
          <w:lang w:eastAsia="zh-CN"/>
        </w:rPr>
        <w:t>RAN1 Chairman’s notes, RAN1#104e, Jan. 2021.</w:t>
      </w:r>
    </w:p>
    <w:p w14:paraId="3C5CC95B" w14:textId="20207CED" w:rsidR="003B43D8" w:rsidRDefault="003B43D8" w:rsidP="00A22FA1">
      <w:pPr>
        <w:spacing w:before="240" w:after="0"/>
        <w:rPr>
          <w:rFonts w:ascii="Times New Roman" w:hAnsi="Times New Roman" w:cs="Times New Roman"/>
          <w:bCs/>
          <w:iCs/>
          <w:sz w:val="20"/>
          <w:szCs w:val="20"/>
          <w:lang w:val="en-GB"/>
        </w:rPr>
      </w:pPr>
      <w:r>
        <w:rPr>
          <w:rFonts w:ascii="Times New Roman" w:hAnsi="Times New Roman" w:cs="Times New Roman"/>
          <w:sz w:val="20"/>
          <w:szCs w:val="20"/>
          <w:lang w:eastAsia="zh-CN"/>
        </w:rPr>
        <w:t xml:space="preserve">[2] </w:t>
      </w:r>
      <w:r>
        <w:rPr>
          <w:rFonts w:ascii="Times New Roman" w:hAnsi="Times New Roman" w:cs="Times New Roman"/>
          <w:bCs/>
          <w:iCs/>
          <w:sz w:val="20"/>
          <w:szCs w:val="20"/>
          <w:lang w:val="en-GB"/>
        </w:rPr>
        <w:t>3GPP TR 38.830, “Study on NR coverage enhancements”, v17.0.0.</w:t>
      </w:r>
    </w:p>
    <w:p w14:paraId="19655961" w14:textId="0145D076" w:rsidR="00D76590" w:rsidRDefault="00D76590" w:rsidP="00A22FA1">
      <w:pPr>
        <w:spacing w:before="240" w:after="0"/>
        <w:rPr>
          <w:rFonts w:ascii="Times New Roman" w:hAnsi="Times New Roman" w:cs="Times New Roman"/>
          <w:bCs/>
          <w:iCs/>
          <w:sz w:val="20"/>
          <w:szCs w:val="20"/>
          <w:lang w:val="en-GB"/>
        </w:rPr>
      </w:pPr>
      <w:r>
        <w:rPr>
          <w:rFonts w:ascii="Times New Roman" w:hAnsi="Times New Roman" w:cs="Times New Roman"/>
          <w:sz w:val="20"/>
          <w:szCs w:val="20"/>
          <w:lang w:eastAsia="zh-CN"/>
        </w:rPr>
        <w:t xml:space="preserve">[3] </w:t>
      </w:r>
      <w:r>
        <w:rPr>
          <w:rFonts w:ascii="Times New Roman" w:hAnsi="Times New Roman" w:cs="Times New Roman"/>
          <w:bCs/>
          <w:iCs/>
          <w:sz w:val="20"/>
          <w:szCs w:val="20"/>
          <w:lang w:val="en-GB"/>
        </w:rPr>
        <w:t>3GPP TS 38.213, “Physical layer procedure for control”, v16.3.0, Sept. 2020.</w:t>
      </w:r>
    </w:p>
    <w:p w14:paraId="5CA02FF1" w14:textId="6F8ADBF1" w:rsidR="00E301C1" w:rsidRDefault="00E301C1" w:rsidP="00A22FA1">
      <w:pPr>
        <w:spacing w:before="240" w:after="0"/>
        <w:rPr>
          <w:rFonts w:ascii="Times New Roman" w:hAnsi="Times New Roman" w:cs="Times New Roman"/>
          <w:bCs/>
          <w:iCs/>
          <w:sz w:val="20"/>
          <w:szCs w:val="20"/>
          <w:lang w:val="en-GB"/>
        </w:rPr>
      </w:pPr>
      <w:r w:rsidRPr="007D0324">
        <w:rPr>
          <w:rFonts w:ascii="Times New Roman" w:hAnsi="Times New Roman" w:cs="Times New Roman"/>
          <w:sz w:val="20"/>
          <w:szCs w:val="20"/>
          <w:lang w:eastAsia="zh-CN"/>
        </w:rPr>
        <w:t>[</w:t>
      </w:r>
      <w:r w:rsidR="007D0324" w:rsidRPr="007D0324">
        <w:rPr>
          <w:rFonts w:ascii="Times New Roman" w:hAnsi="Times New Roman" w:cs="Times New Roman"/>
          <w:sz w:val="20"/>
          <w:szCs w:val="20"/>
          <w:lang w:eastAsia="zh-CN"/>
        </w:rPr>
        <w:t>4</w:t>
      </w:r>
      <w:r w:rsidRPr="007D0324">
        <w:rPr>
          <w:rFonts w:ascii="Times New Roman" w:hAnsi="Times New Roman" w:cs="Times New Roman"/>
          <w:sz w:val="20"/>
          <w:szCs w:val="20"/>
          <w:lang w:eastAsia="zh-CN"/>
        </w:rPr>
        <w:t xml:space="preserve">] </w:t>
      </w:r>
      <w:r w:rsidR="009D10F3" w:rsidRPr="007D0324">
        <w:rPr>
          <w:rFonts w:ascii="Times New Roman" w:hAnsi="Times New Roman" w:cs="Times New Roman"/>
          <w:bCs/>
          <w:iCs/>
          <w:sz w:val="20"/>
          <w:szCs w:val="20"/>
          <w:lang w:val="en-GB"/>
        </w:rPr>
        <w:t>R1-</w:t>
      </w:r>
      <w:r w:rsidR="007D0324" w:rsidRPr="007D0324">
        <w:rPr>
          <w:rFonts w:ascii="Times New Roman" w:hAnsi="Times New Roman" w:cs="Times New Roman"/>
          <w:bCs/>
          <w:iCs/>
          <w:sz w:val="20"/>
          <w:szCs w:val="20"/>
          <w:lang w:val="en-GB"/>
        </w:rPr>
        <w:t>2104861</w:t>
      </w:r>
      <w:r w:rsidRPr="007D0324">
        <w:rPr>
          <w:rFonts w:ascii="Times New Roman" w:hAnsi="Times New Roman" w:cs="Times New Roman"/>
          <w:bCs/>
          <w:iCs/>
          <w:sz w:val="20"/>
          <w:szCs w:val="20"/>
          <w:lang w:val="en-GB"/>
        </w:rPr>
        <w:t>, “</w:t>
      </w:r>
      <w:r w:rsidR="007D0324" w:rsidRPr="007D0324">
        <w:rPr>
          <w:rFonts w:ascii="Times New Roman" w:hAnsi="Times New Roman" w:cs="Times New Roman"/>
          <w:bCs/>
          <w:iCs/>
          <w:sz w:val="20"/>
          <w:szCs w:val="20"/>
          <w:lang w:val="en-GB"/>
        </w:rPr>
        <w:t>Joint channel estimation for PUSCH</w:t>
      </w:r>
      <w:r w:rsidRPr="007D0324">
        <w:rPr>
          <w:rFonts w:ascii="Times New Roman" w:hAnsi="Times New Roman" w:cs="Times New Roman"/>
          <w:bCs/>
          <w:iCs/>
          <w:sz w:val="20"/>
          <w:szCs w:val="20"/>
          <w:lang w:val="en-GB"/>
        </w:rPr>
        <w:t xml:space="preserve">”, </w:t>
      </w:r>
      <w:r w:rsidR="009D10F3" w:rsidRPr="007D0324">
        <w:rPr>
          <w:rFonts w:ascii="Times New Roman" w:hAnsi="Times New Roman" w:cs="Times New Roman"/>
          <w:bCs/>
          <w:iCs/>
          <w:sz w:val="20"/>
          <w:szCs w:val="20"/>
          <w:lang w:val="en-GB"/>
        </w:rPr>
        <w:t>InterDigital, RAN1-10</w:t>
      </w:r>
      <w:r w:rsidR="00312E39" w:rsidRPr="007D0324">
        <w:rPr>
          <w:rFonts w:ascii="Times New Roman" w:hAnsi="Times New Roman" w:cs="Times New Roman"/>
          <w:bCs/>
          <w:iCs/>
          <w:sz w:val="20"/>
          <w:szCs w:val="20"/>
          <w:lang w:val="en-GB"/>
        </w:rPr>
        <w:t>5</w:t>
      </w:r>
      <w:r w:rsidR="009D10F3" w:rsidRPr="007D0324">
        <w:rPr>
          <w:rFonts w:ascii="Times New Roman" w:hAnsi="Times New Roman" w:cs="Times New Roman"/>
          <w:bCs/>
          <w:iCs/>
          <w:sz w:val="20"/>
          <w:szCs w:val="20"/>
          <w:lang w:val="en-GB"/>
        </w:rPr>
        <w:t xml:space="preserve">e, </w:t>
      </w:r>
      <w:r w:rsidR="00312E39" w:rsidRPr="007D0324">
        <w:rPr>
          <w:rFonts w:ascii="Times New Roman" w:hAnsi="Times New Roman" w:cs="Times New Roman"/>
          <w:bCs/>
          <w:iCs/>
          <w:sz w:val="20"/>
          <w:szCs w:val="20"/>
          <w:lang w:val="en-GB"/>
        </w:rPr>
        <w:t>May,</w:t>
      </w:r>
      <w:r w:rsidR="009D10F3" w:rsidRPr="007D0324">
        <w:rPr>
          <w:rFonts w:ascii="Times New Roman" w:hAnsi="Times New Roman" w:cs="Times New Roman"/>
          <w:bCs/>
          <w:iCs/>
          <w:sz w:val="20"/>
          <w:szCs w:val="20"/>
          <w:lang w:val="en-GB"/>
        </w:rPr>
        <w:t xml:space="preserve"> 2021</w:t>
      </w:r>
      <w:r w:rsidRPr="007D0324">
        <w:rPr>
          <w:rFonts w:ascii="Times New Roman" w:hAnsi="Times New Roman" w:cs="Times New Roman"/>
          <w:bCs/>
          <w:iCs/>
          <w:sz w:val="20"/>
          <w:szCs w:val="20"/>
          <w:lang w:val="en-GB"/>
        </w:rPr>
        <w:t>.</w:t>
      </w:r>
    </w:p>
    <w:p w14:paraId="56BC420B" w14:textId="383064C4" w:rsidR="00E301C1" w:rsidRDefault="00E301C1" w:rsidP="00403690">
      <w:pPr>
        <w:rPr>
          <w:rFonts w:ascii="Times New Roman" w:hAnsi="Times New Roman" w:cs="Times New Roman"/>
          <w:sz w:val="20"/>
          <w:szCs w:val="20"/>
          <w:lang w:val="en-GB" w:eastAsia="zh-CN"/>
        </w:rPr>
      </w:pPr>
    </w:p>
    <w:p w14:paraId="519E83F3" w14:textId="77777777" w:rsidR="005B7285" w:rsidRDefault="005B7285" w:rsidP="005B7285">
      <w:pPr>
        <w:rPr>
          <w:rFonts w:ascii="Times New Roman" w:hAnsi="Times New Roman" w:cs="Times New Roman"/>
          <w:b/>
          <w:bCs/>
          <w:sz w:val="28"/>
          <w:szCs w:val="28"/>
          <w:lang w:val="en-GB" w:eastAsia="zh-CN"/>
        </w:rPr>
      </w:pPr>
      <w:r>
        <w:rPr>
          <w:rFonts w:ascii="Times New Roman" w:hAnsi="Times New Roman" w:cs="Times New Roman"/>
          <w:b/>
          <w:bCs/>
          <w:sz w:val="28"/>
          <w:szCs w:val="28"/>
          <w:lang w:val="en-GB" w:eastAsia="zh-CN"/>
        </w:rPr>
        <w:t>Appendix</w:t>
      </w:r>
    </w:p>
    <w:p w14:paraId="4938E395" w14:textId="62EA77D1" w:rsidR="005B7285" w:rsidRDefault="005B7285" w:rsidP="005B7285">
      <w:pPr>
        <w:pStyle w:val="Caption"/>
        <w:keepNext/>
      </w:pPr>
      <w:bookmarkStart w:id="5" w:name="_Ref61819975"/>
      <w:r>
        <w:t xml:space="preserve">Table </w:t>
      </w:r>
      <w:fldSimple w:instr=" SEQ Table \* ARABIC ">
        <w:r w:rsidR="00441ED3">
          <w:rPr>
            <w:noProof/>
          </w:rPr>
          <w:t>1</w:t>
        </w:r>
      </w:fldSimple>
      <w:bookmarkEnd w:id="5"/>
      <w:r>
        <w:t xml:space="preserve"> PUCCH parameters, FDD</w:t>
      </w:r>
    </w:p>
    <w:tbl>
      <w:tblPr>
        <w:tblStyle w:val="TableGrid"/>
        <w:tblW w:w="9265" w:type="dxa"/>
        <w:jc w:val="center"/>
        <w:tblLook w:val="04A0" w:firstRow="1" w:lastRow="0" w:firstColumn="1" w:lastColumn="0" w:noHBand="0" w:noVBand="1"/>
      </w:tblPr>
      <w:tblGrid>
        <w:gridCol w:w="3415"/>
        <w:gridCol w:w="5850"/>
      </w:tblGrid>
      <w:tr w:rsidR="005B7285" w14:paraId="25E25A1A" w14:textId="77777777" w:rsidTr="005B7285">
        <w:trPr>
          <w:jc w:val="center"/>
        </w:trPr>
        <w:tc>
          <w:tcPr>
            <w:tcW w:w="3415" w:type="dxa"/>
            <w:tcBorders>
              <w:top w:val="single" w:sz="4" w:space="0" w:color="auto"/>
              <w:left w:val="single" w:sz="4" w:space="0" w:color="auto"/>
              <w:bottom w:val="single" w:sz="4" w:space="0" w:color="auto"/>
              <w:right w:val="single" w:sz="4" w:space="0" w:color="auto"/>
            </w:tcBorders>
            <w:shd w:val="clear" w:color="auto" w:fill="FFFF00"/>
            <w:hideMark/>
          </w:tcPr>
          <w:p w14:paraId="267FB0F5" w14:textId="77777777" w:rsidR="005B7285" w:rsidRDefault="005B7285">
            <w:pPr>
              <w:pStyle w:val="Reference"/>
              <w:numPr>
                <w:ilvl w:val="0"/>
                <w:numId w:val="0"/>
              </w:numPr>
              <w:tabs>
                <w:tab w:val="left" w:pos="720"/>
              </w:tabs>
              <w:overflowPunct w:val="0"/>
              <w:autoSpaceDE w:val="0"/>
              <w:autoSpaceDN w:val="0"/>
              <w:adjustRightInd w:val="0"/>
              <w:spacing w:after="60" w:line="240" w:lineRule="auto"/>
              <w:textAlignment w:val="baseline"/>
              <w:rPr>
                <w:rFonts w:ascii="Times New Roman" w:hAnsi="Times New Roman" w:cs="Times New Roman"/>
                <w:sz w:val="20"/>
                <w:szCs w:val="20"/>
              </w:rPr>
            </w:pPr>
            <w:r>
              <w:rPr>
                <w:rFonts w:ascii="Times New Roman" w:hAnsi="Times New Roman" w:cs="Times New Roman"/>
                <w:sz w:val="20"/>
                <w:szCs w:val="20"/>
              </w:rPr>
              <w:t>Parameters</w:t>
            </w:r>
          </w:p>
        </w:tc>
        <w:tc>
          <w:tcPr>
            <w:tcW w:w="5850" w:type="dxa"/>
            <w:tcBorders>
              <w:top w:val="single" w:sz="4" w:space="0" w:color="auto"/>
              <w:left w:val="single" w:sz="4" w:space="0" w:color="auto"/>
              <w:bottom w:val="single" w:sz="4" w:space="0" w:color="auto"/>
              <w:right w:val="single" w:sz="4" w:space="0" w:color="auto"/>
            </w:tcBorders>
            <w:shd w:val="clear" w:color="auto" w:fill="FFFF00"/>
            <w:hideMark/>
          </w:tcPr>
          <w:p w14:paraId="0BB47B14" w14:textId="77777777" w:rsidR="005B7285" w:rsidRDefault="005B7285">
            <w:pPr>
              <w:pStyle w:val="Reference"/>
              <w:numPr>
                <w:ilvl w:val="0"/>
                <w:numId w:val="0"/>
              </w:numPr>
              <w:tabs>
                <w:tab w:val="left" w:pos="720"/>
              </w:tabs>
              <w:overflowPunct w:val="0"/>
              <w:autoSpaceDE w:val="0"/>
              <w:autoSpaceDN w:val="0"/>
              <w:adjustRightInd w:val="0"/>
              <w:spacing w:after="60" w:line="240" w:lineRule="auto"/>
              <w:jc w:val="center"/>
              <w:textAlignment w:val="baseline"/>
              <w:rPr>
                <w:rFonts w:ascii="Times New Roman" w:hAnsi="Times New Roman" w:cs="Times New Roman"/>
                <w:sz w:val="20"/>
                <w:szCs w:val="20"/>
              </w:rPr>
            </w:pPr>
            <w:r>
              <w:rPr>
                <w:rFonts w:ascii="Times New Roman" w:hAnsi="Times New Roman" w:cs="Times New Roman"/>
                <w:sz w:val="20"/>
                <w:szCs w:val="20"/>
              </w:rPr>
              <w:t>Values</w:t>
            </w:r>
          </w:p>
        </w:tc>
      </w:tr>
      <w:tr w:rsidR="005B7285" w14:paraId="17279FB5" w14:textId="77777777" w:rsidTr="005B7285">
        <w:trPr>
          <w:jc w:val="center"/>
        </w:trPr>
        <w:tc>
          <w:tcPr>
            <w:tcW w:w="3415" w:type="dxa"/>
            <w:tcBorders>
              <w:top w:val="single" w:sz="4" w:space="0" w:color="auto"/>
              <w:left w:val="single" w:sz="4" w:space="0" w:color="auto"/>
              <w:bottom w:val="single" w:sz="4" w:space="0" w:color="auto"/>
              <w:right w:val="single" w:sz="4" w:space="0" w:color="auto"/>
            </w:tcBorders>
            <w:vAlign w:val="center"/>
            <w:hideMark/>
          </w:tcPr>
          <w:p w14:paraId="77A754E2" w14:textId="77777777" w:rsidR="005B7285" w:rsidRDefault="005B7285">
            <w:pPr>
              <w:pStyle w:val="Reference"/>
              <w:numPr>
                <w:ilvl w:val="0"/>
                <w:numId w:val="0"/>
              </w:numPr>
              <w:tabs>
                <w:tab w:val="left" w:pos="720"/>
              </w:tabs>
              <w:overflowPunct w:val="0"/>
              <w:autoSpaceDE w:val="0"/>
              <w:autoSpaceDN w:val="0"/>
              <w:adjustRightInd w:val="0"/>
              <w:spacing w:after="60" w:line="240" w:lineRule="auto"/>
              <w:textAlignment w:val="baseline"/>
              <w:rPr>
                <w:rFonts w:ascii="Times New Roman" w:hAnsi="Times New Roman" w:cs="Times New Roman"/>
                <w:sz w:val="20"/>
                <w:szCs w:val="20"/>
              </w:rPr>
            </w:pPr>
            <w:r>
              <w:rPr>
                <w:rFonts w:ascii="Times New Roman" w:eastAsia="Times New Roman" w:hAnsi="Times New Roman" w:cs="Times New Roman"/>
                <w:color w:val="000000"/>
                <w:sz w:val="20"/>
                <w:szCs w:val="20"/>
                <w:bdr w:val="none" w:sz="0" w:space="0" w:color="auto" w:frame="1"/>
              </w:rPr>
              <w:t>Frequency Region</w:t>
            </w:r>
          </w:p>
        </w:tc>
        <w:tc>
          <w:tcPr>
            <w:tcW w:w="5850" w:type="dxa"/>
            <w:tcBorders>
              <w:top w:val="single" w:sz="4" w:space="0" w:color="auto"/>
              <w:left w:val="single" w:sz="4" w:space="0" w:color="auto"/>
              <w:bottom w:val="single" w:sz="4" w:space="0" w:color="auto"/>
              <w:right w:val="single" w:sz="4" w:space="0" w:color="auto"/>
            </w:tcBorders>
            <w:hideMark/>
          </w:tcPr>
          <w:p w14:paraId="69706034" w14:textId="77777777" w:rsidR="005B7285" w:rsidRDefault="005B7285">
            <w:pPr>
              <w:pStyle w:val="Reference"/>
              <w:numPr>
                <w:ilvl w:val="0"/>
                <w:numId w:val="0"/>
              </w:numPr>
              <w:tabs>
                <w:tab w:val="left" w:pos="720"/>
              </w:tabs>
              <w:overflowPunct w:val="0"/>
              <w:autoSpaceDE w:val="0"/>
              <w:autoSpaceDN w:val="0"/>
              <w:adjustRightInd w:val="0"/>
              <w:spacing w:after="60" w:line="240" w:lineRule="auto"/>
              <w:jc w:val="center"/>
              <w:textAlignment w:val="baseline"/>
              <w:rPr>
                <w:rFonts w:ascii="Times New Roman" w:hAnsi="Times New Roman" w:cs="Times New Roman"/>
                <w:sz w:val="20"/>
                <w:szCs w:val="20"/>
              </w:rPr>
            </w:pPr>
            <w:r>
              <w:rPr>
                <w:rFonts w:ascii="Times New Roman" w:hAnsi="Times New Roman" w:cs="Times New Roman"/>
                <w:sz w:val="20"/>
                <w:szCs w:val="20"/>
              </w:rPr>
              <w:t>FR1</w:t>
            </w:r>
          </w:p>
        </w:tc>
      </w:tr>
      <w:tr w:rsidR="005B7285" w14:paraId="7716B43F" w14:textId="77777777" w:rsidTr="005B7285">
        <w:trPr>
          <w:jc w:val="center"/>
        </w:trPr>
        <w:tc>
          <w:tcPr>
            <w:tcW w:w="3415" w:type="dxa"/>
            <w:tcBorders>
              <w:top w:val="single" w:sz="4" w:space="0" w:color="auto"/>
              <w:left w:val="single" w:sz="4" w:space="0" w:color="auto"/>
              <w:bottom w:val="single" w:sz="4" w:space="0" w:color="auto"/>
              <w:right w:val="single" w:sz="4" w:space="0" w:color="auto"/>
            </w:tcBorders>
            <w:vAlign w:val="bottom"/>
            <w:hideMark/>
          </w:tcPr>
          <w:p w14:paraId="66269D0C" w14:textId="77777777" w:rsidR="005B7285" w:rsidRDefault="005B7285">
            <w:pPr>
              <w:pStyle w:val="Reference"/>
              <w:numPr>
                <w:ilvl w:val="0"/>
                <w:numId w:val="0"/>
              </w:numPr>
              <w:tabs>
                <w:tab w:val="left" w:pos="720"/>
              </w:tabs>
              <w:overflowPunct w:val="0"/>
              <w:autoSpaceDE w:val="0"/>
              <w:autoSpaceDN w:val="0"/>
              <w:adjustRightInd w:val="0"/>
              <w:spacing w:after="60" w:line="240" w:lineRule="auto"/>
              <w:textAlignment w:val="baseline"/>
              <w:rPr>
                <w:rFonts w:ascii="Times New Roman" w:hAnsi="Times New Roman" w:cs="Times New Roman"/>
                <w:sz w:val="20"/>
                <w:szCs w:val="20"/>
              </w:rPr>
            </w:pPr>
            <w:r>
              <w:rPr>
                <w:rFonts w:ascii="Times New Roman" w:eastAsia="Times New Roman" w:hAnsi="Times New Roman" w:cs="Times New Roman"/>
                <w:color w:val="000000"/>
                <w:sz w:val="20"/>
                <w:szCs w:val="20"/>
                <w:bdr w:val="none" w:sz="0" w:space="0" w:color="auto" w:frame="1"/>
              </w:rPr>
              <w:t>Duplexing mode</w:t>
            </w:r>
          </w:p>
        </w:tc>
        <w:tc>
          <w:tcPr>
            <w:tcW w:w="5850" w:type="dxa"/>
            <w:tcBorders>
              <w:top w:val="single" w:sz="4" w:space="0" w:color="auto"/>
              <w:left w:val="single" w:sz="4" w:space="0" w:color="auto"/>
              <w:bottom w:val="single" w:sz="4" w:space="0" w:color="auto"/>
              <w:right w:val="single" w:sz="4" w:space="0" w:color="auto"/>
            </w:tcBorders>
            <w:hideMark/>
          </w:tcPr>
          <w:p w14:paraId="7263BB56" w14:textId="20C9D4C6" w:rsidR="005B7285" w:rsidRDefault="005B7285">
            <w:pPr>
              <w:pStyle w:val="Reference"/>
              <w:numPr>
                <w:ilvl w:val="0"/>
                <w:numId w:val="0"/>
              </w:numPr>
              <w:tabs>
                <w:tab w:val="left" w:pos="720"/>
              </w:tabs>
              <w:overflowPunct w:val="0"/>
              <w:autoSpaceDE w:val="0"/>
              <w:autoSpaceDN w:val="0"/>
              <w:adjustRightInd w:val="0"/>
              <w:spacing w:after="60" w:line="240" w:lineRule="auto"/>
              <w:jc w:val="center"/>
              <w:textAlignment w:val="baseline"/>
              <w:rPr>
                <w:rFonts w:ascii="Times New Roman" w:hAnsi="Times New Roman" w:cs="Times New Roman"/>
                <w:sz w:val="20"/>
                <w:szCs w:val="20"/>
              </w:rPr>
            </w:pPr>
            <w:r>
              <w:rPr>
                <w:rFonts w:ascii="Times New Roman" w:hAnsi="Times New Roman" w:cs="Times New Roman"/>
                <w:sz w:val="20"/>
                <w:szCs w:val="20"/>
              </w:rPr>
              <w:t>FDD</w:t>
            </w:r>
          </w:p>
        </w:tc>
      </w:tr>
      <w:tr w:rsidR="005B7285" w14:paraId="18DF05FC" w14:textId="77777777" w:rsidTr="005B7285">
        <w:trPr>
          <w:jc w:val="center"/>
        </w:trPr>
        <w:tc>
          <w:tcPr>
            <w:tcW w:w="3415" w:type="dxa"/>
            <w:tcBorders>
              <w:top w:val="single" w:sz="4" w:space="0" w:color="auto"/>
              <w:left w:val="single" w:sz="4" w:space="0" w:color="auto"/>
              <w:bottom w:val="single" w:sz="4" w:space="0" w:color="auto"/>
              <w:right w:val="single" w:sz="4" w:space="0" w:color="auto"/>
            </w:tcBorders>
            <w:vAlign w:val="bottom"/>
            <w:hideMark/>
          </w:tcPr>
          <w:p w14:paraId="3D0DC534" w14:textId="77777777" w:rsidR="005B7285" w:rsidRDefault="005B7285">
            <w:pPr>
              <w:pStyle w:val="Reference"/>
              <w:numPr>
                <w:ilvl w:val="0"/>
                <w:numId w:val="0"/>
              </w:numPr>
              <w:tabs>
                <w:tab w:val="left" w:pos="720"/>
              </w:tabs>
              <w:overflowPunct w:val="0"/>
              <w:autoSpaceDE w:val="0"/>
              <w:autoSpaceDN w:val="0"/>
              <w:adjustRightInd w:val="0"/>
              <w:spacing w:after="60" w:line="240" w:lineRule="auto"/>
              <w:textAlignment w:val="baseline"/>
              <w:rPr>
                <w:rFonts w:ascii="Times New Roman" w:hAnsi="Times New Roman" w:cs="Times New Roman"/>
                <w:sz w:val="20"/>
                <w:szCs w:val="20"/>
              </w:rPr>
            </w:pPr>
            <w:r>
              <w:rPr>
                <w:rFonts w:ascii="Times New Roman" w:eastAsia="Times New Roman" w:hAnsi="Times New Roman" w:cs="Times New Roman"/>
                <w:color w:val="000000"/>
                <w:sz w:val="20"/>
                <w:szCs w:val="20"/>
                <w:bdr w:val="none" w:sz="0" w:space="0" w:color="auto" w:frame="1"/>
              </w:rPr>
              <w:t>Carrier Frequency</w:t>
            </w:r>
          </w:p>
        </w:tc>
        <w:tc>
          <w:tcPr>
            <w:tcW w:w="5850" w:type="dxa"/>
            <w:tcBorders>
              <w:top w:val="single" w:sz="4" w:space="0" w:color="auto"/>
              <w:left w:val="single" w:sz="4" w:space="0" w:color="auto"/>
              <w:bottom w:val="single" w:sz="4" w:space="0" w:color="auto"/>
              <w:right w:val="single" w:sz="4" w:space="0" w:color="auto"/>
            </w:tcBorders>
            <w:hideMark/>
          </w:tcPr>
          <w:p w14:paraId="54534085" w14:textId="69BECB83" w:rsidR="005B7285" w:rsidRDefault="005B7285">
            <w:pPr>
              <w:pStyle w:val="Reference"/>
              <w:numPr>
                <w:ilvl w:val="0"/>
                <w:numId w:val="0"/>
              </w:numPr>
              <w:tabs>
                <w:tab w:val="left" w:pos="720"/>
              </w:tabs>
              <w:overflowPunct w:val="0"/>
              <w:autoSpaceDE w:val="0"/>
              <w:autoSpaceDN w:val="0"/>
              <w:adjustRightInd w:val="0"/>
              <w:spacing w:after="60" w:line="240" w:lineRule="auto"/>
              <w:jc w:val="center"/>
              <w:textAlignment w:val="baseline"/>
              <w:rPr>
                <w:rFonts w:ascii="Times New Roman" w:hAnsi="Times New Roman" w:cs="Times New Roman"/>
                <w:sz w:val="20"/>
                <w:szCs w:val="20"/>
              </w:rPr>
            </w:pPr>
            <w:r>
              <w:rPr>
                <w:rFonts w:ascii="Times New Roman" w:eastAsia="Times New Roman" w:hAnsi="Times New Roman" w:cs="Times New Roman"/>
                <w:color w:val="000000"/>
                <w:sz w:val="18"/>
                <w:szCs w:val="18"/>
                <w:bdr w:val="none" w:sz="0" w:space="0" w:color="auto" w:frame="1"/>
              </w:rPr>
              <w:t>700MHz</w:t>
            </w:r>
          </w:p>
        </w:tc>
      </w:tr>
      <w:tr w:rsidR="005B7285" w14:paraId="4A3A8E80" w14:textId="77777777" w:rsidTr="005B7285">
        <w:trPr>
          <w:jc w:val="center"/>
        </w:trPr>
        <w:tc>
          <w:tcPr>
            <w:tcW w:w="3415" w:type="dxa"/>
            <w:tcBorders>
              <w:top w:val="single" w:sz="4" w:space="0" w:color="auto"/>
              <w:left w:val="single" w:sz="4" w:space="0" w:color="auto"/>
              <w:bottom w:val="single" w:sz="4" w:space="0" w:color="auto"/>
              <w:right w:val="single" w:sz="4" w:space="0" w:color="auto"/>
            </w:tcBorders>
            <w:vAlign w:val="bottom"/>
            <w:hideMark/>
          </w:tcPr>
          <w:p w14:paraId="3EF55BF4" w14:textId="77777777" w:rsidR="005B7285" w:rsidRDefault="005B7285">
            <w:pPr>
              <w:pStyle w:val="Reference"/>
              <w:numPr>
                <w:ilvl w:val="0"/>
                <w:numId w:val="0"/>
              </w:numPr>
              <w:tabs>
                <w:tab w:val="left" w:pos="720"/>
              </w:tabs>
              <w:overflowPunct w:val="0"/>
              <w:autoSpaceDE w:val="0"/>
              <w:autoSpaceDN w:val="0"/>
              <w:adjustRightInd w:val="0"/>
              <w:spacing w:after="60" w:line="240" w:lineRule="auto"/>
              <w:textAlignment w:val="baseline"/>
              <w:rPr>
                <w:rFonts w:ascii="Times New Roman" w:hAnsi="Times New Roman" w:cs="Times New Roman"/>
                <w:sz w:val="20"/>
                <w:szCs w:val="20"/>
              </w:rPr>
            </w:pPr>
            <w:r>
              <w:rPr>
                <w:rFonts w:ascii="Times New Roman" w:eastAsia="Times New Roman" w:hAnsi="Times New Roman" w:cs="Times New Roman"/>
                <w:color w:val="000000"/>
                <w:sz w:val="20"/>
                <w:szCs w:val="20"/>
                <w:bdr w:val="none" w:sz="0" w:space="0" w:color="auto" w:frame="1"/>
              </w:rPr>
              <w:t>Subcarrier Spacing (kHz)</w:t>
            </w:r>
          </w:p>
        </w:tc>
        <w:tc>
          <w:tcPr>
            <w:tcW w:w="5850" w:type="dxa"/>
            <w:tcBorders>
              <w:top w:val="single" w:sz="4" w:space="0" w:color="auto"/>
              <w:left w:val="single" w:sz="4" w:space="0" w:color="auto"/>
              <w:bottom w:val="single" w:sz="4" w:space="0" w:color="auto"/>
              <w:right w:val="single" w:sz="4" w:space="0" w:color="auto"/>
            </w:tcBorders>
            <w:hideMark/>
          </w:tcPr>
          <w:p w14:paraId="65D57D73" w14:textId="75BEEF7F" w:rsidR="005B7285" w:rsidRDefault="005B7285">
            <w:pPr>
              <w:pStyle w:val="Reference"/>
              <w:numPr>
                <w:ilvl w:val="0"/>
                <w:numId w:val="0"/>
              </w:numPr>
              <w:tabs>
                <w:tab w:val="left" w:pos="720"/>
              </w:tabs>
              <w:overflowPunct w:val="0"/>
              <w:autoSpaceDE w:val="0"/>
              <w:autoSpaceDN w:val="0"/>
              <w:adjustRightInd w:val="0"/>
              <w:spacing w:after="60" w:line="240" w:lineRule="auto"/>
              <w:jc w:val="center"/>
              <w:textAlignment w:val="baseline"/>
              <w:rPr>
                <w:rFonts w:ascii="Times New Roman" w:hAnsi="Times New Roman" w:cs="Times New Roman"/>
                <w:sz w:val="20"/>
                <w:szCs w:val="20"/>
              </w:rPr>
            </w:pPr>
            <w:r>
              <w:rPr>
                <w:rFonts w:ascii="Times New Roman" w:eastAsia="Times New Roman" w:hAnsi="Times New Roman" w:cs="Times New Roman"/>
                <w:color w:val="000000"/>
                <w:sz w:val="20"/>
                <w:szCs w:val="20"/>
                <w:bdr w:val="none" w:sz="0" w:space="0" w:color="auto" w:frame="1"/>
              </w:rPr>
              <w:t>15</w:t>
            </w:r>
          </w:p>
        </w:tc>
      </w:tr>
      <w:tr w:rsidR="005B7285" w14:paraId="7BA98FAB" w14:textId="77777777" w:rsidTr="005B7285">
        <w:trPr>
          <w:jc w:val="center"/>
        </w:trPr>
        <w:tc>
          <w:tcPr>
            <w:tcW w:w="3415" w:type="dxa"/>
            <w:tcBorders>
              <w:top w:val="single" w:sz="4" w:space="0" w:color="auto"/>
              <w:left w:val="single" w:sz="4" w:space="0" w:color="auto"/>
              <w:bottom w:val="single" w:sz="4" w:space="0" w:color="auto"/>
              <w:right w:val="single" w:sz="4" w:space="0" w:color="auto"/>
            </w:tcBorders>
            <w:vAlign w:val="bottom"/>
            <w:hideMark/>
          </w:tcPr>
          <w:p w14:paraId="4379A9A7" w14:textId="77777777" w:rsidR="005B7285" w:rsidRDefault="005B7285">
            <w:pPr>
              <w:pStyle w:val="Reference"/>
              <w:numPr>
                <w:ilvl w:val="0"/>
                <w:numId w:val="0"/>
              </w:numPr>
              <w:tabs>
                <w:tab w:val="left" w:pos="720"/>
              </w:tabs>
              <w:overflowPunct w:val="0"/>
              <w:autoSpaceDE w:val="0"/>
              <w:autoSpaceDN w:val="0"/>
              <w:adjustRightInd w:val="0"/>
              <w:spacing w:after="60" w:line="240" w:lineRule="auto"/>
              <w:textAlignment w:val="baseline"/>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Tx  Bandwidth Configuration (MHz)</w:t>
            </w:r>
          </w:p>
        </w:tc>
        <w:tc>
          <w:tcPr>
            <w:tcW w:w="5850" w:type="dxa"/>
            <w:tcBorders>
              <w:top w:val="single" w:sz="4" w:space="0" w:color="auto"/>
              <w:left w:val="single" w:sz="4" w:space="0" w:color="auto"/>
              <w:bottom w:val="single" w:sz="4" w:space="0" w:color="auto"/>
              <w:right w:val="single" w:sz="4" w:space="0" w:color="auto"/>
            </w:tcBorders>
            <w:hideMark/>
          </w:tcPr>
          <w:p w14:paraId="2D6E4DC0" w14:textId="2A5AC427" w:rsidR="005B7285" w:rsidRDefault="008F3F0D">
            <w:pPr>
              <w:pStyle w:val="Reference"/>
              <w:numPr>
                <w:ilvl w:val="0"/>
                <w:numId w:val="0"/>
              </w:numPr>
              <w:tabs>
                <w:tab w:val="left" w:pos="720"/>
              </w:tabs>
              <w:overflowPunct w:val="0"/>
              <w:autoSpaceDE w:val="0"/>
              <w:autoSpaceDN w:val="0"/>
              <w:adjustRightInd w:val="0"/>
              <w:spacing w:after="60" w:line="240" w:lineRule="auto"/>
              <w:jc w:val="center"/>
              <w:textAlignment w:val="baseline"/>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50</w:t>
            </w:r>
          </w:p>
        </w:tc>
      </w:tr>
      <w:tr w:rsidR="005B7285" w14:paraId="0FB1C64B" w14:textId="77777777" w:rsidTr="005B7285">
        <w:trPr>
          <w:jc w:val="center"/>
        </w:trPr>
        <w:tc>
          <w:tcPr>
            <w:tcW w:w="3415" w:type="dxa"/>
            <w:tcBorders>
              <w:top w:val="single" w:sz="4" w:space="0" w:color="auto"/>
              <w:left w:val="single" w:sz="4" w:space="0" w:color="auto"/>
              <w:bottom w:val="single" w:sz="4" w:space="0" w:color="auto"/>
              <w:right w:val="single" w:sz="4" w:space="0" w:color="auto"/>
            </w:tcBorders>
            <w:vAlign w:val="bottom"/>
            <w:hideMark/>
          </w:tcPr>
          <w:p w14:paraId="32F999EB" w14:textId="77777777" w:rsidR="005B7285" w:rsidRDefault="005B7285">
            <w:pPr>
              <w:pStyle w:val="Reference"/>
              <w:numPr>
                <w:ilvl w:val="0"/>
                <w:numId w:val="0"/>
              </w:numPr>
              <w:tabs>
                <w:tab w:val="left" w:pos="720"/>
              </w:tabs>
              <w:overflowPunct w:val="0"/>
              <w:autoSpaceDE w:val="0"/>
              <w:autoSpaceDN w:val="0"/>
              <w:adjustRightInd w:val="0"/>
              <w:spacing w:after="60" w:line="240" w:lineRule="auto"/>
              <w:textAlignment w:val="baseline"/>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Waveform</w:t>
            </w:r>
          </w:p>
        </w:tc>
        <w:tc>
          <w:tcPr>
            <w:tcW w:w="5850" w:type="dxa"/>
            <w:tcBorders>
              <w:top w:val="single" w:sz="4" w:space="0" w:color="auto"/>
              <w:left w:val="single" w:sz="4" w:space="0" w:color="auto"/>
              <w:bottom w:val="single" w:sz="4" w:space="0" w:color="auto"/>
              <w:right w:val="single" w:sz="4" w:space="0" w:color="auto"/>
            </w:tcBorders>
            <w:hideMark/>
          </w:tcPr>
          <w:p w14:paraId="2C929D85" w14:textId="77777777" w:rsidR="005B7285" w:rsidRDefault="005B7285">
            <w:pPr>
              <w:pStyle w:val="Reference"/>
              <w:numPr>
                <w:ilvl w:val="0"/>
                <w:numId w:val="0"/>
              </w:numPr>
              <w:tabs>
                <w:tab w:val="left" w:pos="720"/>
              </w:tabs>
              <w:overflowPunct w:val="0"/>
              <w:autoSpaceDE w:val="0"/>
              <w:autoSpaceDN w:val="0"/>
              <w:adjustRightInd w:val="0"/>
              <w:spacing w:after="60" w:line="240" w:lineRule="auto"/>
              <w:jc w:val="center"/>
              <w:textAlignment w:val="baseline"/>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DFTsOFDM</w:t>
            </w:r>
          </w:p>
        </w:tc>
      </w:tr>
      <w:tr w:rsidR="005B7285" w14:paraId="75CC23FA" w14:textId="77777777" w:rsidTr="005B7285">
        <w:trPr>
          <w:jc w:val="center"/>
        </w:trPr>
        <w:tc>
          <w:tcPr>
            <w:tcW w:w="3415" w:type="dxa"/>
            <w:tcBorders>
              <w:top w:val="single" w:sz="4" w:space="0" w:color="auto"/>
              <w:left w:val="single" w:sz="4" w:space="0" w:color="auto"/>
              <w:bottom w:val="single" w:sz="4" w:space="0" w:color="auto"/>
              <w:right w:val="single" w:sz="4" w:space="0" w:color="auto"/>
            </w:tcBorders>
            <w:vAlign w:val="bottom"/>
            <w:hideMark/>
          </w:tcPr>
          <w:p w14:paraId="3210EFF5" w14:textId="77777777" w:rsidR="005B7285" w:rsidRDefault="005B7285">
            <w:pPr>
              <w:pStyle w:val="Reference"/>
              <w:numPr>
                <w:ilvl w:val="0"/>
                <w:numId w:val="0"/>
              </w:numPr>
              <w:tabs>
                <w:tab w:val="left" w:pos="720"/>
              </w:tabs>
              <w:overflowPunct w:val="0"/>
              <w:autoSpaceDE w:val="0"/>
              <w:autoSpaceDN w:val="0"/>
              <w:adjustRightInd w:val="0"/>
              <w:spacing w:after="60" w:line="240" w:lineRule="auto"/>
              <w:textAlignment w:val="baseline"/>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PHY channel</w:t>
            </w:r>
          </w:p>
        </w:tc>
        <w:tc>
          <w:tcPr>
            <w:tcW w:w="5850" w:type="dxa"/>
            <w:tcBorders>
              <w:top w:val="single" w:sz="4" w:space="0" w:color="auto"/>
              <w:left w:val="single" w:sz="4" w:space="0" w:color="auto"/>
              <w:bottom w:val="single" w:sz="4" w:space="0" w:color="auto"/>
              <w:right w:val="single" w:sz="4" w:space="0" w:color="auto"/>
            </w:tcBorders>
            <w:hideMark/>
          </w:tcPr>
          <w:p w14:paraId="4ED25322" w14:textId="7723D25F" w:rsidR="005B7285" w:rsidRDefault="00900658">
            <w:pPr>
              <w:pStyle w:val="Reference"/>
              <w:numPr>
                <w:ilvl w:val="0"/>
                <w:numId w:val="0"/>
              </w:numPr>
              <w:tabs>
                <w:tab w:val="left" w:pos="720"/>
              </w:tabs>
              <w:overflowPunct w:val="0"/>
              <w:autoSpaceDE w:val="0"/>
              <w:autoSpaceDN w:val="0"/>
              <w:adjustRightInd w:val="0"/>
              <w:spacing w:after="60" w:line="240" w:lineRule="auto"/>
              <w:jc w:val="center"/>
              <w:textAlignment w:val="baseline"/>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PUCCH</w:t>
            </w:r>
          </w:p>
        </w:tc>
      </w:tr>
      <w:tr w:rsidR="005B7285" w14:paraId="012DDE80" w14:textId="77777777" w:rsidTr="005B7285">
        <w:trPr>
          <w:jc w:val="center"/>
        </w:trPr>
        <w:tc>
          <w:tcPr>
            <w:tcW w:w="3415" w:type="dxa"/>
            <w:tcBorders>
              <w:top w:val="single" w:sz="4" w:space="0" w:color="auto"/>
              <w:left w:val="single" w:sz="4" w:space="0" w:color="auto"/>
              <w:bottom w:val="single" w:sz="4" w:space="0" w:color="auto"/>
              <w:right w:val="single" w:sz="4" w:space="0" w:color="auto"/>
            </w:tcBorders>
            <w:vAlign w:val="bottom"/>
            <w:hideMark/>
          </w:tcPr>
          <w:p w14:paraId="338D2BDA" w14:textId="422C5CB8" w:rsidR="005B7285" w:rsidRDefault="000B62E0">
            <w:pPr>
              <w:ind w:right="400"/>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 xml:space="preserve">Format, </w:t>
            </w:r>
            <w:r w:rsidR="005B7285">
              <w:rPr>
                <w:rFonts w:ascii="Times New Roman" w:eastAsia="Times New Roman" w:hAnsi="Times New Roman" w:cs="Times New Roman"/>
                <w:color w:val="000000"/>
                <w:sz w:val="20"/>
                <w:szCs w:val="20"/>
                <w:bdr w:val="none" w:sz="0" w:space="0" w:color="auto" w:frame="1"/>
              </w:rPr>
              <w:t>Allocation  (# of PRB)</w:t>
            </w:r>
          </w:p>
        </w:tc>
        <w:tc>
          <w:tcPr>
            <w:tcW w:w="5850" w:type="dxa"/>
            <w:tcBorders>
              <w:top w:val="single" w:sz="4" w:space="0" w:color="auto"/>
              <w:left w:val="single" w:sz="4" w:space="0" w:color="auto"/>
              <w:bottom w:val="single" w:sz="4" w:space="0" w:color="auto"/>
              <w:right w:val="single" w:sz="4" w:space="0" w:color="auto"/>
            </w:tcBorders>
            <w:hideMark/>
          </w:tcPr>
          <w:p w14:paraId="49D811C0" w14:textId="37C03DFC" w:rsidR="005B7285" w:rsidRDefault="000B62E0">
            <w:pPr>
              <w:pStyle w:val="Reference"/>
              <w:numPr>
                <w:ilvl w:val="0"/>
                <w:numId w:val="0"/>
              </w:numPr>
              <w:tabs>
                <w:tab w:val="left" w:pos="720"/>
              </w:tabs>
              <w:overflowPunct w:val="0"/>
              <w:autoSpaceDE w:val="0"/>
              <w:autoSpaceDN w:val="0"/>
              <w:adjustRightInd w:val="0"/>
              <w:spacing w:after="60" w:line="240" w:lineRule="auto"/>
              <w:jc w:val="center"/>
              <w:textAlignment w:val="baseline"/>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 xml:space="preserve">Format 3, </w:t>
            </w:r>
            <w:r w:rsidR="001A1753">
              <w:rPr>
                <w:rFonts w:ascii="Times New Roman" w:eastAsia="Times New Roman" w:hAnsi="Times New Roman" w:cs="Times New Roman"/>
                <w:color w:val="000000"/>
                <w:sz w:val="20"/>
                <w:szCs w:val="20"/>
                <w:bdr w:val="none" w:sz="0" w:space="0" w:color="auto" w:frame="1"/>
              </w:rPr>
              <w:t>11/</w:t>
            </w:r>
            <w:r w:rsidR="00881911">
              <w:rPr>
                <w:rFonts w:ascii="Times New Roman" w:eastAsia="Times New Roman" w:hAnsi="Times New Roman" w:cs="Times New Roman"/>
                <w:color w:val="000000"/>
                <w:sz w:val="20"/>
                <w:szCs w:val="20"/>
                <w:bdr w:val="none" w:sz="0" w:space="0" w:color="auto" w:frame="1"/>
              </w:rPr>
              <w:t>22</w:t>
            </w:r>
            <w:r>
              <w:rPr>
                <w:rFonts w:ascii="Times New Roman" w:eastAsia="Times New Roman" w:hAnsi="Times New Roman" w:cs="Times New Roman"/>
                <w:color w:val="000000"/>
                <w:sz w:val="20"/>
                <w:szCs w:val="20"/>
                <w:bdr w:val="none" w:sz="0" w:space="0" w:color="auto" w:frame="1"/>
              </w:rPr>
              <w:t>-bit</w:t>
            </w:r>
            <w:r w:rsidR="00F77F62">
              <w:rPr>
                <w:rFonts w:ascii="Times New Roman" w:eastAsia="Times New Roman" w:hAnsi="Times New Roman" w:cs="Times New Roman"/>
                <w:color w:val="000000"/>
                <w:sz w:val="20"/>
                <w:szCs w:val="20"/>
                <w:bdr w:val="none" w:sz="0" w:space="0" w:color="auto" w:frame="1"/>
              </w:rPr>
              <w:t>, 1 PRB, 14 symbols</w:t>
            </w:r>
          </w:p>
        </w:tc>
      </w:tr>
      <w:tr w:rsidR="005B7285" w14:paraId="3A7D2AAF" w14:textId="77777777" w:rsidTr="005B7285">
        <w:trPr>
          <w:jc w:val="center"/>
        </w:trPr>
        <w:tc>
          <w:tcPr>
            <w:tcW w:w="3415" w:type="dxa"/>
            <w:tcBorders>
              <w:top w:val="single" w:sz="4" w:space="0" w:color="auto"/>
              <w:left w:val="single" w:sz="4" w:space="0" w:color="auto"/>
              <w:bottom w:val="single" w:sz="4" w:space="0" w:color="auto"/>
              <w:right w:val="single" w:sz="4" w:space="0" w:color="auto"/>
            </w:tcBorders>
            <w:vAlign w:val="bottom"/>
            <w:hideMark/>
          </w:tcPr>
          <w:p w14:paraId="075E20EA" w14:textId="77777777" w:rsidR="005B7285" w:rsidRDefault="005B7285">
            <w:pPr>
              <w:ind w:right="400"/>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Precoder</w:t>
            </w:r>
          </w:p>
        </w:tc>
        <w:tc>
          <w:tcPr>
            <w:tcW w:w="5850" w:type="dxa"/>
            <w:tcBorders>
              <w:top w:val="single" w:sz="4" w:space="0" w:color="auto"/>
              <w:left w:val="single" w:sz="4" w:space="0" w:color="auto"/>
              <w:bottom w:val="single" w:sz="4" w:space="0" w:color="auto"/>
              <w:right w:val="single" w:sz="4" w:space="0" w:color="auto"/>
            </w:tcBorders>
            <w:vAlign w:val="center"/>
            <w:hideMark/>
          </w:tcPr>
          <w:p w14:paraId="41216DC6" w14:textId="77777777" w:rsidR="005B7285" w:rsidRDefault="005B7285">
            <w:pPr>
              <w:pStyle w:val="Reference"/>
              <w:numPr>
                <w:ilvl w:val="0"/>
                <w:numId w:val="0"/>
              </w:numPr>
              <w:tabs>
                <w:tab w:val="left" w:pos="720"/>
              </w:tabs>
              <w:overflowPunct w:val="0"/>
              <w:autoSpaceDE w:val="0"/>
              <w:autoSpaceDN w:val="0"/>
              <w:adjustRightInd w:val="0"/>
              <w:spacing w:after="60" w:line="240" w:lineRule="auto"/>
              <w:jc w:val="center"/>
              <w:textAlignment w:val="baseline"/>
              <w:rPr>
                <w:rFonts w:ascii="Times New Roman" w:eastAsia="Times New Roman" w:hAnsi="Times New Roman" w:cs="Times New Roman"/>
                <w:color w:val="000000" w:themeColor="text1"/>
                <w:sz w:val="20"/>
                <w:szCs w:val="20"/>
                <w:bdr w:val="none" w:sz="0" w:space="0" w:color="auto" w:frame="1"/>
              </w:rPr>
            </w:pPr>
            <w:r>
              <w:rPr>
                <w:rFonts w:ascii="Times New Roman" w:eastAsia="Times New Roman" w:hAnsi="Times New Roman" w:cs="Times New Roman"/>
                <w:color w:val="000000" w:themeColor="text1"/>
                <w:sz w:val="20"/>
                <w:szCs w:val="20"/>
                <w:bdr w:val="none" w:sz="0" w:space="0" w:color="auto" w:frame="1"/>
              </w:rPr>
              <w:t>None</w:t>
            </w:r>
          </w:p>
        </w:tc>
      </w:tr>
      <w:tr w:rsidR="005B7285" w14:paraId="638DDBEE" w14:textId="77777777" w:rsidTr="005B7285">
        <w:trPr>
          <w:jc w:val="center"/>
        </w:trPr>
        <w:tc>
          <w:tcPr>
            <w:tcW w:w="3415" w:type="dxa"/>
            <w:tcBorders>
              <w:top w:val="single" w:sz="4" w:space="0" w:color="auto"/>
              <w:left w:val="single" w:sz="4" w:space="0" w:color="auto"/>
              <w:bottom w:val="single" w:sz="4" w:space="0" w:color="auto"/>
              <w:right w:val="single" w:sz="4" w:space="0" w:color="auto"/>
            </w:tcBorders>
            <w:vAlign w:val="bottom"/>
            <w:hideMark/>
          </w:tcPr>
          <w:p w14:paraId="08E17447" w14:textId="77777777" w:rsidR="005B7285" w:rsidRDefault="005B7285">
            <w:pPr>
              <w:ind w:right="400"/>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HARQ sequence</w:t>
            </w:r>
          </w:p>
        </w:tc>
        <w:tc>
          <w:tcPr>
            <w:tcW w:w="5850" w:type="dxa"/>
            <w:tcBorders>
              <w:top w:val="single" w:sz="4" w:space="0" w:color="auto"/>
              <w:left w:val="single" w:sz="4" w:space="0" w:color="auto"/>
              <w:bottom w:val="single" w:sz="4" w:space="0" w:color="auto"/>
              <w:right w:val="single" w:sz="4" w:space="0" w:color="auto"/>
            </w:tcBorders>
            <w:vAlign w:val="center"/>
            <w:hideMark/>
          </w:tcPr>
          <w:p w14:paraId="4C368B61" w14:textId="77777777" w:rsidR="005B7285" w:rsidRDefault="005B7285">
            <w:pPr>
              <w:pStyle w:val="Reference"/>
              <w:numPr>
                <w:ilvl w:val="0"/>
                <w:numId w:val="0"/>
              </w:numPr>
              <w:tabs>
                <w:tab w:val="left" w:pos="720"/>
              </w:tabs>
              <w:overflowPunct w:val="0"/>
              <w:autoSpaceDE w:val="0"/>
              <w:autoSpaceDN w:val="0"/>
              <w:adjustRightInd w:val="0"/>
              <w:spacing w:after="60" w:line="240" w:lineRule="auto"/>
              <w:jc w:val="center"/>
              <w:textAlignment w:val="baseline"/>
              <w:rPr>
                <w:rFonts w:ascii="Times New Roman" w:eastAsia="Times New Roman" w:hAnsi="Times New Roman" w:cs="Times New Roman"/>
                <w:color w:val="000000" w:themeColor="text1"/>
                <w:sz w:val="20"/>
                <w:szCs w:val="20"/>
                <w:bdr w:val="none" w:sz="0" w:space="0" w:color="auto" w:frame="1"/>
              </w:rPr>
            </w:pPr>
            <w:r>
              <w:rPr>
                <w:rFonts w:ascii="Times New Roman" w:eastAsia="Times New Roman" w:hAnsi="Times New Roman" w:cs="Times New Roman"/>
                <w:color w:val="000000" w:themeColor="text1"/>
                <w:sz w:val="20"/>
                <w:szCs w:val="20"/>
                <w:bdr w:val="none" w:sz="0" w:space="0" w:color="auto" w:frame="1"/>
              </w:rPr>
              <w:t>None</w:t>
            </w:r>
          </w:p>
        </w:tc>
      </w:tr>
      <w:tr w:rsidR="005B7285" w14:paraId="589C955D" w14:textId="77777777" w:rsidTr="005B7285">
        <w:trPr>
          <w:jc w:val="center"/>
        </w:trPr>
        <w:tc>
          <w:tcPr>
            <w:tcW w:w="3415" w:type="dxa"/>
            <w:tcBorders>
              <w:top w:val="single" w:sz="4" w:space="0" w:color="auto"/>
              <w:left w:val="single" w:sz="4" w:space="0" w:color="auto"/>
              <w:bottom w:val="single" w:sz="4" w:space="0" w:color="auto"/>
              <w:right w:val="single" w:sz="4" w:space="0" w:color="auto"/>
            </w:tcBorders>
            <w:vAlign w:val="center"/>
            <w:hideMark/>
          </w:tcPr>
          <w:p w14:paraId="543B358B" w14:textId="77777777" w:rsidR="005B7285" w:rsidRDefault="005B7285">
            <w:pPr>
              <w:ind w:right="400"/>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themeColor="text1"/>
                <w:sz w:val="20"/>
                <w:szCs w:val="20"/>
                <w:bdr w:val="none" w:sz="0" w:space="0" w:color="auto" w:frame="1"/>
              </w:rPr>
              <w:t>Repetition/HARQ scheme</w:t>
            </w:r>
          </w:p>
        </w:tc>
        <w:tc>
          <w:tcPr>
            <w:tcW w:w="5850" w:type="dxa"/>
            <w:tcBorders>
              <w:top w:val="single" w:sz="4" w:space="0" w:color="auto"/>
              <w:left w:val="single" w:sz="4" w:space="0" w:color="auto"/>
              <w:bottom w:val="single" w:sz="4" w:space="0" w:color="auto"/>
              <w:right w:val="single" w:sz="4" w:space="0" w:color="auto"/>
            </w:tcBorders>
            <w:vAlign w:val="center"/>
            <w:hideMark/>
          </w:tcPr>
          <w:p w14:paraId="7E81E78A" w14:textId="63276C25" w:rsidR="005B7285" w:rsidRDefault="00495C6E">
            <w:pPr>
              <w:pStyle w:val="Reference"/>
              <w:numPr>
                <w:ilvl w:val="0"/>
                <w:numId w:val="0"/>
              </w:numPr>
              <w:tabs>
                <w:tab w:val="left" w:pos="720"/>
              </w:tabs>
              <w:overflowPunct w:val="0"/>
              <w:autoSpaceDE w:val="0"/>
              <w:autoSpaceDN w:val="0"/>
              <w:adjustRightInd w:val="0"/>
              <w:spacing w:after="60" w:line="240" w:lineRule="auto"/>
              <w:jc w:val="center"/>
              <w:textAlignment w:val="baseline"/>
              <w:rPr>
                <w:rFonts w:ascii="Times New Roman" w:eastAsia="Times New Roman" w:hAnsi="Times New Roman" w:cs="Times New Roman"/>
                <w:color w:val="000000" w:themeColor="text1"/>
                <w:sz w:val="20"/>
                <w:szCs w:val="20"/>
                <w:bdr w:val="none" w:sz="0" w:space="0" w:color="auto" w:frame="1"/>
              </w:rPr>
            </w:pPr>
            <w:r>
              <w:rPr>
                <w:rFonts w:ascii="Times New Roman" w:eastAsia="Times New Roman" w:hAnsi="Times New Roman" w:cs="Times New Roman"/>
                <w:color w:val="000000" w:themeColor="text1"/>
                <w:sz w:val="20"/>
                <w:szCs w:val="20"/>
                <w:bdr w:val="none" w:sz="0" w:space="0" w:color="auto" w:frame="1"/>
              </w:rPr>
              <w:t>K=2, 4, 8</w:t>
            </w:r>
          </w:p>
        </w:tc>
      </w:tr>
      <w:tr w:rsidR="005B7285" w14:paraId="00A9A352" w14:textId="77777777" w:rsidTr="005B7285">
        <w:trPr>
          <w:jc w:val="center"/>
        </w:trPr>
        <w:tc>
          <w:tcPr>
            <w:tcW w:w="3415" w:type="dxa"/>
            <w:tcBorders>
              <w:top w:val="single" w:sz="4" w:space="0" w:color="auto"/>
              <w:left w:val="single" w:sz="4" w:space="0" w:color="auto"/>
              <w:bottom w:val="single" w:sz="4" w:space="0" w:color="auto"/>
              <w:right w:val="single" w:sz="4" w:space="0" w:color="auto"/>
            </w:tcBorders>
            <w:vAlign w:val="bottom"/>
            <w:hideMark/>
          </w:tcPr>
          <w:p w14:paraId="0A1AF0EC" w14:textId="77777777" w:rsidR="005B7285" w:rsidRDefault="005B7285">
            <w:pPr>
              <w:ind w:right="400"/>
              <w:rPr>
                <w:rFonts w:ascii="Times New Roman" w:eastAsia="Times New Roman" w:hAnsi="Times New Roman" w:cs="Times New Roman"/>
                <w:color w:val="000000" w:themeColor="text1"/>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Frequency Hopping</w:t>
            </w:r>
          </w:p>
        </w:tc>
        <w:tc>
          <w:tcPr>
            <w:tcW w:w="5850" w:type="dxa"/>
            <w:tcBorders>
              <w:top w:val="single" w:sz="4" w:space="0" w:color="auto"/>
              <w:left w:val="single" w:sz="4" w:space="0" w:color="auto"/>
              <w:bottom w:val="single" w:sz="4" w:space="0" w:color="auto"/>
              <w:right w:val="single" w:sz="4" w:space="0" w:color="auto"/>
            </w:tcBorders>
            <w:vAlign w:val="center"/>
            <w:hideMark/>
          </w:tcPr>
          <w:p w14:paraId="469942EF" w14:textId="18614AB5" w:rsidR="005B7285" w:rsidRDefault="003D46BD">
            <w:pPr>
              <w:jc w:val="center"/>
              <w:rPr>
                <w:rFonts w:ascii="Times New Roman" w:eastAsia="Times New Roman" w:hAnsi="Times New Roman" w:cs="Times New Roman"/>
                <w:color w:val="000000" w:themeColor="text1"/>
                <w:sz w:val="20"/>
                <w:szCs w:val="20"/>
                <w:bdr w:val="none" w:sz="0" w:space="0" w:color="auto" w:frame="1"/>
              </w:rPr>
            </w:pPr>
            <w:r>
              <w:rPr>
                <w:rFonts w:ascii="Times New Roman" w:eastAsia="Times New Roman" w:hAnsi="Times New Roman" w:cs="Times New Roman"/>
                <w:color w:val="000000" w:themeColor="text1"/>
                <w:sz w:val="20"/>
                <w:szCs w:val="20"/>
                <w:bdr w:val="none" w:sz="0" w:space="0" w:color="auto" w:frame="1"/>
              </w:rPr>
              <w:t>Enabled</w:t>
            </w:r>
            <w:r w:rsidR="00AA7C1B">
              <w:rPr>
                <w:rFonts w:ascii="Times New Roman" w:eastAsia="Times New Roman" w:hAnsi="Times New Roman" w:cs="Times New Roman"/>
                <w:color w:val="000000" w:themeColor="text1"/>
                <w:sz w:val="20"/>
                <w:szCs w:val="20"/>
                <w:bdr w:val="none" w:sz="0" w:space="0" w:color="auto" w:frame="1"/>
              </w:rPr>
              <w:t>, 2 hops</w:t>
            </w:r>
          </w:p>
        </w:tc>
      </w:tr>
      <w:tr w:rsidR="005B7285" w14:paraId="56E2AAC5" w14:textId="77777777" w:rsidTr="005B7285">
        <w:trPr>
          <w:jc w:val="center"/>
        </w:trPr>
        <w:tc>
          <w:tcPr>
            <w:tcW w:w="3415" w:type="dxa"/>
            <w:tcBorders>
              <w:top w:val="single" w:sz="4" w:space="0" w:color="auto"/>
              <w:left w:val="single" w:sz="4" w:space="0" w:color="auto"/>
              <w:bottom w:val="single" w:sz="4" w:space="0" w:color="auto"/>
              <w:right w:val="single" w:sz="4" w:space="0" w:color="auto"/>
            </w:tcBorders>
            <w:vAlign w:val="bottom"/>
            <w:hideMark/>
          </w:tcPr>
          <w:p w14:paraId="06EB21C3" w14:textId="77777777" w:rsidR="005B7285" w:rsidRDefault="005B7285">
            <w:pPr>
              <w:ind w:right="400"/>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Antenna Configuration</w:t>
            </w:r>
          </w:p>
        </w:tc>
        <w:tc>
          <w:tcPr>
            <w:tcW w:w="5850" w:type="dxa"/>
            <w:tcBorders>
              <w:top w:val="single" w:sz="4" w:space="0" w:color="auto"/>
              <w:left w:val="single" w:sz="4" w:space="0" w:color="auto"/>
              <w:bottom w:val="single" w:sz="4" w:space="0" w:color="auto"/>
              <w:right w:val="single" w:sz="4" w:space="0" w:color="auto"/>
            </w:tcBorders>
            <w:vAlign w:val="center"/>
            <w:hideMark/>
          </w:tcPr>
          <w:p w14:paraId="057AE653" w14:textId="22EEBBA3" w:rsidR="005B7285" w:rsidRDefault="005B7285">
            <w:pPr>
              <w:jc w:val="center"/>
              <w:rPr>
                <w:rFonts w:ascii="Times New Roman" w:eastAsia="Times New Roman" w:hAnsi="Times New Roman" w:cs="Times New Roman"/>
                <w:color w:val="000000" w:themeColor="text1"/>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1x</w:t>
            </w:r>
            <w:r w:rsidR="00846107">
              <w:rPr>
                <w:rFonts w:ascii="Times New Roman" w:eastAsia="Times New Roman" w:hAnsi="Times New Roman" w:cs="Times New Roman"/>
                <w:color w:val="000000"/>
                <w:sz w:val="20"/>
                <w:szCs w:val="20"/>
                <w:bdr w:val="none" w:sz="0" w:space="0" w:color="auto" w:frame="1"/>
              </w:rPr>
              <w:t>2</w:t>
            </w:r>
            <w:r>
              <w:rPr>
                <w:rFonts w:ascii="Times New Roman" w:eastAsia="Times New Roman" w:hAnsi="Times New Roman" w:cs="Times New Roman"/>
                <w:color w:val="000000"/>
                <w:sz w:val="20"/>
                <w:szCs w:val="20"/>
                <w:bdr w:val="none" w:sz="0" w:space="0" w:color="auto" w:frame="1"/>
              </w:rPr>
              <w:t xml:space="preserve"> uplink channels (i.e., 1 TX at UE and </w:t>
            </w:r>
            <w:r w:rsidR="00846107">
              <w:rPr>
                <w:rFonts w:ascii="Times New Roman" w:eastAsia="Times New Roman" w:hAnsi="Times New Roman" w:cs="Times New Roman"/>
                <w:color w:val="000000"/>
                <w:sz w:val="20"/>
                <w:szCs w:val="20"/>
                <w:bdr w:val="none" w:sz="0" w:space="0" w:color="auto" w:frame="1"/>
              </w:rPr>
              <w:t>2</w:t>
            </w:r>
            <w:r>
              <w:rPr>
                <w:rFonts w:ascii="Times New Roman" w:eastAsia="Times New Roman" w:hAnsi="Times New Roman" w:cs="Times New Roman"/>
                <w:color w:val="000000"/>
                <w:sz w:val="20"/>
                <w:szCs w:val="20"/>
                <w:bdr w:val="none" w:sz="0" w:space="0" w:color="auto" w:frame="1"/>
              </w:rPr>
              <w:t xml:space="preserve"> RX at BS)</w:t>
            </w:r>
          </w:p>
        </w:tc>
      </w:tr>
      <w:tr w:rsidR="005B7285" w14:paraId="294E4121" w14:textId="77777777" w:rsidTr="005B7285">
        <w:trPr>
          <w:jc w:val="center"/>
        </w:trPr>
        <w:tc>
          <w:tcPr>
            <w:tcW w:w="3415" w:type="dxa"/>
            <w:tcBorders>
              <w:top w:val="single" w:sz="4" w:space="0" w:color="auto"/>
              <w:left w:val="single" w:sz="4" w:space="0" w:color="auto"/>
              <w:bottom w:val="single" w:sz="4" w:space="0" w:color="auto"/>
              <w:right w:val="single" w:sz="4" w:space="0" w:color="auto"/>
            </w:tcBorders>
            <w:vAlign w:val="bottom"/>
            <w:hideMark/>
          </w:tcPr>
          <w:p w14:paraId="50BE3AFE" w14:textId="77777777" w:rsidR="005B7285" w:rsidRDefault="005B7285">
            <w:pPr>
              <w:ind w:right="400"/>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PA impairment</w:t>
            </w:r>
          </w:p>
        </w:tc>
        <w:tc>
          <w:tcPr>
            <w:tcW w:w="5850" w:type="dxa"/>
            <w:tcBorders>
              <w:top w:val="single" w:sz="4" w:space="0" w:color="auto"/>
              <w:left w:val="single" w:sz="4" w:space="0" w:color="auto"/>
              <w:bottom w:val="single" w:sz="4" w:space="0" w:color="auto"/>
              <w:right w:val="single" w:sz="4" w:space="0" w:color="auto"/>
            </w:tcBorders>
            <w:vAlign w:val="center"/>
            <w:hideMark/>
          </w:tcPr>
          <w:p w14:paraId="2CEA0854" w14:textId="77777777" w:rsidR="005B7285" w:rsidRDefault="005B7285">
            <w:pPr>
              <w:jc w:val="center"/>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Ideal</w:t>
            </w:r>
          </w:p>
        </w:tc>
      </w:tr>
      <w:tr w:rsidR="005B7285" w14:paraId="7253EE84" w14:textId="77777777" w:rsidTr="005B7285">
        <w:trPr>
          <w:jc w:val="center"/>
        </w:trPr>
        <w:tc>
          <w:tcPr>
            <w:tcW w:w="3415" w:type="dxa"/>
            <w:tcBorders>
              <w:top w:val="single" w:sz="4" w:space="0" w:color="auto"/>
              <w:left w:val="single" w:sz="4" w:space="0" w:color="auto"/>
              <w:bottom w:val="single" w:sz="4" w:space="0" w:color="auto"/>
              <w:right w:val="single" w:sz="4" w:space="0" w:color="auto"/>
            </w:tcBorders>
            <w:vAlign w:val="center"/>
            <w:hideMark/>
          </w:tcPr>
          <w:p w14:paraId="3A2554D2" w14:textId="77777777" w:rsidR="005B7285" w:rsidRDefault="005B7285">
            <w:pPr>
              <w:ind w:right="400"/>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Channel model (TDL type, DS)</w:t>
            </w:r>
          </w:p>
        </w:tc>
        <w:tc>
          <w:tcPr>
            <w:tcW w:w="5850" w:type="dxa"/>
            <w:tcBorders>
              <w:top w:val="single" w:sz="4" w:space="0" w:color="auto"/>
              <w:left w:val="single" w:sz="4" w:space="0" w:color="auto"/>
              <w:bottom w:val="single" w:sz="4" w:space="0" w:color="auto"/>
              <w:right w:val="single" w:sz="4" w:space="0" w:color="auto"/>
            </w:tcBorders>
            <w:vAlign w:val="center"/>
            <w:hideMark/>
          </w:tcPr>
          <w:p w14:paraId="4533E138" w14:textId="6E5DF48B" w:rsidR="005B7285" w:rsidRDefault="005B7285">
            <w:pPr>
              <w:jc w:val="center"/>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TDL-C, DS=300ns</w:t>
            </w:r>
          </w:p>
        </w:tc>
      </w:tr>
      <w:tr w:rsidR="005B7285" w14:paraId="4B75BD1A" w14:textId="77777777" w:rsidTr="005B7285">
        <w:trPr>
          <w:jc w:val="center"/>
        </w:trPr>
        <w:tc>
          <w:tcPr>
            <w:tcW w:w="3415" w:type="dxa"/>
            <w:tcBorders>
              <w:top w:val="single" w:sz="4" w:space="0" w:color="auto"/>
              <w:left w:val="single" w:sz="4" w:space="0" w:color="auto"/>
              <w:bottom w:val="single" w:sz="4" w:space="0" w:color="auto"/>
              <w:right w:val="single" w:sz="4" w:space="0" w:color="auto"/>
            </w:tcBorders>
            <w:vAlign w:val="center"/>
            <w:hideMark/>
          </w:tcPr>
          <w:p w14:paraId="346C859A" w14:textId="77777777" w:rsidR="005B7285" w:rsidRDefault="005B7285">
            <w:pPr>
              <w:ind w:right="400"/>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Channel estimation</w:t>
            </w:r>
          </w:p>
        </w:tc>
        <w:tc>
          <w:tcPr>
            <w:tcW w:w="5850" w:type="dxa"/>
            <w:tcBorders>
              <w:top w:val="single" w:sz="4" w:space="0" w:color="auto"/>
              <w:left w:val="single" w:sz="4" w:space="0" w:color="auto"/>
              <w:bottom w:val="single" w:sz="4" w:space="0" w:color="auto"/>
              <w:right w:val="single" w:sz="4" w:space="0" w:color="auto"/>
            </w:tcBorders>
            <w:vAlign w:val="center"/>
            <w:hideMark/>
          </w:tcPr>
          <w:p w14:paraId="424E2888" w14:textId="4F63B9F7" w:rsidR="005B7285" w:rsidRDefault="000B62E0">
            <w:pPr>
              <w:jc w:val="center"/>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Joint</w:t>
            </w:r>
            <w:r w:rsidR="005B7285">
              <w:rPr>
                <w:rFonts w:ascii="Times New Roman" w:eastAsia="Times New Roman" w:hAnsi="Times New Roman" w:cs="Times New Roman"/>
                <w:color w:val="000000"/>
                <w:sz w:val="20"/>
                <w:szCs w:val="20"/>
                <w:bdr w:val="none" w:sz="0" w:space="0" w:color="auto" w:frame="1"/>
              </w:rPr>
              <w:t xml:space="preserve"> channel estimation</w:t>
            </w:r>
          </w:p>
        </w:tc>
      </w:tr>
      <w:tr w:rsidR="005B7285" w14:paraId="227E9348" w14:textId="77777777" w:rsidTr="005B7285">
        <w:trPr>
          <w:jc w:val="center"/>
        </w:trPr>
        <w:tc>
          <w:tcPr>
            <w:tcW w:w="3415" w:type="dxa"/>
            <w:tcBorders>
              <w:top w:val="single" w:sz="4" w:space="0" w:color="auto"/>
              <w:left w:val="single" w:sz="4" w:space="0" w:color="auto"/>
              <w:bottom w:val="single" w:sz="4" w:space="0" w:color="auto"/>
              <w:right w:val="single" w:sz="4" w:space="0" w:color="auto"/>
            </w:tcBorders>
            <w:vAlign w:val="center"/>
            <w:hideMark/>
          </w:tcPr>
          <w:p w14:paraId="7EE46429" w14:textId="77777777" w:rsidR="005B7285" w:rsidRDefault="005B7285">
            <w:pPr>
              <w:ind w:right="400"/>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UE mobility</w:t>
            </w:r>
          </w:p>
        </w:tc>
        <w:tc>
          <w:tcPr>
            <w:tcW w:w="5850" w:type="dxa"/>
            <w:tcBorders>
              <w:top w:val="single" w:sz="4" w:space="0" w:color="auto"/>
              <w:left w:val="single" w:sz="4" w:space="0" w:color="auto"/>
              <w:bottom w:val="single" w:sz="4" w:space="0" w:color="auto"/>
              <w:right w:val="single" w:sz="4" w:space="0" w:color="auto"/>
            </w:tcBorders>
            <w:vAlign w:val="center"/>
            <w:hideMark/>
          </w:tcPr>
          <w:p w14:paraId="1AE3714F" w14:textId="1517993C" w:rsidR="005B7285" w:rsidRDefault="00636255">
            <w:pPr>
              <w:jc w:val="center"/>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120</w:t>
            </w:r>
            <w:r w:rsidR="005B7285">
              <w:rPr>
                <w:rFonts w:ascii="Times New Roman" w:eastAsia="Times New Roman" w:hAnsi="Times New Roman" w:cs="Times New Roman"/>
                <w:color w:val="000000"/>
                <w:sz w:val="20"/>
                <w:szCs w:val="20"/>
                <w:bdr w:val="none" w:sz="0" w:space="0" w:color="auto" w:frame="1"/>
              </w:rPr>
              <w:t>km/hr</w:t>
            </w:r>
          </w:p>
        </w:tc>
      </w:tr>
      <w:tr w:rsidR="005B7285" w14:paraId="73580D02" w14:textId="77777777" w:rsidTr="005B7285">
        <w:trPr>
          <w:jc w:val="center"/>
        </w:trPr>
        <w:tc>
          <w:tcPr>
            <w:tcW w:w="3415" w:type="dxa"/>
            <w:tcBorders>
              <w:top w:val="single" w:sz="4" w:space="0" w:color="auto"/>
              <w:left w:val="single" w:sz="4" w:space="0" w:color="auto"/>
              <w:bottom w:val="single" w:sz="4" w:space="0" w:color="auto"/>
              <w:right w:val="single" w:sz="4" w:space="0" w:color="auto"/>
            </w:tcBorders>
            <w:vAlign w:val="center"/>
            <w:hideMark/>
          </w:tcPr>
          <w:p w14:paraId="6CE4F1BE" w14:textId="77777777" w:rsidR="005B7285" w:rsidRDefault="005B7285">
            <w:pPr>
              <w:ind w:right="400"/>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CFO</w:t>
            </w:r>
          </w:p>
        </w:tc>
        <w:tc>
          <w:tcPr>
            <w:tcW w:w="5850" w:type="dxa"/>
            <w:tcBorders>
              <w:top w:val="single" w:sz="4" w:space="0" w:color="auto"/>
              <w:left w:val="single" w:sz="4" w:space="0" w:color="auto"/>
              <w:bottom w:val="single" w:sz="4" w:space="0" w:color="auto"/>
              <w:right w:val="single" w:sz="4" w:space="0" w:color="auto"/>
            </w:tcBorders>
            <w:vAlign w:val="center"/>
            <w:hideMark/>
          </w:tcPr>
          <w:p w14:paraId="261AF5E5" w14:textId="77777777" w:rsidR="005B7285" w:rsidRDefault="005B7285">
            <w:pPr>
              <w:jc w:val="center"/>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Uniformly distributed, 0.1 ppm as upper bound</w:t>
            </w:r>
          </w:p>
        </w:tc>
      </w:tr>
    </w:tbl>
    <w:p w14:paraId="6FFBAFDD" w14:textId="77777777" w:rsidR="00E5554C" w:rsidRPr="008F7262" w:rsidRDefault="00E5554C" w:rsidP="007E7F7C">
      <w:pPr>
        <w:pStyle w:val="Caption"/>
        <w:keepNext/>
        <w:rPr>
          <w:lang w:eastAsia="zh-CN"/>
        </w:rPr>
      </w:pPr>
    </w:p>
    <w:sectPr w:rsidR="00E5554C" w:rsidRPr="008F726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D6E29" w14:textId="77777777" w:rsidR="00AE15D8" w:rsidRDefault="00AE15D8" w:rsidP="005854C7">
      <w:pPr>
        <w:spacing w:after="0" w:line="240" w:lineRule="auto"/>
      </w:pPr>
      <w:r>
        <w:separator/>
      </w:r>
    </w:p>
  </w:endnote>
  <w:endnote w:type="continuationSeparator" w:id="0">
    <w:p w14:paraId="5250B2B6" w14:textId="77777777" w:rsidR="00AE15D8" w:rsidRDefault="00AE15D8"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8E000" w14:textId="77777777" w:rsidR="00AE15D8" w:rsidRDefault="00AE15D8" w:rsidP="005854C7">
      <w:pPr>
        <w:spacing w:after="0" w:line="240" w:lineRule="auto"/>
      </w:pPr>
      <w:r>
        <w:separator/>
      </w:r>
    </w:p>
  </w:footnote>
  <w:footnote w:type="continuationSeparator" w:id="0">
    <w:p w14:paraId="3D46AD22" w14:textId="77777777" w:rsidR="00AE15D8" w:rsidRDefault="00AE15D8"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357"/>
        </w:tabs>
        <w:ind w:left="357" w:hanging="360"/>
      </w:pPr>
      <w:rPr>
        <w:rFonts w:ascii="Wingdings" w:hAnsi="Wingdings" w:hint="default"/>
      </w:rPr>
    </w:lvl>
    <w:lvl w:ilvl="1" w:tplc="08090003">
      <w:start w:val="1"/>
      <w:numFmt w:val="bullet"/>
      <w:lvlText w:val="o"/>
      <w:lvlJc w:val="left"/>
      <w:pPr>
        <w:tabs>
          <w:tab w:val="num" w:pos="1077"/>
        </w:tabs>
        <w:ind w:left="1077" w:hanging="360"/>
      </w:pPr>
      <w:rPr>
        <w:rFonts w:ascii="Courier New" w:hAnsi="Courier New" w:cs="Courier New" w:hint="default"/>
      </w:rPr>
    </w:lvl>
    <w:lvl w:ilvl="2" w:tplc="B5307B6A">
      <w:start w:val="1"/>
      <w:numFmt w:val="bullet"/>
      <w:lvlText w:val=""/>
      <w:lvlJc w:val="left"/>
      <w:pPr>
        <w:tabs>
          <w:tab w:val="num" w:pos="1797"/>
        </w:tabs>
        <w:ind w:left="1797" w:hanging="360"/>
      </w:pPr>
      <w:rPr>
        <w:rFonts w:ascii="Wingdings" w:hAnsi="Wingdings" w:hint="default"/>
        <w:color w:val="auto"/>
      </w:rPr>
    </w:lvl>
    <w:lvl w:ilvl="3" w:tplc="08090003">
      <w:start w:val="1"/>
      <w:numFmt w:val="bullet"/>
      <w:lvlText w:val="o"/>
      <w:lvlJc w:val="left"/>
      <w:pPr>
        <w:tabs>
          <w:tab w:val="num" w:pos="2517"/>
        </w:tabs>
        <w:ind w:left="2517" w:hanging="360"/>
      </w:pPr>
      <w:rPr>
        <w:rFonts w:ascii="Courier New" w:hAnsi="Courier New" w:cs="Courier New" w:hint="default"/>
      </w:rPr>
    </w:lvl>
    <w:lvl w:ilvl="4" w:tplc="08090003" w:tentative="1">
      <w:start w:val="1"/>
      <w:numFmt w:val="bullet"/>
      <w:lvlText w:val="o"/>
      <w:lvlJc w:val="left"/>
      <w:pPr>
        <w:tabs>
          <w:tab w:val="num" w:pos="3237"/>
        </w:tabs>
        <w:ind w:left="3237" w:hanging="360"/>
      </w:pPr>
      <w:rPr>
        <w:rFonts w:ascii="Courier New" w:hAnsi="Courier New" w:cs="Courier New" w:hint="default"/>
      </w:rPr>
    </w:lvl>
    <w:lvl w:ilvl="5" w:tplc="08090005" w:tentative="1">
      <w:start w:val="1"/>
      <w:numFmt w:val="bullet"/>
      <w:lvlText w:val=""/>
      <w:lvlJc w:val="left"/>
      <w:pPr>
        <w:tabs>
          <w:tab w:val="num" w:pos="3957"/>
        </w:tabs>
        <w:ind w:left="3957" w:hanging="360"/>
      </w:pPr>
      <w:rPr>
        <w:rFonts w:ascii="Wingdings" w:hAnsi="Wingdings" w:hint="default"/>
      </w:rPr>
    </w:lvl>
    <w:lvl w:ilvl="6" w:tplc="08090001" w:tentative="1">
      <w:start w:val="1"/>
      <w:numFmt w:val="bullet"/>
      <w:lvlText w:val=""/>
      <w:lvlJc w:val="left"/>
      <w:pPr>
        <w:tabs>
          <w:tab w:val="num" w:pos="4677"/>
        </w:tabs>
        <w:ind w:left="4677" w:hanging="360"/>
      </w:pPr>
      <w:rPr>
        <w:rFonts w:ascii="Symbol" w:hAnsi="Symbol" w:hint="default"/>
      </w:rPr>
    </w:lvl>
    <w:lvl w:ilvl="7" w:tplc="08090003" w:tentative="1">
      <w:start w:val="1"/>
      <w:numFmt w:val="bullet"/>
      <w:lvlText w:val="o"/>
      <w:lvlJc w:val="left"/>
      <w:pPr>
        <w:tabs>
          <w:tab w:val="num" w:pos="5397"/>
        </w:tabs>
        <w:ind w:left="5397" w:hanging="360"/>
      </w:pPr>
      <w:rPr>
        <w:rFonts w:ascii="Courier New" w:hAnsi="Courier New" w:cs="Courier New" w:hint="default"/>
      </w:rPr>
    </w:lvl>
    <w:lvl w:ilvl="8" w:tplc="08090005" w:tentative="1">
      <w:start w:val="1"/>
      <w:numFmt w:val="bullet"/>
      <w:lvlText w:val=""/>
      <w:lvlJc w:val="left"/>
      <w:pPr>
        <w:tabs>
          <w:tab w:val="num" w:pos="6117"/>
        </w:tabs>
        <w:ind w:left="6117" w:hanging="360"/>
      </w:pPr>
      <w:rPr>
        <w:rFonts w:ascii="Wingdings" w:hAnsi="Wingdings" w:hint="default"/>
      </w:rPr>
    </w:lvl>
  </w:abstractNum>
  <w:abstractNum w:abstractNumId="2"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533D9F"/>
    <w:multiLevelType w:val="hybridMultilevel"/>
    <w:tmpl w:val="686C6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D17626"/>
    <w:multiLevelType w:val="hybridMultilevel"/>
    <w:tmpl w:val="63843C7C"/>
    <w:lvl w:ilvl="0" w:tplc="BFEAFC80">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21FC7DFF"/>
    <w:multiLevelType w:val="hybridMultilevel"/>
    <w:tmpl w:val="D8E45F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A6C5D2E"/>
    <w:multiLevelType w:val="multilevel"/>
    <w:tmpl w:val="4A6C5D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A1E0964"/>
    <w:multiLevelType w:val="hybridMultilevel"/>
    <w:tmpl w:val="E59C4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2405CC"/>
    <w:multiLevelType w:val="hybridMultilevel"/>
    <w:tmpl w:val="84F40932"/>
    <w:lvl w:ilvl="0" w:tplc="DEBECCF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1439A2"/>
    <w:multiLevelType w:val="hybridMultilevel"/>
    <w:tmpl w:val="A54CC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527CFB"/>
    <w:multiLevelType w:val="hybridMultilevel"/>
    <w:tmpl w:val="F2126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924757"/>
    <w:multiLevelType w:val="multilevel"/>
    <w:tmpl w:val="1DB63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F364A06"/>
    <w:multiLevelType w:val="multilevel"/>
    <w:tmpl w:val="F6C8F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ACE1402"/>
    <w:multiLevelType w:val="hybridMultilevel"/>
    <w:tmpl w:val="86DAD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DA43EF"/>
    <w:multiLevelType w:val="hybridMultilevel"/>
    <w:tmpl w:val="DF02F4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4"/>
  </w:num>
  <w:num w:numId="3">
    <w:abstractNumId w:val="5"/>
  </w:num>
  <w:num w:numId="4">
    <w:abstractNumId w:val="17"/>
  </w:num>
  <w:num w:numId="5">
    <w:abstractNumId w:val="1"/>
  </w:num>
  <w:num w:numId="6">
    <w:abstractNumId w:val="6"/>
  </w:num>
  <w:num w:numId="7">
    <w:abstractNumId w:val="3"/>
  </w:num>
  <w:num w:numId="8">
    <w:abstractNumId w:val="12"/>
  </w:num>
  <w:num w:numId="9">
    <w:abstractNumId w:val="13"/>
  </w:num>
  <w:num w:numId="10">
    <w:abstractNumId w:val="16"/>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2"/>
  </w:num>
  <w:num w:numId="18">
    <w:abstractNumId w:val="14"/>
  </w:num>
  <w:num w:numId="19">
    <w:abstractNumId w:val="1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4250"/>
    <w:rsid w:val="0000494F"/>
    <w:rsid w:val="00005957"/>
    <w:rsid w:val="000076A9"/>
    <w:rsid w:val="00007777"/>
    <w:rsid w:val="000115E6"/>
    <w:rsid w:val="00013D9B"/>
    <w:rsid w:val="00016911"/>
    <w:rsid w:val="00017975"/>
    <w:rsid w:val="00021984"/>
    <w:rsid w:val="00024409"/>
    <w:rsid w:val="00024B0C"/>
    <w:rsid w:val="000272DA"/>
    <w:rsid w:val="00031CF5"/>
    <w:rsid w:val="000348E6"/>
    <w:rsid w:val="00037B1F"/>
    <w:rsid w:val="00041B34"/>
    <w:rsid w:val="000439C4"/>
    <w:rsid w:val="00046665"/>
    <w:rsid w:val="00046E59"/>
    <w:rsid w:val="00047E08"/>
    <w:rsid w:val="0005073B"/>
    <w:rsid w:val="00050AC0"/>
    <w:rsid w:val="00051BBE"/>
    <w:rsid w:val="00052E03"/>
    <w:rsid w:val="0005424E"/>
    <w:rsid w:val="0005522A"/>
    <w:rsid w:val="000569FB"/>
    <w:rsid w:val="00056DB3"/>
    <w:rsid w:val="000627F9"/>
    <w:rsid w:val="00063A60"/>
    <w:rsid w:val="00064C81"/>
    <w:rsid w:val="00066109"/>
    <w:rsid w:val="00066D87"/>
    <w:rsid w:val="00067EFC"/>
    <w:rsid w:val="00071275"/>
    <w:rsid w:val="00071ACD"/>
    <w:rsid w:val="000723CB"/>
    <w:rsid w:val="0007577D"/>
    <w:rsid w:val="00076800"/>
    <w:rsid w:val="0008248C"/>
    <w:rsid w:val="00083B6C"/>
    <w:rsid w:val="0008644D"/>
    <w:rsid w:val="00086A17"/>
    <w:rsid w:val="00087494"/>
    <w:rsid w:val="00091C0C"/>
    <w:rsid w:val="00092CEE"/>
    <w:rsid w:val="00093A3D"/>
    <w:rsid w:val="000A258F"/>
    <w:rsid w:val="000A4B78"/>
    <w:rsid w:val="000A4D9F"/>
    <w:rsid w:val="000A615B"/>
    <w:rsid w:val="000A634D"/>
    <w:rsid w:val="000A74F4"/>
    <w:rsid w:val="000B0CD5"/>
    <w:rsid w:val="000B0F59"/>
    <w:rsid w:val="000B2F0F"/>
    <w:rsid w:val="000B31F8"/>
    <w:rsid w:val="000B324F"/>
    <w:rsid w:val="000B62E0"/>
    <w:rsid w:val="000C0B5D"/>
    <w:rsid w:val="000C1F33"/>
    <w:rsid w:val="000C374E"/>
    <w:rsid w:val="000C51C7"/>
    <w:rsid w:val="000C7155"/>
    <w:rsid w:val="000D1DDE"/>
    <w:rsid w:val="000D254D"/>
    <w:rsid w:val="000D4221"/>
    <w:rsid w:val="000D5D0D"/>
    <w:rsid w:val="000E0D4F"/>
    <w:rsid w:val="000E4171"/>
    <w:rsid w:val="000E5184"/>
    <w:rsid w:val="000F2DC5"/>
    <w:rsid w:val="000F321A"/>
    <w:rsid w:val="000F49A8"/>
    <w:rsid w:val="000F53E5"/>
    <w:rsid w:val="000F5818"/>
    <w:rsid w:val="000F5E17"/>
    <w:rsid w:val="00101A40"/>
    <w:rsid w:val="00102AE9"/>
    <w:rsid w:val="001035FE"/>
    <w:rsid w:val="001055BA"/>
    <w:rsid w:val="001069D3"/>
    <w:rsid w:val="00110067"/>
    <w:rsid w:val="00110E8A"/>
    <w:rsid w:val="00112976"/>
    <w:rsid w:val="00112CC3"/>
    <w:rsid w:val="00114E2A"/>
    <w:rsid w:val="00115859"/>
    <w:rsid w:val="00121947"/>
    <w:rsid w:val="00122BB8"/>
    <w:rsid w:val="00123BDB"/>
    <w:rsid w:val="00124571"/>
    <w:rsid w:val="001261FD"/>
    <w:rsid w:val="00127125"/>
    <w:rsid w:val="0012760C"/>
    <w:rsid w:val="00132664"/>
    <w:rsid w:val="00133C7D"/>
    <w:rsid w:val="0013453D"/>
    <w:rsid w:val="001367B7"/>
    <w:rsid w:val="0014071A"/>
    <w:rsid w:val="00142E71"/>
    <w:rsid w:val="00151346"/>
    <w:rsid w:val="00151EED"/>
    <w:rsid w:val="001540D4"/>
    <w:rsid w:val="00156076"/>
    <w:rsid w:val="001566A4"/>
    <w:rsid w:val="00157057"/>
    <w:rsid w:val="00160938"/>
    <w:rsid w:val="001612DA"/>
    <w:rsid w:val="00162801"/>
    <w:rsid w:val="00162D3A"/>
    <w:rsid w:val="00165EF1"/>
    <w:rsid w:val="0016709B"/>
    <w:rsid w:val="00167A05"/>
    <w:rsid w:val="00170B4D"/>
    <w:rsid w:val="001755D3"/>
    <w:rsid w:val="00176519"/>
    <w:rsid w:val="00176DB7"/>
    <w:rsid w:val="001812E7"/>
    <w:rsid w:val="0018216D"/>
    <w:rsid w:val="00184753"/>
    <w:rsid w:val="001848A8"/>
    <w:rsid w:val="00184C72"/>
    <w:rsid w:val="00184F77"/>
    <w:rsid w:val="0018513F"/>
    <w:rsid w:val="001862AB"/>
    <w:rsid w:val="0018722E"/>
    <w:rsid w:val="001873F7"/>
    <w:rsid w:val="00193EF9"/>
    <w:rsid w:val="0019636E"/>
    <w:rsid w:val="001A1753"/>
    <w:rsid w:val="001A2509"/>
    <w:rsid w:val="001A5405"/>
    <w:rsid w:val="001A7003"/>
    <w:rsid w:val="001A7876"/>
    <w:rsid w:val="001B2745"/>
    <w:rsid w:val="001B32E5"/>
    <w:rsid w:val="001B34A6"/>
    <w:rsid w:val="001B4442"/>
    <w:rsid w:val="001B5A96"/>
    <w:rsid w:val="001B74DD"/>
    <w:rsid w:val="001B7CC5"/>
    <w:rsid w:val="001C0B44"/>
    <w:rsid w:val="001C234A"/>
    <w:rsid w:val="001C31B4"/>
    <w:rsid w:val="001C66AC"/>
    <w:rsid w:val="001D11B2"/>
    <w:rsid w:val="001D1405"/>
    <w:rsid w:val="001D2E36"/>
    <w:rsid w:val="001D32F7"/>
    <w:rsid w:val="001D5444"/>
    <w:rsid w:val="001D5B40"/>
    <w:rsid w:val="001E0D61"/>
    <w:rsid w:val="001E2C7C"/>
    <w:rsid w:val="001E333C"/>
    <w:rsid w:val="001F21B6"/>
    <w:rsid w:val="001F33B5"/>
    <w:rsid w:val="002008B6"/>
    <w:rsid w:val="00200A4F"/>
    <w:rsid w:val="00200CB6"/>
    <w:rsid w:val="00206756"/>
    <w:rsid w:val="00207BC1"/>
    <w:rsid w:val="002111CC"/>
    <w:rsid w:val="00214615"/>
    <w:rsid w:val="00216376"/>
    <w:rsid w:val="00220568"/>
    <w:rsid w:val="00221486"/>
    <w:rsid w:val="00223A29"/>
    <w:rsid w:val="00226468"/>
    <w:rsid w:val="00236F47"/>
    <w:rsid w:val="00241947"/>
    <w:rsid w:val="00243C77"/>
    <w:rsid w:val="00245C9E"/>
    <w:rsid w:val="00247824"/>
    <w:rsid w:val="0025169F"/>
    <w:rsid w:val="00254662"/>
    <w:rsid w:val="00255ACF"/>
    <w:rsid w:val="0025759F"/>
    <w:rsid w:val="00263428"/>
    <w:rsid w:val="00274E99"/>
    <w:rsid w:val="00275240"/>
    <w:rsid w:val="00275C69"/>
    <w:rsid w:val="00275F95"/>
    <w:rsid w:val="00281BF3"/>
    <w:rsid w:val="002821A9"/>
    <w:rsid w:val="00282760"/>
    <w:rsid w:val="00282C6C"/>
    <w:rsid w:val="002833A8"/>
    <w:rsid w:val="00283C31"/>
    <w:rsid w:val="0028492F"/>
    <w:rsid w:val="00286B92"/>
    <w:rsid w:val="00287D75"/>
    <w:rsid w:val="00291239"/>
    <w:rsid w:val="00292161"/>
    <w:rsid w:val="002946AD"/>
    <w:rsid w:val="0029589B"/>
    <w:rsid w:val="00295DC8"/>
    <w:rsid w:val="002A06F5"/>
    <w:rsid w:val="002A4450"/>
    <w:rsid w:val="002A69A8"/>
    <w:rsid w:val="002C126C"/>
    <w:rsid w:val="002C3764"/>
    <w:rsid w:val="002C39D0"/>
    <w:rsid w:val="002C50D4"/>
    <w:rsid w:val="002C5782"/>
    <w:rsid w:val="002C6C08"/>
    <w:rsid w:val="002C7387"/>
    <w:rsid w:val="002D0566"/>
    <w:rsid w:val="002D2D77"/>
    <w:rsid w:val="002D2DAE"/>
    <w:rsid w:val="002D34A1"/>
    <w:rsid w:val="002D3B58"/>
    <w:rsid w:val="002D3DDA"/>
    <w:rsid w:val="002D5993"/>
    <w:rsid w:val="002D6926"/>
    <w:rsid w:val="002D6D23"/>
    <w:rsid w:val="002D7788"/>
    <w:rsid w:val="002E3468"/>
    <w:rsid w:val="002E4B6A"/>
    <w:rsid w:val="002E55C8"/>
    <w:rsid w:val="002F0377"/>
    <w:rsid w:val="002F2538"/>
    <w:rsid w:val="002F6FEF"/>
    <w:rsid w:val="00300158"/>
    <w:rsid w:val="0030046A"/>
    <w:rsid w:val="00302AEF"/>
    <w:rsid w:val="00302F83"/>
    <w:rsid w:val="00304D15"/>
    <w:rsid w:val="00306679"/>
    <w:rsid w:val="00312E39"/>
    <w:rsid w:val="003145C3"/>
    <w:rsid w:val="00314659"/>
    <w:rsid w:val="003176B4"/>
    <w:rsid w:val="00322219"/>
    <w:rsid w:val="00323268"/>
    <w:rsid w:val="003346F0"/>
    <w:rsid w:val="00335E4D"/>
    <w:rsid w:val="00336C06"/>
    <w:rsid w:val="00337AC1"/>
    <w:rsid w:val="0034220E"/>
    <w:rsid w:val="00343E40"/>
    <w:rsid w:val="00344701"/>
    <w:rsid w:val="0034542B"/>
    <w:rsid w:val="003454D4"/>
    <w:rsid w:val="003544A7"/>
    <w:rsid w:val="00357C0E"/>
    <w:rsid w:val="003629D7"/>
    <w:rsid w:val="00363A9B"/>
    <w:rsid w:val="0036463E"/>
    <w:rsid w:val="00364B47"/>
    <w:rsid w:val="00366319"/>
    <w:rsid w:val="00371CD3"/>
    <w:rsid w:val="003768E8"/>
    <w:rsid w:val="00386A1D"/>
    <w:rsid w:val="00387AB3"/>
    <w:rsid w:val="003912DC"/>
    <w:rsid w:val="00391992"/>
    <w:rsid w:val="00391B55"/>
    <w:rsid w:val="00392AED"/>
    <w:rsid w:val="00393FE6"/>
    <w:rsid w:val="00393FEF"/>
    <w:rsid w:val="0039415B"/>
    <w:rsid w:val="00395DA2"/>
    <w:rsid w:val="003A4F97"/>
    <w:rsid w:val="003A64BA"/>
    <w:rsid w:val="003B3F2B"/>
    <w:rsid w:val="003B43D8"/>
    <w:rsid w:val="003B4D25"/>
    <w:rsid w:val="003B4F32"/>
    <w:rsid w:val="003B58FB"/>
    <w:rsid w:val="003B5969"/>
    <w:rsid w:val="003B679F"/>
    <w:rsid w:val="003C491C"/>
    <w:rsid w:val="003D06D6"/>
    <w:rsid w:val="003D1F7E"/>
    <w:rsid w:val="003D26DD"/>
    <w:rsid w:val="003D32BE"/>
    <w:rsid w:val="003D46BD"/>
    <w:rsid w:val="003D5D27"/>
    <w:rsid w:val="003D7A48"/>
    <w:rsid w:val="003E031F"/>
    <w:rsid w:val="003E17E2"/>
    <w:rsid w:val="003E541A"/>
    <w:rsid w:val="003E5C3E"/>
    <w:rsid w:val="003E72A2"/>
    <w:rsid w:val="003E7E2A"/>
    <w:rsid w:val="003F0863"/>
    <w:rsid w:val="003F437E"/>
    <w:rsid w:val="003F43BD"/>
    <w:rsid w:val="003F7144"/>
    <w:rsid w:val="00401C2E"/>
    <w:rsid w:val="00403690"/>
    <w:rsid w:val="00403BB1"/>
    <w:rsid w:val="004042A9"/>
    <w:rsid w:val="00415E6F"/>
    <w:rsid w:val="0041671F"/>
    <w:rsid w:val="004205FE"/>
    <w:rsid w:val="0042280F"/>
    <w:rsid w:val="00423534"/>
    <w:rsid w:val="0042419C"/>
    <w:rsid w:val="00431662"/>
    <w:rsid w:val="0043299F"/>
    <w:rsid w:val="00433617"/>
    <w:rsid w:val="00434B72"/>
    <w:rsid w:val="00435A9B"/>
    <w:rsid w:val="00437A55"/>
    <w:rsid w:val="00440045"/>
    <w:rsid w:val="00441ED3"/>
    <w:rsid w:val="004426C7"/>
    <w:rsid w:val="004504CE"/>
    <w:rsid w:val="0045444F"/>
    <w:rsid w:val="00455A8B"/>
    <w:rsid w:val="00455C54"/>
    <w:rsid w:val="00456D28"/>
    <w:rsid w:val="0046393F"/>
    <w:rsid w:val="00463A0D"/>
    <w:rsid w:val="00465671"/>
    <w:rsid w:val="00465A71"/>
    <w:rsid w:val="00470C68"/>
    <w:rsid w:val="004769D9"/>
    <w:rsid w:val="00477172"/>
    <w:rsid w:val="00477C73"/>
    <w:rsid w:val="0048268D"/>
    <w:rsid w:val="00482956"/>
    <w:rsid w:val="004835D7"/>
    <w:rsid w:val="0049003E"/>
    <w:rsid w:val="00493C48"/>
    <w:rsid w:val="00495247"/>
    <w:rsid w:val="00495C6E"/>
    <w:rsid w:val="004A2A07"/>
    <w:rsid w:val="004A6422"/>
    <w:rsid w:val="004A703D"/>
    <w:rsid w:val="004B6CCA"/>
    <w:rsid w:val="004C1F9C"/>
    <w:rsid w:val="004C2D1D"/>
    <w:rsid w:val="004C50DC"/>
    <w:rsid w:val="004C5553"/>
    <w:rsid w:val="004C73CD"/>
    <w:rsid w:val="004D04AE"/>
    <w:rsid w:val="004D0BC5"/>
    <w:rsid w:val="004D191D"/>
    <w:rsid w:val="004D2DCC"/>
    <w:rsid w:val="004D3961"/>
    <w:rsid w:val="004D70E8"/>
    <w:rsid w:val="004E3ADD"/>
    <w:rsid w:val="004F1720"/>
    <w:rsid w:val="004F3800"/>
    <w:rsid w:val="004F79F7"/>
    <w:rsid w:val="00500EFC"/>
    <w:rsid w:val="0050159E"/>
    <w:rsid w:val="005027A1"/>
    <w:rsid w:val="00504AF4"/>
    <w:rsid w:val="0050745E"/>
    <w:rsid w:val="00510613"/>
    <w:rsid w:val="005114AB"/>
    <w:rsid w:val="00513973"/>
    <w:rsid w:val="0051607C"/>
    <w:rsid w:val="00516377"/>
    <w:rsid w:val="0051650B"/>
    <w:rsid w:val="00516F1E"/>
    <w:rsid w:val="005206E6"/>
    <w:rsid w:val="00521BA4"/>
    <w:rsid w:val="00522FE7"/>
    <w:rsid w:val="00523613"/>
    <w:rsid w:val="00523C58"/>
    <w:rsid w:val="00523EE3"/>
    <w:rsid w:val="005313F0"/>
    <w:rsid w:val="0053153D"/>
    <w:rsid w:val="00534C83"/>
    <w:rsid w:val="005401B0"/>
    <w:rsid w:val="00542E25"/>
    <w:rsid w:val="00544FA3"/>
    <w:rsid w:val="005455DB"/>
    <w:rsid w:val="0054636F"/>
    <w:rsid w:val="00546C47"/>
    <w:rsid w:val="00550765"/>
    <w:rsid w:val="005511FA"/>
    <w:rsid w:val="005564C2"/>
    <w:rsid w:val="005574A6"/>
    <w:rsid w:val="00561C67"/>
    <w:rsid w:val="00562BF2"/>
    <w:rsid w:val="00563ABD"/>
    <w:rsid w:val="0056514A"/>
    <w:rsid w:val="00565562"/>
    <w:rsid w:val="00567BBD"/>
    <w:rsid w:val="00567EAE"/>
    <w:rsid w:val="00571419"/>
    <w:rsid w:val="00572CD2"/>
    <w:rsid w:val="0058395D"/>
    <w:rsid w:val="00583AC2"/>
    <w:rsid w:val="005851FE"/>
    <w:rsid w:val="0058535C"/>
    <w:rsid w:val="005854C7"/>
    <w:rsid w:val="00586239"/>
    <w:rsid w:val="005950FF"/>
    <w:rsid w:val="0059545F"/>
    <w:rsid w:val="00596DC3"/>
    <w:rsid w:val="00597F91"/>
    <w:rsid w:val="005A0C0F"/>
    <w:rsid w:val="005A227C"/>
    <w:rsid w:val="005A2F22"/>
    <w:rsid w:val="005A304C"/>
    <w:rsid w:val="005A7358"/>
    <w:rsid w:val="005B4C62"/>
    <w:rsid w:val="005B6C65"/>
    <w:rsid w:val="005B7285"/>
    <w:rsid w:val="005B7F79"/>
    <w:rsid w:val="005C0DA1"/>
    <w:rsid w:val="005C2067"/>
    <w:rsid w:val="005C2A8A"/>
    <w:rsid w:val="005C2B01"/>
    <w:rsid w:val="005C361D"/>
    <w:rsid w:val="005C3CF0"/>
    <w:rsid w:val="005D0174"/>
    <w:rsid w:val="005D3BB7"/>
    <w:rsid w:val="005D46AA"/>
    <w:rsid w:val="005D4A73"/>
    <w:rsid w:val="005D6623"/>
    <w:rsid w:val="005D6D09"/>
    <w:rsid w:val="005E000C"/>
    <w:rsid w:val="005E1E9D"/>
    <w:rsid w:val="005E24B5"/>
    <w:rsid w:val="005E260E"/>
    <w:rsid w:val="005E535D"/>
    <w:rsid w:val="005E7340"/>
    <w:rsid w:val="005F04A0"/>
    <w:rsid w:val="005F53DB"/>
    <w:rsid w:val="005F67EB"/>
    <w:rsid w:val="005F73FC"/>
    <w:rsid w:val="00601564"/>
    <w:rsid w:val="00601B04"/>
    <w:rsid w:val="00606BCA"/>
    <w:rsid w:val="006157C3"/>
    <w:rsid w:val="00625128"/>
    <w:rsid w:val="00626EE2"/>
    <w:rsid w:val="0062782B"/>
    <w:rsid w:val="00627F65"/>
    <w:rsid w:val="006327CA"/>
    <w:rsid w:val="00633AC8"/>
    <w:rsid w:val="0063511C"/>
    <w:rsid w:val="006357C1"/>
    <w:rsid w:val="00636255"/>
    <w:rsid w:val="0063799C"/>
    <w:rsid w:val="006401EA"/>
    <w:rsid w:val="006421A9"/>
    <w:rsid w:val="0064561F"/>
    <w:rsid w:val="00645FE6"/>
    <w:rsid w:val="0064666B"/>
    <w:rsid w:val="0065040C"/>
    <w:rsid w:val="0065064D"/>
    <w:rsid w:val="00655423"/>
    <w:rsid w:val="00655EA3"/>
    <w:rsid w:val="00660196"/>
    <w:rsid w:val="006605DA"/>
    <w:rsid w:val="00662ED5"/>
    <w:rsid w:val="00662FD5"/>
    <w:rsid w:val="0067003E"/>
    <w:rsid w:val="006700F9"/>
    <w:rsid w:val="006723FC"/>
    <w:rsid w:val="0067705C"/>
    <w:rsid w:val="00677275"/>
    <w:rsid w:val="00680DD0"/>
    <w:rsid w:val="0068487F"/>
    <w:rsid w:val="00687968"/>
    <w:rsid w:val="0069233C"/>
    <w:rsid w:val="00693038"/>
    <w:rsid w:val="0069306C"/>
    <w:rsid w:val="006958E0"/>
    <w:rsid w:val="006A05D2"/>
    <w:rsid w:val="006A4174"/>
    <w:rsid w:val="006A6D8C"/>
    <w:rsid w:val="006A749B"/>
    <w:rsid w:val="006B1944"/>
    <w:rsid w:val="006B2AFD"/>
    <w:rsid w:val="006B2D77"/>
    <w:rsid w:val="006B3F22"/>
    <w:rsid w:val="006B76CB"/>
    <w:rsid w:val="006C0316"/>
    <w:rsid w:val="006C1EE3"/>
    <w:rsid w:val="006C6EE5"/>
    <w:rsid w:val="006D29E3"/>
    <w:rsid w:val="006E0B8B"/>
    <w:rsid w:val="006E118D"/>
    <w:rsid w:val="006E3826"/>
    <w:rsid w:val="006E5694"/>
    <w:rsid w:val="006E5F95"/>
    <w:rsid w:val="006E616F"/>
    <w:rsid w:val="006E771B"/>
    <w:rsid w:val="006F0C2E"/>
    <w:rsid w:val="006F1812"/>
    <w:rsid w:val="006F1939"/>
    <w:rsid w:val="006F1E2C"/>
    <w:rsid w:val="006F47AE"/>
    <w:rsid w:val="006F5302"/>
    <w:rsid w:val="006F77BA"/>
    <w:rsid w:val="006F7AAF"/>
    <w:rsid w:val="00700197"/>
    <w:rsid w:val="00707608"/>
    <w:rsid w:val="00710D74"/>
    <w:rsid w:val="007151C1"/>
    <w:rsid w:val="007168AA"/>
    <w:rsid w:val="007226EA"/>
    <w:rsid w:val="0072381D"/>
    <w:rsid w:val="00723849"/>
    <w:rsid w:val="00727780"/>
    <w:rsid w:val="007313EB"/>
    <w:rsid w:val="0073172A"/>
    <w:rsid w:val="0073216B"/>
    <w:rsid w:val="00732B12"/>
    <w:rsid w:val="00736670"/>
    <w:rsid w:val="0074273B"/>
    <w:rsid w:val="0074527F"/>
    <w:rsid w:val="00752C1B"/>
    <w:rsid w:val="0075445E"/>
    <w:rsid w:val="0075480D"/>
    <w:rsid w:val="007564F5"/>
    <w:rsid w:val="00756C59"/>
    <w:rsid w:val="00757E1D"/>
    <w:rsid w:val="00761AAB"/>
    <w:rsid w:val="00762AAD"/>
    <w:rsid w:val="007645B8"/>
    <w:rsid w:val="007651F0"/>
    <w:rsid w:val="00766813"/>
    <w:rsid w:val="00770CF7"/>
    <w:rsid w:val="00770E01"/>
    <w:rsid w:val="00771A0A"/>
    <w:rsid w:val="00773A6A"/>
    <w:rsid w:val="00781590"/>
    <w:rsid w:val="00785DDD"/>
    <w:rsid w:val="00791A19"/>
    <w:rsid w:val="00791AF1"/>
    <w:rsid w:val="0079265C"/>
    <w:rsid w:val="00792A59"/>
    <w:rsid w:val="0079520F"/>
    <w:rsid w:val="0079589E"/>
    <w:rsid w:val="00796019"/>
    <w:rsid w:val="00796347"/>
    <w:rsid w:val="007A2FF1"/>
    <w:rsid w:val="007A5CFC"/>
    <w:rsid w:val="007A6F56"/>
    <w:rsid w:val="007A7A3F"/>
    <w:rsid w:val="007B0339"/>
    <w:rsid w:val="007B1F20"/>
    <w:rsid w:val="007C34C3"/>
    <w:rsid w:val="007C6F8C"/>
    <w:rsid w:val="007C7C87"/>
    <w:rsid w:val="007D0324"/>
    <w:rsid w:val="007D07D1"/>
    <w:rsid w:val="007D0CE1"/>
    <w:rsid w:val="007D0E83"/>
    <w:rsid w:val="007D41C8"/>
    <w:rsid w:val="007D63F2"/>
    <w:rsid w:val="007D6E09"/>
    <w:rsid w:val="007E1B64"/>
    <w:rsid w:val="007E2532"/>
    <w:rsid w:val="007E2E4D"/>
    <w:rsid w:val="007E5419"/>
    <w:rsid w:val="007E630C"/>
    <w:rsid w:val="007E6A1E"/>
    <w:rsid w:val="007E6B60"/>
    <w:rsid w:val="007E74B5"/>
    <w:rsid w:val="007E7543"/>
    <w:rsid w:val="007E7F7C"/>
    <w:rsid w:val="007F225A"/>
    <w:rsid w:val="007F263C"/>
    <w:rsid w:val="007F2B01"/>
    <w:rsid w:val="007F2B27"/>
    <w:rsid w:val="007F320C"/>
    <w:rsid w:val="007F4876"/>
    <w:rsid w:val="007F7316"/>
    <w:rsid w:val="00803B75"/>
    <w:rsid w:val="00807113"/>
    <w:rsid w:val="008113FD"/>
    <w:rsid w:val="0081434E"/>
    <w:rsid w:val="00815301"/>
    <w:rsid w:val="0081655A"/>
    <w:rsid w:val="0081702B"/>
    <w:rsid w:val="00817E8B"/>
    <w:rsid w:val="00821F74"/>
    <w:rsid w:val="0082268C"/>
    <w:rsid w:val="0082476B"/>
    <w:rsid w:val="0082527A"/>
    <w:rsid w:val="0082581C"/>
    <w:rsid w:val="00825BDA"/>
    <w:rsid w:val="008266BC"/>
    <w:rsid w:val="00836A18"/>
    <w:rsid w:val="0084070D"/>
    <w:rsid w:val="00843F92"/>
    <w:rsid w:val="00845446"/>
    <w:rsid w:val="00846107"/>
    <w:rsid w:val="00851AC6"/>
    <w:rsid w:val="008536D1"/>
    <w:rsid w:val="008537ED"/>
    <w:rsid w:val="00853B1D"/>
    <w:rsid w:val="00853BCF"/>
    <w:rsid w:val="00855B63"/>
    <w:rsid w:val="0085613E"/>
    <w:rsid w:val="008577F6"/>
    <w:rsid w:val="0086070A"/>
    <w:rsid w:val="00861724"/>
    <w:rsid w:val="008618C1"/>
    <w:rsid w:val="008619DE"/>
    <w:rsid w:val="00863A36"/>
    <w:rsid w:val="00863C09"/>
    <w:rsid w:val="0086431A"/>
    <w:rsid w:val="00865B3D"/>
    <w:rsid w:val="00865C18"/>
    <w:rsid w:val="00866891"/>
    <w:rsid w:val="00871BCC"/>
    <w:rsid w:val="0087466A"/>
    <w:rsid w:val="00874833"/>
    <w:rsid w:val="008817AF"/>
    <w:rsid w:val="00881911"/>
    <w:rsid w:val="00881CD4"/>
    <w:rsid w:val="00882244"/>
    <w:rsid w:val="00883684"/>
    <w:rsid w:val="00884BD2"/>
    <w:rsid w:val="00885441"/>
    <w:rsid w:val="0088605A"/>
    <w:rsid w:val="00893549"/>
    <w:rsid w:val="008944F9"/>
    <w:rsid w:val="00895B98"/>
    <w:rsid w:val="00896789"/>
    <w:rsid w:val="00897710"/>
    <w:rsid w:val="00897D89"/>
    <w:rsid w:val="008A2C05"/>
    <w:rsid w:val="008A4558"/>
    <w:rsid w:val="008B22B9"/>
    <w:rsid w:val="008B6233"/>
    <w:rsid w:val="008B6D1F"/>
    <w:rsid w:val="008B7C3F"/>
    <w:rsid w:val="008C2425"/>
    <w:rsid w:val="008C26D1"/>
    <w:rsid w:val="008C2E0E"/>
    <w:rsid w:val="008C3BCD"/>
    <w:rsid w:val="008C4C33"/>
    <w:rsid w:val="008D0A91"/>
    <w:rsid w:val="008D49F8"/>
    <w:rsid w:val="008D5CDD"/>
    <w:rsid w:val="008D7530"/>
    <w:rsid w:val="008E1BDC"/>
    <w:rsid w:val="008E2173"/>
    <w:rsid w:val="008E32AA"/>
    <w:rsid w:val="008E41A8"/>
    <w:rsid w:val="008E62F2"/>
    <w:rsid w:val="008F016A"/>
    <w:rsid w:val="008F2B91"/>
    <w:rsid w:val="008F39CD"/>
    <w:rsid w:val="008F3F0D"/>
    <w:rsid w:val="008F4222"/>
    <w:rsid w:val="008F481D"/>
    <w:rsid w:val="008F63C5"/>
    <w:rsid w:val="008F7262"/>
    <w:rsid w:val="00900658"/>
    <w:rsid w:val="00900767"/>
    <w:rsid w:val="00901785"/>
    <w:rsid w:val="00903294"/>
    <w:rsid w:val="00905F02"/>
    <w:rsid w:val="00906EFA"/>
    <w:rsid w:val="0091297A"/>
    <w:rsid w:val="0091356C"/>
    <w:rsid w:val="00914B0A"/>
    <w:rsid w:val="009157D1"/>
    <w:rsid w:val="009217D4"/>
    <w:rsid w:val="009239C9"/>
    <w:rsid w:val="00924477"/>
    <w:rsid w:val="00924E4D"/>
    <w:rsid w:val="00932124"/>
    <w:rsid w:val="00932BCE"/>
    <w:rsid w:val="0093770B"/>
    <w:rsid w:val="0094423E"/>
    <w:rsid w:val="009447C3"/>
    <w:rsid w:val="009516C8"/>
    <w:rsid w:val="009519C6"/>
    <w:rsid w:val="00954F62"/>
    <w:rsid w:val="00955226"/>
    <w:rsid w:val="0095612F"/>
    <w:rsid w:val="00956636"/>
    <w:rsid w:val="00957E04"/>
    <w:rsid w:val="00966CDB"/>
    <w:rsid w:val="00970C5A"/>
    <w:rsid w:val="00971513"/>
    <w:rsid w:val="00973A04"/>
    <w:rsid w:val="009750A0"/>
    <w:rsid w:val="00975E3B"/>
    <w:rsid w:val="00980513"/>
    <w:rsid w:val="00980C6B"/>
    <w:rsid w:val="009835C6"/>
    <w:rsid w:val="0098722F"/>
    <w:rsid w:val="00991061"/>
    <w:rsid w:val="00991290"/>
    <w:rsid w:val="00992787"/>
    <w:rsid w:val="0099534F"/>
    <w:rsid w:val="009A133C"/>
    <w:rsid w:val="009A4660"/>
    <w:rsid w:val="009A47C2"/>
    <w:rsid w:val="009A6D0A"/>
    <w:rsid w:val="009A7370"/>
    <w:rsid w:val="009B244A"/>
    <w:rsid w:val="009B3412"/>
    <w:rsid w:val="009B7A20"/>
    <w:rsid w:val="009C0031"/>
    <w:rsid w:val="009C066A"/>
    <w:rsid w:val="009C2E2A"/>
    <w:rsid w:val="009C6953"/>
    <w:rsid w:val="009C70B5"/>
    <w:rsid w:val="009D10F3"/>
    <w:rsid w:val="009D2037"/>
    <w:rsid w:val="009D6296"/>
    <w:rsid w:val="009D7FC6"/>
    <w:rsid w:val="009E2789"/>
    <w:rsid w:val="009E30AB"/>
    <w:rsid w:val="009E3ECE"/>
    <w:rsid w:val="009E639F"/>
    <w:rsid w:val="009E72B3"/>
    <w:rsid w:val="009F7140"/>
    <w:rsid w:val="00A03C1F"/>
    <w:rsid w:val="00A04CF0"/>
    <w:rsid w:val="00A05BC8"/>
    <w:rsid w:val="00A07889"/>
    <w:rsid w:val="00A10553"/>
    <w:rsid w:val="00A13689"/>
    <w:rsid w:val="00A1398A"/>
    <w:rsid w:val="00A1415C"/>
    <w:rsid w:val="00A146D0"/>
    <w:rsid w:val="00A1489A"/>
    <w:rsid w:val="00A15F0A"/>
    <w:rsid w:val="00A17BC8"/>
    <w:rsid w:val="00A22FA1"/>
    <w:rsid w:val="00A23D14"/>
    <w:rsid w:val="00A24741"/>
    <w:rsid w:val="00A32B3E"/>
    <w:rsid w:val="00A336F9"/>
    <w:rsid w:val="00A34EED"/>
    <w:rsid w:val="00A3510D"/>
    <w:rsid w:val="00A35895"/>
    <w:rsid w:val="00A35C2C"/>
    <w:rsid w:val="00A35CC4"/>
    <w:rsid w:val="00A361A8"/>
    <w:rsid w:val="00A37D4B"/>
    <w:rsid w:val="00A40E68"/>
    <w:rsid w:val="00A42D46"/>
    <w:rsid w:val="00A4425F"/>
    <w:rsid w:val="00A4480A"/>
    <w:rsid w:val="00A5724E"/>
    <w:rsid w:val="00A6127B"/>
    <w:rsid w:val="00A614B0"/>
    <w:rsid w:val="00A64FBD"/>
    <w:rsid w:val="00A66215"/>
    <w:rsid w:val="00A72D1D"/>
    <w:rsid w:val="00A72F55"/>
    <w:rsid w:val="00A7306C"/>
    <w:rsid w:val="00A763F0"/>
    <w:rsid w:val="00A7775B"/>
    <w:rsid w:val="00A81A39"/>
    <w:rsid w:val="00A83FA8"/>
    <w:rsid w:val="00A8581A"/>
    <w:rsid w:val="00A9209A"/>
    <w:rsid w:val="00A94FCB"/>
    <w:rsid w:val="00A964AE"/>
    <w:rsid w:val="00A974AA"/>
    <w:rsid w:val="00AA102F"/>
    <w:rsid w:val="00AA24C5"/>
    <w:rsid w:val="00AA2A90"/>
    <w:rsid w:val="00AA2FCD"/>
    <w:rsid w:val="00AA7C1B"/>
    <w:rsid w:val="00AB1E54"/>
    <w:rsid w:val="00AB2E50"/>
    <w:rsid w:val="00AB41F6"/>
    <w:rsid w:val="00AB638C"/>
    <w:rsid w:val="00AB6F90"/>
    <w:rsid w:val="00AC18DF"/>
    <w:rsid w:val="00AC27FA"/>
    <w:rsid w:val="00AC452E"/>
    <w:rsid w:val="00AC4AF6"/>
    <w:rsid w:val="00AD13E3"/>
    <w:rsid w:val="00AD195D"/>
    <w:rsid w:val="00AD3534"/>
    <w:rsid w:val="00AD37F3"/>
    <w:rsid w:val="00AD451A"/>
    <w:rsid w:val="00AD7F72"/>
    <w:rsid w:val="00AE15D8"/>
    <w:rsid w:val="00AE2A95"/>
    <w:rsid w:val="00AE3176"/>
    <w:rsid w:val="00AE5257"/>
    <w:rsid w:val="00AE5391"/>
    <w:rsid w:val="00AF0D42"/>
    <w:rsid w:val="00AF4F17"/>
    <w:rsid w:val="00B00C46"/>
    <w:rsid w:val="00B01A31"/>
    <w:rsid w:val="00B01D24"/>
    <w:rsid w:val="00B03C61"/>
    <w:rsid w:val="00B04D5A"/>
    <w:rsid w:val="00B20D41"/>
    <w:rsid w:val="00B21536"/>
    <w:rsid w:val="00B22CB9"/>
    <w:rsid w:val="00B22F15"/>
    <w:rsid w:val="00B26DE7"/>
    <w:rsid w:val="00B273BF"/>
    <w:rsid w:val="00B27C7A"/>
    <w:rsid w:val="00B31133"/>
    <w:rsid w:val="00B32CED"/>
    <w:rsid w:val="00B32DF5"/>
    <w:rsid w:val="00B336BD"/>
    <w:rsid w:val="00B35E2A"/>
    <w:rsid w:val="00B3684D"/>
    <w:rsid w:val="00B41F03"/>
    <w:rsid w:val="00B42582"/>
    <w:rsid w:val="00B4381C"/>
    <w:rsid w:val="00B441DA"/>
    <w:rsid w:val="00B461D4"/>
    <w:rsid w:val="00B529DB"/>
    <w:rsid w:val="00B53CF7"/>
    <w:rsid w:val="00B62217"/>
    <w:rsid w:val="00B63194"/>
    <w:rsid w:val="00B64E39"/>
    <w:rsid w:val="00B66EC5"/>
    <w:rsid w:val="00B7155C"/>
    <w:rsid w:val="00B74C18"/>
    <w:rsid w:val="00B76D26"/>
    <w:rsid w:val="00B8182B"/>
    <w:rsid w:val="00B81D4A"/>
    <w:rsid w:val="00B8276D"/>
    <w:rsid w:val="00B92F34"/>
    <w:rsid w:val="00B95607"/>
    <w:rsid w:val="00B964C3"/>
    <w:rsid w:val="00B97052"/>
    <w:rsid w:val="00BA1576"/>
    <w:rsid w:val="00BA2F50"/>
    <w:rsid w:val="00BA3B02"/>
    <w:rsid w:val="00BA5820"/>
    <w:rsid w:val="00BB3A8F"/>
    <w:rsid w:val="00BB5C4F"/>
    <w:rsid w:val="00BB5EDF"/>
    <w:rsid w:val="00BC01DE"/>
    <w:rsid w:val="00BC3147"/>
    <w:rsid w:val="00BC3349"/>
    <w:rsid w:val="00BC382E"/>
    <w:rsid w:val="00BC3F0D"/>
    <w:rsid w:val="00BC50D7"/>
    <w:rsid w:val="00BC5CA0"/>
    <w:rsid w:val="00BD00C9"/>
    <w:rsid w:val="00BD6420"/>
    <w:rsid w:val="00BD7047"/>
    <w:rsid w:val="00BE1506"/>
    <w:rsid w:val="00BE405C"/>
    <w:rsid w:val="00BF2E34"/>
    <w:rsid w:val="00BF6C21"/>
    <w:rsid w:val="00C00983"/>
    <w:rsid w:val="00C0643D"/>
    <w:rsid w:val="00C06664"/>
    <w:rsid w:val="00C06F93"/>
    <w:rsid w:val="00C10757"/>
    <w:rsid w:val="00C16099"/>
    <w:rsid w:val="00C1634F"/>
    <w:rsid w:val="00C173AE"/>
    <w:rsid w:val="00C20C8B"/>
    <w:rsid w:val="00C20C9F"/>
    <w:rsid w:val="00C238CE"/>
    <w:rsid w:val="00C30537"/>
    <w:rsid w:val="00C34350"/>
    <w:rsid w:val="00C34C77"/>
    <w:rsid w:val="00C41856"/>
    <w:rsid w:val="00C45D7F"/>
    <w:rsid w:val="00C47055"/>
    <w:rsid w:val="00C538C5"/>
    <w:rsid w:val="00C5622C"/>
    <w:rsid w:val="00C61FA8"/>
    <w:rsid w:val="00C62480"/>
    <w:rsid w:val="00C650F2"/>
    <w:rsid w:val="00C6599B"/>
    <w:rsid w:val="00C70044"/>
    <w:rsid w:val="00C7011C"/>
    <w:rsid w:val="00C72B46"/>
    <w:rsid w:val="00C772EA"/>
    <w:rsid w:val="00C8177F"/>
    <w:rsid w:val="00C82664"/>
    <w:rsid w:val="00C84A8A"/>
    <w:rsid w:val="00C84D69"/>
    <w:rsid w:val="00C877C9"/>
    <w:rsid w:val="00C91B89"/>
    <w:rsid w:val="00C9408C"/>
    <w:rsid w:val="00C94D51"/>
    <w:rsid w:val="00C95234"/>
    <w:rsid w:val="00C9675E"/>
    <w:rsid w:val="00C96A74"/>
    <w:rsid w:val="00CA1FAF"/>
    <w:rsid w:val="00CA24A3"/>
    <w:rsid w:val="00CA4B38"/>
    <w:rsid w:val="00CA67B2"/>
    <w:rsid w:val="00CB477A"/>
    <w:rsid w:val="00CB7DAE"/>
    <w:rsid w:val="00CC0E34"/>
    <w:rsid w:val="00CC2A30"/>
    <w:rsid w:val="00CC63A4"/>
    <w:rsid w:val="00CC6BE3"/>
    <w:rsid w:val="00CC70F6"/>
    <w:rsid w:val="00CD0D63"/>
    <w:rsid w:val="00CD16CE"/>
    <w:rsid w:val="00CD2A9E"/>
    <w:rsid w:val="00CD2E46"/>
    <w:rsid w:val="00CD50C4"/>
    <w:rsid w:val="00CD680E"/>
    <w:rsid w:val="00CE0628"/>
    <w:rsid w:val="00CE1C86"/>
    <w:rsid w:val="00CE491B"/>
    <w:rsid w:val="00CF0747"/>
    <w:rsid w:val="00CF208D"/>
    <w:rsid w:val="00CF48A2"/>
    <w:rsid w:val="00D026A4"/>
    <w:rsid w:val="00D042A9"/>
    <w:rsid w:val="00D05A5A"/>
    <w:rsid w:val="00D05AD5"/>
    <w:rsid w:val="00D06EB6"/>
    <w:rsid w:val="00D07111"/>
    <w:rsid w:val="00D10087"/>
    <w:rsid w:val="00D116AF"/>
    <w:rsid w:val="00D12FBB"/>
    <w:rsid w:val="00D13386"/>
    <w:rsid w:val="00D1454D"/>
    <w:rsid w:val="00D16847"/>
    <w:rsid w:val="00D216A2"/>
    <w:rsid w:val="00D2364D"/>
    <w:rsid w:val="00D24EA4"/>
    <w:rsid w:val="00D26E28"/>
    <w:rsid w:val="00D32330"/>
    <w:rsid w:val="00D351BA"/>
    <w:rsid w:val="00D35CF1"/>
    <w:rsid w:val="00D37DC9"/>
    <w:rsid w:val="00D4085C"/>
    <w:rsid w:val="00D5032E"/>
    <w:rsid w:val="00D51571"/>
    <w:rsid w:val="00D5160C"/>
    <w:rsid w:val="00D52FFE"/>
    <w:rsid w:val="00D56CF4"/>
    <w:rsid w:val="00D576EF"/>
    <w:rsid w:val="00D60A0A"/>
    <w:rsid w:val="00D635AB"/>
    <w:rsid w:val="00D63E03"/>
    <w:rsid w:val="00D64D4A"/>
    <w:rsid w:val="00D655E9"/>
    <w:rsid w:val="00D656D4"/>
    <w:rsid w:val="00D66BB9"/>
    <w:rsid w:val="00D7306F"/>
    <w:rsid w:val="00D73DF6"/>
    <w:rsid w:val="00D742CE"/>
    <w:rsid w:val="00D74898"/>
    <w:rsid w:val="00D762ED"/>
    <w:rsid w:val="00D76590"/>
    <w:rsid w:val="00D77822"/>
    <w:rsid w:val="00D817BE"/>
    <w:rsid w:val="00D81A5C"/>
    <w:rsid w:val="00D82B65"/>
    <w:rsid w:val="00D83706"/>
    <w:rsid w:val="00D83F41"/>
    <w:rsid w:val="00D86790"/>
    <w:rsid w:val="00D869ED"/>
    <w:rsid w:val="00D90921"/>
    <w:rsid w:val="00DA1CB6"/>
    <w:rsid w:val="00DB0439"/>
    <w:rsid w:val="00DB1062"/>
    <w:rsid w:val="00DB48C7"/>
    <w:rsid w:val="00DB514F"/>
    <w:rsid w:val="00DB7CA7"/>
    <w:rsid w:val="00DC00A0"/>
    <w:rsid w:val="00DC0240"/>
    <w:rsid w:val="00DC1C7F"/>
    <w:rsid w:val="00DC437B"/>
    <w:rsid w:val="00DC4C2C"/>
    <w:rsid w:val="00DC686D"/>
    <w:rsid w:val="00DC7A0F"/>
    <w:rsid w:val="00DD223C"/>
    <w:rsid w:val="00DD3952"/>
    <w:rsid w:val="00DD3EAF"/>
    <w:rsid w:val="00DD438E"/>
    <w:rsid w:val="00DD7190"/>
    <w:rsid w:val="00DE709B"/>
    <w:rsid w:val="00DE7A3E"/>
    <w:rsid w:val="00DE7E83"/>
    <w:rsid w:val="00DF1AA0"/>
    <w:rsid w:val="00DF2513"/>
    <w:rsid w:val="00DF4863"/>
    <w:rsid w:val="00E008B4"/>
    <w:rsid w:val="00E02072"/>
    <w:rsid w:val="00E03BB6"/>
    <w:rsid w:val="00E06D44"/>
    <w:rsid w:val="00E106AB"/>
    <w:rsid w:val="00E12300"/>
    <w:rsid w:val="00E13CA7"/>
    <w:rsid w:val="00E164DD"/>
    <w:rsid w:val="00E172EE"/>
    <w:rsid w:val="00E20D2E"/>
    <w:rsid w:val="00E2165F"/>
    <w:rsid w:val="00E2224C"/>
    <w:rsid w:val="00E22485"/>
    <w:rsid w:val="00E26440"/>
    <w:rsid w:val="00E26C06"/>
    <w:rsid w:val="00E27A3E"/>
    <w:rsid w:val="00E301C1"/>
    <w:rsid w:val="00E309FD"/>
    <w:rsid w:val="00E31FB4"/>
    <w:rsid w:val="00E32DF1"/>
    <w:rsid w:val="00E357D2"/>
    <w:rsid w:val="00E35EEF"/>
    <w:rsid w:val="00E37A1B"/>
    <w:rsid w:val="00E464CC"/>
    <w:rsid w:val="00E51156"/>
    <w:rsid w:val="00E52648"/>
    <w:rsid w:val="00E5554C"/>
    <w:rsid w:val="00E563E7"/>
    <w:rsid w:val="00E62C35"/>
    <w:rsid w:val="00E63517"/>
    <w:rsid w:val="00E659EC"/>
    <w:rsid w:val="00E66414"/>
    <w:rsid w:val="00E71D14"/>
    <w:rsid w:val="00E72F35"/>
    <w:rsid w:val="00E73A37"/>
    <w:rsid w:val="00E74959"/>
    <w:rsid w:val="00E74E1A"/>
    <w:rsid w:val="00E75189"/>
    <w:rsid w:val="00E75D8E"/>
    <w:rsid w:val="00E76A76"/>
    <w:rsid w:val="00E80F65"/>
    <w:rsid w:val="00E81024"/>
    <w:rsid w:val="00E82232"/>
    <w:rsid w:val="00E8279E"/>
    <w:rsid w:val="00E8287F"/>
    <w:rsid w:val="00E83C18"/>
    <w:rsid w:val="00E87824"/>
    <w:rsid w:val="00E9051D"/>
    <w:rsid w:val="00E90B44"/>
    <w:rsid w:val="00E91CEA"/>
    <w:rsid w:val="00E91F64"/>
    <w:rsid w:val="00E95AC3"/>
    <w:rsid w:val="00EA4F07"/>
    <w:rsid w:val="00EB22FC"/>
    <w:rsid w:val="00EB34A3"/>
    <w:rsid w:val="00EB369C"/>
    <w:rsid w:val="00EB5090"/>
    <w:rsid w:val="00EB5FE4"/>
    <w:rsid w:val="00EB620F"/>
    <w:rsid w:val="00EB6FF3"/>
    <w:rsid w:val="00EC3CCC"/>
    <w:rsid w:val="00EC59FE"/>
    <w:rsid w:val="00EC61BC"/>
    <w:rsid w:val="00ED17F6"/>
    <w:rsid w:val="00ED1B5D"/>
    <w:rsid w:val="00ED332E"/>
    <w:rsid w:val="00ED38FE"/>
    <w:rsid w:val="00ED5DFA"/>
    <w:rsid w:val="00ED6F42"/>
    <w:rsid w:val="00ED7183"/>
    <w:rsid w:val="00ED7393"/>
    <w:rsid w:val="00ED7CF9"/>
    <w:rsid w:val="00EE2D4E"/>
    <w:rsid w:val="00EE2D67"/>
    <w:rsid w:val="00EE34DC"/>
    <w:rsid w:val="00EE37D9"/>
    <w:rsid w:val="00EE396F"/>
    <w:rsid w:val="00EF3B0B"/>
    <w:rsid w:val="00EF7568"/>
    <w:rsid w:val="00EF79C0"/>
    <w:rsid w:val="00F00B47"/>
    <w:rsid w:val="00F01033"/>
    <w:rsid w:val="00F04571"/>
    <w:rsid w:val="00F04E1B"/>
    <w:rsid w:val="00F05A39"/>
    <w:rsid w:val="00F07F1C"/>
    <w:rsid w:val="00F12C6B"/>
    <w:rsid w:val="00F14A20"/>
    <w:rsid w:val="00F1563C"/>
    <w:rsid w:val="00F21BC7"/>
    <w:rsid w:val="00F23793"/>
    <w:rsid w:val="00F2537D"/>
    <w:rsid w:val="00F25CAD"/>
    <w:rsid w:val="00F30036"/>
    <w:rsid w:val="00F30495"/>
    <w:rsid w:val="00F34624"/>
    <w:rsid w:val="00F40E17"/>
    <w:rsid w:val="00F4141C"/>
    <w:rsid w:val="00F44C0F"/>
    <w:rsid w:val="00F458FE"/>
    <w:rsid w:val="00F46198"/>
    <w:rsid w:val="00F53534"/>
    <w:rsid w:val="00F554BD"/>
    <w:rsid w:val="00F56851"/>
    <w:rsid w:val="00F60870"/>
    <w:rsid w:val="00F60A64"/>
    <w:rsid w:val="00F60B5F"/>
    <w:rsid w:val="00F60BC9"/>
    <w:rsid w:val="00F637F1"/>
    <w:rsid w:val="00F64674"/>
    <w:rsid w:val="00F6751B"/>
    <w:rsid w:val="00F71E87"/>
    <w:rsid w:val="00F724C9"/>
    <w:rsid w:val="00F77DA7"/>
    <w:rsid w:val="00F77F62"/>
    <w:rsid w:val="00F865D8"/>
    <w:rsid w:val="00F87F97"/>
    <w:rsid w:val="00F91307"/>
    <w:rsid w:val="00F91A54"/>
    <w:rsid w:val="00F92833"/>
    <w:rsid w:val="00F969EF"/>
    <w:rsid w:val="00F96F79"/>
    <w:rsid w:val="00F97899"/>
    <w:rsid w:val="00FA32CD"/>
    <w:rsid w:val="00FA37BB"/>
    <w:rsid w:val="00FA4946"/>
    <w:rsid w:val="00FA5C5E"/>
    <w:rsid w:val="00FB2499"/>
    <w:rsid w:val="00FB2955"/>
    <w:rsid w:val="00FB2CB6"/>
    <w:rsid w:val="00FB37E2"/>
    <w:rsid w:val="00FB69E9"/>
    <w:rsid w:val="00FC0D67"/>
    <w:rsid w:val="00FC2E39"/>
    <w:rsid w:val="00FC327F"/>
    <w:rsid w:val="00FC72E7"/>
    <w:rsid w:val="00FD1872"/>
    <w:rsid w:val="00FD442C"/>
    <w:rsid w:val="00FD669B"/>
    <w:rsid w:val="00FE0CEA"/>
    <w:rsid w:val="00FE19BF"/>
    <w:rsid w:val="00FE4E33"/>
    <w:rsid w:val="00FE7767"/>
    <w:rsid w:val="00FF0916"/>
    <w:rsid w:val="00FF20C1"/>
    <w:rsid w:val="00FF3407"/>
    <w:rsid w:val="00FF51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1FAF"/>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rsid w:val="00C772EA"/>
    <w:rPr>
      <w:sz w:val="16"/>
      <w:szCs w:val="16"/>
    </w:rPr>
  </w:style>
  <w:style w:type="paragraph" w:styleId="CommentText">
    <w:name w:val="annotation text"/>
    <w:basedOn w:val="Normal"/>
    <w:link w:val="CommentTextChar"/>
    <w:uiPriority w:val="99"/>
    <w:unhideWhenUsed/>
    <w:rsid w:val="00C772EA"/>
    <w:pPr>
      <w:spacing w:line="240" w:lineRule="auto"/>
    </w:pPr>
    <w:rPr>
      <w:sz w:val="20"/>
      <w:szCs w:val="20"/>
    </w:rPr>
  </w:style>
  <w:style w:type="character" w:customStyle="1" w:styleId="CommentTextChar">
    <w:name w:val="Comment Text Char"/>
    <w:basedOn w:val="DefaultParagraphFont"/>
    <w:link w:val="CommentText"/>
    <w:uiPriority w:val="99"/>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character" w:customStyle="1" w:styleId="ReferenceChar">
    <w:name w:val="Reference Char"/>
    <w:link w:val="Reference"/>
    <w:locked/>
    <w:rsid w:val="005B7285"/>
    <w:rPr>
      <w:rFonts w:ascii="Calibri" w:eastAsiaTheme="minorHAnsi" w:hAnsi="Calibri" w:cs="Calibri"/>
      <w:lang w:eastAsia="en-US"/>
    </w:rPr>
  </w:style>
  <w:style w:type="paragraph" w:customStyle="1" w:styleId="Reference">
    <w:name w:val="Reference"/>
    <w:basedOn w:val="Normal"/>
    <w:link w:val="ReferenceChar"/>
    <w:rsid w:val="005B7285"/>
    <w:pPr>
      <w:numPr>
        <w:numId w:val="21"/>
      </w:numPr>
      <w:spacing w:line="256" w:lineRule="auto"/>
    </w:pPr>
    <w:rPr>
      <w:rFonts w:ascii="Calibri" w:eastAsiaTheme="minorHAnsi" w:hAnsi="Calibri" w:cs="Calibri"/>
      <w:lang w:eastAsia="en-US"/>
    </w:rPr>
  </w:style>
  <w:style w:type="character" w:styleId="PlaceholderText">
    <w:name w:val="Placeholder Text"/>
    <w:basedOn w:val="DefaultParagraphFont"/>
    <w:uiPriority w:val="99"/>
    <w:semiHidden/>
    <w:rsid w:val="003E17E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874090">
      <w:bodyDiv w:val="1"/>
      <w:marLeft w:val="0"/>
      <w:marRight w:val="0"/>
      <w:marTop w:val="0"/>
      <w:marBottom w:val="0"/>
      <w:divBdr>
        <w:top w:val="none" w:sz="0" w:space="0" w:color="auto"/>
        <w:left w:val="none" w:sz="0" w:space="0" w:color="auto"/>
        <w:bottom w:val="none" w:sz="0" w:space="0" w:color="auto"/>
        <w:right w:val="none" w:sz="0" w:space="0" w:color="auto"/>
      </w:divBdr>
      <w:divsChild>
        <w:div w:id="1632708626">
          <w:marLeft w:val="0"/>
          <w:marRight w:val="75"/>
          <w:marTop w:val="0"/>
          <w:marBottom w:val="0"/>
          <w:divBdr>
            <w:top w:val="none" w:sz="0" w:space="0" w:color="auto"/>
            <w:left w:val="none" w:sz="0" w:space="0" w:color="auto"/>
            <w:bottom w:val="none" w:sz="0" w:space="0" w:color="auto"/>
            <w:right w:val="none" w:sz="0" w:space="0" w:color="auto"/>
          </w:divBdr>
        </w:div>
        <w:div w:id="795760767">
          <w:marLeft w:val="0"/>
          <w:marRight w:val="0"/>
          <w:marTop w:val="0"/>
          <w:marBottom w:val="0"/>
          <w:divBdr>
            <w:top w:val="none" w:sz="0" w:space="0" w:color="auto"/>
            <w:left w:val="none" w:sz="0" w:space="0" w:color="auto"/>
            <w:bottom w:val="none" w:sz="0" w:space="0" w:color="auto"/>
            <w:right w:val="none" w:sz="0" w:space="0" w:color="auto"/>
          </w:divBdr>
          <w:divsChild>
            <w:div w:id="1073896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267854">
      <w:bodyDiv w:val="1"/>
      <w:marLeft w:val="0"/>
      <w:marRight w:val="0"/>
      <w:marTop w:val="0"/>
      <w:marBottom w:val="0"/>
      <w:divBdr>
        <w:top w:val="none" w:sz="0" w:space="0" w:color="auto"/>
        <w:left w:val="none" w:sz="0" w:space="0" w:color="auto"/>
        <w:bottom w:val="none" w:sz="0" w:space="0" w:color="auto"/>
        <w:right w:val="none" w:sz="0" w:space="0" w:color="auto"/>
      </w:divBdr>
    </w:div>
    <w:div w:id="2126002012">
      <w:bodyDiv w:val="1"/>
      <w:marLeft w:val="0"/>
      <w:marRight w:val="0"/>
      <w:marTop w:val="0"/>
      <w:marBottom w:val="0"/>
      <w:divBdr>
        <w:top w:val="none" w:sz="0" w:space="0" w:color="auto"/>
        <w:left w:val="none" w:sz="0" w:space="0" w:color="auto"/>
        <w:bottom w:val="none" w:sz="0" w:space="0" w:color="auto"/>
        <w:right w:val="none" w:sz="0" w:space="0" w:color="auto"/>
      </w:divBdr>
      <w:divsChild>
        <w:div w:id="1946183952">
          <w:marLeft w:val="0"/>
          <w:marRight w:val="75"/>
          <w:marTop w:val="0"/>
          <w:marBottom w:val="0"/>
          <w:divBdr>
            <w:top w:val="none" w:sz="0" w:space="0" w:color="auto"/>
            <w:left w:val="none" w:sz="0" w:space="0" w:color="auto"/>
            <w:bottom w:val="none" w:sz="0" w:space="0" w:color="auto"/>
            <w:right w:val="none" w:sz="0" w:space="0" w:color="auto"/>
          </w:divBdr>
        </w:div>
        <w:div w:id="218633200">
          <w:marLeft w:val="0"/>
          <w:marRight w:val="0"/>
          <w:marTop w:val="0"/>
          <w:marBottom w:val="0"/>
          <w:divBdr>
            <w:top w:val="none" w:sz="0" w:space="0" w:color="auto"/>
            <w:left w:val="none" w:sz="0" w:space="0" w:color="auto"/>
            <w:bottom w:val="none" w:sz="0" w:space="0" w:color="auto"/>
            <w:right w:val="none" w:sz="0" w:space="0" w:color="auto"/>
          </w:divBdr>
          <w:divsChild>
            <w:div w:id="269628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3.xml><?xml version="1.0" encoding="utf-8"?>
<ds:datastoreItem xmlns:ds="http://schemas.openxmlformats.org/officeDocument/2006/customXml" ds:itemID="{FDBE6A41-7679-460B-9D80-545C266A34CA}">
  <ds:schemaRefs>
    <ds:schemaRef ds:uri="http://schemas.openxmlformats.org/officeDocument/2006/bibliography"/>
  </ds:schemaRefs>
</ds:datastoreItem>
</file>

<file path=customXml/itemProps4.xml><?xml version="1.0" encoding="utf-8"?>
<ds:datastoreItem xmlns:ds="http://schemas.openxmlformats.org/officeDocument/2006/customXml" ds:itemID="{2A8B03B7-1670-4F50-BE56-87AF3892CA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1237</TotalTime>
  <Pages>7</Pages>
  <Words>2101</Words>
  <Characters>11976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674</cp:revision>
  <dcterms:created xsi:type="dcterms:W3CDTF">2020-12-22T05:23:00Z</dcterms:created>
  <dcterms:modified xsi:type="dcterms:W3CDTF">2021-05-12T03:10:00Z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