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FA4C9" w14:textId="6B5828B1" w:rsidR="008C36FE" w:rsidRPr="00D22981" w:rsidRDefault="008C36FE" w:rsidP="008C36FE">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351189A4" wp14:editId="7CDA337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64A88E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DC5A91">
        <w:rPr>
          <w:rFonts w:ascii="Arial" w:hAnsi="Arial" w:cs="Arial"/>
          <w:b/>
          <w:kern w:val="2"/>
          <w:lang w:eastAsia="zh-CN"/>
        </w:rPr>
        <w:t>5</w:t>
      </w:r>
      <w:r>
        <w:rPr>
          <w:rFonts w:ascii="Arial" w:hAnsi="Arial" w:cs="Arial"/>
          <w:b/>
          <w:kern w:val="2"/>
          <w:lang w:eastAsia="zh-CN"/>
        </w:rPr>
        <w:t>-e</w:t>
      </w:r>
      <w:r w:rsidRPr="00D22981">
        <w:rPr>
          <w:rFonts w:ascii="Arial" w:hAnsi="Arial" w:cs="Arial"/>
          <w:b/>
          <w:kern w:val="2"/>
          <w:lang w:eastAsia="zh-CN"/>
        </w:rPr>
        <w:tab/>
      </w:r>
      <w:r w:rsidRPr="00C33534">
        <w:rPr>
          <w:rFonts w:ascii="Arial" w:hAnsi="Arial" w:cs="Arial"/>
          <w:b/>
          <w:kern w:val="2"/>
          <w:lang w:eastAsia="zh-CN"/>
        </w:rPr>
        <w:t>R1-</w:t>
      </w:r>
      <w:r w:rsidR="002D5448">
        <w:rPr>
          <w:rFonts w:ascii="Arial" w:hAnsi="Arial" w:cs="Arial"/>
          <w:b/>
          <w:kern w:val="2"/>
          <w:lang w:eastAsia="zh-CN"/>
        </w:rPr>
        <w:t>210</w:t>
      </w:r>
      <w:r w:rsidR="002F5B6A">
        <w:rPr>
          <w:rFonts w:ascii="Arial" w:hAnsi="Arial" w:cs="Arial"/>
          <w:b/>
          <w:kern w:val="2"/>
          <w:lang w:eastAsia="zh-CN"/>
        </w:rPr>
        <w:t>4212</w:t>
      </w:r>
    </w:p>
    <w:p w14:paraId="62718CC8" w14:textId="109ED217" w:rsidR="008C36FE" w:rsidRPr="00D22981" w:rsidRDefault="008C36FE" w:rsidP="008C36FE">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DC5A91">
        <w:rPr>
          <w:rFonts w:ascii="Arial" w:hAnsi="Arial" w:cs="Arial"/>
          <w:b/>
          <w:kern w:val="2"/>
          <w:lang w:eastAsia="zh-CN"/>
        </w:rPr>
        <w:t>May</w:t>
      </w:r>
      <w:r>
        <w:rPr>
          <w:rFonts w:ascii="Arial" w:hAnsi="Arial" w:cs="Arial"/>
          <w:b/>
          <w:kern w:val="2"/>
          <w:lang w:eastAsia="zh-CN"/>
        </w:rPr>
        <w:t xml:space="preserve"> 1</w:t>
      </w:r>
      <w:r w:rsidR="00D15B02">
        <w:rPr>
          <w:rFonts w:ascii="Arial" w:hAnsi="Arial" w:cs="Arial"/>
          <w:b/>
          <w:kern w:val="2"/>
          <w:lang w:eastAsia="zh-CN"/>
        </w:rPr>
        <w:t>9</w:t>
      </w:r>
      <w:r>
        <w:rPr>
          <w:rFonts w:ascii="Arial" w:hAnsi="Arial" w:cs="Arial"/>
          <w:b/>
          <w:kern w:val="2"/>
          <w:lang w:eastAsia="zh-CN"/>
        </w:rPr>
        <w:t xml:space="preserve"> – </w:t>
      </w:r>
      <w:r w:rsidR="00DC5A91">
        <w:rPr>
          <w:rFonts w:ascii="Arial" w:hAnsi="Arial" w:cs="Arial"/>
          <w:b/>
          <w:kern w:val="2"/>
          <w:lang w:eastAsia="zh-CN"/>
        </w:rPr>
        <w:t>May</w:t>
      </w:r>
      <w:r>
        <w:rPr>
          <w:rFonts w:ascii="Arial" w:hAnsi="Arial" w:cs="Arial"/>
          <w:b/>
          <w:kern w:val="2"/>
          <w:lang w:eastAsia="zh-CN"/>
        </w:rPr>
        <w:t xml:space="preserve"> 2</w:t>
      </w:r>
      <w:r w:rsidR="00DC5A91">
        <w:rPr>
          <w:rFonts w:ascii="Arial" w:hAnsi="Arial" w:cs="Arial"/>
          <w:b/>
          <w:kern w:val="2"/>
          <w:lang w:eastAsia="zh-CN"/>
        </w:rPr>
        <w:t>7</w:t>
      </w:r>
      <w:r w:rsidRPr="00D22981">
        <w:rPr>
          <w:rFonts w:ascii="Arial" w:hAnsi="Arial" w:cs="Arial"/>
          <w:b/>
          <w:kern w:val="2"/>
          <w:lang w:eastAsia="zh-CN"/>
        </w:rPr>
        <w:t>, 202</w:t>
      </w:r>
      <w:r>
        <w:rPr>
          <w:rFonts w:ascii="Arial" w:hAnsi="Arial" w:cs="Arial"/>
          <w:b/>
          <w:kern w:val="2"/>
          <w:lang w:eastAsia="zh-CN"/>
        </w:rPr>
        <w:t>1</w:t>
      </w:r>
    </w:p>
    <w:p w14:paraId="3932C5B9" w14:textId="2428D1A4" w:rsidR="008C36FE" w:rsidRPr="00D74B92" w:rsidRDefault="008C36FE" w:rsidP="008C36FE">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8.2.5</w:t>
      </w:r>
    </w:p>
    <w:p w14:paraId="6BD827B7" w14:textId="77777777" w:rsidR="008C36FE" w:rsidRPr="007F5EC6" w:rsidRDefault="008C36FE" w:rsidP="008C36FE">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113E9">
        <w:rPr>
          <w:rFonts w:ascii="Arial" w:hAnsi="Arial" w:cs="Arial"/>
          <w:b/>
          <w:bCs/>
          <w:caps/>
        </w:rPr>
        <w:t>FUTUREWEI</w:t>
      </w:r>
    </w:p>
    <w:p w14:paraId="5E788BB1" w14:textId="470515C4" w:rsidR="008C36FE" w:rsidRPr="00D74B92" w:rsidRDefault="008C36FE" w:rsidP="008C36FE">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F5B6A" w:rsidRPr="002F5B6A">
        <w:rPr>
          <w:rFonts w:ascii="Arial" w:hAnsi="Arial" w:cs="Arial"/>
          <w:b/>
          <w:lang w:eastAsia="zh-CN"/>
        </w:rPr>
        <w:t xml:space="preserve">Enhancements to support PDSCH/PUSCH for </w:t>
      </w:r>
      <w:r w:rsidR="00D3095E">
        <w:rPr>
          <w:rFonts w:ascii="Arial" w:hAnsi="Arial" w:cs="Arial"/>
          <w:b/>
          <w:lang w:eastAsia="zh-CN"/>
        </w:rPr>
        <w:t>b</w:t>
      </w:r>
      <w:r w:rsidR="002F5B6A" w:rsidRPr="002F5B6A">
        <w:rPr>
          <w:rFonts w:ascii="Arial" w:hAnsi="Arial" w:cs="Arial"/>
          <w:b/>
          <w:lang w:eastAsia="zh-CN"/>
        </w:rPr>
        <w:t>eyond 52.6GHz</w:t>
      </w:r>
    </w:p>
    <w:p w14:paraId="5193FB03" w14:textId="77777777" w:rsidR="008C36FE" w:rsidRPr="00D74B92" w:rsidRDefault="008C36FE" w:rsidP="008C36FE">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312992B1" w14:textId="77777777" w:rsidR="002F3B6E" w:rsidRPr="007F5EC6" w:rsidRDefault="002F3B6E" w:rsidP="002F3B6E"/>
    <w:p w14:paraId="22ED5529" w14:textId="77777777" w:rsidR="002F3B6E" w:rsidRPr="00D74B92" w:rsidRDefault="002F3B6E" w:rsidP="002F3B6E">
      <w:pPr>
        <w:pStyle w:val="Heading1"/>
        <w:rPr>
          <w:rFonts w:cs="Arial"/>
        </w:rPr>
      </w:pPr>
      <w:bookmarkStart w:id="0" w:name="_Ref124589705"/>
      <w:bookmarkStart w:id="1" w:name="_Ref129681862"/>
      <w:r w:rsidRPr="00D74B92">
        <w:rPr>
          <w:rFonts w:cs="Arial"/>
        </w:rPr>
        <w:t>Introduction</w:t>
      </w:r>
      <w:bookmarkEnd w:id="0"/>
      <w:bookmarkEnd w:id="1"/>
    </w:p>
    <w:p w14:paraId="3A4E5E28" w14:textId="0489B48C" w:rsidR="00EB19A1" w:rsidRDefault="0094415B" w:rsidP="00793608">
      <w:pPr>
        <w:snapToGrid/>
        <w:spacing w:after="0"/>
      </w:pPr>
      <w:r w:rsidRPr="0094415B">
        <w:rPr>
          <w:rFonts w:eastAsia="CIDFont+F6"/>
          <w:lang w:eastAsia="zh-CN"/>
        </w:rPr>
        <w:t xml:space="preserve">For </w:t>
      </w:r>
      <w:r w:rsidR="00111628">
        <w:t>extending NR up to 71 GHz</w:t>
      </w:r>
      <w:r w:rsidRPr="0094415B">
        <w:rPr>
          <w:rFonts w:eastAsia="CIDFont+F6"/>
          <w:lang w:eastAsia="zh-CN"/>
        </w:rPr>
        <w:t xml:space="preserve">, </w:t>
      </w:r>
      <w:r>
        <w:t>a</w:t>
      </w:r>
      <w:r w:rsidR="00D041EB">
        <w:t xml:space="preserve"> working item (WI) has been approved by</w:t>
      </w:r>
      <w:r w:rsidR="00D041EB" w:rsidRPr="00EE3DF3">
        <w:t xml:space="preserve"> 3GPP TSG RAN Meeting #</w:t>
      </w:r>
      <w:r w:rsidR="00D041EB">
        <w:t>90 [</w:t>
      </w:r>
      <w:r w:rsidR="00111628">
        <w:t>1</w:t>
      </w:r>
      <w:r w:rsidR="00D041EB">
        <w:t xml:space="preserve">]. </w:t>
      </w:r>
      <w:r w:rsidR="00111628">
        <w:t>New numerologies including 480kHz</w:t>
      </w:r>
      <w:r w:rsidR="00793608">
        <w:t>/</w:t>
      </w:r>
      <w:r w:rsidR="00111628">
        <w:t xml:space="preserve">960kHz were introduced for data transmission in this frequency range. </w:t>
      </w:r>
      <w:r w:rsidR="005D04B2">
        <w:t>The</w:t>
      </w:r>
      <w:r w:rsidR="00D041EB" w:rsidRPr="00EE3DF3">
        <w:t xml:space="preserve"> objectives of the </w:t>
      </w:r>
      <w:r w:rsidR="00D041EB">
        <w:t>WI</w:t>
      </w:r>
      <w:r w:rsidR="005D04B2">
        <w:t xml:space="preserve"> include adaptation of timeline related aspects and supporting enhancements for multi-PDSCH/PUSCH scheduling and HARQ support with a single DCI. </w:t>
      </w:r>
    </w:p>
    <w:p w14:paraId="34236DC8" w14:textId="77777777" w:rsidR="0094415B" w:rsidRPr="0094415B" w:rsidRDefault="0094415B" w:rsidP="00793608">
      <w:pPr>
        <w:snapToGrid/>
        <w:spacing w:after="0"/>
        <w:rPr>
          <w:rFonts w:ascii="CIDFont+F6" w:eastAsia="CIDFont+F6" w:hAnsiTheme="minorHAnsi" w:cs="CIDFont+F6"/>
          <w:sz w:val="19"/>
          <w:szCs w:val="19"/>
          <w:lang w:eastAsia="zh-CN"/>
        </w:rPr>
      </w:pPr>
    </w:p>
    <w:p w14:paraId="58709B20" w14:textId="4951537F" w:rsidR="00D041EB" w:rsidRPr="00D014FC" w:rsidRDefault="00793608" w:rsidP="00D014FC">
      <w:pPr>
        <w:pStyle w:val="B1"/>
        <w:overflowPunct w:val="0"/>
        <w:autoSpaceDE w:val="0"/>
        <w:autoSpaceDN w:val="0"/>
        <w:adjustRightInd w:val="0"/>
        <w:spacing w:after="0"/>
        <w:ind w:left="0" w:firstLine="0"/>
        <w:jc w:val="both"/>
        <w:textAlignment w:val="baseline"/>
        <w:rPr>
          <w:rFonts w:eastAsia="DengXian"/>
          <w:color w:val="000000" w:themeColor="text1"/>
          <w:sz w:val="22"/>
          <w:szCs w:val="22"/>
          <w:lang w:val="en-US" w:eastAsia="ko-KR"/>
        </w:rPr>
      </w:pPr>
      <w:r w:rsidRPr="00793608">
        <w:rPr>
          <w:rFonts w:eastAsia="DengXian"/>
          <w:color w:val="000000" w:themeColor="text1"/>
          <w:sz w:val="22"/>
          <w:szCs w:val="22"/>
          <w:lang w:val="en-US" w:eastAsia="ko-KR"/>
        </w:rPr>
        <w:t>The</w:t>
      </w:r>
      <w:r w:rsidRPr="00793608">
        <w:rPr>
          <w:rFonts w:eastAsia="DengXian"/>
          <w:color w:val="000000" w:themeColor="text1"/>
          <w:sz w:val="22"/>
          <w:szCs w:val="22"/>
          <w:lang w:eastAsia="ko-KR"/>
        </w:rPr>
        <w:t xml:space="preserve"> RAN1 #104e-bis meeting</w:t>
      </w:r>
      <w:r w:rsidRPr="00793608">
        <w:rPr>
          <w:rFonts w:eastAsia="DengXian"/>
          <w:color w:val="000000" w:themeColor="text1"/>
          <w:sz w:val="22"/>
          <w:szCs w:val="22"/>
          <w:lang w:val="en-US" w:eastAsia="ko-KR"/>
        </w:rPr>
        <w:t xml:space="preserve"> has made several agreements within the scheduling and HARQ sub-agenda,  including </w:t>
      </w:r>
      <w:r w:rsidRPr="00793608">
        <w:rPr>
          <w:rFonts w:eastAsia="Malgun Gothic"/>
          <w:sz w:val="22"/>
          <w:szCs w:val="22"/>
          <w:lang w:eastAsia="ko-KR"/>
        </w:rPr>
        <w:t xml:space="preserve">maximum number of PDSCHs that can be scheduled with a single DCI </w:t>
      </w:r>
      <w:r w:rsidRPr="00793608">
        <w:rPr>
          <w:rFonts w:eastAsia="Malgun Gothic"/>
          <w:sz w:val="22"/>
          <w:szCs w:val="22"/>
          <w:lang w:val="en-US" w:eastAsia="ko-KR"/>
        </w:rPr>
        <w:t xml:space="preserve">for SCS </w:t>
      </w:r>
      <w:r w:rsidRPr="00793608">
        <w:rPr>
          <w:sz w:val="22"/>
          <w:szCs w:val="22"/>
        </w:rPr>
        <w:t>480kHz/960kHz</w:t>
      </w:r>
      <w:r w:rsidRPr="00793608">
        <w:rPr>
          <w:sz w:val="22"/>
          <w:szCs w:val="22"/>
          <w:lang w:val="en-US"/>
        </w:rPr>
        <w:t xml:space="preserve">, part of the DCI fields </w:t>
      </w:r>
      <w:r w:rsidR="00B911BA">
        <w:rPr>
          <w:sz w:val="22"/>
          <w:szCs w:val="22"/>
          <w:lang w:val="en-US"/>
        </w:rPr>
        <w:t xml:space="preserve">and signaling </w:t>
      </w:r>
      <w:r w:rsidRPr="00793608">
        <w:rPr>
          <w:sz w:val="22"/>
          <w:szCs w:val="22"/>
          <w:lang w:val="en-US"/>
        </w:rPr>
        <w:t xml:space="preserve">for the multi-PDSCH/PUSCH, and </w:t>
      </w:r>
      <w:r w:rsidR="00B911BA">
        <w:rPr>
          <w:sz w:val="22"/>
          <w:szCs w:val="22"/>
          <w:lang w:val="en-US"/>
        </w:rPr>
        <w:t xml:space="preserve">several conclusions on </w:t>
      </w:r>
      <w:r w:rsidRPr="00793608">
        <w:rPr>
          <w:sz w:val="22"/>
          <w:szCs w:val="22"/>
          <w:lang w:val="en-US"/>
        </w:rPr>
        <w:t>type-1/type-2 HARQ codebook</w:t>
      </w:r>
      <w:r w:rsidR="00482F72">
        <w:rPr>
          <w:sz w:val="22"/>
          <w:szCs w:val="22"/>
          <w:lang w:val="en-US"/>
        </w:rPr>
        <w:t>/sub-codebooks</w:t>
      </w:r>
      <w:r w:rsidR="00B911BA">
        <w:rPr>
          <w:sz w:val="22"/>
          <w:szCs w:val="22"/>
          <w:lang w:val="en-US"/>
        </w:rPr>
        <w:t xml:space="preserve"> with different C-DAI/T-DAI counting alternatives [2]. </w:t>
      </w:r>
      <w:r w:rsidR="00D041EB" w:rsidRPr="00A82EBD">
        <w:rPr>
          <w:sz w:val="22"/>
          <w:szCs w:val="22"/>
        </w:rPr>
        <w:t xml:space="preserve">In the </w:t>
      </w:r>
      <w:r w:rsidR="00D041EB" w:rsidRPr="00A82EBD">
        <w:rPr>
          <w:rFonts w:eastAsia="Yu Mincho"/>
          <w:bCs/>
          <w:iCs/>
          <w:sz w:val="22"/>
          <w:szCs w:val="22"/>
          <w:lang w:eastAsia="ja-JP"/>
        </w:rPr>
        <w:t xml:space="preserve">contribution, </w:t>
      </w:r>
      <w:r w:rsidR="00A82EBD" w:rsidRPr="00A82EBD">
        <w:rPr>
          <w:sz w:val="22"/>
          <w:szCs w:val="22"/>
        </w:rPr>
        <w:t>we discuss</w:t>
      </w:r>
      <w:r w:rsidR="00D014FC">
        <w:rPr>
          <w:sz w:val="22"/>
          <w:szCs w:val="22"/>
          <w:lang w:val="en-US"/>
        </w:rPr>
        <w:t xml:space="preserve"> the restrictions on the maximum number of PDSCH/PUSCH for SCS 480kHz/120kHz; further study the remaining fields for one DCI scheduling multi-PDSCH/PUSCH; and </w:t>
      </w:r>
      <w:r w:rsidR="00482F72">
        <w:rPr>
          <w:sz w:val="22"/>
          <w:szCs w:val="22"/>
          <w:lang w:val="en-US"/>
        </w:rPr>
        <w:t>addresses</w:t>
      </w:r>
      <w:r w:rsidR="00D014FC">
        <w:rPr>
          <w:sz w:val="22"/>
          <w:szCs w:val="22"/>
          <w:lang w:val="en-US"/>
        </w:rPr>
        <w:t xml:space="preserve"> </w:t>
      </w:r>
      <w:r w:rsidR="00482F72">
        <w:rPr>
          <w:sz w:val="22"/>
          <w:szCs w:val="22"/>
          <w:lang w:val="en-US"/>
        </w:rPr>
        <w:t>further study points</w:t>
      </w:r>
      <w:r w:rsidR="00D014FC">
        <w:rPr>
          <w:sz w:val="22"/>
          <w:szCs w:val="22"/>
          <w:lang w:val="en-US"/>
        </w:rPr>
        <w:t xml:space="preserve"> </w:t>
      </w:r>
      <w:r w:rsidR="00482F72">
        <w:rPr>
          <w:sz w:val="22"/>
          <w:szCs w:val="22"/>
          <w:lang w:val="en-US"/>
        </w:rPr>
        <w:t>concluded for</w:t>
      </w:r>
      <w:r w:rsidR="00D014FC">
        <w:rPr>
          <w:sz w:val="22"/>
          <w:szCs w:val="22"/>
          <w:lang w:val="en-US"/>
        </w:rPr>
        <w:t xml:space="preserve"> </w:t>
      </w:r>
      <w:r w:rsidR="00482F72" w:rsidRPr="00793608">
        <w:rPr>
          <w:sz w:val="22"/>
          <w:szCs w:val="22"/>
          <w:lang w:val="en-US"/>
        </w:rPr>
        <w:t>type-1/type-</w:t>
      </w:r>
      <w:r w:rsidR="00482F72">
        <w:rPr>
          <w:sz w:val="22"/>
          <w:szCs w:val="22"/>
          <w:lang w:val="en-US"/>
        </w:rPr>
        <w:t xml:space="preserve">2 </w:t>
      </w:r>
      <w:r w:rsidR="00D014FC">
        <w:rPr>
          <w:sz w:val="22"/>
          <w:szCs w:val="22"/>
          <w:lang w:val="en-US"/>
        </w:rPr>
        <w:t xml:space="preserve">HARQ-ACK </w:t>
      </w:r>
      <w:r w:rsidR="00482F72" w:rsidRPr="00793608">
        <w:rPr>
          <w:sz w:val="22"/>
          <w:szCs w:val="22"/>
          <w:lang w:val="en-US"/>
        </w:rPr>
        <w:t>codebook</w:t>
      </w:r>
      <w:r w:rsidR="00482F72">
        <w:rPr>
          <w:sz w:val="22"/>
          <w:szCs w:val="22"/>
          <w:lang w:val="en-US"/>
        </w:rPr>
        <w:t>/sub-codebooks</w:t>
      </w:r>
      <w:r w:rsidR="00D014FC">
        <w:rPr>
          <w:sz w:val="22"/>
          <w:szCs w:val="22"/>
          <w:lang w:val="en-US"/>
        </w:rPr>
        <w:t xml:space="preserve"> </w:t>
      </w:r>
      <w:r w:rsidR="00414ADE">
        <w:rPr>
          <w:sz w:val="22"/>
          <w:szCs w:val="22"/>
          <w:lang w:val="en-US"/>
        </w:rPr>
        <w:t xml:space="preserve">multi-PDSCH. </w:t>
      </w:r>
    </w:p>
    <w:p w14:paraId="60FCB3F9" w14:textId="77777777" w:rsidR="002F3B6E" w:rsidRPr="007F5EC6" w:rsidRDefault="002F3B6E" w:rsidP="002F3B6E"/>
    <w:p w14:paraId="59913292" w14:textId="26E18728" w:rsidR="002F3B6E" w:rsidRDefault="00414ADE" w:rsidP="002F3B6E">
      <w:pPr>
        <w:pStyle w:val="Heading1"/>
        <w:rPr>
          <w:rFonts w:cs="Arial"/>
        </w:rPr>
      </w:pPr>
      <w:r>
        <w:rPr>
          <w:rFonts w:cs="Arial"/>
        </w:rPr>
        <w:t>Discussion</w:t>
      </w:r>
    </w:p>
    <w:p w14:paraId="3D127B63" w14:textId="0E664BA8" w:rsidR="00C717F4" w:rsidRDefault="00414ADE" w:rsidP="00C717F4">
      <w:pPr>
        <w:pStyle w:val="Heading2"/>
      </w:pPr>
      <w:r>
        <w:t>Maximum number of PDSCH/PUSCH with single DCI</w:t>
      </w:r>
    </w:p>
    <w:p w14:paraId="24E9FA60" w14:textId="77777777" w:rsidR="002E694B" w:rsidRDefault="002E694B" w:rsidP="002E694B"/>
    <w:tbl>
      <w:tblPr>
        <w:tblStyle w:val="TableGrid"/>
        <w:tblW w:w="0" w:type="auto"/>
        <w:tblLook w:val="04A0" w:firstRow="1" w:lastRow="0" w:firstColumn="1" w:lastColumn="0" w:noHBand="0" w:noVBand="1"/>
      </w:tblPr>
      <w:tblGrid>
        <w:gridCol w:w="9307"/>
      </w:tblGrid>
      <w:tr w:rsidR="002E694B" w14:paraId="4A6B75DC" w14:textId="77777777" w:rsidTr="00CA6023">
        <w:tc>
          <w:tcPr>
            <w:tcW w:w="9307" w:type="dxa"/>
          </w:tcPr>
          <w:p w14:paraId="714ED3E3" w14:textId="77777777" w:rsidR="002E694B" w:rsidRDefault="002E694B" w:rsidP="002E694B">
            <w:pPr>
              <w:rPr>
                <w:lang w:eastAsia="x-none"/>
              </w:rPr>
            </w:pPr>
            <w:r w:rsidRPr="00D03887">
              <w:rPr>
                <w:highlight w:val="green"/>
                <w:lang w:eastAsia="x-none"/>
              </w:rPr>
              <w:t>Agreement:</w:t>
            </w:r>
          </w:p>
          <w:p w14:paraId="78239F00" w14:textId="77777777" w:rsidR="002E694B" w:rsidRDefault="002E694B" w:rsidP="002E694B">
            <w:pPr>
              <w:pStyle w:val="ListParagraph"/>
              <w:numPr>
                <w:ilvl w:val="0"/>
                <w:numId w:val="30"/>
              </w:numPr>
              <w:spacing w:after="160" w:line="256" w:lineRule="auto"/>
              <w:rPr>
                <w:rFonts w:eastAsia="Malgun Gothic"/>
                <w:lang w:eastAsia="ko-KR"/>
              </w:rPr>
            </w:pPr>
            <w:r>
              <w:rPr>
                <w:rFonts w:eastAsia="Malgun Gothic"/>
                <w:lang w:eastAsia="ko-KR"/>
              </w:rPr>
              <w:t>The maximum number of PDSCHs that can be scheduled with a single DCI in Rel-17 is 8 for SCS of 480 and 960 kHz.</w:t>
            </w:r>
          </w:p>
          <w:p w14:paraId="0997C6CD" w14:textId="77777777" w:rsidR="002E694B" w:rsidRDefault="002E694B" w:rsidP="002E694B">
            <w:pPr>
              <w:pStyle w:val="ListParagraph"/>
              <w:numPr>
                <w:ilvl w:val="1"/>
                <w:numId w:val="30"/>
              </w:numPr>
              <w:spacing w:after="160" w:line="256" w:lineRule="auto"/>
              <w:rPr>
                <w:rFonts w:eastAsia="Malgun Gothic"/>
                <w:lang w:eastAsia="ko-KR"/>
              </w:rPr>
            </w:pPr>
            <w:r>
              <w:rPr>
                <w:rFonts w:eastAsia="Malgun Gothic"/>
                <w:lang w:eastAsia="ko-KR"/>
              </w:rPr>
              <w:t>FFS: Further restrictions for 480 kHz to 4</w:t>
            </w:r>
          </w:p>
          <w:p w14:paraId="1EB26D6F" w14:textId="77777777" w:rsidR="002E694B" w:rsidRDefault="002E694B" w:rsidP="002E694B">
            <w:pPr>
              <w:pStyle w:val="ListParagraph"/>
              <w:numPr>
                <w:ilvl w:val="1"/>
                <w:numId w:val="30"/>
              </w:numPr>
              <w:spacing w:after="160" w:line="256" w:lineRule="auto"/>
              <w:rPr>
                <w:rFonts w:eastAsia="Malgun Gothic"/>
                <w:lang w:eastAsia="ko-KR"/>
              </w:rPr>
            </w:pPr>
            <w:r>
              <w:rPr>
                <w:rFonts w:eastAsia="Malgun Gothic"/>
                <w:lang w:eastAsia="ko-KR"/>
              </w:rPr>
              <w:t>FFS: A UE capability to select between 4 and 8 for 480 kHz SCS</w:t>
            </w:r>
          </w:p>
          <w:p w14:paraId="3E1CEF53" w14:textId="77777777" w:rsidR="002E694B" w:rsidRDefault="002E694B" w:rsidP="002E694B">
            <w:pPr>
              <w:pStyle w:val="ListParagraph"/>
              <w:numPr>
                <w:ilvl w:val="1"/>
                <w:numId w:val="30"/>
              </w:numPr>
              <w:spacing w:after="160" w:line="256" w:lineRule="auto"/>
              <w:rPr>
                <w:rFonts w:eastAsia="Malgun Gothic"/>
                <w:lang w:eastAsia="ko-KR"/>
              </w:rPr>
            </w:pPr>
            <w:r>
              <w:rPr>
                <w:rFonts w:eastAsia="Malgun Gothic"/>
                <w:lang w:eastAsia="ko-KR"/>
              </w:rPr>
              <w:t>Note: Multi-PDSCH scheduling for the case of 120 kHz SCS is still FFS as per prior agreement. This case can be addressed after this FFS has been decided.</w:t>
            </w:r>
          </w:p>
          <w:p w14:paraId="77161F3C" w14:textId="77777777" w:rsidR="002E694B" w:rsidRDefault="002E694B" w:rsidP="002E694B">
            <w:pPr>
              <w:pStyle w:val="ListParagraph"/>
              <w:numPr>
                <w:ilvl w:val="0"/>
                <w:numId w:val="30"/>
              </w:numPr>
              <w:spacing w:after="160" w:line="256" w:lineRule="auto"/>
              <w:rPr>
                <w:rFonts w:eastAsia="Malgun Gothic"/>
                <w:lang w:eastAsia="ko-KR"/>
              </w:rPr>
            </w:pPr>
            <w:r>
              <w:rPr>
                <w:rFonts w:eastAsia="Malgun Gothic"/>
                <w:lang w:eastAsia="ko-KR"/>
              </w:rPr>
              <w:t>The maximum number of PUSCHs that can be scheduled with a single DCI in Rel-17 is 8.</w:t>
            </w:r>
          </w:p>
          <w:p w14:paraId="26B94A11" w14:textId="77777777" w:rsidR="002E694B" w:rsidRDefault="002E694B" w:rsidP="002E694B">
            <w:pPr>
              <w:pStyle w:val="ListParagraph"/>
              <w:numPr>
                <w:ilvl w:val="1"/>
                <w:numId w:val="30"/>
              </w:numPr>
              <w:spacing w:after="160" w:line="256" w:lineRule="auto"/>
              <w:rPr>
                <w:rFonts w:eastAsia="Malgun Gothic"/>
                <w:lang w:eastAsia="ko-KR"/>
              </w:rPr>
            </w:pPr>
            <w:r>
              <w:rPr>
                <w:rFonts w:eastAsia="Malgun Gothic"/>
                <w:lang w:eastAsia="ko-KR"/>
              </w:rPr>
              <w:t>FFS: Further restrictions for 120 kHz and 480 kHz SCS</w:t>
            </w:r>
          </w:p>
          <w:p w14:paraId="64CA92B7" w14:textId="5ABDE7BD" w:rsidR="002E694B" w:rsidRPr="000E3696" w:rsidRDefault="002E694B" w:rsidP="000E3696">
            <w:pPr>
              <w:pStyle w:val="ListParagraph"/>
              <w:numPr>
                <w:ilvl w:val="1"/>
                <w:numId w:val="30"/>
              </w:numPr>
              <w:spacing w:after="160" w:line="256" w:lineRule="auto"/>
              <w:rPr>
                <w:rFonts w:eastAsia="Malgun Gothic"/>
                <w:lang w:eastAsia="ko-KR"/>
              </w:rPr>
            </w:pPr>
            <w:r>
              <w:rPr>
                <w:rFonts w:eastAsia="Malgun Gothic"/>
                <w:lang w:eastAsia="ko-KR"/>
              </w:rPr>
              <w:t>FFS: A UE capability to select between different values for 120 kHz and 480 kHz SCS</w:t>
            </w:r>
          </w:p>
        </w:tc>
      </w:tr>
    </w:tbl>
    <w:p w14:paraId="13C3237D" w14:textId="61F42C44" w:rsidR="00636257" w:rsidRDefault="00636257" w:rsidP="00FA20BD"/>
    <w:p w14:paraId="6F53196C" w14:textId="5AD876F4" w:rsidR="00D06869" w:rsidRDefault="00D06869" w:rsidP="00FA20BD">
      <w:r>
        <w:t>According to prior discussions, the advantage of scheduling multi-PDSCH</w:t>
      </w:r>
      <w:r w:rsidR="00AC098A">
        <w:t>/PUSCH</w:t>
      </w:r>
      <w:r>
        <w:t xml:space="preserve"> with a single DCI is to reduce PDCCH monitoring </w:t>
      </w:r>
      <w:r w:rsidR="006F0824">
        <w:t>frequency</w:t>
      </w:r>
      <w:r w:rsidR="00821ED0">
        <w:t>/overhead</w:t>
      </w:r>
      <w:r w:rsidR="006F0824">
        <w:t xml:space="preserve"> </w:t>
      </w:r>
      <w:r>
        <w:t xml:space="preserve">and </w:t>
      </w:r>
      <w:r w:rsidR="00821ED0">
        <w:t xml:space="preserve">reduce </w:t>
      </w:r>
      <w:r>
        <w:t xml:space="preserve">DL/UL switching, considering the restrictions of UE capability </w:t>
      </w:r>
      <w:r w:rsidR="006F0824">
        <w:t>under</w:t>
      </w:r>
      <w:r>
        <w:t xml:space="preserve"> high processing requirement due to the short symbol durations associated with larger SCSs</w:t>
      </w:r>
      <w:r w:rsidR="008A23B0">
        <w:t xml:space="preserve"> including 480kHz/960kHz</w:t>
      </w:r>
      <w:r>
        <w:t xml:space="preserve">. </w:t>
      </w:r>
      <w:r w:rsidR="00AC098A">
        <w:t xml:space="preserve">The downsides of multi-PDSCH/PUSCH include </w:t>
      </w:r>
      <w:r w:rsidR="006F0824">
        <w:t>an</w:t>
      </w:r>
      <w:r w:rsidR="00AC098A">
        <w:t xml:space="preserve"> increased DCI size and a larger HARQ-ACK codebook size, which may result in </w:t>
      </w:r>
      <w:r w:rsidR="006F0824">
        <w:t>overhead/</w:t>
      </w:r>
      <w:r w:rsidR="00AC098A">
        <w:t>coverage loss</w:t>
      </w:r>
      <w:r w:rsidR="00B1173A">
        <w:t xml:space="preserve"> for the case of one DCI (despite that it would still be a more efficient scheduling than using multiple DCIs).    </w:t>
      </w:r>
    </w:p>
    <w:p w14:paraId="22ABDADA" w14:textId="5DC07C17" w:rsidR="008E31DF" w:rsidRDefault="00514745" w:rsidP="00FA20BD">
      <w:r>
        <w:t xml:space="preserve">Opinions </w:t>
      </w:r>
      <w:r w:rsidR="00E152C3">
        <w:t xml:space="preserve">are </w:t>
      </w:r>
      <w:r>
        <w:t>split regarding whether</w:t>
      </w:r>
      <w:r w:rsidR="008A23B0">
        <w:t xml:space="preserve"> the multi-slot framework further includes the case of 120kHz SCS</w:t>
      </w:r>
      <w:r>
        <w:t xml:space="preserve">. Despite less standard effort to impose the same design for all SCSs, </w:t>
      </w:r>
      <w:r w:rsidR="008A23B0">
        <w:t xml:space="preserve">there is concern that the channel coherence time </w:t>
      </w:r>
      <w:r w:rsidR="00B1173A">
        <w:t>(approximately Tc=9/(16</w:t>
      </w:r>
      <m:oMath>
        <m:r>
          <w:rPr>
            <w:rFonts w:ascii="Cambria Math" w:hAnsi="Cambria Math"/>
          </w:rPr>
          <m:t>π</m:t>
        </m:r>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 xml:space="preserve">) </m:t>
        </m:r>
      </m:oMath>
      <w:r w:rsidR="00B1173A">
        <w:t xml:space="preserve">where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B1173A">
        <w:t xml:space="preserve"> is the maximum Dopper shift that depends on velocity and carrier frequency) </w:t>
      </w:r>
      <w:r w:rsidR="008A23B0">
        <w:t>may not be large enough for each slot to experience similar channel gains</w:t>
      </w:r>
      <w:r>
        <w:t xml:space="preserve"> for a relatively smaller SCS</w:t>
      </w:r>
      <w:r w:rsidR="008A23B0">
        <w:t xml:space="preserve">. </w:t>
      </w:r>
      <w:r w:rsidR="00B1173A">
        <w:t xml:space="preserve">Calculation shows that for a carrier frequency of 60GHz, the maximum </w:t>
      </w:r>
      <w:r w:rsidR="00B1173A">
        <w:lastRenderedPageBreak/>
        <w:t>velocity for the multi-slot of size 8 under SCS 120kHz not exceeding the channel coherent time is around 3.5km/h. For cases with larger speed or high carrier frequency</w:t>
      </w:r>
      <w:r w:rsidR="008A23B0">
        <w:t xml:space="preserve">, </w:t>
      </w:r>
      <w:r w:rsidR="00066AF5">
        <w:t xml:space="preserve">beam-switching </w:t>
      </w:r>
      <w:r w:rsidR="00003A8A">
        <w:t xml:space="preserve">may be </w:t>
      </w:r>
      <w:r w:rsidR="00066AF5">
        <w:t xml:space="preserve">needed </w:t>
      </w:r>
      <w:r w:rsidR="001D1783">
        <w:t>within a</w:t>
      </w:r>
      <w:r w:rsidR="00066AF5">
        <w:t xml:space="preserve"> multi-slot</w:t>
      </w:r>
      <w:r w:rsidR="001D1783">
        <w:t>. To enable the beam-switching</w:t>
      </w:r>
      <w:r w:rsidR="00066AF5">
        <w:t>, addition</w:t>
      </w:r>
      <w:r w:rsidR="00003A8A">
        <w:t>al</w:t>
      </w:r>
      <w:r w:rsidR="00066AF5">
        <w:t xml:space="preserve"> control information </w:t>
      </w:r>
      <w:r w:rsidR="001D1783">
        <w:t>must</w:t>
      </w:r>
      <w:r w:rsidR="00066AF5">
        <w:t xml:space="preserve"> be conveyed during the </w:t>
      </w:r>
      <w:r>
        <w:t xml:space="preserve">transmission </w:t>
      </w:r>
      <w:r w:rsidR="00E01574">
        <w:t>gap</w:t>
      </w:r>
      <w:r>
        <w:t>s</w:t>
      </w:r>
      <w:r w:rsidR="00E01574">
        <w:t xml:space="preserve"> reserved</w:t>
      </w:r>
      <w:r w:rsidR="00066AF5">
        <w:t xml:space="preserve"> inside the multi-slot</w:t>
      </w:r>
      <w:r w:rsidR="001D1783">
        <w:t xml:space="preserve">, which was </w:t>
      </w:r>
      <w:r>
        <w:t>allocated</w:t>
      </w:r>
      <w:r w:rsidR="001D1783">
        <w:t xml:space="preserve"> to </w:t>
      </w:r>
      <w:r>
        <w:t>accommodate</w:t>
      </w:r>
      <w:r w:rsidR="001D1783">
        <w:t xml:space="preserve"> non-contiguous resource allocation</w:t>
      </w:r>
      <w:r w:rsidR="00066AF5">
        <w:t xml:space="preserve">. </w:t>
      </w:r>
      <w:r w:rsidR="001D1783">
        <w:t xml:space="preserve">If </w:t>
      </w:r>
      <w:r>
        <w:t>multiple switching is needed</w:t>
      </w:r>
      <w:r w:rsidR="001D1783">
        <w:t xml:space="preserve"> for the 120kHz SCS during a multi-slot</w:t>
      </w:r>
      <w:r w:rsidR="00B90011">
        <w:t xml:space="preserve">, </w:t>
      </w:r>
      <w:r>
        <w:t>such operation</w:t>
      </w:r>
      <w:r w:rsidR="00B90011">
        <w:t xml:space="preserve"> is </w:t>
      </w:r>
      <w:r w:rsidR="001D1783">
        <w:t>against the</w:t>
      </w:r>
      <w:r w:rsidR="00B90011">
        <w:t xml:space="preserve"> </w:t>
      </w:r>
      <w:r w:rsidR="001D1783">
        <w:t>original</w:t>
      </w:r>
      <w:r w:rsidR="00B90011">
        <w:t xml:space="preserve"> </w:t>
      </w:r>
      <w:r w:rsidR="00D06869">
        <w:t>motivation</w:t>
      </w:r>
      <w:r w:rsidR="00B90011">
        <w:t xml:space="preserve"> of</w:t>
      </w:r>
      <w:r w:rsidR="001D1783">
        <w:t xml:space="preserve"> introducing multi-PDSCH/PUSCH</w:t>
      </w:r>
      <w:r>
        <w:t xml:space="preserve"> for 52.6GHz to 71GHz</w:t>
      </w:r>
      <w:r w:rsidR="00B90011">
        <w:t>, which is to reduce</w:t>
      </w:r>
      <w:r w:rsidR="001D1783">
        <w:t xml:space="preserve"> control information and reduce switching</w:t>
      </w:r>
      <w:r w:rsidR="00B90011">
        <w:t xml:space="preserve">. Therefore, we </w:t>
      </w:r>
      <w:r w:rsidR="001D1783">
        <w:t>do not view</w:t>
      </w:r>
      <w:r w:rsidR="00B90011">
        <w:t xml:space="preserve"> the multi-PDSCH scheduling </w:t>
      </w:r>
      <w:r w:rsidR="00821ED0">
        <w:t xml:space="preserve">as necessary and beneficial </w:t>
      </w:r>
      <w:r w:rsidR="00B90011">
        <w:t>for the SCS 120kHz</w:t>
      </w:r>
      <w:r w:rsidR="00327C3D">
        <w:t xml:space="preserve">, </w:t>
      </w:r>
      <w:r w:rsidR="00821ED0">
        <w:t>and we recommend</w:t>
      </w:r>
      <w:r w:rsidR="00327C3D">
        <w:t xml:space="preserve"> </w:t>
      </w:r>
      <w:r w:rsidR="00821ED0">
        <w:t xml:space="preserve">the </w:t>
      </w:r>
      <w:r w:rsidR="00327C3D">
        <w:t>single-PDSCH scheduling</w:t>
      </w:r>
      <w:r w:rsidR="00B90011">
        <w:t>.</w:t>
      </w:r>
      <w:r w:rsidR="00327C3D">
        <w:t xml:space="preserve"> </w:t>
      </w:r>
    </w:p>
    <w:p w14:paraId="0ECFB2E3" w14:textId="494445ED" w:rsidR="008E6B66" w:rsidRDefault="00B1173A" w:rsidP="001A56B5">
      <w:pPr>
        <w:snapToGrid/>
        <w:spacing w:after="0"/>
      </w:pPr>
      <w:r>
        <w:t xml:space="preserve">For SCS 480kHz, the channel coherence time is less an issue compare with the SCS </w:t>
      </w:r>
      <w:proofErr w:type="gramStart"/>
      <w:r>
        <w:t>120kHz, since</w:t>
      </w:r>
      <w:proofErr w:type="gramEnd"/>
      <w:r>
        <w:t xml:space="preserve"> it can accommodate up to around 14km/h speed for the duration of a multi-slot of size 8 not to exceed the channel coherence time. Therefore, the upper bound 8 </w:t>
      </w:r>
      <w:r w:rsidR="008E6B66">
        <w:t xml:space="preserve">agreed in the main bullet </w:t>
      </w:r>
      <w:r>
        <w:t xml:space="preserve">can be directly applied to SCS 480kHz as the maximum schedulable PDSCHs in a multi-slot. </w:t>
      </w:r>
    </w:p>
    <w:p w14:paraId="5B3B77ED" w14:textId="77777777" w:rsidR="003427EF" w:rsidRDefault="003427EF" w:rsidP="001A56B5">
      <w:pPr>
        <w:snapToGrid/>
        <w:spacing w:after="0"/>
        <w:rPr>
          <w:b/>
          <w:bCs/>
          <w:i/>
          <w:iCs/>
          <w:strike/>
        </w:rPr>
      </w:pPr>
    </w:p>
    <w:p w14:paraId="30E50DDD" w14:textId="77777777" w:rsidR="008E6B66" w:rsidRDefault="008E6B66" w:rsidP="008E6B66">
      <w:pPr>
        <w:snapToGrid/>
        <w:spacing w:after="0"/>
        <w:rPr>
          <w:b/>
          <w:bCs/>
          <w:i/>
          <w:iCs/>
        </w:rPr>
      </w:pPr>
      <w:r>
        <w:rPr>
          <w:b/>
          <w:bCs/>
          <w:i/>
          <w:iCs/>
        </w:rPr>
        <w:t xml:space="preserve">Proposal 1. Only single-PDSCH is supported for SCS 120kHz for reason that the duration of a multi-slot can be larger the channel coherence time consideration for cases of moderate speed. </w:t>
      </w:r>
    </w:p>
    <w:p w14:paraId="5E51A5E2" w14:textId="77777777" w:rsidR="008E6B66" w:rsidRDefault="008E6B66" w:rsidP="008E6B66">
      <w:pPr>
        <w:snapToGrid/>
        <w:spacing w:after="0"/>
        <w:rPr>
          <w:b/>
          <w:bCs/>
          <w:i/>
          <w:iCs/>
        </w:rPr>
      </w:pPr>
    </w:p>
    <w:p w14:paraId="7D55BDB1" w14:textId="77777777" w:rsidR="008E6B66" w:rsidRDefault="008E6B66" w:rsidP="008E6B66">
      <w:pPr>
        <w:snapToGrid/>
        <w:spacing w:after="0"/>
        <w:rPr>
          <w:b/>
          <w:bCs/>
          <w:i/>
          <w:iCs/>
        </w:rPr>
      </w:pPr>
      <w:r>
        <w:rPr>
          <w:b/>
          <w:bCs/>
          <w:i/>
          <w:iCs/>
        </w:rPr>
        <w:t xml:space="preserve">Proposal 2. Reuse the legacy Rel-17 maximum schedulable PDSCHs with a single DCI, i.e., 8, as the upper bound of number of slots in a multi-PDSCH/PUSCH for both the SCS 480kHz and SCS 960kHz. No further restriction is needed for SCS 480kHz.  </w:t>
      </w:r>
    </w:p>
    <w:p w14:paraId="73377088" w14:textId="77777777" w:rsidR="008E6B66" w:rsidRPr="00D15B02" w:rsidRDefault="008E6B66" w:rsidP="001A56B5">
      <w:pPr>
        <w:snapToGrid/>
        <w:spacing w:after="0"/>
        <w:rPr>
          <w:strike/>
          <w:highlight w:val="yellow"/>
        </w:rPr>
      </w:pPr>
    </w:p>
    <w:p w14:paraId="3C669A83" w14:textId="77777777" w:rsidR="00CA6023" w:rsidRPr="00FA20BD" w:rsidRDefault="00CA6023" w:rsidP="00FA20BD"/>
    <w:p w14:paraId="04F57476" w14:textId="19D0BD05" w:rsidR="005C4090" w:rsidRDefault="00414ADE" w:rsidP="004B5F0E">
      <w:pPr>
        <w:pStyle w:val="Heading2"/>
      </w:pPr>
      <w:r>
        <w:t xml:space="preserve">DCI fields </w:t>
      </w:r>
      <w:r w:rsidR="00F56452">
        <w:t>for</w:t>
      </w:r>
      <w:r>
        <w:t xml:space="preserve"> </w:t>
      </w:r>
      <w:r w:rsidR="00F56452">
        <w:t xml:space="preserve">scheduling </w:t>
      </w:r>
      <w:r>
        <w:t>multiple P</w:t>
      </w:r>
      <w:r w:rsidR="006F7E8E">
        <w:t>DSCH/PUSCH</w:t>
      </w:r>
    </w:p>
    <w:p w14:paraId="2E571A8C" w14:textId="77777777" w:rsidR="000E3696" w:rsidRDefault="000E3696" w:rsidP="000E3696"/>
    <w:tbl>
      <w:tblPr>
        <w:tblStyle w:val="TableGrid"/>
        <w:tblW w:w="0" w:type="auto"/>
        <w:tblLook w:val="04A0" w:firstRow="1" w:lastRow="0" w:firstColumn="1" w:lastColumn="0" w:noHBand="0" w:noVBand="1"/>
      </w:tblPr>
      <w:tblGrid>
        <w:gridCol w:w="9307"/>
      </w:tblGrid>
      <w:tr w:rsidR="000E3696" w14:paraId="324C1886" w14:textId="77777777" w:rsidTr="00CA6023">
        <w:tc>
          <w:tcPr>
            <w:tcW w:w="9307" w:type="dxa"/>
          </w:tcPr>
          <w:p w14:paraId="18DC171D" w14:textId="77777777" w:rsidR="000E3696" w:rsidRDefault="000E3696" w:rsidP="000E3696">
            <w:pPr>
              <w:pStyle w:val="ListParagraph"/>
              <w:numPr>
                <w:ilvl w:val="0"/>
                <w:numId w:val="0"/>
              </w:numPr>
              <w:spacing w:after="160" w:line="256" w:lineRule="auto"/>
              <w:rPr>
                <w:rFonts w:eastAsia="Malgun Gothic"/>
                <w:lang w:eastAsia="ko-KR"/>
              </w:rPr>
            </w:pPr>
          </w:p>
          <w:p w14:paraId="4E6F70E7" w14:textId="77777777" w:rsidR="000E3696" w:rsidRDefault="000E3696" w:rsidP="000E3696">
            <w:pPr>
              <w:pStyle w:val="ListParagraph"/>
              <w:numPr>
                <w:ilvl w:val="0"/>
                <w:numId w:val="0"/>
              </w:numPr>
              <w:spacing w:after="160" w:line="256" w:lineRule="auto"/>
              <w:rPr>
                <w:rFonts w:eastAsia="Malgun Gothic"/>
                <w:lang w:eastAsia="ko-KR"/>
              </w:rPr>
            </w:pPr>
            <w:r w:rsidRPr="001E0688">
              <w:rPr>
                <w:rFonts w:eastAsia="Malgun Gothic"/>
                <w:highlight w:val="green"/>
                <w:lang w:eastAsia="ko-KR"/>
              </w:rPr>
              <w:t>Agreement:</w:t>
            </w:r>
          </w:p>
          <w:p w14:paraId="244B1EB1" w14:textId="77777777" w:rsidR="000E3696" w:rsidRDefault="000E3696" w:rsidP="000E3696">
            <w:pPr>
              <w:pStyle w:val="ListParagraph"/>
              <w:numPr>
                <w:ilvl w:val="0"/>
                <w:numId w:val="30"/>
              </w:numPr>
              <w:spacing w:after="160" w:line="256" w:lineRule="auto"/>
              <w:rPr>
                <w:rFonts w:eastAsia="Malgun Gothic"/>
              </w:rPr>
            </w:pPr>
            <w:r>
              <w:rPr>
                <w:rFonts w:eastAsia="Malgun Gothic"/>
                <w:lang w:eastAsia="ko-KR"/>
              </w:rPr>
              <w:t>For a DCI that can schedule multiple PUSCHs,</w:t>
            </w:r>
          </w:p>
          <w:p w14:paraId="70E53ECB" w14:textId="77777777" w:rsidR="000E3696" w:rsidRDefault="000E3696" w:rsidP="000E3696">
            <w:pPr>
              <w:pStyle w:val="ListParagraph"/>
              <w:numPr>
                <w:ilvl w:val="1"/>
                <w:numId w:val="30"/>
              </w:numPr>
              <w:spacing w:after="160" w:line="256" w:lineRule="auto"/>
              <w:rPr>
                <w:rFonts w:eastAsia="Malgun Gothic"/>
              </w:rPr>
            </w:pPr>
            <w:r>
              <w:rPr>
                <w:rFonts w:eastAsia="Malgun Gothic"/>
                <w:lang w:eastAsia="ko-KR"/>
              </w:rPr>
              <w:t>TDRA: Alt 2 (</w:t>
            </w:r>
            <w: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t>signalled</w:t>
            </w:r>
            <w:proofErr w:type="spellEnd"/>
            <w:r>
              <w:t xml:space="preserve"> in DCI.</w:t>
            </w:r>
            <w:r>
              <w:rPr>
                <w:rFonts w:eastAsia="Malgun Gothic"/>
                <w:lang w:eastAsia="ko-KR"/>
              </w:rPr>
              <w:t xml:space="preserve">), </w:t>
            </w:r>
            <w:r>
              <w:rPr>
                <w:rFonts w:eastAsia="Malgun Gothic"/>
              </w:rPr>
              <w:t>as per agreement made in RAN1#104-e</w:t>
            </w:r>
          </w:p>
          <w:p w14:paraId="25A6F16D" w14:textId="77777777" w:rsidR="000E3696" w:rsidRDefault="000E3696" w:rsidP="000E3696">
            <w:pPr>
              <w:pStyle w:val="ListParagraph"/>
              <w:numPr>
                <w:ilvl w:val="2"/>
                <w:numId w:val="30"/>
              </w:numPr>
              <w:spacing w:after="160" w:line="256" w:lineRule="auto"/>
              <w:rPr>
                <w:rFonts w:eastAsia="Malgun Gothic"/>
              </w:rPr>
            </w:pPr>
            <w:r>
              <w:rPr>
                <w:rFonts w:eastAsia="Malgun Gothic"/>
                <w:lang w:eastAsia="ko-KR"/>
              </w:rPr>
              <w:t>FFS: signaling details</w:t>
            </w:r>
          </w:p>
          <w:p w14:paraId="1088A9DC" w14:textId="77777777" w:rsidR="000E3696" w:rsidRDefault="000E3696" w:rsidP="000E3696">
            <w:pPr>
              <w:pStyle w:val="ListParagraph"/>
              <w:numPr>
                <w:ilvl w:val="1"/>
                <w:numId w:val="30"/>
              </w:numPr>
              <w:spacing w:after="160" w:line="256" w:lineRule="auto"/>
              <w:rPr>
                <w:rFonts w:eastAsia="Malgun Gothic"/>
              </w:rPr>
            </w:pPr>
            <w:r>
              <w:rPr>
                <w:rFonts w:eastAsia="Malgun Gothic"/>
              </w:rPr>
              <w:t>Note: Alt 2 does not preclude continuous resource allocation in time-domain.</w:t>
            </w:r>
          </w:p>
          <w:p w14:paraId="65E9066E" w14:textId="77777777" w:rsidR="000E3696" w:rsidRDefault="000E3696" w:rsidP="000E3696">
            <w:pPr>
              <w:pStyle w:val="ListParagraph"/>
              <w:numPr>
                <w:ilvl w:val="0"/>
                <w:numId w:val="30"/>
              </w:numPr>
              <w:spacing w:after="160" w:line="256" w:lineRule="auto"/>
              <w:rPr>
                <w:rFonts w:eastAsia="Malgun Gothic"/>
              </w:rPr>
            </w:pPr>
            <w:r>
              <w:rPr>
                <w:rFonts w:eastAsia="Malgun Gothic"/>
                <w:lang w:eastAsia="ko-KR"/>
              </w:rPr>
              <w:t>For a DCI that can schedule multiple PDSCHs,</w:t>
            </w:r>
          </w:p>
          <w:p w14:paraId="37A89BED" w14:textId="77777777" w:rsidR="000E3696" w:rsidRDefault="000E3696" w:rsidP="000E3696">
            <w:pPr>
              <w:pStyle w:val="ListParagraph"/>
              <w:numPr>
                <w:ilvl w:val="1"/>
                <w:numId w:val="30"/>
              </w:numPr>
              <w:spacing w:after="160" w:line="256" w:lineRule="auto"/>
              <w:rPr>
                <w:rFonts w:eastAsia="Malgun Gothic"/>
              </w:rPr>
            </w:pPr>
            <w:r>
              <w:rPr>
                <w:rFonts w:eastAsia="Malgun Gothic"/>
                <w:lang w:eastAsia="ko-KR"/>
              </w:rPr>
              <w:t xml:space="preserve">TDRA: </w:t>
            </w:r>
            <w: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t>signalled</w:t>
            </w:r>
            <w:proofErr w:type="spellEnd"/>
            <w:r>
              <w:t xml:space="preserve"> in DCI.</w:t>
            </w:r>
          </w:p>
          <w:p w14:paraId="5A72B780" w14:textId="77777777" w:rsidR="000E3696" w:rsidRDefault="000E3696" w:rsidP="000E3696">
            <w:pPr>
              <w:pStyle w:val="ListParagraph"/>
              <w:numPr>
                <w:ilvl w:val="2"/>
                <w:numId w:val="30"/>
              </w:numPr>
              <w:spacing w:after="160" w:line="256" w:lineRule="auto"/>
              <w:rPr>
                <w:rFonts w:eastAsia="Malgun Gothic"/>
              </w:rPr>
            </w:pPr>
            <w:r>
              <w:rPr>
                <w:rFonts w:eastAsia="Malgun Gothic"/>
                <w:lang w:eastAsia="ko-KR"/>
              </w:rPr>
              <w:t>FFS: signaling details</w:t>
            </w:r>
          </w:p>
          <w:p w14:paraId="7DF6929F" w14:textId="77777777" w:rsidR="000E3696" w:rsidRDefault="000E3696" w:rsidP="000E3696">
            <w:pPr>
              <w:pStyle w:val="ListParagraph"/>
              <w:numPr>
                <w:ilvl w:val="1"/>
                <w:numId w:val="30"/>
              </w:numPr>
              <w:spacing w:after="160" w:line="256" w:lineRule="auto"/>
              <w:rPr>
                <w:rFonts w:eastAsia="Malgun Gothic"/>
              </w:rPr>
            </w:pPr>
            <w:r>
              <w:rPr>
                <w:rFonts w:eastAsia="Malgun Gothic"/>
              </w:rPr>
              <w:t>Note: This does not preclude continuous resource allocation in time-domain.</w:t>
            </w:r>
          </w:p>
          <w:p w14:paraId="532F0373" w14:textId="77777777" w:rsidR="000E3696" w:rsidRDefault="000E3696" w:rsidP="000E3696">
            <w:pPr>
              <w:pStyle w:val="ListParagraph"/>
              <w:numPr>
                <w:ilvl w:val="1"/>
                <w:numId w:val="30"/>
              </w:numPr>
              <w:spacing w:after="160" w:line="256" w:lineRule="auto"/>
              <w:rPr>
                <w:rFonts w:eastAsia="Malgun Gothic"/>
              </w:rPr>
            </w:pPr>
            <w:r>
              <w:rPr>
                <w:rFonts w:eastAsia="Malgun Gothic"/>
                <w:lang w:eastAsia="ko-KR"/>
              </w:rPr>
              <w:t>Note: Multi-PDSCH scheduling for the case of 120 kHz SCS is still FFS as per prior agreement. This case can be addressed after this FFS has been decided.</w:t>
            </w:r>
          </w:p>
          <w:p w14:paraId="6EB2F3BE" w14:textId="77777777" w:rsidR="006F7E8E" w:rsidRDefault="006F7E8E" w:rsidP="006F7E8E">
            <w:pPr>
              <w:pStyle w:val="ListParagraph"/>
              <w:numPr>
                <w:ilvl w:val="0"/>
                <w:numId w:val="0"/>
              </w:numPr>
              <w:spacing w:after="160" w:line="256" w:lineRule="auto"/>
              <w:rPr>
                <w:rFonts w:eastAsia="Malgun Gothic"/>
                <w:lang w:eastAsia="ko-KR"/>
              </w:rPr>
            </w:pPr>
            <w:r w:rsidRPr="0027323E">
              <w:rPr>
                <w:rFonts w:eastAsia="Malgun Gothic"/>
                <w:highlight w:val="green"/>
                <w:lang w:eastAsia="ko-KR"/>
              </w:rPr>
              <w:t>Agreement:</w:t>
            </w:r>
          </w:p>
          <w:p w14:paraId="623DA2DA" w14:textId="77777777" w:rsidR="006F7E8E" w:rsidRDefault="006F7E8E" w:rsidP="006F7E8E">
            <w:pPr>
              <w:pStyle w:val="ListParagraph"/>
              <w:numPr>
                <w:ilvl w:val="0"/>
                <w:numId w:val="0"/>
              </w:numPr>
              <w:spacing w:after="160" w:line="256" w:lineRule="auto"/>
              <w:rPr>
                <w:rFonts w:eastAsia="Malgun Gothic"/>
              </w:rPr>
            </w:pPr>
            <w:r>
              <w:rPr>
                <w:rFonts w:eastAsia="Malgun Gothic"/>
                <w:lang w:eastAsia="ko-KR"/>
              </w:rPr>
              <w:t>For a DCI that can schedule multiple PDSCHs,</w:t>
            </w:r>
          </w:p>
          <w:p w14:paraId="719D7583" w14:textId="77777777" w:rsidR="006F7E8E" w:rsidRDefault="006F7E8E" w:rsidP="006F7E8E">
            <w:pPr>
              <w:pStyle w:val="ListParagraph"/>
              <w:numPr>
                <w:ilvl w:val="0"/>
                <w:numId w:val="30"/>
              </w:numPr>
              <w:spacing w:after="160" w:line="256" w:lineRule="auto"/>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40B20725" w14:textId="77777777" w:rsidR="006F7E8E" w:rsidRDefault="006F7E8E" w:rsidP="006F7E8E">
            <w:pPr>
              <w:pStyle w:val="ListParagraph"/>
              <w:numPr>
                <w:ilvl w:val="0"/>
                <w:numId w:val="30"/>
              </w:numPr>
              <w:spacing w:after="160" w:line="256" w:lineRule="auto"/>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08C8E74B" w14:textId="77777777" w:rsidR="006F7E8E" w:rsidRDefault="006F7E8E" w:rsidP="006F7E8E">
            <w:pPr>
              <w:pStyle w:val="ListParagraph"/>
              <w:numPr>
                <w:ilvl w:val="0"/>
                <w:numId w:val="30"/>
              </w:numPr>
              <w:spacing w:after="160" w:line="256" w:lineRule="auto"/>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1E5DDB59" w14:textId="77777777" w:rsidR="006F7E8E" w:rsidRDefault="006F7E8E" w:rsidP="006F7E8E">
            <w:pPr>
              <w:pStyle w:val="ListParagraph"/>
              <w:numPr>
                <w:ilvl w:val="0"/>
                <w:numId w:val="30"/>
              </w:numPr>
              <w:spacing w:after="160" w:line="256" w:lineRule="auto"/>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11B4BA87" w14:textId="77777777" w:rsidR="006F7E8E" w:rsidRDefault="006F7E8E" w:rsidP="006F7E8E">
            <w:pPr>
              <w:pStyle w:val="ListParagraph"/>
              <w:numPr>
                <w:ilvl w:val="0"/>
                <w:numId w:val="30"/>
              </w:numPr>
              <w:spacing w:after="160" w:line="256" w:lineRule="auto"/>
              <w:rPr>
                <w:rFonts w:eastAsia="Malgun Gothic"/>
              </w:rPr>
            </w:pPr>
            <w:r>
              <w:rPr>
                <w:rFonts w:eastAsia="Malgun Gothic"/>
                <w:lang w:eastAsia="ko-KR"/>
              </w:rPr>
              <w:t>FFS:</w:t>
            </w:r>
          </w:p>
          <w:p w14:paraId="5D6494AC" w14:textId="77777777" w:rsidR="006F7E8E" w:rsidRDefault="006F7E8E" w:rsidP="006F7E8E">
            <w:pPr>
              <w:pStyle w:val="ListParagraph"/>
              <w:numPr>
                <w:ilvl w:val="1"/>
                <w:numId w:val="30"/>
              </w:numPr>
              <w:spacing w:after="160" w:line="256" w:lineRule="auto"/>
              <w:rPr>
                <w:rFonts w:eastAsia="Malgun Gothic"/>
              </w:rPr>
            </w:pPr>
            <w:r>
              <w:rPr>
                <w:rFonts w:eastAsia="Malgun Gothic" w:hint="eastAsia"/>
                <w:lang w:eastAsia="ko-KR"/>
              </w:rPr>
              <w:lastRenderedPageBreak/>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76A87D32" w14:textId="77777777" w:rsidR="006F7E8E" w:rsidRDefault="006F7E8E" w:rsidP="006F7E8E">
            <w:pPr>
              <w:pStyle w:val="ListParagraph"/>
              <w:numPr>
                <w:ilvl w:val="1"/>
                <w:numId w:val="30"/>
              </w:numPr>
              <w:spacing w:after="160" w:line="256" w:lineRule="auto"/>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38D7EAE4" w14:textId="113ECC49" w:rsidR="006F7E8E" w:rsidRPr="006F7E8E" w:rsidRDefault="006F7E8E" w:rsidP="006F7E8E">
            <w:pPr>
              <w:pStyle w:val="ListParagraph"/>
              <w:numPr>
                <w:ilvl w:val="1"/>
                <w:numId w:val="30"/>
              </w:numPr>
              <w:spacing w:after="160" w:line="256" w:lineRule="auto"/>
              <w:rPr>
                <w:rFonts w:eastAsia="Malgun Gothic"/>
              </w:rPr>
            </w:pPr>
            <w:r w:rsidRPr="001B3E90">
              <w:t>Whether/how to signal CBGFI/CBGTI</w:t>
            </w:r>
            <w:r>
              <w:t xml:space="preserve"> if CBGFI/CBGTI is supported for multi-PDSCH scheduling</w:t>
            </w:r>
          </w:p>
          <w:p w14:paraId="7F13B678" w14:textId="5F7DE585" w:rsidR="006F7E8E" w:rsidRPr="006F7E8E" w:rsidRDefault="006F7E8E" w:rsidP="006F7E8E">
            <w:pPr>
              <w:pStyle w:val="ListParagraph"/>
              <w:numPr>
                <w:ilvl w:val="1"/>
                <w:numId w:val="30"/>
              </w:numPr>
              <w:spacing w:after="160" w:line="256" w:lineRule="auto"/>
              <w:rPr>
                <w:rFonts w:eastAsia="Malgun Gothic"/>
              </w:rPr>
            </w:pPr>
            <w:r>
              <w:t>Details of fields that are common with multi-PUSCH scheduling, e.g., TDRA, FDRA, priority indicator, including potential enhancements</w:t>
            </w:r>
          </w:p>
        </w:tc>
      </w:tr>
    </w:tbl>
    <w:p w14:paraId="4BE3032C" w14:textId="4D62D5C3" w:rsidR="00F56452" w:rsidRDefault="00F56452" w:rsidP="00F56452"/>
    <w:p w14:paraId="1B004956" w14:textId="7C548657" w:rsidR="00115680" w:rsidRPr="00476730" w:rsidRDefault="009B174B" w:rsidP="00F56452">
      <w:pPr>
        <w:rPr>
          <w:b/>
          <w:bCs/>
        </w:rPr>
      </w:pPr>
      <w:r w:rsidRPr="009B174B">
        <w:rPr>
          <w:b/>
          <w:bCs/>
        </w:rPr>
        <w:t xml:space="preserve">2.2.1 TDRA </w:t>
      </w:r>
      <w:r w:rsidR="00793C9B">
        <w:rPr>
          <w:b/>
          <w:bCs/>
        </w:rPr>
        <w:t>and FDRA</w:t>
      </w:r>
    </w:p>
    <w:p w14:paraId="2256562C" w14:textId="5742D18A" w:rsidR="000C6418" w:rsidRDefault="00476730" w:rsidP="00476730">
      <w:r>
        <w:t xml:space="preserve">According to the agreement, for multi-PUSCH scheduling enhancement, one </w:t>
      </w:r>
      <w:r w:rsidR="0062634A">
        <w:t xml:space="preserve">DCI </w:t>
      </w:r>
      <w:r>
        <w:t>(e.g.</w:t>
      </w:r>
      <w:r w:rsidR="00020D16">
        <w:t>,</w:t>
      </w:r>
      <w:r>
        <w:t xml:space="preserve"> </w:t>
      </w:r>
      <w:r w:rsidR="00020D16">
        <w:t xml:space="preserve">non-fallback </w:t>
      </w:r>
      <w:r>
        <w:t xml:space="preserve">format 0_1) can </w:t>
      </w:r>
      <w:r w:rsidR="0062634A">
        <w:t xml:space="preserve">dynamically schedule a row in </w:t>
      </w:r>
      <w:r w:rsidR="000C6418">
        <w:t>the</w:t>
      </w:r>
      <w:r>
        <w:t xml:space="preserve"> TDRA table</w:t>
      </w:r>
      <w:r w:rsidR="0062634A">
        <w:t xml:space="preserve"> that contains </w:t>
      </w:r>
      <w:r w:rsidR="00020D16">
        <w:t>multiple</w:t>
      </w:r>
      <w:r w:rsidR="0062634A">
        <w:t xml:space="preserve"> SLIV</w:t>
      </w:r>
      <w:r w:rsidR="00020D16">
        <w:t>s</w:t>
      </w:r>
      <w:r w:rsidR="0062634A">
        <w:t xml:space="preserve"> and mapping type</w:t>
      </w:r>
      <w:r w:rsidR="00020D16">
        <w:t>s</w:t>
      </w:r>
      <w:r w:rsidR="0062634A">
        <w:t xml:space="preserve"> for each PUSCH, and the number of valid SLIV’s in the row implicitly indicates the number of </w:t>
      </w:r>
      <w:r w:rsidR="002B160A">
        <w:t xml:space="preserve">scheduled </w:t>
      </w:r>
      <w:r w:rsidR="0062634A">
        <w:t>PUSCH</w:t>
      </w:r>
      <w:r w:rsidR="00020D16">
        <w:t xml:space="preserve"> in a multi-PUSCH</w:t>
      </w:r>
      <w:r w:rsidR="002B160A">
        <w:t xml:space="preserve">. </w:t>
      </w:r>
      <w:r w:rsidR="00355858">
        <w:t>Revisions on</w:t>
      </w:r>
      <w:r>
        <w:t xml:space="preserve"> </w:t>
      </w:r>
      <w:r w:rsidR="00020D16">
        <w:t xml:space="preserve">RRC </w:t>
      </w:r>
      <w:r>
        <w:t>look-up table</w:t>
      </w:r>
      <w:r w:rsidR="00355858">
        <w:t>s</w:t>
      </w:r>
      <w:r>
        <w:t xml:space="preserve"> </w:t>
      </w:r>
      <w:r w:rsidR="00020D16">
        <w:t xml:space="preserve">(and the default table) </w:t>
      </w:r>
      <w:r w:rsidR="00355858">
        <w:t>are</w:t>
      </w:r>
      <w:r>
        <w:t xml:space="preserve"> needed for </w:t>
      </w:r>
      <w:r w:rsidR="000C6418">
        <w:t xml:space="preserve">the enhanced </w:t>
      </w:r>
      <w:r>
        <w:t xml:space="preserve">multi-PUSCH, where each row </w:t>
      </w:r>
      <w:r w:rsidR="00020D16">
        <w:t xml:space="preserve">would </w:t>
      </w:r>
      <w:r>
        <w:t>contain multiple SLIVs corresponding to each of the P</w:t>
      </w:r>
      <w:r w:rsidR="000C6418">
        <w:t>U</w:t>
      </w:r>
      <w:r>
        <w:t>SCH in the multi-slot</w:t>
      </w:r>
      <w:r w:rsidR="000C6418">
        <w:t>, the</w:t>
      </w:r>
      <w:r w:rsidR="00020D16">
        <w:t xml:space="preserve"> associated</w:t>
      </w:r>
      <w:r w:rsidR="000C6418">
        <w:t xml:space="preserve"> mapping type, and </w:t>
      </w:r>
      <w:r w:rsidR="00020D16">
        <w:t xml:space="preserve">multiple </w:t>
      </w:r>
      <w:r w:rsidR="000C6418">
        <w:t>offset</w:t>
      </w:r>
      <w:r w:rsidR="00020D16">
        <w:t>s</w:t>
      </w:r>
      <w:r w:rsidR="000C6418">
        <w:t xml:space="preserve"> </w:t>
      </w:r>
      <w:r w:rsidR="00020D16">
        <w:t xml:space="preserve">locating the </w:t>
      </w:r>
      <w:r w:rsidR="000C6418">
        <w:t>PUSCH</w:t>
      </w:r>
      <w:r w:rsidR="00020D16">
        <w:t>s</w:t>
      </w:r>
      <w:r w:rsidR="000C6418">
        <w:t xml:space="preserve"> from the DCI</w:t>
      </w:r>
      <w:r w:rsidR="00020D16">
        <w:t xml:space="preserve"> slot</w:t>
      </w:r>
      <w:r w:rsidR="000C6418">
        <w:t>, i.e.</w:t>
      </w:r>
    </w:p>
    <w:p w14:paraId="396D8FCC" w14:textId="77777777" w:rsidR="00020D16" w:rsidRDefault="00020D16" w:rsidP="00020D16">
      <w:pPr>
        <w:spacing w:line="60" w:lineRule="exact"/>
      </w:pPr>
    </w:p>
    <w:tbl>
      <w:tblPr>
        <w:tblStyle w:val="TableGrid"/>
        <w:tblW w:w="0" w:type="auto"/>
        <w:tblLook w:val="04A0" w:firstRow="1" w:lastRow="0" w:firstColumn="1" w:lastColumn="0" w:noHBand="0" w:noVBand="1"/>
      </w:tblPr>
      <w:tblGrid>
        <w:gridCol w:w="2605"/>
        <w:gridCol w:w="6702"/>
      </w:tblGrid>
      <w:tr w:rsidR="000C6418" w14:paraId="766E61F0" w14:textId="77777777" w:rsidTr="00890A64">
        <w:tc>
          <w:tcPr>
            <w:tcW w:w="2605" w:type="dxa"/>
          </w:tcPr>
          <w:p w14:paraId="15B006BA" w14:textId="63E3240F" w:rsidR="000C6418" w:rsidRDefault="00890A64" w:rsidP="00476730">
            <w:r>
              <w:t xml:space="preserve">Enhanced </w:t>
            </w:r>
            <w:r w:rsidR="008A5AC8">
              <w:t xml:space="preserve">TDRA </w:t>
            </w:r>
            <w:r w:rsidR="000C6418">
              <w:t xml:space="preserve">Row Index </w:t>
            </w:r>
            <w:proofErr w:type="spellStart"/>
            <w:r w:rsidR="000C6418">
              <w:t>i</w:t>
            </w:r>
            <w:proofErr w:type="spellEnd"/>
          </w:p>
        </w:tc>
        <w:tc>
          <w:tcPr>
            <w:tcW w:w="6702" w:type="dxa"/>
          </w:tcPr>
          <w:p w14:paraId="535D2E08" w14:textId="77777777" w:rsidR="001A56B5" w:rsidRDefault="004D5552" w:rsidP="008A5AC8">
            <w:pPr>
              <w:jc w:val="center"/>
            </w:pPr>
            <w:r>
              <w:t>{SLIV</w:t>
            </w:r>
            <w:r w:rsidR="0026119F">
              <w:t>_</w:t>
            </w:r>
            <w:r>
              <w:t xml:space="preserve">1, </w:t>
            </w:r>
            <w:r w:rsidR="001A56B5">
              <w:t>mapping type</w:t>
            </w:r>
            <w:r>
              <w:t>, K2</w:t>
            </w:r>
            <w:r w:rsidR="0026119F">
              <w:t>_</w:t>
            </w:r>
            <w:r>
              <w:t>1}, {SLIV</w:t>
            </w:r>
            <w:r w:rsidR="0026119F">
              <w:t>_</w:t>
            </w:r>
            <w:r>
              <w:t xml:space="preserve">2, </w:t>
            </w:r>
            <w:r w:rsidR="001A56B5">
              <w:t>mapping type</w:t>
            </w:r>
            <w:r>
              <w:t>, K2</w:t>
            </w:r>
            <w:r w:rsidR="0026119F">
              <w:t>_</w:t>
            </w:r>
            <w:r>
              <w:t>2}…,</w:t>
            </w:r>
          </w:p>
          <w:p w14:paraId="1CFECF96" w14:textId="31E2582B" w:rsidR="000C6418" w:rsidRDefault="004D5552" w:rsidP="008A5AC8">
            <w:pPr>
              <w:jc w:val="center"/>
            </w:pPr>
            <w:r>
              <w:t>{</w:t>
            </w:r>
            <w:proofErr w:type="spellStart"/>
            <w:r>
              <w:t>SLIV</w:t>
            </w:r>
            <w:r w:rsidR="0026119F">
              <w:t>_</w:t>
            </w:r>
            <w:r>
              <w:t>x</w:t>
            </w:r>
            <w:proofErr w:type="spellEnd"/>
            <w:r>
              <w:t xml:space="preserve">, </w:t>
            </w:r>
            <w:r w:rsidR="001A56B5">
              <w:t>mapping type</w:t>
            </w:r>
            <w:r>
              <w:t>, K2</w:t>
            </w:r>
            <w:r w:rsidR="0026119F">
              <w:t>_</w:t>
            </w:r>
            <w:r>
              <w:t>x}</w:t>
            </w:r>
          </w:p>
        </w:tc>
      </w:tr>
    </w:tbl>
    <w:p w14:paraId="4C4E7278" w14:textId="77777777" w:rsidR="00020D16" w:rsidRDefault="00020D16" w:rsidP="00020D16">
      <w:pPr>
        <w:spacing w:line="60" w:lineRule="exact"/>
      </w:pPr>
    </w:p>
    <w:p w14:paraId="692B62EB" w14:textId="790364B4" w:rsidR="004D5552" w:rsidRDefault="004D5552" w:rsidP="00476730">
      <w:r w:rsidRPr="004D5552">
        <w:t xml:space="preserve">where </w:t>
      </w:r>
      <w:r>
        <w:t xml:space="preserve">the number </w:t>
      </w:r>
      <w:r w:rsidR="004F4379">
        <w:t xml:space="preserve">indicating </w:t>
      </w:r>
      <w:r>
        <w:t xml:space="preserve">scheduled </w:t>
      </w:r>
      <w:r w:rsidR="008A5AC8">
        <w:t>PUSCH in a multi-slot</w:t>
      </w:r>
      <w:r>
        <w:t xml:space="preserve"> </w:t>
      </w:r>
      <w:r w:rsidR="004F4379">
        <w:t xml:space="preserve">is </w:t>
      </w:r>
      <w:r w:rsidRPr="004D5552">
        <w:t>x</w:t>
      </w:r>
      <m:oMath>
        <m:r>
          <w:rPr>
            <w:rFonts w:ascii="Cambria Math" w:hAnsi="Cambria Math"/>
          </w:rPr>
          <m:t xml:space="preserve"> ≤8;</m:t>
        </m:r>
      </m:oMath>
      <w:r w:rsidRPr="004D5552">
        <w:t xml:space="preserve"> </w:t>
      </w:r>
      <w:r>
        <w:t xml:space="preserve">and </w:t>
      </w:r>
      <w:r w:rsidR="00E678C0">
        <w:t xml:space="preserve">for </w:t>
      </w:r>
      <w:r>
        <w:t>the offset</w:t>
      </w:r>
      <w:r w:rsidR="004F4379">
        <w:t>s</w:t>
      </w:r>
      <w:r w:rsidR="00E678C0">
        <w:t xml:space="preserve"> between adjacent PUSCH</w:t>
      </w:r>
      <w:r>
        <w:t xml:space="preserve"> </w:t>
      </w:r>
      <w:r w:rsidR="00E678C0">
        <w:t xml:space="preserve">it is assumed that </w:t>
      </w:r>
      <w:r w:rsidR="004F4379">
        <w:t xml:space="preserve">1 ≤ </w:t>
      </w:r>
      <w:r>
        <w:t>K2</w:t>
      </w:r>
      <w:r w:rsidR="0026119F">
        <w:t>_</w:t>
      </w:r>
      <w:r>
        <w:t>i</w:t>
      </w:r>
      <w:r w:rsidR="00E678C0">
        <w:t>+1</w:t>
      </w:r>
      <w:r>
        <w:t>-K2</w:t>
      </w:r>
      <w:r w:rsidR="0026119F">
        <w:t>_</w:t>
      </w:r>
      <w:r w:rsidR="00E678C0">
        <w:t>i</w:t>
      </w:r>
      <w:r w:rsidR="004F4379">
        <w:t xml:space="preserve"> ≤ K_D</w:t>
      </w:r>
      <w:r>
        <w:t xml:space="preserve"> for </w:t>
      </w:r>
      <w:r w:rsidR="00E678C0">
        <w:t>1</w:t>
      </w:r>
      <w:r w:rsidR="008A5AC8">
        <w:t xml:space="preserve"> ≤ </w:t>
      </w:r>
      <w:proofErr w:type="spellStart"/>
      <w:r w:rsidR="008A5AC8">
        <w:t>i</w:t>
      </w:r>
      <w:proofErr w:type="spellEnd"/>
      <w:r w:rsidR="008A5AC8">
        <w:t xml:space="preserve"> ≤ x</w:t>
      </w:r>
      <w:r w:rsidR="00E678C0">
        <w:t>-1, i.e., no gap or different gap sizes can be configured</w:t>
      </w:r>
      <w:r w:rsidR="008A5AC8">
        <w:t>.</w:t>
      </w:r>
      <w:r w:rsidR="00355858">
        <w:t xml:space="preserve"> Such revisions are needed for both the default PUSCH TDRA table and the RRC configured table </w:t>
      </w:r>
      <w:proofErr w:type="spellStart"/>
      <w:r w:rsidR="00355858">
        <w:t>pusch-TimeDomainAllocationList</w:t>
      </w:r>
      <w:proofErr w:type="spellEnd"/>
      <w:r w:rsidR="00355858">
        <w:t xml:space="preserve"> send in either </w:t>
      </w:r>
      <w:proofErr w:type="spellStart"/>
      <w:r w:rsidR="00355858">
        <w:t>pusch-ConfigCommon</w:t>
      </w:r>
      <w:proofErr w:type="spellEnd"/>
      <w:r w:rsidR="00355858">
        <w:t xml:space="preserve"> via SIB1 or dedicated RRC signaling or </w:t>
      </w:r>
      <w:proofErr w:type="spellStart"/>
      <w:r w:rsidR="00355858">
        <w:t>pusch</w:t>
      </w:r>
      <w:proofErr w:type="spellEnd"/>
      <w:r w:rsidR="00355858">
        <w:t>-Config via dedicated RRC signaling.</w:t>
      </w:r>
    </w:p>
    <w:p w14:paraId="4378403E" w14:textId="02810D6A" w:rsidR="001A56B5" w:rsidRDefault="00213B5D" w:rsidP="00476730">
      <w:r>
        <w:t xml:space="preserve">As was captured in [3], for enhancing the TDRA field in the DCI, common design between multi-PUSCH and multi-PDSCH should be pursued. Therefore, we suggest the same look-up table revisions for multi-PDSCH as </w:t>
      </w:r>
      <w:r w:rsidR="004F4379">
        <w:t>for the</w:t>
      </w:r>
      <w:r>
        <w:t xml:space="preserve"> multi-PUSCH. </w:t>
      </w:r>
      <w:r w:rsidR="007A7992">
        <w:t xml:space="preserve">It is noted that </w:t>
      </w:r>
      <w:r w:rsidR="00890A64">
        <w:t xml:space="preserve">to accommodate various combinations of SLIVs, slot offsets, and x values for different SCSs, </w:t>
      </w:r>
      <w:r w:rsidR="007A7992">
        <w:t xml:space="preserve">the </w:t>
      </w:r>
      <w:r w:rsidR="00890A64">
        <w:t>number of rows of the enhanced</w:t>
      </w:r>
      <w:r w:rsidR="007A7992">
        <w:t xml:space="preserve"> </w:t>
      </w:r>
      <w:r w:rsidR="00890A64">
        <w:t>TDRA table can g</w:t>
      </w:r>
      <w:r w:rsidR="004F4379">
        <w:t>row</w:t>
      </w:r>
      <w:r w:rsidR="00890A64">
        <w:t xml:space="preserve"> </w:t>
      </w:r>
      <w:r w:rsidR="004F4379">
        <w:t>significantly</w:t>
      </w:r>
      <w:r w:rsidR="00890A64">
        <w:t xml:space="preserve"> beyond 16 and thus the bit-width of the TDRA field in the DCI </w:t>
      </w:r>
      <w:r w:rsidR="004F4379">
        <w:t xml:space="preserve">for indicating the row index </w:t>
      </w:r>
      <w:r w:rsidR="00890A64">
        <w:t xml:space="preserve">is increased accordingly. To limit the DCI bit-width increment, we propose to </w:t>
      </w:r>
      <w:r w:rsidR="004F4379">
        <w:t>restrict the number of rows by reducing the number of</w:t>
      </w:r>
      <w:r w:rsidR="00890A64">
        <w:t xml:space="preserve"> </w:t>
      </w:r>
      <w:r w:rsidR="004F4379">
        <w:t>possible SLIV and offset</w:t>
      </w:r>
      <w:r w:rsidR="00890A64">
        <w:t xml:space="preserve"> combinations</w:t>
      </w:r>
      <w:r w:rsidR="004F4379">
        <w:t xml:space="preserve"> by</w:t>
      </w:r>
      <w:r w:rsidR="00890A64">
        <w:t xml:space="preserve"> </w:t>
      </w:r>
      <w:r w:rsidR="004F4379">
        <w:t>letting</w:t>
      </w:r>
      <w:r w:rsidR="00890A64">
        <w:t xml:space="preserve"> </w:t>
      </w:r>
      <w:r w:rsidR="004F4379">
        <w:t xml:space="preserve">K_D </w:t>
      </w:r>
      <w:r w:rsidR="00890A64">
        <w:t xml:space="preserve">take value from </w:t>
      </w:r>
      <w:r w:rsidR="00E678C0">
        <w:t xml:space="preserve">a small </w:t>
      </w:r>
      <w:r w:rsidR="004F4379">
        <w:t>candidate</w:t>
      </w:r>
      <w:r w:rsidR="00E678C0">
        <w:t xml:space="preserve"> set, and to restrict the values of x corresponding to each SCS, as proposed in section 2.1. </w:t>
      </w:r>
    </w:p>
    <w:p w14:paraId="19CDA5ED" w14:textId="3F4D5746" w:rsidR="001A56B5" w:rsidRDefault="001A56B5" w:rsidP="001A56B5">
      <w:pPr>
        <w:snapToGrid/>
        <w:spacing w:after="0"/>
        <w:rPr>
          <w:b/>
          <w:bCs/>
          <w:i/>
          <w:iCs/>
        </w:rPr>
      </w:pPr>
      <w:r>
        <w:rPr>
          <w:b/>
          <w:bCs/>
          <w:i/>
          <w:iCs/>
        </w:rPr>
        <w:t xml:space="preserve">Proposal 3. Extend the RRC TDRA configuration table to include multiple SLIVs, mapping types, and slot offsets for each scheduled PUSCH/PDSCH in a multi-PUSCH/PDSCH.  </w:t>
      </w:r>
    </w:p>
    <w:p w14:paraId="1519F113" w14:textId="1F4214CF" w:rsidR="001A56B5" w:rsidRDefault="001A56B5" w:rsidP="00AC4811">
      <w:pPr>
        <w:snapToGrid/>
        <w:spacing w:after="0" w:line="140" w:lineRule="exact"/>
        <w:rPr>
          <w:b/>
          <w:bCs/>
          <w:i/>
          <w:iCs/>
        </w:rPr>
      </w:pPr>
    </w:p>
    <w:p w14:paraId="452517CD" w14:textId="55EF7FCE" w:rsidR="001A56B5" w:rsidRDefault="001A56B5" w:rsidP="001A56B5">
      <w:pPr>
        <w:snapToGrid/>
        <w:spacing w:after="0"/>
        <w:rPr>
          <w:highlight w:val="yellow"/>
        </w:rPr>
      </w:pPr>
      <w:r>
        <w:rPr>
          <w:b/>
          <w:bCs/>
          <w:i/>
          <w:iCs/>
        </w:rPr>
        <w:t xml:space="preserve">Observation 1: The number of rows of </w:t>
      </w:r>
      <w:r w:rsidR="0041683D">
        <w:rPr>
          <w:b/>
          <w:bCs/>
          <w:i/>
          <w:iCs/>
        </w:rPr>
        <w:t>an enhanced</w:t>
      </w:r>
      <w:r>
        <w:rPr>
          <w:b/>
          <w:bCs/>
          <w:i/>
          <w:iCs/>
        </w:rPr>
        <w:t xml:space="preserve"> TDRA configuration table might need to </w:t>
      </w:r>
      <w:r w:rsidR="0041683D">
        <w:rPr>
          <w:b/>
          <w:bCs/>
          <w:i/>
          <w:iCs/>
        </w:rPr>
        <w:t>surpass</w:t>
      </w:r>
      <w:r>
        <w:rPr>
          <w:b/>
          <w:bCs/>
          <w:i/>
          <w:iCs/>
        </w:rPr>
        <w:t xml:space="preserve"> 16 as </w:t>
      </w:r>
      <w:r w:rsidR="0041683D">
        <w:rPr>
          <w:b/>
          <w:bCs/>
          <w:i/>
          <w:iCs/>
        </w:rPr>
        <w:t xml:space="preserve">configured </w:t>
      </w:r>
      <w:r w:rsidR="00AC4811">
        <w:rPr>
          <w:b/>
          <w:bCs/>
          <w:i/>
          <w:iCs/>
        </w:rPr>
        <w:t>for</w:t>
      </w:r>
      <w:r>
        <w:rPr>
          <w:b/>
          <w:bCs/>
          <w:i/>
          <w:iCs/>
        </w:rPr>
        <w:t xml:space="preserve"> the legacy Rel-15/16</w:t>
      </w:r>
      <w:r w:rsidR="0041683D">
        <w:rPr>
          <w:b/>
          <w:bCs/>
          <w:i/>
          <w:iCs/>
        </w:rPr>
        <w:t>, and</w:t>
      </w:r>
      <w:r>
        <w:rPr>
          <w:b/>
          <w:bCs/>
          <w:i/>
          <w:iCs/>
        </w:rPr>
        <w:t xml:space="preserve"> </w:t>
      </w:r>
      <w:r w:rsidR="004F4379">
        <w:rPr>
          <w:b/>
          <w:bCs/>
          <w:i/>
          <w:iCs/>
        </w:rPr>
        <w:t xml:space="preserve">thus increased DCI bit-width is expected. </w:t>
      </w:r>
    </w:p>
    <w:p w14:paraId="3D8105F0" w14:textId="77777777" w:rsidR="001A56B5" w:rsidRDefault="001A56B5" w:rsidP="004F4379">
      <w:pPr>
        <w:spacing w:line="140" w:lineRule="exact"/>
      </w:pPr>
    </w:p>
    <w:p w14:paraId="05CA7DEA" w14:textId="04C865BB" w:rsidR="00793C9B" w:rsidRDefault="00CE518E" w:rsidP="00793C9B">
      <w:pPr>
        <w:snapToGrid/>
        <w:spacing w:after="0"/>
        <w:rPr>
          <w:rFonts w:eastAsiaTheme="minorEastAsia"/>
          <w:lang w:eastAsia="zh-CN"/>
        </w:rPr>
      </w:pPr>
      <w:r w:rsidRPr="00CE518E">
        <w:t xml:space="preserve">For </w:t>
      </w:r>
      <w:r w:rsidR="00793C9B" w:rsidRPr="00CE518E">
        <w:t>FDRA</w:t>
      </w:r>
      <w:r w:rsidRPr="00CE518E">
        <w:t>, opinion</w:t>
      </w:r>
      <w:r>
        <w:t>s</w:t>
      </w:r>
      <w:r w:rsidRPr="00CE518E">
        <w:t xml:space="preserve"> va</w:t>
      </w:r>
      <w:r>
        <w:t xml:space="preserve">ry regarding whether </w:t>
      </w:r>
      <w:r w:rsidR="00CD46B4">
        <w:t>modification is</w:t>
      </w:r>
      <w:r>
        <w:t xml:space="preserve"> needed</w:t>
      </w:r>
      <w:r w:rsidR="004F4379">
        <w:t xml:space="preserve"> for multi-PDSCH</w:t>
      </w:r>
      <w:r w:rsidR="00CD46B4">
        <w:t xml:space="preserve">. </w:t>
      </w:r>
      <w:r w:rsidR="00CD46B4">
        <w:rPr>
          <w:rFonts w:eastAsiaTheme="minorEastAsia"/>
          <w:lang w:eastAsia="zh-CN"/>
        </w:rPr>
        <w:t xml:space="preserve">There is </w:t>
      </w:r>
      <w:r w:rsidR="00E152C3">
        <w:rPr>
          <w:rFonts w:eastAsiaTheme="minorEastAsia"/>
          <w:lang w:eastAsia="zh-CN"/>
        </w:rPr>
        <w:t xml:space="preserve">one </w:t>
      </w:r>
      <w:r w:rsidR="00CD46B4">
        <w:rPr>
          <w:rFonts w:eastAsiaTheme="minorEastAsia"/>
          <w:lang w:eastAsia="zh-CN"/>
        </w:rPr>
        <w:t>company</w:t>
      </w:r>
      <w:r w:rsidR="00CD46B4" w:rsidRPr="00CD46B4">
        <w:rPr>
          <w:rFonts w:eastAsiaTheme="minorEastAsia"/>
          <w:lang w:eastAsia="zh-CN"/>
        </w:rPr>
        <w:t xml:space="preserve"> propos</w:t>
      </w:r>
      <w:r w:rsidR="00CD46B4">
        <w:rPr>
          <w:rFonts w:eastAsiaTheme="minorEastAsia"/>
          <w:lang w:eastAsia="zh-CN"/>
        </w:rPr>
        <w:t>ing</w:t>
      </w:r>
      <w:r w:rsidR="00CD46B4" w:rsidRPr="00CD46B4">
        <w:rPr>
          <w:rFonts w:eastAsiaTheme="minorEastAsia"/>
          <w:lang w:eastAsia="zh-CN"/>
        </w:rPr>
        <w:t xml:space="preserve"> to increase RBG size to reduce DCI overhead, with the assumption that one UE may typically occupy a large</w:t>
      </w:r>
      <w:r w:rsidR="00CD46B4">
        <w:rPr>
          <w:rFonts w:eastAsiaTheme="minorEastAsia"/>
          <w:lang w:eastAsia="zh-CN"/>
        </w:rPr>
        <w:t>r</w:t>
      </w:r>
      <w:r w:rsidR="00CD46B4" w:rsidRPr="00CD46B4">
        <w:rPr>
          <w:rFonts w:eastAsiaTheme="minorEastAsia"/>
          <w:lang w:eastAsia="zh-CN"/>
        </w:rPr>
        <w:t xml:space="preserve"> number of PRBs due to limited </w:t>
      </w:r>
      <w:proofErr w:type="spellStart"/>
      <w:r w:rsidR="00CD46B4" w:rsidRPr="00CD46B4">
        <w:rPr>
          <w:rFonts w:eastAsiaTheme="minorEastAsia"/>
          <w:lang w:eastAsia="zh-CN"/>
        </w:rPr>
        <w:t>FDMed</w:t>
      </w:r>
      <w:proofErr w:type="spellEnd"/>
      <w:r w:rsidR="00CD46B4" w:rsidRPr="00CD46B4">
        <w:rPr>
          <w:rFonts w:eastAsiaTheme="minorEastAsia"/>
          <w:lang w:eastAsia="zh-CN"/>
        </w:rPr>
        <w:t xml:space="preserve"> UE [5]</w:t>
      </w:r>
      <w:r w:rsidR="004F4379">
        <w:rPr>
          <w:rFonts w:eastAsiaTheme="minorEastAsia"/>
          <w:lang w:eastAsia="zh-CN"/>
        </w:rPr>
        <w:t>;</w:t>
      </w:r>
      <w:r w:rsidR="00CD46B4">
        <w:rPr>
          <w:rFonts w:eastAsiaTheme="minorEastAsia"/>
          <w:lang w:eastAsia="zh-CN"/>
        </w:rPr>
        <w:t xml:space="preserve"> and there is also </w:t>
      </w:r>
      <w:r w:rsidR="004F4379">
        <w:rPr>
          <w:rFonts w:eastAsiaTheme="minorEastAsia"/>
          <w:lang w:eastAsia="zh-CN"/>
        </w:rPr>
        <w:t xml:space="preserve">a </w:t>
      </w:r>
      <w:r w:rsidR="00CD46B4">
        <w:rPr>
          <w:rFonts w:eastAsiaTheme="minorEastAsia"/>
          <w:lang w:eastAsia="zh-CN"/>
        </w:rPr>
        <w:t xml:space="preserve">view that FDRA is only </w:t>
      </w:r>
      <w:r w:rsidR="00E152C3">
        <w:rPr>
          <w:rFonts w:eastAsiaTheme="minorEastAsia"/>
          <w:lang w:eastAsia="zh-CN"/>
        </w:rPr>
        <w:t xml:space="preserve">an optimization </w:t>
      </w:r>
      <w:r w:rsidR="00CD46B4">
        <w:rPr>
          <w:rFonts w:eastAsiaTheme="minorEastAsia"/>
          <w:lang w:eastAsia="zh-CN"/>
        </w:rPr>
        <w:t xml:space="preserve">thus should be deprioritized. </w:t>
      </w:r>
      <w:r w:rsidR="00913654">
        <w:rPr>
          <w:rFonts w:eastAsiaTheme="minorEastAsia"/>
          <w:lang w:eastAsia="zh-CN"/>
        </w:rPr>
        <w:t xml:space="preserve">Notice that in </w:t>
      </w:r>
      <w:r w:rsidR="004F4379">
        <w:rPr>
          <w:rFonts w:eastAsiaTheme="minorEastAsia"/>
          <w:lang w:eastAsia="zh-CN"/>
        </w:rPr>
        <w:t>another</w:t>
      </w:r>
      <w:r w:rsidR="00913654">
        <w:rPr>
          <w:rFonts w:eastAsiaTheme="minorEastAsia"/>
          <w:lang w:eastAsia="zh-CN"/>
        </w:rPr>
        <w:t xml:space="preserve"> sub-agenda item</w:t>
      </w:r>
      <w:r w:rsidR="004F4379">
        <w:rPr>
          <w:rFonts w:eastAsiaTheme="minorEastAsia"/>
          <w:lang w:eastAsia="zh-CN"/>
        </w:rPr>
        <w:t xml:space="preserve"> (8.2.3)</w:t>
      </w:r>
      <w:r w:rsidR="00913654">
        <w:rPr>
          <w:rFonts w:eastAsiaTheme="minorEastAsia"/>
          <w:lang w:eastAsia="zh-CN"/>
        </w:rPr>
        <w:t>, the following agreement was made</w:t>
      </w:r>
      <w:r w:rsidR="00235FD2">
        <w:rPr>
          <w:rFonts w:eastAsiaTheme="minorEastAsia"/>
          <w:lang w:eastAsia="zh-CN"/>
        </w:rPr>
        <w:t>, which, although is for PUCCH</w:t>
      </w:r>
      <w:r w:rsidR="00913654">
        <w:rPr>
          <w:rFonts w:eastAsiaTheme="minorEastAsia"/>
          <w:lang w:eastAsia="zh-CN"/>
        </w:rPr>
        <w:t xml:space="preserve"> </w:t>
      </w:r>
      <w:r w:rsidR="00235FD2">
        <w:rPr>
          <w:rFonts w:eastAsiaTheme="minorEastAsia"/>
          <w:lang w:eastAsia="zh-CN"/>
        </w:rPr>
        <w:t>design, reflects the low priority of user-multiplexing for the 52.6GHz to 71GHz band</w:t>
      </w:r>
      <w:r w:rsidR="004F4379">
        <w:rPr>
          <w:rFonts w:eastAsiaTheme="minorEastAsia"/>
          <w:lang w:eastAsia="zh-CN"/>
        </w:rPr>
        <w:t xml:space="preserve"> in general</w:t>
      </w:r>
      <w:r w:rsidR="00235FD2">
        <w:rPr>
          <w:rFonts w:eastAsiaTheme="minorEastAsia"/>
          <w:lang w:eastAsia="zh-CN"/>
        </w:rPr>
        <w:t xml:space="preserve">. Therefore, we think </w:t>
      </w:r>
      <w:r w:rsidR="004F4379">
        <w:rPr>
          <w:rFonts w:eastAsiaTheme="minorEastAsia"/>
          <w:lang w:eastAsia="zh-CN"/>
        </w:rPr>
        <w:t>the increment of the</w:t>
      </w:r>
      <w:r w:rsidR="00235FD2">
        <w:rPr>
          <w:rFonts w:eastAsiaTheme="minorEastAsia"/>
          <w:lang w:eastAsia="zh-CN"/>
        </w:rPr>
        <w:t xml:space="preserve"> RBG size </w:t>
      </w:r>
      <w:r w:rsidR="004F4379">
        <w:rPr>
          <w:rFonts w:eastAsiaTheme="minorEastAsia"/>
          <w:lang w:eastAsia="zh-CN"/>
        </w:rPr>
        <w:t xml:space="preserve">for </w:t>
      </w:r>
      <w:r w:rsidR="00235FD2">
        <w:rPr>
          <w:rFonts w:eastAsiaTheme="minorEastAsia"/>
          <w:lang w:eastAsia="zh-CN"/>
        </w:rPr>
        <w:t>reduc</w:t>
      </w:r>
      <w:r w:rsidR="004F4379">
        <w:rPr>
          <w:rFonts w:eastAsiaTheme="minorEastAsia"/>
          <w:lang w:eastAsia="zh-CN"/>
        </w:rPr>
        <w:t>ing</w:t>
      </w:r>
      <w:r w:rsidR="00235FD2">
        <w:rPr>
          <w:rFonts w:eastAsiaTheme="minorEastAsia"/>
          <w:lang w:eastAsia="zh-CN"/>
        </w:rPr>
        <w:t xml:space="preserve"> </w:t>
      </w:r>
      <w:r w:rsidR="004F4379">
        <w:rPr>
          <w:rFonts w:eastAsiaTheme="minorEastAsia"/>
          <w:lang w:eastAsia="zh-CN"/>
        </w:rPr>
        <w:t xml:space="preserve">DCI </w:t>
      </w:r>
      <w:r w:rsidR="00235FD2">
        <w:rPr>
          <w:rFonts w:eastAsiaTheme="minorEastAsia"/>
          <w:lang w:eastAsia="zh-CN"/>
        </w:rPr>
        <w:t xml:space="preserve">overhead has a more solid ground </w:t>
      </w:r>
      <w:r w:rsidR="00355A03">
        <w:rPr>
          <w:rFonts w:eastAsiaTheme="minorEastAsia"/>
          <w:lang w:eastAsia="zh-CN"/>
        </w:rPr>
        <w:t>based on</w:t>
      </w:r>
      <w:r w:rsidR="00235FD2">
        <w:rPr>
          <w:rFonts w:eastAsiaTheme="minorEastAsia"/>
          <w:lang w:eastAsia="zh-CN"/>
        </w:rPr>
        <w:t xml:space="preserve"> this agreement. </w:t>
      </w:r>
    </w:p>
    <w:p w14:paraId="228832D4" w14:textId="5E12B7D8" w:rsidR="00913654" w:rsidRPr="00F44C8B" w:rsidRDefault="00913654" w:rsidP="00793C9B">
      <w:pPr>
        <w:snapToGrid/>
        <w:spacing w:after="0"/>
        <w:rPr>
          <w:rFonts w:eastAsiaTheme="minorEastAsia"/>
          <w:i/>
          <w:iCs/>
          <w:lang w:eastAsia="zh-CN"/>
        </w:rPr>
      </w:pPr>
    </w:p>
    <w:p w14:paraId="6AD30AA4" w14:textId="47819C76" w:rsidR="00913654" w:rsidRPr="00F44C8B" w:rsidRDefault="00913654" w:rsidP="00913654">
      <w:pPr>
        <w:rPr>
          <w:i/>
          <w:iCs/>
          <w:lang w:eastAsia="x-none"/>
        </w:rPr>
      </w:pPr>
      <w:r w:rsidRPr="00F44C8B">
        <w:rPr>
          <w:i/>
          <w:iCs/>
          <w:highlight w:val="green"/>
          <w:lang w:eastAsia="x-none"/>
        </w:rPr>
        <w:t>“Agreement:</w:t>
      </w:r>
    </w:p>
    <w:p w14:paraId="0F23C897" w14:textId="332BA58E" w:rsidR="00913654" w:rsidRPr="00F44C8B" w:rsidRDefault="00913654" w:rsidP="002A2DB9">
      <w:pPr>
        <w:rPr>
          <w:i/>
          <w:iCs/>
          <w:lang w:eastAsia="x-none"/>
        </w:rPr>
      </w:pPr>
      <w:r w:rsidRPr="00913654">
        <w:rPr>
          <w:i/>
          <w:iCs/>
          <w:lang w:eastAsia="x-none"/>
        </w:rPr>
        <w:t>User-multiplexing can be considered but as lower priority compared to maximum isotropic loss for PUCCH as a design criterion.</w:t>
      </w:r>
      <w:r>
        <w:rPr>
          <w:i/>
          <w:iCs/>
          <w:lang w:eastAsia="x-none"/>
        </w:rPr>
        <w:t>”</w:t>
      </w:r>
    </w:p>
    <w:p w14:paraId="7F548CBC" w14:textId="69A7FDDB" w:rsidR="00D15B02" w:rsidRDefault="008E6B66" w:rsidP="00793C9B">
      <w:pPr>
        <w:snapToGrid/>
        <w:spacing w:after="0"/>
        <w:rPr>
          <w:lang w:eastAsia="x-none"/>
        </w:rPr>
      </w:pPr>
      <w:r>
        <w:rPr>
          <w:lang w:eastAsia="x-none"/>
        </w:rPr>
        <w:lastRenderedPageBreak/>
        <w:t xml:space="preserve">If the interpretation of the above agreement is that the one UE case is the most typical for the 52.6GHz to 71GHz band, then it is also typical for that UE to occupy up to the whole bandwidth part, the upper bound of which is 275RBs. Then extension from the current allowed RBG size, i.e., 16RB, to larger values is reasonable such that the FDRA size, which is inversely proportional to the RBG size, can be reduced. </w:t>
      </w:r>
    </w:p>
    <w:p w14:paraId="6CC2BA9C" w14:textId="77777777" w:rsidR="00D15B02" w:rsidRDefault="00D15B02" w:rsidP="00793C9B">
      <w:pPr>
        <w:snapToGrid/>
        <w:spacing w:after="0"/>
        <w:rPr>
          <w:lang w:eastAsia="x-none"/>
        </w:rPr>
      </w:pPr>
    </w:p>
    <w:p w14:paraId="5975F61F" w14:textId="23CCB550" w:rsidR="00AC4811" w:rsidRPr="002A2DB9" w:rsidRDefault="00235FD2" w:rsidP="00793C9B">
      <w:pPr>
        <w:snapToGrid/>
        <w:spacing w:after="0"/>
        <w:rPr>
          <w:b/>
          <w:bCs/>
          <w:i/>
          <w:iCs/>
        </w:rPr>
      </w:pPr>
      <w:r>
        <w:rPr>
          <w:b/>
          <w:bCs/>
          <w:i/>
          <w:iCs/>
        </w:rPr>
        <w:t xml:space="preserve">Observation </w:t>
      </w:r>
      <w:r w:rsidR="00AC4811">
        <w:rPr>
          <w:b/>
          <w:bCs/>
          <w:i/>
          <w:iCs/>
        </w:rPr>
        <w:t>2</w:t>
      </w:r>
      <w:r>
        <w:rPr>
          <w:b/>
          <w:bCs/>
          <w:i/>
          <w:iCs/>
        </w:rPr>
        <w:t xml:space="preserve">. User-multiplexing is of lower priority due to narrow-beam in 52.6GHz to 71GHz band, thus UE may occupy larger number of PRBs, which allows increased RBG size. </w:t>
      </w:r>
    </w:p>
    <w:p w14:paraId="2E3E7DCC" w14:textId="77777777" w:rsidR="00793C9B" w:rsidRPr="00793C9B" w:rsidRDefault="00793C9B" w:rsidP="00793C9B">
      <w:pPr>
        <w:snapToGrid/>
        <w:spacing w:after="0"/>
        <w:jc w:val="left"/>
        <w:rPr>
          <w:rFonts w:ascii="CIDFont+F3" w:eastAsiaTheme="minorEastAsia" w:hAnsi="CIDFont+F3" w:cs="CIDFont+F3"/>
          <w:sz w:val="19"/>
          <w:szCs w:val="19"/>
          <w:lang w:eastAsia="zh-CN"/>
        </w:rPr>
      </w:pPr>
    </w:p>
    <w:p w14:paraId="7BC86527" w14:textId="6464F53E" w:rsidR="00793C9B" w:rsidRPr="009B174B" w:rsidRDefault="00793C9B" w:rsidP="00793C9B">
      <w:pPr>
        <w:rPr>
          <w:b/>
          <w:bCs/>
        </w:rPr>
      </w:pPr>
      <w:r w:rsidRPr="009B174B">
        <w:rPr>
          <w:b/>
          <w:bCs/>
        </w:rPr>
        <w:t>2.2.</w:t>
      </w:r>
      <w:r>
        <w:rPr>
          <w:b/>
          <w:bCs/>
        </w:rPr>
        <w:t>2</w:t>
      </w:r>
      <w:r w:rsidRPr="009B174B">
        <w:rPr>
          <w:b/>
          <w:bCs/>
        </w:rPr>
        <w:t xml:space="preserve"> </w:t>
      </w:r>
      <w:r w:rsidRPr="009B174B">
        <w:rPr>
          <w:b/>
          <w:bCs/>
          <w:lang w:eastAsia="zh-CN"/>
        </w:rPr>
        <w:t>MCS/RV/NDI for 2</w:t>
      </w:r>
      <w:r w:rsidRPr="009B174B">
        <w:rPr>
          <w:b/>
          <w:bCs/>
          <w:vertAlign w:val="superscript"/>
          <w:lang w:eastAsia="zh-CN"/>
        </w:rPr>
        <w:t>nd</w:t>
      </w:r>
      <w:r w:rsidRPr="009B174B">
        <w:rPr>
          <w:b/>
          <w:bCs/>
          <w:lang w:eastAsia="zh-CN"/>
        </w:rPr>
        <w:t xml:space="preserve"> TB</w:t>
      </w:r>
    </w:p>
    <w:p w14:paraId="51DD8B51" w14:textId="14CF2622" w:rsidR="00793C9B" w:rsidRDefault="00793C9B" w:rsidP="00793C9B">
      <w:r>
        <w:t>For the DCI format 1_1 that is reused for the 52.6GHz to 71GHz band, the MCS/RV/NDI fields are repeated for the 2</w:t>
      </w:r>
      <w:r w:rsidRPr="001A5D50">
        <w:rPr>
          <w:vertAlign w:val="superscript"/>
        </w:rPr>
        <w:t>nd</w:t>
      </w:r>
      <w:r>
        <w:t xml:space="preserve"> TB if more than 4 layers of spatial multiplexing are supported. The multipath-MIMO that support large number of layers for low and medium bands is not </w:t>
      </w:r>
      <w:r w:rsidR="00046635">
        <w:t xml:space="preserve">expected </w:t>
      </w:r>
      <w:r>
        <w:t xml:space="preserve">for </w:t>
      </w:r>
      <w:proofErr w:type="spellStart"/>
      <w:r>
        <w:t>mmWave</w:t>
      </w:r>
      <w:proofErr w:type="spellEnd"/>
      <w:r>
        <w:t xml:space="preserve"> frequency range, where no rich multipaths is associated </w:t>
      </w:r>
      <w:r w:rsidR="00046635">
        <w:t xml:space="preserve">with directional communication, </w:t>
      </w:r>
      <w:r>
        <w:t>and it is unlikely that more than 4 layers is supported. Therefore, the MCS/RV/NDI fields for the 2</w:t>
      </w:r>
      <w:r w:rsidRPr="001A5D50">
        <w:rPr>
          <w:vertAlign w:val="superscript"/>
        </w:rPr>
        <w:t>nd</w:t>
      </w:r>
      <w:r>
        <w:t xml:space="preserve"> TB is expected to be unapplicable. </w:t>
      </w:r>
    </w:p>
    <w:p w14:paraId="3B368FE6" w14:textId="77777777" w:rsidR="00793C9B" w:rsidRDefault="00793C9B" w:rsidP="00793C9B">
      <w:r>
        <w:t xml:space="preserve">While it is possible that multiplexing technologies that do not rely on rich multipath could serve to increase the number of layers supported by the higher bands, e.g., when the polarized-MIMO is adopted for the </w:t>
      </w:r>
      <w:proofErr w:type="spellStart"/>
      <w:r>
        <w:t>mmWave</w:t>
      </w:r>
      <w:proofErr w:type="spellEnd"/>
      <w:r>
        <w:t xml:space="preserve">. It is not yet discussed in the sub-agenda items the maximum number of layers for DL/UL that the 52.6GHz to 71GHz band can support, while we believe it would be one of the fundamental issues to resolve such that designs and enhancements can be handled in a more deterministic way.  </w:t>
      </w:r>
    </w:p>
    <w:p w14:paraId="7426B19E" w14:textId="6AB1D687" w:rsidR="00793C9B" w:rsidRDefault="00793C9B" w:rsidP="00F070F7">
      <w:pPr>
        <w:rPr>
          <w:iCs/>
        </w:rPr>
      </w:pPr>
      <w:r>
        <w:rPr>
          <w:b/>
          <w:bCs/>
          <w:i/>
          <w:iCs/>
        </w:rPr>
        <w:t xml:space="preserve">Proposal </w:t>
      </w:r>
      <w:r w:rsidR="002A2DB9">
        <w:rPr>
          <w:b/>
          <w:bCs/>
          <w:i/>
          <w:iCs/>
        </w:rPr>
        <w:t>4</w:t>
      </w:r>
      <w:r>
        <w:rPr>
          <w:b/>
          <w:bCs/>
          <w:i/>
          <w:iCs/>
        </w:rPr>
        <w:t xml:space="preserve">: </w:t>
      </w:r>
      <w:r w:rsidR="002B3CA8">
        <w:rPr>
          <w:b/>
          <w:bCs/>
          <w:i/>
          <w:iCs/>
        </w:rPr>
        <w:t xml:space="preserve">Decide </w:t>
      </w:r>
      <w:r w:rsidRPr="0053474E">
        <w:rPr>
          <w:b/>
          <w:bCs/>
          <w:i/>
          <w:iCs/>
        </w:rPr>
        <w:t xml:space="preserve"> </w:t>
      </w:r>
      <w:r w:rsidR="002B3CA8">
        <w:rPr>
          <w:b/>
          <w:bCs/>
          <w:i/>
          <w:iCs/>
        </w:rPr>
        <w:t xml:space="preserve">the maximum number of </w:t>
      </w:r>
      <w:r w:rsidRPr="0053474E">
        <w:rPr>
          <w:b/>
          <w:bCs/>
          <w:i/>
          <w:iCs/>
        </w:rPr>
        <w:t xml:space="preserve"> </w:t>
      </w:r>
      <w:proofErr w:type="spellStart"/>
      <w:r w:rsidRPr="0053474E">
        <w:rPr>
          <w:b/>
          <w:bCs/>
          <w:i/>
          <w:iCs/>
        </w:rPr>
        <w:t>layer</w:t>
      </w:r>
      <w:r w:rsidR="002B3CA8">
        <w:rPr>
          <w:b/>
          <w:bCs/>
          <w:i/>
          <w:iCs/>
        </w:rPr>
        <w:t>that</w:t>
      </w:r>
      <w:proofErr w:type="spellEnd"/>
      <w:r w:rsidR="002B3CA8">
        <w:rPr>
          <w:b/>
          <w:bCs/>
          <w:i/>
          <w:iCs/>
        </w:rPr>
        <w:t xml:space="preserve"> </w:t>
      </w:r>
      <w:r w:rsidRPr="0053474E">
        <w:rPr>
          <w:b/>
          <w:bCs/>
          <w:i/>
          <w:iCs/>
        </w:rPr>
        <w:t>s should be supported for 52.6GHz to 71GHz band before deciding whether the MCS/RV/NDI fields for the 2</w:t>
      </w:r>
      <w:r w:rsidRPr="0053474E">
        <w:rPr>
          <w:b/>
          <w:bCs/>
          <w:i/>
          <w:iCs/>
          <w:vertAlign w:val="superscript"/>
        </w:rPr>
        <w:t>nd</w:t>
      </w:r>
      <w:r w:rsidRPr="0053474E">
        <w:rPr>
          <w:b/>
          <w:bCs/>
          <w:i/>
          <w:iCs/>
        </w:rPr>
        <w:t xml:space="preserve"> TB is needed or not.</w:t>
      </w:r>
      <w:r>
        <w:rPr>
          <w:iCs/>
        </w:rPr>
        <w:t xml:space="preserve"> </w:t>
      </w:r>
      <w:r w:rsidR="005B3523" w:rsidRPr="00D15B02">
        <w:rPr>
          <w:b/>
          <w:bCs/>
          <w:i/>
        </w:rPr>
        <w:t>The legacy rule that the MCS/RV/NDI fields for the 2</w:t>
      </w:r>
      <w:r w:rsidR="005B3523" w:rsidRPr="00D15B02">
        <w:rPr>
          <w:b/>
          <w:bCs/>
          <w:i/>
          <w:vertAlign w:val="superscript"/>
        </w:rPr>
        <w:t>nd</w:t>
      </w:r>
      <w:r w:rsidR="005B3523" w:rsidRPr="00D15B02">
        <w:rPr>
          <w:b/>
          <w:bCs/>
          <w:i/>
        </w:rPr>
        <w:t xml:space="preserve"> TB is only relevant for &gt;4 layer</w:t>
      </w:r>
      <w:r w:rsidR="005B3523">
        <w:rPr>
          <w:b/>
          <w:bCs/>
          <w:i/>
        </w:rPr>
        <w:t>s</w:t>
      </w:r>
      <w:r w:rsidR="005B3523" w:rsidRPr="00D15B02">
        <w:rPr>
          <w:b/>
          <w:bCs/>
          <w:i/>
        </w:rPr>
        <w:t xml:space="preserve"> transmission</w:t>
      </w:r>
      <w:r w:rsidR="005B3523">
        <w:rPr>
          <w:b/>
          <w:bCs/>
          <w:i/>
        </w:rPr>
        <w:t>s</w:t>
      </w:r>
      <w:r w:rsidR="005B3523" w:rsidRPr="00D15B02">
        <w:rPr>
          <w:b/>
          <w:bCs/>
          <w:i/>
        </w:rPr>
        <w:t xml:space="preserve"> still appl</w:t>
      </w:r>
      <w:r w:rsidR="00726F33">
        <w:rPr>
          <w:b/>
          <w:bCs/>
          <w:i/>
        </w:rPr>
        <w:t>y</w:t>
      </w:r>
      <w:r w:rsidR="005B3523" w:rsidRPr="00D15B02">
        <w:rPr>
          <w:b/>
          <w:bCs/>
          <w:i/>
        </w:rPr>
        <w:t xml:space="preserve"> here.</w:t>
      </w:r>
      <w:r w:rsidR="005B3523">
        <w:rPr>
          <w:iCs/>
        </w:rPr>
        <w:t xml:space="preserve"> </w:t>
      </w:r>
    </w:p>
    <w:p w14:paraId="437FF054" w14:textId="77777777" w:rsidR="003427EF" w:rsidRDefault="003427EF" w:rsidP="00F070F7"/>
    <w:p w14:paraId="0B78DE0E" w14:textId="632D2C3F" w:rsidR="00793C9B" w:rsidRDefault="00793C9B" w:rsidP="00793C9B">
      <w:pPr>
        <w:rPr>
          <w:b/>
          <w:bCs/>
          <w:lang w:eastAsia="zh-CN"/>
        </w:rPr>
      </w:pPr>
      <w:r w:rsidRPr="009B174B">
        <w:rPr>
          <w:b/>
          <w:bCs/>
        </w:rPr>
        <w:t>2.2.</w:t>
      </w:r>
      <w:r>
        <w:rPr>
          <w:b/>
          <w:bCs/>
        </w:rPr>
        <w:t>3</w:t>
      </w:r>
      <w:r w:rsidRPr="009B174B">
        <w:rPr>
          <w:b/>
          <w:bCs/>
        </w:rPr>
        <w:t xml:space="preserve"> </w:t>
      </w:r>
      <w:r>
        <w:rPr>
          <w:b/>
          <w:bCs/>
          <w:lang w:eastAsia="zh-CN"/>
        </w:rPr>
        <w:t>CBGFI/CBGTI</w:t>
      </w:r>
    </w:p>
    <w:p w14:paraId="36EB890B" w14:textId="47D989A3" w:rsidR="00793C9B" w:rsidRPr="00FC423F" w:rsidRDefault="00793C9B" w:rsidP="00793C9B">
      <w:pPr>
        <w:rPr>
          <w:lang w:eastAsia="zh-CN"/>
        </w:rPr>
      </w:pPr>
      <w:r>
        <w:rPr>
          <w:lang w:eastAsia="zh-CN"/>
        </w:rPr>
        <w:t>CBGTI is contained in uplink grant with DCI format 0_1 and downlink scheduling assignment with DCI format 1_1, while CBGFI exists in DCI format 1_1. The motivation of enabling CBGs for the lower SCSs is to reduce the necessity of retransmission of the whole TB, if only partial CBs fail in the TB. This is only likely if different CBs experience different time-selective fading across a long slot duration. On the contrary, the motivation of using multi-PDSCH for large SCSs is that the slots are of smaller duration and typically experience less variations across the multi-slot. Clearly, the prerequisite that CBG is useful is not met by the multi-PUSCH/PDSCH framework</w:t>
      </w:r>
      <w:r w:rsidR="00AC5DA6">
        <w:rPr>
          <w:lang w:eastAsia="zh-CN"/>
        </w:rPr>
        <w:t xml:space="preserve">, at least for the SCS 480kHz and 960kHz. For the SCS 120kHz, since it is unlikely that one single slot would experience notable time-selective fading, the benefit of enabling the CBG-based scheduling is also limited, unless for the higher UE speed cases. </w:t>
      </w:r>
      <w:r>
        <w:rPr>
          <w:lang w:eastAsia="zh-CN"/>
        </w:rPr>
        <w:t xml:space="preserve"> Therefore, the CBGTI/CBGFI fields are not needed by the DCI format 1_0 that is reused by the multi-PDSCH. This is in line with the </w:t>
      </w:r>
      <w:r w:rsidRPr="00C26270">
        <w:rPr>
          <w:iCs/>
        </w:rPr>
        <w:t>Rel-16 NR-U</w:t>
      </w:r>
      <w:r>
        <w:rPr>
          <w:iCs/>
        </w:rPr>
        <w:t xml:space="preserve">, where </w:t>
      </w:r>
      <w:r w:rsidRPr="00C26270">
        <w:rPr>
          <w:iCs/>
        </w:rPr>
        <w:t>CBG transmission</w:t>
      </w:r>
      <w:r>
        <w:rPr>
          <w:iCs/>
        </w:rPr>
        <w:t xml:space="preserve"> was discussed </w:t>
      </w:r>
      <w:r w:rsidRPr="00C26270">
        <w:rPr>
          <w:iCs/>
        </w:rPr>
        <w:t xml:space="preserve">and agreed not </w:t>
      </w:r>
      <w:r>
        <w:rPr>
          <w:iCs/>
        </w:rPr>
        <w:t xml:space="preserve">to be </w:t>
      </w:r>
      <w:r w:rsidRPr="00C26270">
        <w:rPr>
          <w:iCs/>
        </w:rPr>
        <w:t>support</w:t>
      </w:r>
      <w:r>
        <w:rPr>
          <w:iCs/>
        </w:rPr>
        <w:t>ed</w:t>
      </w:r>
      <w:r w:rsidRPr="00C26270">
        <w:rPr>
          <w:iCs/>
        </w:rPr>
        <w:t xml:space="preserve"> for </w:t>
      </w:r>
      <w:r>
        <w:rPr>
          <w:iCs/>
        </w:rPr>
        <w:t xml:space="preserve">the </w:t>
      </w:r>
      <w:r w:rsidRPr="00C26270">
        <w:rPr>
          <w:iCs/>
        </w:rPr>
        <w:t>multi-PUSCH case.</w:t>
      </w:r>
      <w:r w:rsidR="007E6B89">
        <w:rPr>
          <w:iCs/>
        </w:rPr>
        <w:t xml:space="preserve"> A special case could be for the SCS 120kHz case, since it may not adopt the multi-PDSCH framework but is a major SCS for the 52.6GHz to 71GHz band.  </w:t>
      </w:r>
    </w:p>
    <w:p w14:paraId="3B104F8B" w14:textId="7E777A30" w:rsidR="00793C9B" w:rsidRDefault="00AC5DA6" w:rsidP="00476730">
      <w:pPr>
        <w:rPr>
          <w:b/>
          <w:bCs/>
          <w:i/>
          <w:iCs/>
        </w:rPr>
      </w:pPr>
      <w:r w:rsidRPr="00552803">
        <w:rPr>
          <w:b/>
          <w:bCs/>
          <w:i/>
          <w:iCs/>
        </w:rPr>
        <w:t xml:space="preserve">Proposal 5: </w:t>
      </w:r>
      <w:r>
        <w:rPr>
          <w:b/>
          <w:bCs/>
          <w:i/>
          <w:iCs/>
        </w:rPr>
        <w:t xml:space="preserve">CBGTI/CBGFI is not applicable in a DCI format that schedules multi-PDSCH for SCSs including 480kHz/960kHz; but can be applied to cases under the SCS 120kHz. </w:t>
      </w:r>
    </w:p>
    <w:p w14:paraId="48977E9F" w14:textId="77777777" w:rsidR="003427EF" w:rsidRPr="003427EF" w:rsidRDefault="003427EF" w:rsidP="00476730">
      <w:pPr>
        <w:rPr>
          <w:b/>
          <w:bCs/>
          <w:i/>
          <w:iCs/>
        </w:rPr>
      </w:pPr>
    </w:p>
    <w:p w14:paraId="25EB9295" w14:textId="11837C3E" w:rsidR="007173EF" w:rsidRDefault="007173EF" w:rsidP="007173EF">
      <w:pPr>
        <w:rPr>
          <w:b/>
          <w:bCs/>
          <w:lang w:eastAsia="zh-CN"/>
        </w:rPr>
      </w:pPr>
      <w:r w:rsidRPr="009B174B">
        <w:rPr>
          <w:b/>
          <w:bCs/>
        </w:rPr>
        <w:t xml:space="preserve">2.2.2 </w:t>
      </w:r>
      <w:r w:rsidR="00793C9B">
        <w:rPr>
          <w:b/>
          <w:bCs/>
          <w:lang w:eastAsia="zh-CN"/>
        </w:rPr>
        <w:t>Other DCI</w:t>
      </w:r>
      <w:r>
        <w:rPr>
          <w:b/>
          <w:bCs/>
          <w:lang w:eastAsia="zh-CN"/>
        </w:rPr>
        <w:t xml:space="preserve"> fields</w:t>
      </w:r>
    </w:p>
    <w:p w14:paraId="1586CCEF" w14:textId="126E855E" w:rsidR="007173EF" w:rsidRPr="007D0D72" w:rsidRDefault="007173EF" w:rsidP="007173EF">
      <w:pPr>
        <w:rPr>
          <w:u w:val="single"/>
        </w:rPr>
      </w:pPr>
      <w:r w:rsidRPr="007D0D72">
        <w:rPr>
          <w:u w:val="single"/>
        </w:rPr>
        <w:t>VRB-to-PRB mapping</w:t>
      </w:r>
    </w:p>
    <w:p w14:paraId="36D46C1B" w14:textId="77BB34FA" w:rsidR="007D0D72" w:rsidRDefault="007D0D72" w:rsidP="00923254">
      <w:pPr>
        <w:snapToGrid/>
        <w:spacing w:after="0"/>
        <w:rPr>
          <w:rFonts w:eastAsiaTheme="minorEastAsia"/>
          <w:lang w:eastAsia="zh-CN"/>
        </w:rPr>
      </w:pPr>
      <w:r w:rsidRPr="007D0D72">
        <w:rPr>
          <w:rFonts w:eastAsiaTheme="minorEastAsia"/>
          <w:lang w:eastAsia="zh-CN"/>
        </w:rPr>
        <w:t>The downlink only VRB-to-PRB mapping bit indicates whether the allocation signaling uses interleaved or non-interleaved mapping. The result of the interleaved VRB-to-PRB mapping is a quality-averaging effect across the code</w:t>
      </w:r>
      <w:r>
        <w:rPr>
          <w:rFonts w:eastAsiaTheme="minorEastAsia"/>
          <w:lang w:eastAsia="zh-CN"/>
        </w:rPr>
        <w:t xml:space="preserve"> </w:t>
      </w:r>
      <w:r w:rsidRPr="007D0D72">
        <w:rPr>
          <w:rFonts w:eastAsiaTheme="minorEastAsia"/>
          <w:lang w:eastAsia="zh-CN"/>
        </w:rPr>
        <w:t xml:space="preserve">blocks, </w:t>
      </w:r>
      <w:r w:rsidR="00AC5DA6">
        <w:rPr>
          <w:rFonts w:eastAsiaTheme="minorEastAsia"/>
          <w:lang w:eastAsia="zh-CN"/>
        </w:rPr>
        <w:t>while the effect is TB size and BW dependent</w:t>
      </w:r>
      <w:r w:rsidR="00E152C3">
        <w:rPr>
          <w:rFonts w:eastAsiaTheme="minorEastAsia"/>
          <w:lang w:eastAsia="zh-CN"/>
        </w:rPr>
        <w:t xml:space="preserve">, </w:t>
      </w:r>
      <w:r w:rsidR="00D15B02">
        <w:rPr>
          <w:rFonts w:eastAsiaTheme="minorEastAsia"/>
          <w:lang w:eastAsia="zh-CN"/>
        </w:rPr>
        <w:t xml:space="preserve">and </w:t>
      </w:r>
      <w:r w:rsidR="00E152C3" w:rsidRPr="00E152C3">
        <w:rPr>
          <w:rFonts w:eastAsiaTheme="minorEastAsia"/>
          <w:lang w:eastAsia="zh-CN"/>
        </w:rPr>
        <w:t>mixing together some UE (or TB ) with non-interleaved with interleaved may complicate the scheduler.</w:t>
      </w:r>
      <w:r w:rsidR="00E152C3">
        <w:rPr>
          <w:rFonts w:eastAsiaTheme="minorEastAsia"/>
          <w:lang w:eastAsia="zh-CN"/>
        </w:rPr>
        <w:t xml:space="preserve"> It is suggested to signal the indicator once in the DCI and apply common to all PDSCHs for DCI overhead consideration.</w:t>
      </w:r>
    </w:p>
    <w:p w14:paraId="653C20F3" w14:textId="76E164E9" w:rsidR="007D0D72" w:rsidRDefault="007D0D72" w:rsidP="007D0D72">
      <w:pPr>
        <w:snapToGrid/>
        <w:spacing w:after="0"/>
        <w:jc w:val="left"/>
        <w:rPr>
          <w:rFonts w:eastAsiaTheme="minorEastAsia"/>
          <w:lang w:eastAsia="zh-CN"/>
        </w:rPr>
      </w:pPr>
    </w:p>
    <w:p w14:paraId="3FE945F7" w14:textId="732DF05D" w:rsidR="003427EF" w:rsidRDefault="003427EF" w:rsidP="007D0D72">
      <w:pPr>
        <w:snapToGrid/>
        <w:spacing w:after="0"/>
        <w:jc w:val="left"/>
        <w:rPr>
          <w:rFonts w:eastAsiaTheme="minorEastAsia"/>
          <w:lang w:eastAsia="zh-CN"/>
        </w:rPr>
      </w:pPr>
    </w:p>
    <w:p w14:paraId="446B259B" w14:textId="5D8E9508" w:rsidR="003427EF" w:rsidRDefault="003427EF" w:rsidP="007D0D72">
      <w:pPr>
        <w:snapToGrid/>
        <w:spacing w:after="0"/>
        <w:jc w:val="left"/>
        <w:rPr>
          <w:rFonts w:eastAsiaTheme="minorEastAsia"/>
          <w:lang w:eastAsia="zh-CN"/>
        </w:rPr>
      </w:pPr>
    </w:p>
    <w:p w14:paraId="41F8390F" w14:textId="77777777" w:rsidR="003427EF" w:rsidRDefault="003427EF" w:rsidP="007D0D72">
      <w:pPr>
        <w:snapToGrid/>
        <w:spacing w:after="0"/>
        <w:jc w:val="left"/>
        <w:rPr>
          <w:rFonts w:eastAsiaTheme="minorEastAsia"/>
          <w:lang w:eastAsia="zh-CN"/>
        </w:rPr>
      </w:pPr>
    </w:p>
    <w:p w14:paraId="24BC0DEF" w14:textId="5D6F5B7F" w:rsidR="00923254" w:rsidRDefault="007173EF" w:rsidP="007D0D72">
      <w:pPr>
        <w:snapToGrid/>
        <w:spacing w:after="0"/>
        <w:jc w:val="left"/>
        <w:rPr>
          <w:rFonts w:eastAsiaTheme="minorEastAsia"/>
          <w:u w:val="single"/>
          <w:lang w:eastAsia="zh-CN"/>
        </w:rPr>
      </w:pPr>
      <w:r w:rsidRPr="007D0D72">
        <w:rPr>
          <w:u w:val="single"/>
        </w:rPr>
        <w:t>PRB bundling size indicator</w:t>
      </w:r>
      <w:r w:rsidR="007D0D72" w:rsidRPr="007D0D72">
        <w:rPr>
          <w:rFonts w:eastAsiaTheme="minorEastAsia"/>
          <w:u w:val="single"/>
          <w:lang w:eastAsia="zh-CN"/>
        </w:rPr>
        <w:t xml:space="preserve"> </w:t>
      </w:r>
    </w:p>
    <w:p w14:paraId="2C0DA0FB" w14:textId="77777777" w:rsidR="00D62122" w:rsidRDefault="00D62122" w:rsidP="00AC4811">
      <w:pPr>
        <w:snapToGrid/>
        <w:spacing w:after="0" w:line="140" w:lineRule="exact"/>
        <w:rPr>
          <w:rFonts w:eastAsiaTheme="minorEastAsia"/>
          <w:lang w:eastAsia="zh-CN"/>
        </w:rPr>
      </w:pPr>
    </w:p>
    <w:p w14:paraId="5D796948" w14:textId="447441AF" w:rsidR="00923254" w:rsidRPr="00923254" w:rsidRDefault="00923254" w:rsidP="00923254">
      <w:pPr>
        <w:snapToGrid/>
        <w:spacing w:after="0"/>
        <w:rPr>
          <w:rFonts w:eastAsiaTheme="minorEastAsia"/>
          <w:u w:val="single"/>
          <w:lang w:eastAsia="zh-CN"/>
        </w:rPr>
      </w:pPr>
      <w:r w:rsidRPr="00923254">
        <w:rPr>
          <w:rFonts w:eastAsiaTheme="minorEastAsia"/>
          <w:lang w:eastAsia="zh-CN"/>
        </w:rPr>
        <w:t xml:space="preserve">This PRB size indicator is used to indicate the PDSCH bundling size, which is exploited to improve the channel-estimation performance </w:t>
      </w:r>
      <w:r w:rsidR="00522B5E">
        <w:rPr>
          <w:rFonts w:eastAsiaTheme="minorEastAsia"/>
          <w:lang w:eastAsia="zh-CN"/>
        </w:rPr>
        <w:t>(</w:t>
      </w:r>
      <w:r w:rsidRPr="00923254">
        <w:rPr>
          <w:rFonts w:eastAsiaTheme="minorEastAsia"/>
          <w:lang w:eastAsia="zh-CN"/>
        </w:rPr>
        <w:t>in a similar way as REG bundles for CORESET</w:t>
      </w:r>
      <w:r w:rsidR="00522B5E">
        <w:rPr>
          <w:rFonts w:eastAsiaTheme="minorEastAsia"/>
          <w:lang w:eastAsia="zh-CN"/>
        </w:rPr>
        <w:t>)</w:t>
      </w:r>
      <w:r w:rsidRPr="00923254">
        <w:rPr>
          <w:rFonts w:eastAsiaTheme="minorEastAsia"/>
          <w:lang w:eastAsia="zh-CN"/>
        </w:rPr>
        <w:t xml:space="preserve">. </w:t>
      </w:r>
      <w:r w:rsidR="00522B5E">
        <w:rPr>
          <w:rFonts w:eastAsiaTheme="minorEastAsia"/>
          <w:lang w:eastAsia="zh-CN"/>
        </w:rPr>
        <w:t>If the maximum number of slots are restricted as we suggested in the previous section, the channel variations within a multi-slot should be limited, thus the same bundling size for each slot could be enough. I</w:t>
      </w:r>
      <w:r>
        <w:rPr>
          <w:rFonts w:eastAsiaTheme="minorEastAsia"/>
          <w:lang w:eastAsia="zh-CN"/>
        </w:rPr>
        <w:t xml:space="preserve">t is suggested to signal the indicator </w:t>
      </w:r>
      <w:r w:rsidR="00522B5E">
        <w:rPr>
          <w:rFonts w:eastAsiaTheme="minorEastAsia"/>
          <w:lang w:eastAsia="zh-CN"/>
        </w:rPr>
        <w:t>once in the DCI and apply common to all PDSCHs and DCI overhead is not increased</w:t>
      </w:r>
      <w:r>
        <w:rPr>
          <w:rFonts w:eastAsiaTheme="minorEastAsia"/>
          <w:lang w:eastAsia="zh-CN"/>
        </w:rPr>
        <w:t xml:space="preserve">. </w:t>
      </w:r>
    </w:p>
    <w:p w14:paraId="336645B6" w14:textId="77777777" w:rsidR="007D0D72" w:rsidRPr="007D0D72" w:rsidRDefault="007D0D72" w:rsidP="007D0D72">
      <w:pPr>
        <w:snapToGrid/>
        <w:spacing w:after="0"/>
        <w:jc w:val="left"/>
        <w:rPr>
          <w:rFonts w:eastAsiaTheme="minorEastAsia"/>
          <w:u w:val="single"/>
          <w:lang w:eastAsia="zh-CN"/>
        </w:rPr>
      </w:pPr>
    </w:p>
    <w:p w14:paraId="000420EA" w14:textId="0D21D066" w:rsidR="007173EF" w:rsidRDefault="007173EF" w:rsidP="007173EF">
      <w:pPr>
        <w:rPr>
          <w:u w:val="single"/>
        </w:rPr>
      </w:pPr>
      <w:r w:rsidRPr="007D0D72">
        <w:rPr>
          <w:u w:val="single"/>
        </w:rPr>
        <w:t>ZP CSI-RS trigger</w:t>
      </w:r>
    </w:p>
    <w:p w14:paraId="654491D9" w14:textId="7B81543A" w:rsidR="00D62122" w:rsidRDefault="00D62122" w:rsidP="00B71DFB">
      <w:pPr>
        <w:snapToGrid/>
        <w:spacing w:after="0"/>
        <w:rPr>
          <w:rFonts w:eastAsia="DengXian"/>
          <w:color w:val="000000" w:themeColor="text1"/>
          <w:lang w:eastAsia="ko-KR"/>
        </w:rPr>
      </w:pPr>
      <w:r w:rsidRPr="00B71DFB">
        <w:rPr>
          <w:rFonts w:eastAsiaTheme="minorEastAsia"/>
          <w:lang w:eastAsia="zh-CN"/>
        </w:rPr>
        <w:t>A device cannot make any assumptions regarding transmissions on resources corresponding to a configured ZP-CSI-RS and that PDSCH transmission for the device is not mapped to resource elements corresponding to a configured ZP-CSI-RS.</w:t>
      </w:r>
      <w:r w:rsidR="00B71DFB" w:rsidRPr="00B71DFB">
        <w:rPr>
          <w:rFonts w:eastAsiaTheme="minorEastAsia"/>
          <w:lang w:eastAsia="zh-CN"/>
        </w:rPr>
        <w:t xml:space="preserve"> </w:t>
      </w:r>
      <w:r w:rsidR="00B71DFB">
        <w:rPr>
          <w:rFonts w:eastAsiaTheme="minorEastAsia"/>
          <w:lang w:eastAsia="zh-CN"/>
        </w:rPr>
        <w:t xml:space="preserve">The aperiodic ZP-CSI-RS allows multiplexing of PDSCH of a UE with CSI-RS of another UE. It was agreed in the sub-agenda item 8.2.3 during the </w:t>
      </w:r>
      <w:r w:rsidR="00B71DFB" w:rsidRPr="00793608">
        <w:rPr>
          <w:rFonts w:eastAsia="DengXian"/>
          <w:color w:val="000000" w:themeColor="text1"/>
          <w:lang w:eastAsia="ko-KR"/>
        </w:rPr>
        <w:t>RAN1 #104e-bis</w:t>
      </w:r>
      <w:r w:rsidR="00B71DFB">
        <w:rPr>
          <w:rFonts w:eastAsia="DengXian"/>
          <w:color w:val="000000" w:themeColor="text1"/>
          <w:lang w:eastAsia="ko-KR"/>
        </w:rPr>
        <w:t xml:space="preserve"> meeting that user-multiplexing is not a prioritize</w:t>
      </w:r>
      <w:r w:rsidR="00D84F52">
        <w:rPr>
          <w:rFonts w:eastAsia="DengXian"/>
          <w:color w:val="000000" w:themeColor="text1"/>
          <w:lang w:eastAsia="ko-KR"/>
        </w:rPr>
        <w:t>d</w:t>
      </w:r>
      <w:r w:rsidR="00B71DFB">
        <w:rPr>
          <w:rFonts w:eastAsia="DengXian"/>
          <w:color w:val="000000" w:themeColor="text1"/>
          <w:lang w:eastAsia="ko-KR"/>
        </w:rPr>
        <w:t xml:space="preserve"> metric as with </w:t>
      </w:r>
      <w:r w:rsidR="00D84F52">
        <w:rPr>
          <w:rFonts w:eastAsia="DengXian"/>
          <w:color w:val="000000" w:themeColor="text1"/>
          <w:lang w:eastAsia="ko-KR"/>
        </w:rPr>
        <w:t xml:space="preserve">the </w:t>
      </w:r>
      <w:r w:rsidR="00B71DFB">
        <w:rPr>
          <w:rFonts w:eastAsia="DengXian"/>
          <w:color w:val="000000" w:themeColor="text1"/>
          <w:lang w:eastAsia="ko-KR"/>
        </w:rPr>
        <w:t>MIL for PUCCH design, and the same logic should also apply here, i.e., user multiplexing should also be deprioritized for the data channels of the 52.6GHz to 71GHz band. Therefore, we do not recommend that the ZP CSI-RS trigger be signaled per PDSCH, but rather appear only once in the DCI and applies commonly to each PDSCH</w:t>
      </w:r>
      <w:r w:rsidR="00D84F52">
        <w:rPr>
          <w:rFonts w:eastAsia="DengXian"/>
          <w:color w:val="000000" w:themeColor="text1"/>
          <w:lang w:eastAsia="ko-KR"/>
        </w:rPr>
        <w:t xml:space="preserve"> </w:t>
      </w:r>
      <w:r w:rsidR="00D84F52">
        <w:rPr>
          <w:rFonts w:eastAsiaTheme="minorEastAsia"/>
          <w:lang w:eastAsia="zh-CN"/>
        </w:rPr>
        <w:t>and DCI overhead is not increased</w:t>
      </w:r>
      <w:r w:rsidR="00B71DFB">
        <w:rPr>
          <w:rFonts w:eastAsia="DengXian"/>
          <w:color w:val="000000" w:themeColor="text1"/>
          <w:lang w:eastAsia="ko-KR"/>
        </w:rPr>
        <w:t xml:space="preserve">.  </w:t>
      </w:r>
    </w:p>
    <w:p w14:paraId="29349815" w14:textId="61BB22C9" w:rsidR="00513FF9" w:rsidRDefault="00513FF9" w:rsidP="00B71DFB">
      <w:pPr>
        <w:snapToGrid/>
        <w:spacing w:after="0"/>
        <w:rPr>
          <w:rFonts w:eastAsia="DengXian"/>
          <w:color w:val="000000" w:themeColor="text1"/>
          <w:lang w:eastAsia="ko-KR"/>
        </w:rPr>
      </w:pPr>
    </w:p>
    <w:p w14:paraId="20648846" w14:textId="1325C857" w:rsidR="00513FF9" w:rsidRDefault="00513FF9" w:rsidP="00513FF9">
      <w:pPr>
        <w:snapToGrid/>
        <w:spacing w:after="0"/>
        <w:jc w:val="left"/>
        <w:rPr>
          <w:u w:val="single"/>
        </w:rPr>
      </w:pPr>
      <w:r>
        <w:rPr>
          <w:u w:val="single"/>
        </w:rPr>
        <w:t>R</w:t>
      </w:r>
      <w:r w:rsidRPr="007D0D72">
        <w:rPr>
          <w:u w:val="single"/>
        </w:rPr>
        <w:t>ate matching indicator</w:t>
      </w:r>
    </w:p>
    <w:p w14:paraId="4BCC98FB" w14:textId="77777777" w:rsidR="00513FF9" w:rsidRDefault="00513FF9" w:rsidP="00AC4811">
      <w:pPr>
        <w:snapToGrid/>
        <w:spacing w:after="0" w:line="140" w:lineRule="exact"/>
        <w:rPr>
          <w:rFonts w:eastAsiaTheme="minorEastAsia"/>
          <w:lang w:eastAsia="zh-CN"/>
        </w:rPr>
      </w:pPr>
    </w:p>
    <w:p w14:paraId="59D38BE5" w14:textId="4E1D7D40" w:rsidR="00793C9B" w:rsidRPr="00E40A36" w:rsidRDefault="00513FF9" w:rsidP="00E40A36">
      <w:pPr>
        <w:rPr>
          <w:u w:val="single"/>
        </w:rPr>
      </w:pPr>
      <w:r w:rsidRPr="00D62122">
        <w:rPr>
          <w:rFonts w:eastAsiaTheme="minorEastAsia"/>
          <w:lang w:eastAsia="zh-CN"/>
        </w:rPr>
        <w:t>If a device is scheduled for PDSCH reception on a resource that includes resource</w:t>
      </w:r>
      <w:r>
        <w:rPr>
          <w:rFonts w:eastAsiaTheme="minorEastAsia"/>
          <w:lang w:eastAsia="zh-CN"/>
        </w:rPr>
        <w:t xml:space="preserve"> </w:t>
      </w:r>
      <w:r w:rsidRPr="00D62122">
        <w:rPr>
          <w:rFonts w:eastAsiaTheme="minorEastAsia"/>
          <w:lang w:eastAsia="zh-CN"/>
        </w:rPr>
        <w:t>elements on which a configured CSI-RS is to be transmitted, the device can assume that</w:t>
      </w:r>
      <w:r>
        <w:rPr>
          <w:rFonts w:eastAsiaTheme="minorEastAsia"/>
          <w:lang w:eastAsia="zh-CN"/>
        </w:rPr>
        <w:t xml:space="preserve"> </w:t>
      </w:r>
      <w:r w:rsidRPr="00D62122">
        <w:rPr>
          <w:rFonts w:eastAsiaTheme="minorEastAsia"/>
          <w:lang w:eastAsia="zh-CN"/>
        </w:rPr>
        <w:t>the PDSCH rate matching and resource mapping</w:t>
      </w:r>
      <w:r w:rsidR="00D84F52">
        <w:rPr>
          <w:rFonts w:eastAsiaTheme="minorEastAsia"/>
          <w:lang w:eastAsia="zh-CN"/>
        </w:rPr>
        <w:t xml:space="preserve"> do not occupy</w:t>
      </w:r>
      <w:r w:rsidRPr="00D62122">
        <w:rPr>
          <w:rFonts w:eastAsiaTheme="minorEastAsia"/>
          <w:lang w:eastAsia="zh-CN"/>
        </w:rPr>
        <w:t xml:space="preserve"> those resource elements. However,</w:t>
      </w:r>
      <w:r>
        <w:rPr>
          <w:rFonts w:eastAsiaTheme="minorEastAsia"/>
          <w:lang w:eastAsia="zh-CN"/>
        </w:rPr>
        <w:t xml:space="preserve"> </w:t>
      </w:r>
      <w:r w:rsidRPr="00D62122">
        <w:rPr>
          <w:rFonts w:eastAsiaTheme="minorEastAsia"/>
          <w:lang w:eastAsia="zh-CN"/>
        </w:rPr>
        <w:t>a device may also be scheduled for PDSCH reception on a resource that includes</w:t>
      </w:r>
      <w:r>
        <w:rPr>
          <w:rFonts w:eastAsiaTheme="minorEastAsia"/>
          <w:lang w:eastAsia="zh-CN"/>
        </w:rPr>
        <w:t xml:space="preserve"> </w:t>
      </w:r>
      <w:r w:rsidRPr="00D62122">
        <w:rPr>
          <w:rFonts w:eastAsiaTheme="minorEastAsia"/>
          <w:lang w:eastAsia="zh-CN"/>
        </w:rPr>
        <w:t>resource elements corresponding to a CSI-RS configured for a different device. The</w:t>
      </w:r>
      <w:r>
        <w:rPr>
          <w:rFonts w:eastAsiaTheme="minorEastAsia"/>
          <w:lang w:eastAsia="zh-CN"/>
        </w:rPr>
        <w:t xml:space="preserve"> </w:t>
      </w:r>
      <w:r w:rsidRPr="00D62122">
        <w:rPr>
          <w:rFonts w:eastAsiaTheme="minorEastAsia"/>
          <w:lang w:eastAsia="zh-CN"/>
        </w:rPr>
        <w:t>PDSCH must also in this case be rate matched around the resource elements used for</w:t>
      </w:r>
      <w:r>
        <w:rPr>
          <w:rFonts w:eastAsiaTheme="minorEastAsia"/>
          <w:lang w:eastAsia="zh-CN"/>
        </w:rPr>
        <w:t xml:space="preserve"> </w:t>
      </w:r>
      <w:r w:rsidRPr="00D62122">
        <w:rPr>
          <w:rFonts w:eastAsiaTheme="minorEastAsia"/>
          <w:lang w:eastAsia="zh-CN"/>
        </w:rPr>
        <w:t>CSI-RS. The configuration of a ZP-CSI-RS is a way to inform the device for which</w:t>
      </w:r>
      <w:r>
        <w:rPr>
          <w:rFonts w:eastAsiaTheme="minorEastAsia"/>
          <w:lang w:eastAsia="zh-CN"/>
        </w:rPr>
        <w:t xml:space="preserve"> </w:t>
      </w:r>
      <w:r w:rsidRPr="00D62122">
        <w:rPr>
          <w:rFonts w:eastAsiaTheme="minorEastAsia"/>
          <w:lang w:eastAsia="zh-CN"/>
        </w:rPr>
        <w:t>the PDSCH is scheduled about such rate matching.</w:t>
      </w:r>
      <w:r>
        <w:rPr>
          <w:rFonts w:eastAsiaTheme="minorEastAsia"/>
          <w:lang w:eastAsia="zh-CN"/>
        </w:rPr>
        <w:t xml:space="preserve"> </w:t>
      </w:r>
      <w:r w:rsidR="00D84F52">
        <w:rPr>
          <w:rFonts w:eastAsiaTheme="minorEastAsia"/>
          <w:lang w:eastAsia="zh-CN"/>
        </w:rPr>
        <w:t>Like</w:t>
      </w:r>
      <w:r>
        <w:rPr>
          <w:rFonts w:eastAsiaTheme="minorEastAsia"/>
          <w:lang w:eastAsia="zh-CN"/>
        </w:rPr>
        <w:t xml:space="preserve"> the case with </w:t>
      </w:r>
      <w:r w:rsidRPr="00513FF9">
        <w:t>ZP CSI-RS trigger</w:t>
      </w:r>
      <w:r>
        <w:t xml:space="preserve">, we do not see strong motivation of increasing the bit-width by signaling </w:t>
      </w:r>
      <w:r w:rsidR="00D84F52">
        <w:t xml:space="preserve">the RMI </w:t>
      </w:r>
      <w:r>
        <w:t xml:space="preserve">per PDSCH, and recommend it appear once in the DCI and applies commonly to each PDSCH. </w:t>
      </w:r>
    </w:p>
    <w:p w14:paraId="4DE7A9BC" w14:textId="4B2F6432" w:rsidR="00793C9B" w:rsidRPr="00E40A36" w:rsidRDefault="00793C9B" w:rsidP="00793C9B">
      <w:pPr>
        <w:rPr>
          <w:u w:val="single"/>
        </w:rPr>
      </w:pPr>
      <w:r w:rsidRPr="00E40A36">
        <w:rPr>
          <w:u w:val="single"/>
        </w:rPr>
        <w:t xml:space="preserve">Priority indicator </w:t>
      </w:r>
      <w:r w:rsidR="00E40A36">
        <w:rPr>
          <w:u w:val="single"/>
        </w:rPr>
        <w:t xml:space="preserve">and open loop power control </w:t>
      </w:r>
    </w:p>
    <w:p w14:paraId="6526973B" w14:textId="020AF7EA" w:rsidR="00E40A36" w:rsidRPr="00E40A36" w:rsidRDefault="00E40A36" w:rsidP="00793C9B">
      <w:pPr>
        <w:snapToGrid/>
        <w:spacing w:after="0"/>
        <w:rPr>
          <w:rFonts w:eastAsiaTheme="minorEastAsia"/>
          <w:lang w:eastAsia="zh-CN"/>
        </w:rPr>
      </w:pPr>
      <w:r w:rsidRPr="00E40A36">
        <w:rPr>
          <w:rFonts w:eastAsiaTheme="minorEastAsia"/>
          <w:lang w:eastAsia="zh-CN"/>
        </w:rPr>
        <w:t xml:space="preserve">There </w:t>
      </w:r>
      <w:r>
        <w:rPr>
          <w:rFonts w:eastAsiaTheme="minorEastAsia"/>
          <w:lang w:eastAsia="zh-CN"/>
        </w:rPr>
        <w:t xml:space="preserve">was no </w:t>
      </w:r>
      <w:r w:rsidR="00D84F52">
        <w:rPr>
          <w:rFonts w:eastAsiaTheme="minorEastAsia"/>
          <w:lang w:eastAsia="zh-CN"/>
        </w:rPr>
        <w:t>existing</w:t>
      </w:r>
      <w:r>
        <w:rPr>
          <w:rFonts w:eastAsiaTheme="minorEastAsia"/>
          <w:lang w:eastAsia="zh-CN"/>
        </w:rPr>
        <w:t xml:space="preserve"> support from companies for prioritizing </w:t>
      </w:r>
      <w:r w:rsidR="00D84F52">
        <w:rPr>
          <w:rFonts w:eastAsiaTheme="minorEastAsia"/>
          <w:lang w:eastAsia="zh-CN"/>
        </w:rPr>
        <w:t xml:space="preserve">the </w:t>
      </w:r>
      <w:r>
        <w:rPr>
          <w:rFonts w:eastAsiaTheme="minorEastAsia"/>
          <w:lang w:eastAsia="zh-CN"/>
        </w:rPr>
        <w:t xml:space="preserve">URLLC related fields such as priority indicator and open loop power control. Therefore, it is most convenient that a similar legacy rule from PUSCH repetition in Rel-16 URLLC is reused, </w:t>
      </w:r>
      <w:r w:rsidR="0096111C">
        <w:rPr>
          <w:rFonts w:eastAsiaTheme="minorEastAsia"/>
          <w:lang w:eastAsia="zh-CN"/>
        </w:rPr>
        <w:t xml:space="preserve">i.e., </w:t>
      </w:r>
      <w:r>
        <w:rPr>
          <w:rFonts w:eastAsiaTheme="minorEastAsia"/>
          <w:lang w:eastAsia="zh-CN"/>
        </w:rPr>
        <w:t>all the PUSCHs/PDSCHs are given the same priority and the same set of open loop power control</w:t>
      </w:r>
      <w:r w:rsidR="0096111C">
        <w:rPr>
          <w:rFonts w:eastAsiaTheme="minorEastAsia"/>
          <w:lang w:eastAsia="zh-CN"/>
        </w:rPr>
        <w:t xml:space="preserve">, and the PI and LPC fields appear once in the DCI. </w:t>
      </w:r>
    </w:p>
    <w:p w14:paraId="71D5F6E5" w14:textId="77777777" w:rsidR="00555ED9" w:rsidRPr="00793C9B" w:rsidRDefault="00555ED9" w:rsidP="00793C9B">
      <w:pPr>
        <w:snapToGrid/>
        <w:spacing w:after="0"/>
        <w:rPr>
          <w:rFonts w:eastAsiaTheme="minorEastAsia"/>
          <w:lang w:eastAsia="zh-CN"/>
        </w:rPr>
      </w:pPr>
    </w:p>
    <w:p w14:paraId="03E2B159" w14:textId="4836ED57" w:rsidR="000E3696" w:rsidRDefault="00414ADE" w:rsidP="000E3696">
      <w:pPr>
        <w:pStyle w:val="Heading2"/>
      </w:pPr>
      <w:r>
        <w:t>Type-1 HARQ-codebook for multiple PDSCH</w:t>
      </w:r>
    </w:p>
    <w:tbl>
      <w:tblPr>
        <w:tblStyle w:val="TableGrid"/>
        <w:tblW w:w="0" w:type="auto"/>
        <w:tblLook w:val="04A0" w:firstRow="1" w:lastRow="0" w:firstColumn="1" w:lastColumn="0" w:noHBand="0" w:noVBand="1"/>
      </w:tblPr>
      <w:tblGrid>
        <w:gridCol w:w="9307"/>
      </w:tblGrid>
      <w:tr w:rsidR="000E3696" w14:paraId="4FEA4B7A" w14:textId="77777777" w:rsidTr="00CA6023">
        <w:tc>
          <w:tcPr>
            <w:tcW w:w="9307" w:type="dxa"/>
          </w:tcPr>
          <w:p w14:paraId="61DB6C27" w14:textId="77777777" w:rsidR="000E3696" w:rsidRDefault="000E3696" w:rsidP="000E3696">
            <w:pPr>
              <w:pStyle w:val="ListParagraph"/>
              <w:numPr>
                <w:ilvl w:val="0"/>
                <w:numId w:val="0"/>
              </w:numPr>
              <w:spacing w:after="160" w:line="256" w:lineRule="auto"/>
              <w:rPr>
                <w:rFonts w:eastAsia="Malgun Gothic"/>
                <w:lang w:eastAsia="ko-KR"/>
              </w:rPr>
            </w:pPr>
            <w:r w:rsidRPr="000A7CDD">
              <w:rPr>
                <w:rFonts w:eastAsia="Malgun Gothic"/>
                <w:highlight w:val="green"/>
                <w:lang w:eastAsia="ko-KR"/>
              </w:rPr>
              <w:t>Agreement:</w:t>
            </w:r>
          </w:p>
          <w:p w14:paraId="39D0FA4C" w14:textId="77777777" w:rsidR="000E3696" w:rsidRDefault="000E3696" w:rsidP="000E3696">
            <w:pPr>
              <w:pStyle w:val="ListParagraph"/>
              <w:numPr>
                <w:ilvl w:val="0"/>
                <w:numId w:val="0"/>
              </w:numPr>
              <w:spacing w:after="160" w:line="252" w:lineRule="auto"/>
            </w:pPr>
            <w:r>
              <w:t xml:space="preserve">For enhancements of generating </w:t>
            </w:r>
            <w:r>
              <w:rPr>
                <w:rFonts w:eastAsia="Malgun Gothic"/>
              </w:rPr>
              <w:t>type-1 HARQ-ACK codebook corresponding to DCI that can schedule multiple PDSCHs, the following options can be considered</w:t>
            </w:r>
            <w:r>
              <w:rPr>
                <w:lang w:eastAsia="ko-KR"/>
              </w:rPr>
              <w:t>,</w:t>
            </w:r>
          </w:p>
          <w:p w14:paraId="211EFF31" w14:textId="77777777" w:rsidR="000E3696" w:rsidRPr="00B36AC7" w:rsidRDefault="000E3696" w:rsidP="000E3696">
            <w:pPr>
              <w:pStyle w:val="ListParagraph"/>
              <w:numPr>
                <w:ilvl w:val="0"/>
                <w:numId w:val="30"/>
              </w:numPr>
              <w:spacing w:after="160" w:line="252" w:lineRule="auto"/>
            </w:pPr>
            <w:r>
              <w:rPr>
                <w:lang w:eastAsia="ko-KR"/>
              </w:rPr>
              <w:t>Option 1</w:t>
            </w:r>
            <w:r>
              <w:rPr>
                <w:rFonts w:hint="eastAsia"/>
                <w:lang w:eastAsia="ko-KR"/>
              </w:rPr>
              <w:t xml:space="preserve">: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 and based on extension of K1 set</w:t>
            </w:r>
          </w:p>
          <w:p w14:paraId="3D30BC83" w14:textId="77777777" w:rsidR="000E3696" w:rsidRDefault="000E3696" w:rsidP="000E3696">
            <w:pPr>
              <w:pStyle w:val="ListParagraph"/>
              <w:numPr>
                <w:ilvl w:val="0"/>
                <w:numId w:val="30"/>
              </w:numPr>
              <w:spacing w:after="160" w:line="252" w:lineRule="auto"/>
            </w:pPr>
            <w:r>
              <w:rPr>
                <w:lang w:eastAsia="ko-KR"/>
              </w:rPr>
              <w:t xml:space="preserve">Option 1a: 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w:t>
            </w:r>
          </w:p>
          <w:p w14:paraId="11BCD2E5" w14:textId="77777777" w:rsidR="000E3696" w:rsidRDefault="000E3696" w:rsidP="000E3696">
            <w:pPr>
              <w:pStyle w:val="ListParagraph"/>
              <w:numPr>
                <w:ilvl w:val="0"/>
                <w:numId w:val="30"/>
              </w:numPr>
              <w:spacing w:after="160" w:line="252" w:lineRule="auto"/>
            </w:pPr>
            <w:r>
              <w:t xml:space="preserve">Option 2: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the last SLIV of each row in the TDRA table</w:t>
            </w:r>
          </w:p>
          <w:p w14:paraId="1349D4B3" w14:textId="77777777" w:rsidR="000E3696" w:rsidRDefault="000E3696" w:rsidP="000E3696">
            <w:pPr>
              <w:pStyle w:val="ListParagraph"/>
              <w:numPr>
                <w:ilvl w:val="0"/>
                <w:numId w:val="30"/>
              </w:numPr>
              <w:spacing w:after="160" w:line="252" w:lineRule="auto"/>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2B1A2EAC" w14:textId="77777777" w:rsidR="00EC0CBE" w:rsidRDefault="00EC0CBE" w:rsidP="00EC0CBE">
            <w:pPr>
              <w:pStyle w:val="ListParagraph"/>
              <w:numPr>
                <w:ilvl w:val="0"/>
                <w:numId w:val="0"/>
              </w:numPr>
              <w:spacing w:after="160" w:line="252" w:lineRule="auto"/>
              <w:ind w:left="720"/>
              <w:rPr>
                <w:lang w:eastAsia="ko-KR"/>
              </w:rPr>
            </w:pPr>
          </w:p>
          <w:p w14:paraId="267D434B" w14:textId="77777777" w:rsidR="00EC0CBE" w:rsidRDefault="00EC0CBE" w:rsidP="00EC0CBE">
            <w:pPr>
              <w:ind w:firstLineChars="100" w:firstLine="200"/>
              <w:rPr>
                <w:lang w:eastAsia="ko-KR"/>
              </w:rPr>
            </w:pPr>
            <w:r>
              <w:rPr>
                <w:noProof/>
                <w:lang w:eastAsia="ko-KR"/>
              </w:rPr>
              <w:lastRenderedPageBreak/>
              <w:drawing>
                <wp:inline distT="0" distB="0" distL="0" distR="0" wp14:anchorId="34088AD0" wp14:editId="46C22FB8">
                  <wp:extent cx="5486400" cy="1184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86400" cy="1184400"/>
                          </a:xfrm>
                          <a:prstGeom prst="rect">
                            <a:avLst/>
                          </a:prstGeom>
                          <a:noFill/>
                          <a:ln>
                            <a:noFill/>
                          </a:ln>
                        </pic:spPr>
                      </pic:pic>
                    </a:graphicData>
                  </a:graphic>
                </wp:inline>
              </w:drawing>
            </w:r>
          </w:p>
          <w:p w14:paraId="45545915" w14:textId="71D85A83" w:rsidR="00EC0CBE" w:rsidRPr="00E71FCC" w:rsidRDefault="00770C3D" w:rsidP="00EC0CBE">
            <w:pPr>
              <w:spacing w:before="120"/>
              <w:ind w:firstLineChars="100" w:firstLine="201"/>
              <w:jc w:val="center"/>
              <w:rPr>
                <w:b/>
                <w:lang w:eastAsia="ko-KR"/>
              </w:rPr>
            </w:pPr>
            <w:r w:rsidRPr="00E71FCC">
              <w:rPr>
                <w:b/>
                <w:lang w:eastAsia="ko-KR"/>
              </w:rPr>
              <w:t>Figure</w:t>
            </w:r>
            <w:r w:rsidR="00192815" w:rsidRPr="00E71FCC">
              <w:rPr>
                <w:b/>
                <w:lang w:eastAsia="ko-KR"/>
              </w:rPr>
              <w:t xml:space="preserve"> 1</w:t>
            </w:r>
            <w:r w:rsidRPr="00E71FCC">
              <w:rPr>
                <w:b/>
                <w:lang w:eastAsia="ko-KR"/>
              </w:rPr>
              <w:t xml:space="preserve">. </w:t>
            </w:r>
            <w:r w:rsidR="00EC0CBE" w:rsidRPr="00E71FCC">
              <w:rPr>
                <w:b/>
                <w:lang w:eastAsia="ko-KR"/>
              </w:rPr>
              <w:t xml:space="preserve">Moderator’s </w:t>
            </w:r>
            <w:r w:rsidRPr="00E71FCC">
              <w:rPr>
                <w:b/>
                <w:lang w:eastAsia="ko-KR"/>
              </w:rPr>
              <w:t>e</w:t>
            </w:r>
            <w:r w:rsidR="00EC0CBE" w:rsidRPr="00E71FCC">
              <w:rPr>
                <w:b/>
                <w:lang w:eastAsia="ko-KR"/>
              </w:rPr>
              <w:t>xample of type-1 HARQ-ACK codebook construction</w:t>
            </w:r>
          </w:p>
        </w:tc>
      </w:tr>
    </w:tbl>
    <w:p w14:paraId="383CA232" w14:textId="3786BF0E" w:rsidR="00414ADE" w:rsidRDefault="00414ADE" w:rsidP="00414ADE"/>
    <w:p w14:paraId="02D4F46C" w14:textId="07C061E0" w:rsidR="00D66263" w:rsidRDefault="00D66263" w:rsidP="00414ADE">
      <w:pPr>
        <w:rPr>
          <w:rFonts w:eastAsia="Malgun Gothic"/>
        </w:rPr>
      </w:pPr>
      <w:r>
        <w:t>During the RAN #104b-e meeting, enhancements for the type-1 (semi-static)</w:t>
      </w:r>
      <w:r w:rsidR="00CA4206">
        <w:t>,</w:t>
      </w:r>
      <w:r>
        <w:t xml:space="preserve"> and type-2 (dynamic) </w:t>
      </w:r>
      <w:r>
        <w:rPr>
          <w:rFonts w:eastAsia="Malgun Gothic"/>
        </w:rPr>
        <w:t>HARQ-ACK codebooks for the multi-PDSCH scheduled by a single DCI were discussed separately. The semi-static HARQ codebook is known to associate with higher payload than the dynamic counterpart with the Rel-15/16 generation procedure</w:t>
      </w:r>
      <w:r w:rsidR="000A0764">
        <w:rPr>
          <w:rFonts w:eastAsia="Malgun Gothic"/>
        </w:rPr>
        <w:t xml:space="preserve">. The procedure </w:t>
      </w:r>
      <w:r w:rsidR="00CA4206">
        <w:rPr>
          <w:rFonts w:eastAsia="Malgun Gothic"/>
        </w:rPr>
        <w:t xml:space="preserve">of generation of the semi-static codebook </w:t>
      </w:r>
      <w:r>
        <w:rPr>
          <w:rFonts w:eastAsia="Malgun Gothic"/>
        </w:rPr>
        <w:t>was summarized by the moderator as follows:</w:t>
      </w:r>
    </w:p>
    <w:p w14:paraId="3290F2DB" w14:textId="77777777" w:rsidR="00D66263" w:rsidRDefault="00D66263" w:rsidP="00D66263">
      <w:pPr>
        <w:pStyle w:val="ListParagraph"/>
        <w:numPr>
          <w:ilvl w:val="0"/>
          <w:numId w:val="29"/>
        </w:numPr>
        <w:spacing w:after="160" w:line="252" w:lineRule="auto"/>
      </w:pPr>
      <w:r>
        <w:t xml:space="preserve">Step 1: The candidate slot for PDSCH reception is determined by UL slot n (where HARQ-ACK codebook is transmitted) and K1 set, and the candidate PDSCH reception occasions are pruned based on TDD configuration and every row </w:t>
      </w:r>
      <w:r>
        <w:rPr>
          <w:i/>
        </w:rPr>
        <w:t>r</w:t>
      </w:r>
      <w:r>
        <w:t xml:space="preserve"> in the TDRA table.</w:t>
      </w:r>
    </w:p>
    <w:p w14:paraId="7A4FD899" w14:textId="2B97D9BE" w:rsidR="00D66263" w:rsidRDefault="00D66263" w:rsidP="00D66263">
      <w:pPr>
        <w:pStyle w:val="ListParagraph"/>
        <w:numPr>
          <w:ilvl w:val="0"/>
          <w:numId w:val="29"/>
        </w:numPr>
        <w:spacing w:after="160" w:line="252" w:lineRule="auto"/>
      </w:pPr>
      <w:r>
        <w:rPr>
          <w:rFonts w:hint="eastAsia"/>
          <w:lang w:eastAsia="ko-KR"/>
        </w:rPr>
        <w:t xml:space="preserve">Step 2: </w:t>
      </w:r>
      <w:r>
        <w:t>HARQ-ACK bits are generated for each candidate PDSCH reception occasion determined in Step 1.</w:t>
      </w:r>
    </w:p>
    <w:p w14:paraId="7B892576" w14:textId="2BE12A19" w:rsidR="00D66263" w:rsidRDefault="00D66263" w:rsidP="00D66263">
      <w:pPr>
        <w:spacing w:after="160" w:line="252" w:lineRule="auto"/>
      </w:pPr>
      <w:r>
        <w:t xml:space="preserve">For multi-PDSCH, </w:t>
      </w:r>
      <w:r w:rsidR="00F7418A">
        <w:t xml:space="preserve">one </w:t>
      </w:r>
      <w:r w:rsidR="00555ED9">
        <w:t xml:space="preserve">important </w:t>
      </w:r>
      <w:r w:rsidR="00F7418A">
        <w:t xml:space="preserve">issue is that the above procedure may only apply with necessary enhancement, especially for Step 1 (Step 2 is straightforward once Step 1 is amended). </w:t>
      </w:r>
      <w:r w:rsidR="00406F43">
        <w:t xml:space="preserve">The moderator’s example shows a simple case with which the PDSCH#1 is not reflected in the HARQ-ACK codebook if </w:t>
      </w:r>
      <w:r w:rsidR="00555ED9">
        <w:t xml:space="preserve">extension of K1 set </w:t>
      </w:r>
      <w:r w:rsidR="003007B1">
        <w:t xml:space="preserve">(where K1 is the slot offset </w:t>
      </w:r>
      <w:r w:rsidR="003007B1">
        <w:rPr>
          <w:lang w:eastAsia="zh-CN"/>
        </w:rPr>
        <w:t>between PDSCH and corresponding HARQ-ACK</w:t>
      </w:r>
      <w:r w:rsidR="003007B1">
        <w:t xml:space="preserve">) </w:t>
      </w:r>
      <w:r w:rsidR="00555ED9">
        <w:t xml:space="preserve">is not </w:t>
      </w:r>
      <w:r w:rsidR="00CA4206">
        <w:t>embedded</w:t>
      </w:r>
      <w:r w:rsidR="002146CB">
        <w:t xml:space="preserve"> in TDRA table</w:t>
      </w:r>
      <w:r w:rsidR="00555ED9">
        <w:t>.</w:t>
      </w:r>
      <w:r w:rsidR="00712A2D">
        <w:t xml:space="preserve"> </w:t>
      </w:r>
      <w:r w:rsidR="00B8553E">
        <w:t>F</w:t>
      </w:r>
      <w:r w:rsidR="00E1451E">
        <w:t xml:space="preserve">or Option 1 and Option </w:t>
      </w:r>
      <w:r w:rsidR="00712A2D">
        <w:t>1a</w:t>
      </w:r>
      <w:r w:rsidR="00B8553E">
        <w:t xml:space="preserve"> of the enhancements</w:t>
      </w:r>
      <w:r w:rsidR="00E1451E">
        <w:t>, the main difference is that whether</w:t>
      </w:r>
      <w:r w:rsidR="00B8553E">
        <w:t xml:space="preserve"> </w:t>
      </w:r>
      <w:r w:rsidR="00E1451E">
        <w:t>a</w:t>
      </w:r>
      <w:r w:rsidR="00B8553E">
        <w:t>n</w:t>
      </w:r>
      <w:r w:rsidR="00F7418A">
        <w:t xml:space="preserve"> </w:t>
      </w:r>
      <w:r w:rsidR="00E1451E">
        <w:t>extension/</w:t>
      </w:r>
      <w:r w:rsidR="00F7418A">
        <w:t xml:space="preserve">redefinition of the K1 set </w:t>
      </w:r>
      <w:r w:rsidR="00E1451E">
        <w:t>is mandatory</w:t>
      </w:r>
      <w:r w:rsidR="00F7418A">
        <w:t xml:space="preserve"> </w:t>
      </w:r>
      <w:r w:rsidR="00E1451E">
        <w:t>or if there is a way</w:t>
      </w:r>
      <w:r w:rsidR="00F7418A">
        <w:t xml:space="preserve"> </w:t>
      </w:r>
      <w:r w:rsidR="00E1451E">
        <w:t>for generation of HARQ-ACK codebook for multi-PDSCH only by</w:t>
      </w:r>
      <w:r w:rsidR="00F7418A">
        <w:t xml:space="preserve"> SLIVs of each row of the </w:t>
      </w:r>
      <w:r w:rsidR="00E1451E">
        <w:t xml:space="preserve">TDRA table. </w:t>
      </w:r>
      <w:r w:rsidR="00712A2D">
        <w:t xml:space="preserve">The mechanism used by </w:t>
      </w:r>
      <w:r w:rsidR="005A7210">
        <w:t>the Clause 9.1.2.1 of TS 38.213</w:t>
      </w:r>
      <w:r w:rsidR="00712A2D">
        <w:t xml:space="preserve"> to generate Rel-15/16 HARQ-ACK codebook is to determine the candidate slot by PUCCH UL slot and the K1 set</w:t>
      </w:r>
      <w:r w:rsidR="005A7210">
        <w:t>,</w:t>
      </w:r>
      <w:r w:rsidR="00712A2D">
        <w:t xml:space="preserve"> and </w:t>
      </w:r>
      <w:r w:rsidR="003007B1">
        <w:t xml:space="preserve">then </w:t>
      </w:r>
      <w:r w:rsidR="00CA4206">
        <w:t xml:space="preserve">to </w:t>
      </w:r>
      <w:r w:rsidR="00712A2D">
        <w:t xml:space="preserve">prune based on TDD configuration and each SLIV within the row. Therefore, it seems that unless the TDRA table for PDSCH is also extended to include the extended K1 set information for Option 1a to work, the Option 1 is a more straightforward choice.  </w:t>
      </w:r>
    </w:p>
    <w:p w14:paraId="13EEED98" w14:textId="781A217F" w:rsidR="00C615D2" w:rsidRDefault="00C615D2" w:rsidP="00D66263">
      <w:pPr>
        <w:spacing w:after="160" w:line="252" w:lineRule="auto"/>
      </w:pPr>
      <w:r>
        <w:t xml:space="preserve">For Option 1, if DCI format 1_0 </w:t>
      </w:r>
      <w:r w:rsidR="00CB28F9">
        <w:t xml:space="preserve">is extended and used by </w:t>
      </w:r>
      <w:r>
        <w:t xml:space="preserve">multi-PDSCH, the original set </w:t>
      </w:r>
      <w:r w:rsidR="00CB28F9" w:rsidRPr="00CB28F9">
        <w:rPr>
          <w:sz w:val="28"/>
          <w:szCs w:val="28"/>
        </w:rPr>
        <w:t>κ</w:t>
      </w:r>
      <w:r w:rsidR="00CB28F9">
        <w:t>1=</w:t>
      </w:r>
      <w:r>
        <w:t xml:space="preserve">{1,2…,8} </w:t>
      </w:r>
      <w:r w:rsidR="00CB28F9">
        <w:t xml:space="preserve">needs </w:t>
      </w:r>
      <w:r>
        <w:t xml:space="preserve">to be extended </w:t>
      </w:r>
      <w:r w:rsidR="00CB28F9">
        <w:t xml:space="preserve">for the multi-PDSCH; if DCI format 1_1 is extended and used by multi-PDSCH, </w:t>
      </w:r>
      <w:r w:rsidR="00CB28F9" w:rsidRPr="00CB28F9">
        <w:rPr>
          <w:color w:val="212529"/>
          <w:shd w:val="clear" w:color="auto" w:fill="FFFFFF"/>
        </w:rPr>
        <w:t>the PDSCH-to-</w:t>
      </w:r>
      <w:proofErr w:type="spellStart"/>
      <w:r w:rsidR="00CB28F9" w:rsidRPr="00CB28F9">
        <w:rPr>
          <w:color w:val="212529"/>
          <w:shd w:val="clear" w:color="auto" w:fill="FFFFFF"/>
        </w:rPr>
        <w:t>HARQ_feedback</w:t>
      </w:r>
      <w:proofErr w:type="spellEnd"/>
      <w:r w:rsidR="00CB28F9" w:rsidRPr="00CB28F9">
        <w:rPr>
          <w:color w:val="212529"/>
          <w:shd w:val="clear" w:color="auto" w:fill="FFFFFF"/>
        </w:rPr>
        <w:t xml:space="preserve"> timing indicator field values provided by</w:t>
      </w:r>
      <w:r w:rsidR="00CB28F9" w:rsidRPr="00CB28F9">
        <w:rPr>
          <w:rStyle w:val="Emphasis"/>
          <w:color w:val="212529"/>
          <w:shd w:val="clear" w:color="auto" w:fill="FFFFFF"/>
        </w:rPr>
        <w:t xml:space="preserve"> dl-</w:t>
      </w:r>
      <w:proofErr w:type="spellStart"/>
      <w:r w:rsidR="00CB28F9" w:rsidRPr="00CB28F9">
        <w:rPr>
          <w:rStyle w:val="Emphasis"/>
          <w:color w:val="212529"/>
          <w:shd w:val="clear" w:color="auto" w:fill="FFFFFF"/>
        </w:rPr>
        <w:t>DataToUL</w:t>
      </w:r>
      <w:proofErr w:type="spellEnd"/>
      <w:r w:rsidR="00CB28F9" w:rsidRPr="00CB28F9">
        <w:rPr>
          <w:rStyle w:val="Emphasis"/>
          <w:color w:val="212529"/>
          <w:shd w:val="clear" w:color="auto" w:fill="FFFFFF"/>
        </w:rPr>
        <w:t>-ACK</w:t>
      </w:r>
      <w:r w:rsidR="00CB28F9">
        <w:t xml:space="preserve"> needs to be extended. </w:t>
      </w:r>
      <w:r w:rsidR="004E0579">
        <w:t xml:space="preserve">If </w:t>
      </w:r>
      <w:r w:rsidR="004E0579" w:rsidRPr="00CB28F9">
        <w:rPr>
          <w:sz w:val="28"/>
          <w:szCs w:val="28"/>
        </w:rPr>
        <w:t>κ</w:t>
      </w:r>
      <w:r w:rsidR="004E0579">
        <w:t xml:space="preserve">1={1,2…,8} and </w:t>
      </w:r>
      <w:r w:rsidR="00952BAF">
        <w:t>the</w:t>
      </w:r>
      <w:r w:rsidR="004E0579">
        <w:t xml:space="preserve"> row </w:t>
      </w:r>
      <w:proofErr w:type="spellStart"/>
      <w:r w:rsidR="00952BAF">
        <w:t>i</w:t>
      </w:r>
      <w:proofErr w:type="spellEnd"/>
      <w:r w:rsidR="00952BAF">
        <w:t xml:space="preserve"> of  the</w:t>
      </w:r>
      <w:r w:rsidR="004E0579">
        <w:t xml:space="preserve"> TDRA table includes 4 contiguous PDSCH, then the maximum offset </w:t>
      </w:r>
      <w:r w:rsidR="00952BAF">
        <w:t xml:space="preserve">of the PDSCHs </w:t>
      </w:r>
      <w:r w:rsidR="004E0579">
        <w:t xml:space="preserve">from the last PDSCH is 3, such that </w:t>
      </w:r>
      <w:r w:rsidR="00952BAF">
        <w:t xml:space="preserve">the extended set </w:t>
      </w:r>
      <w:r w:rsidR="004E0579" w:rsidRPr="00CB28F9">
        <w:rPr>
          <w:sz w:val="28"/>
          <w:szCs w:val="28"/>
        </w:rPr>
        <w:t>κ</w:t>
      </w:r>
      <w:r w:rsidR="004E0579">
        <w:t>1</w:t>
      </w:r>
      <w:r w:rsidR="00716294">
        <w:t>’</w:t>
      </w:r>
      <w:r w:rsidR="00952BAF">
        <w:t>_i</w:t>
      </w:r>
      <w:r w:rsidR="004E0579">
        <w:t xml:space="preserve">={1,2…,11}; if a row of TDRA table includes non-contiguous PDSCH, which is allowed by multi-PDSCH scheduling, then </w:t>
      </w:r>
      <w:r w:rsidR="004E0579" w:rsidRPr="00CB28F9">
        <w:rPr>
          <w:sz w:val="28"/>
          <w:szCs w:val="28"/>
        </w:rPr>
        <w:t>κ</w:t>
      </w:r>
      <w:r w:rsidR="004E0579">
        <w:t>1</w:t>
      </w:r>
      <w:r w:rsidR="00716294">
        <w:t>’</w:t>
      </w:r>
      <w:r w:rsidR="00952BAF">
        <w:t>_i</w:t>
      </w:r>
      <w:r w:rsidR="004E0579">
        <w:t xml:space="preserve"> composes possible combinations of </w:t>
      </w:r>
      <w:r w:rsidR="004E0579" w:rsidRPr="00CB28F9">
        <w:rPr>
          <w:sz w:val="28"/>
          <w:szCs w:val="28"/>
        </w:rPr>
        <w:t>κ</w:t>
      </w:r>
      <w:r w:rsidR="004E0579">
        <w:t>1</w:t>
      </w:r>
      <w:r w:rsidR="00EB0B26">
        <w:t>_i</w:t>
      </w:r>
      <w:r w:rsidR="004E0579">
        <w:t xml:space="preserve"> and the offsets of each PDSCH. Such extension is done </w:t>
      </w:r>
      <w:r w:rsidR="00952BAF">
        <w:t xml:space="preserve">per row </w:t>
      </w:r>
      <w:proofErr w:type="spellStart"/>
      <w:r w:rsidR="00952BAF">
        <w:t>i</w:t>
      </w:r>
      <w:proofErr w:type="spellEnd"/>
      <w:r w:rsidR="00952BAF">
        <w:t xml:space="preserve">, 1 ≤ </w:t>
      </w:r>
      <w:proofErr w:type="spellStart"/>
      <w:r w:rsidR="00952BAF">
        <w:t>i</w:t>
      </w:r>
      <w:proofErr w:type="spellEnd"/>
      <w:r w:rsidR="00952BAF">
        <w:t xml:space="preserve"> ≤ max row # of the TDRA table, and the union of all the extended sets are taken </w:t>
      </w:r>
      <w:r w:rsidR="007341D9">
        <w:t>to be pruned</w:t>
      </w:r>
      <w:r w:rsidR="00952BAF">
        <w:t xml:space="preserve"> to determine the candidate PDSCH reception occasions. Note that </w:t>
      </w:r>
      <w:r w:rsidR="007341D9">
        <w:t>to</w:t>
      </w:r>
      <w:r w:rsidR="00952BAF">
        <w:t xml:space="preserve"> obtain each of the extended set, the offset values need to be </w:t>
      </w:r>
      <w:r w:rsidR="007341D9">
        <w:t>included</w:t>
      </w:r>
      <w:r w:rsidR="00952BAF">
        <w:t xml:space="preserve"> in the TDRA table, i.e., it seems that </w:t>
      </w:r>
      <w:r w:rsidR="007341D9">
        <w:t>all</w:t>
      </w:r>
      <w:r w:rsidR="00952BAF">
        <w:t xml:space="preserve"> slot </w:t>
      </w:r>
      <w:r w:rsidR="00076536">
        <w:t>offsets</w:t>
      </w:r>
      <w:r w:rsidR="00952BAF">
        <w:t xml:space="preserve"> between adjacent PDSCHs need to be </w:t>
      </w:r>
      <w:r w:rsidR="007341D9">
        <w:t xml:space="preserve">listed </w:t>
      </w:r>
      <w:r w:rsidR="00952BAF">
        <w:t>in the TDRA table</w:t>
      </w:r>
      <w:r w:rsidR="00076536">
        <w:t xml:space="preserve"> for the above procedure to work. </w:t>
      </w:r>
      <w:r w:rsidR="00952BAF">
        <w:t xml:space="preserve"> </w:t>
      </w:r>
    </w:p>
    <w:p w14:paraId="0ADDED40" w14:textId="4E63DF9C" w:rsidR="00EB0B26" w:rsidRDefault="00076536" w:rsidP="00076536">
      <w:pPr>
        <w:rPr>
          <w:b/>
          <w:bCs/>
          <w:i/>
          <w:iCs/>
        </w:rPr>
      </w:pPr>
      <w:r>
        <w:rPr>
          <w:b/>
          <w:bCs/>
          <w:i/>
          <w:iCs/>
        </w:rPr>
        <w:t xml:space="preserve">Proposal </w:t>
      </w:r>
      <w:r w:rsidR="002A2DB9">
        <w:rPr>
          <w:b/>
          <w:bCs/>
          <w:i/>
          <w:iCs/>
        </w:rPr>
        <w:t>6</w:t>
      </w:r>
      <w:r>
        <w:rPr>
          <w:b/>
          <w:bCs/>
          <w:i/>
          <w:iCs/>
        </w:rPr>
        <w:t>: Option 1 is preferred over Option 1a for determine the candidate PDSCH occasion for type-1 HARQ-ACK codebook to be established</w:t>
      </w:r>
      <w:r w:rsidRPr="0053474E">
        <w:rPr>
          <w:b/>
          <w:bCs/>
          <w:i/>
          <w:iCs/>
        </w:rPr>
        <w:t>.</w:t>
      </w:r>
      <w:r>
        <w:rPr>
          <w:b/>
          <w:bCs/>
          <w:i/>
          <w:iCs/>
        </w:rPr>
        <w:t xml:space="preserve"> </w:t>
      </w:r>
      <w:r w:rsidR="007341D9">
        <w:rPr>
          <w:b/>
          <w:bCs/>
          <w:i/>
          <w:iCs/>
        </w:rPr>
        <w:t>All</w:t>
      </w:r>
      <w:r>
        <w:rPr>
          <w:b/>
          <w:bCs/>
          <w:i/>
          <w:iCs/>
        </w:rPr>
        <w:t xml:space="preserve"> slot offsets </w:t>
      </w:r>
      <w:r w:rsidR="007341D9">
        <w:rPr>
          <w:b/>
          <w:bCs/>
          <w:i/>
          <w:iCs/>
        </w:rPr>
        <w:t>are</w:t>
      </w:r>
      <w:r>
        <w:rPr>
          <w:b/>
          <w:bCs/>
          <w:i/>
          <w:iCs/>
        </w:rPr>
        <w:t xml:space="preserve"> included in the TDRA table for multi-PDSCH such that the extended K1 set is obtainable for contiguous and non-contiguous multi-PDSCH configurations. </w:t>
      </w:r>
    </w:p>
    <w:p w14:paraId="3C8BD9D3" w14:textId="3B089E35" w:rsidR="00076536" w:rsidRDefault="00EB0B26" w:rsidP="00076536">
      <w:r>
        <w:t>For Option 2, if the extended K1 set is to be determined only by the last SLIV of each row in the TDRA table (and the number of SLIV for each row is known and thus indicates the number of PDSCHs in a multi-</w:t>
      </w:r>
      <w:r>
        <w:lastRenderedPageBreak/>
        <w:t xml:space="preserve">slot), the implicit assumption </w:t>
      </w:r>
      <w:r w:rsidRPr="00D15B02">
        <w:t>should be that the multi-slot is</w:t>
      </w:r>
      <w:r w:rsidR="003007B1">
        <w:t xml:space="preserve"> continuous (refer to the agreement attached at the beginning of section 2.2 that non-continuous allocation of slots are allowed for multiple PDSCHs/PUSCHs)</w:t>
      </w:r>
      <w:r>
        <w:t>, i.e.</w:t>
      </w:r>
      <w:r w:rsidR="007341D9">
        <w:t>,</w:t>
      </w:r>
      <w:r>
        <w:t xml:space="preserve"> no gap between PDSCHs, otherwise it is hard to figure out how to extend the K1 set for </w:t>
      </w:r>
      <w:r w:rsidR="007341D9">
        <w:t>the</w:t>
      </w:r>
      <w:r>
        <w:t xml:space="preserve"> row</w:t>
      </w:r>
      <w:r w:rsidR="007341D9">
        <w:t>s</w:t>
      </w:r>
      <w:r>
        <w:t xml:space="preserve">. </w:t>
      </w:r>
      <w:r w:rsidR="007341D9">
        <w:t>It</w:t>
      </w:r>
      <w:r w:rsidR="007A6D23">
        <w:t xml:space="preserve"> was raised by companies that Option 2 does not have equal capability with Option 1 to handle DL/UL collision, which could occur at the last the PDSCH, on which mapped with all the HARQ-ACK bits. </w:t>
      </w:r>
    </w:p>
    <w:p w14:paraId="5465EB56" w14:textId="61AAF525" w:rsidR="007A6D23" w:rsidRDefault="007A6D23" w:rsidP="007A6D23">
      <w:pPr>
        <w:rPr>
          <w:b/>
          <w:bCs/>
          <w:i/>
          <w:iCs/>
        </w:rPr>
      </w:pPr>
      <w:r>
        <w:rPr>
          <w:b/>
          <w:bCs/>
          <w:i/>
          <w:iCs/>
        </w:rPr>
        <w:t xml:space="preserve">Observation </w:t>
      </w:r>
      <w:r w:rsidR="00AC4811">
        <w:rPr>
          <w:b/>
          <w:bCs/>
          <w:i/>
          <w:iCs/>
        </w:rPr>
        <w:t>3</w:t>
      </w:r>
      <w:r>
        <w:rPr>
          <w:b/>
          <w:bCs/>
          <w:i/>
          <w:iCs/>
        </w:rPr>
        <w:t xml:space="preserve">: Option 2 may not have the equal </w:t>
      </w:r>
      <w:r w:rsidR="00C05FE2">
        <w:rPr>
          <w:b/>
          <w:bCs/>
          <w:i/>
          <w:iCs/>
        </w:rPr>
        <w:t>flexibility</w:t>
      </w:r>
      <w:r>
        <w:rPr>
          <w:b/>
          <w:bCs/>
          <w:i/>
          <w:iCs/>
        </w:rPr>
        <w:t xml:space="preserve"> to handle non-contiguous multi-PDSCH as with Option 1 and can suffer from DL/UL collision. </w:t>
      </w:r>
    </w:p>
    <w:p w14:paraId="395BB4C0" w14:textId="6F53EAB4" w:rsidR="00BD6CAD" w:rsidRPr="00BD6CAD" w:rsidRDefault="00716294" w:rsidP="007A6D23">
      <w:r>
        <w:t>The size of the extended K1 set</w:t>
      </w:r>
      <w:r w:rsidR="00C268DE">
        <w:t>, especially for the non-contiguous multi-slot,</w:t>
      </w:r>
      <w:r>
        <w:t xml:space="preserve"> is </w:t>
      </w:r>
      <w:r w:rsidR="00C268DE">
        <w:t>affected by</w:t>
      </w:r>
      <w:r>
        <w:t xml:space="preserve"> the schedulable offsets between PDSCHs and the last PDSCH, i.e., the allowable gaps between individual PDSCHs in a multi-PDSCH. One way to reduce this size is to restrict the maximum allowable </w:t>
      </w:r>
      <w:r w:rsidR="007341D9">
        <w:t>gap</w:t>
      </w:r>
      <w:r>
        <w:t>. Although such gaps may be useful for conveying additional control information such as beam-switching if necessary, using large value for the gaps is also against the intention of scheduling multi-PDSCH</w:t>
      </w:r>
      <w:r w:rsidR="00C268DE">
        <w:t xml:space="preserve">, which is to take advantage of the channel similarity between individual slots when SCS is large. For these reasons, the maximum duration of a multi-PDSCH should be explicitly restricted. </w:t>
      </w:r>
    </w:p>
    <w:p w14:paraId="06B07A17" w14:textId="05195C67" w:rsidR="00D66263" w:rsidRPr="00C268DE" w:rsidRDefault="00C268DE" w:rsidP="00414ADE">
      <w:pPr>
        <w:rPr>
          <w:b/>
          <w:bCs/>
          <w:i/>
          <w:iCs/>
        </w:rPr>
      </w:pPr>
      <w:r>
        <w:rPr>
          <w:b/>
          <w:bCs/>
          <w:i/>
          <w:iCs/>
        </w:rPr>
        <w:t xml:space="preserve">Proposal </w:t>
      </w:r>
      <w:r w:rsidR="002A2DB9">
        <w:rPr>
          <w:b/>
          <w:bCs/>
          <w:i/>
          <w:iCs/>
        </w:rPr>
        <w:t>7</w:t>
      </w:r>
      <w:r>
        <w:rPr>
          <w:b/>
          <w:bCs/>
          <w:i/>
          <w:iCs/>
        </w:rPr>
        <w:t xml:space="preserve">: </w:t>
      </w:r>
      <w:r w:rsidR="003007B1">
        <w:rPr>
          <w:b/>
          <w:bCs/>
          <w:i/>
          <w:iCs/>
        </w:rPr>
        <w:t>For the non-continuous multi-PDSCH, r</w:t>
      </w:r>
      <w:r>
        <w:rPr>
          <w:b/>
          <w:bCs/>
          <w:i/>
          <w:iCs/>
        </w:rPr>
        <w:t xml:space="preserve">estrict the maximum allowable gaps </w:t>
      </w:r>
      <w:r w:rsidR="003007B1">
        <w:rPr>
          <w:b/>
          <w:bCs/>
          <w:i/>
          <w:iCs/>
        </w:rPr>
        <w:t xml:space="preserve">to maximally 2 slots </w:t>
      </w:r>
      <w:r>
        <w:rPr>
          <w:b/>
          <w:bCs/>
          <w:i/>
          <w:iCs/>
        </w:rPr>
        <w:t>between individual PDSCHs to limit the size of the extended K1 set</w:t>
      </w:r>
      <w:r w:rsidR="003007B1">
        <w:rPr>
          <w:b/>
          <w:bCs/>
          <w:i/>
          <w:iCs/>
        </w:rPr>
        <w:t>.</w:t>
      </w:r>
      <w:r>
        <w:rPr>
          <w:b/>
          <w:bCs/>
          <w:i/>
          <w:iCs/>
        </w:rPr>
        <w:t xml:space="preserve"> </w:t>
      </w:r>
    </w:p>
    <w:p w14:paraId="64F38604" w14:textId="5D06DD1D" w:rsidR="00D66263" w:rsidRDefault="00555ED9" w:rsidP="00414ADE">
      <w:r>
        <w:t xml:space="preserve">Another important issue is that if the enhancement unavoidably leads to </w:t>
      </w:r>
      <w:r w:rsidR="00712A2D">
        <w:t>significant</w:t>
      </w:r>
      <w:r>
        <w:t xml:space="preserve"> increase of codebook size </w:t>
      </w:r>
      <w:r w:rsidR="007341D9">
        <w:t>despite that</w:t>
      </w:r>
      <w:r>
        <w:t xml:space="preserve"> a pruning procedure is applied, whether type-1 HARQ-ACK codebook is still a viable option for </w:t>
      </w:r>
      <w:r w:rsidR="007341D9">
        <w:t xml:space="preserve">the </w:t>
      </w:r>
      <w:r>
        <w:t>multi-PDSCH. Again, the motivation of multi-PDSCH is to reduce PDCCH monitoring frequency and reduce DL/UL switching, while the price seems to be uplink payload incre</w:t>
      </w:r>
      <w:r w:rsidR="007341D9">
        <w:t>ment</w:t>
      </w:r>
      <w:r>
        <w:t xml:space="preserve"> and thus potential coverage loss. </w:t>
      </w:r>
      <w:r w:rsidR="008C6C3B">
        <w:t xml:space="preserve">It can be beneficial to </w:t>
      </w:r>
      <w:r w:rsidR="007341D9">
        <w:t xml:space="preserve">simulate to </w:t>
      </w:r>
      <w:r w:rsidR="008C6C3B">
        <w:t xml:space="preserve">evaluate the </w:t>
      </w:r>
      <w:r w:rsidR="00B8553E">
        <w:t xml:space="preserve">PUCCH coverage </w:t>
      </w:r>
      <w:r w:rsidR="008C6C3B">
        <w:t xml:space="preserve">loss when </w:t>
      </w:r>
      <w:r w:rsidR="00B8553E">
        <w:t xml:space="preserve">carrying </w:t>
      </w:r>
      <w:r w:rsidR="008C6C3B">
        <w:t>a large</w:t>
      </w:r>
      <w:r w:rsidR="007341D9">
        <w:t>r</w:t>
      </w:r>
      <w:r w:rsidR="008C6C3B">
        <w:t xml:space="preserve"> size </w:t>
      </w:r>
      <w:r w:rsidR="00B8553E">
        <w:t>type-1 HARQ-ACK codebook</w:t>
      </w:r>
      <w:r w:rsidR="008C6C3B">
        <w:t xml:space="preserve"> </w:t>
      </w:r>
      <w:r w:rsidR="007341D9">
        <w:t>before conclusion is made</w:t>
      </w:r>
      <w:r w:rsidR="00B8553E">
        <w:t xml:space="preserve">. </w:t>
      </w:r>
    </w:p>
    <w:p w14:paraId="30580CCA" w14:textId="5D3BA5B0" w:rsidR="008C6C3B" w:rsidRDefault="00BD6CAD" w:rsidP="008C6C3B">
      <w:pPr>
        <w:rPr>
          <w:b/>
          <w:bCs/>
          <w:i/>
          <w:iCs/>
        </w:rPr>
      </w:pPr>
      <w:r>
        <w:rPr>
          <w:b/>
          <w:bCs/>
          <w:i/>
          <w:iCs/>
        </w:rPr>
        <w:t>Observation</w:t>
      </w:r>
      <w:r w:rsidR="008C6C3B">
        <w:rPr>
          <w:b/>
          <w:bCs/>
          <w:i/>
          <w:iCs/>
        </w:rPr>
        <w:t xml:space="preserve"> </w:t>
      </w:r>
      <w:r w:rsidR="00AC4811">
        <w:rPr>
          <w:b/>
          <w:bCs/>
          <w:i/>
          <w:iCs/>
        </w:rPr>
        <w:t>4</w:t>
      </w:r>
      <w:r w:rsidR="008C6C3B">
        <w:rPr>
          <w:b/>
          <w:bCs/>
          <w:i/>
          <w:iCs/>
        </w:rPr>
        <w:t xml:space="preserve">: </w:t>
      </w:r>
      <w:r>
        <w:rPr>
          <w:b/>
          <w:bCs/>
          <w:i/>
          <w:iCs/>
        </w:rPr>
        <w:t xml:space="preserve">It can be beneficial to study </w:t>
      </w:r>
      <w:r w:rsidR="008C6C3B">
        <w:rPr>
          <w:b/>
          <w:bCs/>
          <w:i/>
          <w:iCs/>
        </w:rPr>
        <w:t>coverage loss</w:t>
      </w:r>
      <w:r>
        <w:rPr>
          <w:b/>
          <w:bCs/>
          <w:i/>
          <w:iCs/>
        </w:rPr>
        <w:t xml:space="preserve"> if a larger size type-1 HARQ-ACK codebook is carried by UCI of certain PUCCH format</w:t>
      </w:r>
      <w:r w:rsidR="008C6C3B">
        <w:rPr>
          <w:b/>
          <w:bCs/>
          <w:i/>
          <w:iCs/>
        </w:rPr>
        <w:t xml:space="preserve">. </w:t>
      </w:r>
    </w:p>
    <w:p w14:paraId="507F6A5E" w14:textId="77777777" w:rsidR="00D966EB" w:rsidRPr="00D47B55" w:rsidRDefault="00D966EB" w:rsidP="00D966EB">
      <w:r>
        <w:t xml:space="preserve">One possible option to consider is to mitigate potential coverage loss because of large HARQ codebook size by using multi-PUCCH, where each PUCCH carries part of the HARQ-ACK bits. Multi-PUCCH was discusses during the last meeting mainly for mitigating HARQ number starvation. However, high standard effort is expected for enabling the multi-PUCCH for multi-PDSCH. There are at least two aspects subject to continuous discussion before any concluding remark regarding benefit of the multi-PUCCH can be made: a. Timeline related parameters be determined for higher SCSs considering UE capability; b. </w:t>
      </w:r>
      <w:r w:rsidRPr="002405B6">
        <w:t>Whether idle slots (if any) for higher SCS are a significant issue</w:t>
      </w:r>
      <w:r>
        <w:t>.</w:t>
      </w:r>
    </w:p>
    <w:p w14:paraId="43206746" w14:textId="77777777" w:rsidR="00D966EB" w:rsidRPr="00BD33D2" w:rsidRDefault="00D966EB" w:rsidP="00D966EB">
      <w:pPr>
        <w:spacing w:after="160" w:line="259" w:lineRule="auto"/>
        <w:jc w:val="left"/>
        <w:rPr>
          <w:b/>
          <w:bCs/>
          <w:i/>
          <w:iCs/>
        </w:rPr>
      </w:pPr>
      <w:r w:rsidRPr="00D47B55">
        <w:rPr>
          <w:b/>
          <w:bCs/>
          <w:i/>
          <w:iCs/>
        </w:rPr>
        <w:t xml:space="preserve">Proposal 8: </w:t>
      </w:r>
      <w:r>
        <w:rPr>
          <w:b/>
          <w:bCs/>
          <w:i/>
          <w:iCs/>
        </w:rPr>
        <w:t xml:space="preserve">Study if there is benefit of adopting multi-PUCCH for multi-PDSCH for either mitigation of coverage loss or reduce idle slot if HARQ starvation is a significant issue for the higher SCSs.  </w:t>
      </w:r>
    </w:p>
    <w:p w14:paraId="53EE1AD4" w14:textId="3DD00FB2" w:rsidR="00CD35A9" w:rsidRPr="00CD35A9" w:rsidRDefault="00CD35A9" w:rsidP="00CD35A9">
      <w:pPr>
        <w:snapToGrid/>
        <w:spacing w:after="0"/>
        <w:jc w:val="left"/>
        <w:rPr>
          <w:rFonts w:ascii="CIDFont+F3" w:eastAsiaTheme="minorEastAsia" w:hAnsi="CIDFont+F3" w:cs="CIDFont+F3"/>
          <w:sz w:val="19"/>
          <w:szCs w:val="19"/>
          <w:lang w:eastAsia="zh-CN"/>
        </w:rPr>
      </w:pPr>
    </w:p>
    <w:p w14:paraId="5D9342D1" w14:textId="5C8CF606" w:rsidR="000E3696" w:rsidRDefault="00414ADE" w:rsidP="000E3696">
      <w:pPr>
        <w:pStyle w:val="Heading2"/>
      </w:pPr>
      <w:r>
        <w:t>Type-2 HARQ-codebook for multiple PDSCH</w:t>
      </w:r>
    </w:p>
    <w:p w14:paraId="26C72A29" w14:textId="77777777" w:rsidR="00D15B02" w:rsidRPr="00D15B02" w:rsidRDefault="00D15B02" w:rsidP="00D15B02"/>
    <w:tbl>
      <w:tblPr>
        <w:tblStyle w:val="TableGrid"/>
        <w:tblW w:w="0" w:type="auto"/>
        <w:tblLook w:val="04A0" w:firstRow="1" w:lastRow="0" w:firstColumn="1" w:lastColumn="0" w:noHBand="0" w:noVBand="1"/>
      </w:tblPr>
      <w:tblGrid>
        <w:gridCol w:w="9307"/>
      </w:tblGrid>
      <w:tr w:rsidR="000E3696" w14:paraId="6E499451" w14:textId="77777777" w:rsidTr="00CA6023">
        <w:tc>
          <w:tcPr>
            <w:tcW w:w="9307" w:type="dxa"/>
          </w:tcPr>
          <w:p w14:paraId="284579F3" w14:textId="77777777" w:rsidR="000E3696" w:rsidRPr="00E51D2A" w:rsidRDefault="000E3696" w:rsidP="000E3696">
            <w:pPr>
              <w:rPr>
                <w:u w:val="single"/>
                <w:lang w:eastAsia="x-none"/>
              </w:rPr>
            </w:pPr>
            <w:r w:rsidRPr="0045577A">
              <w:rPr>
                <w:highlight w:val="yellow"/>
                <w:u w:val="single"/>
                <w:lang w:eastAsia="x-none"/>
              </w:rPr>
              <w:t>Conclusion:</w:t>
            </w:r>
          </w:p>
          <w:p w14:paraId="0C64220B" w14:textId="77777777" w:rsidR="000E3696" w:rsidRDefault="000E3696" w:rsidP="000E3696">
            <w:pPr>
              <w:rPr>
                <w:lang w:eastAsia="x-none"/>
              </w:rPr>
            </w:pPr>
            <w:r>
              <w:rPr>
                <w:lang w:eastAsia="x-none"/>
              </w:rPr>
              <w:t>The following is observed for alternative 1 from prior agreement.</w:t>
            </w:r>
          </w:p>
          <w:p w14:paraId="787AB8E7" w14:textId="77777777" w:rsidR="000E3696" w:rsidRPr="00F10D61" w:rsidRDefault="000E3696" w:rsidP="000E3696">
            <w:pPr>
              <w:pStyle w:val="ListParagraph"/>
              <w:numPr>
                <w:ilvl w:val="0"/>
                <w:numId w:val="29"/>
              </w:numPr>
              <w:spacing w:after="160" w:line="256" w:lineRule="auto"/>
              <w:rPr>
                <w:rFonts w:eastAsia="Malgun Gothic"/>
              </w:rPr>
            </w:pPr>
            <w:r>
              <w:t xml:space="preserve">For Alt 1 (C-DAI/T-DAI is counted per DCI) of generating </w:t>
            </w:r>
            <w:r>
              <w:rPr>
                <w:rFonts w:eastAsia="Malgun Gothic"/>
              </w:rPr>
              <w:t xml:space="preserve">type-2 HARQ-ACK codebook corresponding to DCI that can schedule multiple </w:t>
            </w:r>
            <w:r w:rsidRPr="00F10D61">
              <w:rPr>
                <w:rFonts w:eastAsia="Malgun Gothic"/>
              </w:rPr>
              <w:t>PDSCHs,</w:t>
            </w:r>
          </w:p>
          <w:p w14:paraId="17146141" w14:textId="77777777" w:rsidR="000E3696" w:rsidRPr="00F10D61" w:rsidRDefault="000E3696" w:rsidP="000E3696">
            <w:pPr>
              <w:pStyle w:val="ListParagraph"/>
              <w:numPr>
                <w:ilvl w:val="1"/>
                <w:numId w:val="29"/>
              </w:numPr>
              <w:spacing w:after="160" w:line="256" w:lineRule="auto"/>
              <w:rPr>
                <w:rFonts w:eastAsia="Malgun Gothic"/>
              </w:rPr>
            </w:pPr>
            <w:r w:rsidRPr="00F10D61">
              <w:rPr>
                <w:rFonts w:eastAsia="Malgun Gothic"/>
              </w:rPr>
              <w:t>C-DAI/T-DAI in DL DCI: Same DAI overhead with Rel-16 single-PDSCH DCI</w:t>
            </w:r>
          </w:p>
          <w:p w14:paraId="03E3C911" w14:textId="77777777" w:rsidR="000E3696" w:rsidRPr="00F10D61" w:rsidRDefault="000E3696" w:rsidP="000E3696">
            <w:pPr>
              <w:pStyle w:val="ListParagraph"/>
              <w:numPr>
                <w:ilvl w:val="1"/>
                <w:numId w:val="29"/>
              </w:numPr>
              <w:spacing w:after="160" w:line="256" w:lineRule="auto"/>
              <w:rPr>
                <w:rFonts w:eastAsia="Malgun Gothic"/>
                <w:lang w:val="de-DE"/>
              </w:rPr>
            </w:pPr>
            <w:r w:rsidRPr="00F10D61">
              <w:rPr>
                <w:rFonts w:eastAsia="Malgun Gothic"/>
                <w:lang w:val="de-DE"/>
              </w:rPr>
              <w:t xml:space="preserve">T-DAI in UL DCI: </w:t>
            </w:r>
          </w:p>
          <w:p w14:paraId="54A54B78" w14:textId="77777777" w:rsidR="000E3696" w:rsidRPr="00F10D61" w:rsidRDefault="000E3696" w:rsidP="000E3696">
            <w:pPr>
              <w:pStyle w:val="ListParagraph"/>
              <w:numPr>
                <w:ilvl w:val="2"/>
                <w:numId w:val="29"/>
              </w:numPr>
              <w:spacing w:after="160" w:line="256" w:lineRule="auto"/>
              <w:rPr>
                <w:rFonts w:eastAsia="Malgun Gothic"/>
              </w:rPr>
            </w:pPr>
            <w:r w:rsidRPr="00F10D61">
              <w:rPr>
                <w:rFonts w:eastAsia="Malgun Gothic"/>
              </w:rPr>
              <w:t>In case of single codebook</w:t>
            </w:r>
            <w:r w:rsidRPr="00F10D61">
              <w:t xml:space="preserve"> </w:t>
            </w:r>
            <w:r w:rsidRPr="00F10D61">
              <w:rPr>
                <w:rFonts w:eastAsia="Malgun Gothic"/>
              </w:rPr>
              <w:t>handling feedback for both single and multi-PDSCH scheduling, same DAI overhead with Rel-16 UL DCI</w:t>
            </w:r>
          </w:p>
          <w:p w14:paraId="644D2092" w14:textId="77777777" w:rsidR="000E3696" w:rsidRPr="00F10D61" w:rsidRDefault="000E3696" w:rsidP="000E3696">
            <w:pPr>
              <w:pStyle w:val="ListParagraph"/>
              <w:numPr>
                <w:ilvl w:val="2"/>
                <w:numId w:val="29"/>
              </w:numPr>
              <w:spacing w:after="160" w:line="256" w:lineRule="auto"/>
              <w:rPr>
                <w:rFonts w:eastAsia="Malgun Gothic"/>
              </w:rPr>
            </w:pPr>
            <w:r w:rsidRPr="00F10D61">
              <w:rPr>
                <w:rFonts w:eastAsia="Malgun Gothic"/>
              </w:rPr>
              <w:t>In case of separate sub-codebooks, need additional DAI field (with same bit-width of DAI with Rel-16 UL DCI), in UL DCI for all serving cells including a serving cell not configured with multi-PDSCH DCI</w:t>
            </w:r>
          </w:p>
          <w:p w14:paraId="7DE7630B" w14:textId="77777777" w:rsidR="000E3696" w:rsidRPr="00F10D61" w:rsidRDefault="000E3696" w:rsidP="000E3696">
            <w:pPr>
              <w:pStyle w:val="ListParagraph"/>
              <w:numPr>
                <w:ilvl w:val="3"/>
                <w:numId w:val="29"/>
              </w:numPr>
              <w:spacing w:after="160" w:line="256" w:lineRule="auto"/>
              <w:rPr>
                <w:rFonts w:eastAsia="Malgun Gothic"/>
              </w:rPr>
            </w:pPr>
            <w:r w:rsidRPr="00F10D61">
              <w:rPr>
                <w:rFonts w:eastAsia="Malgun Gothic"/>
              </w:rPr>
              <w:lastRenderedPageBreak/>
              <w:t>Note that DAI field increment for this case is similar for the case in Rel-15 where CBG is configured</w:t>
            </w:r>
          </w:p>
          <w:p w14:paraId="30CF8D51" w14:textId="77777777" w:rsidR="000E3696" w:rsidRPr="00F10D61" w:rsidRDefault="000E3696" w:rsidP="000E3696">
            <w:pPr>
              <w:pStyle w:val="ListParagraph"/>
              <w:numPr>
                <w:ilvl w:val="1"/>
                <w:numId w:val="29"/>
              </w:numPr>
              <w:spacing w:after="160" w:line="256" w:lineRule="auto"/>
              <w:rPr>
                <w:rFonts w:eastAsia="Malgun Gothic"/>
              </w:rPr>
            </w:pPr>
            <w:r w:rsidRPr="00F10D61">
              <w:rPr>
                <w:rFonts w:eastAsia="Malgun Gothic" w:hint="eastAsia"/>
                <w:lang w:eastAsia="ko-KR"/>
              </w:rPr>
              <w:t>HARQ-ACK codebook generation:</w:t>
            </w:r>
          </w:p>
          <w:p w14:paraId="256D1AB1" w14:textId="77777777" w:rsidR="000E3696" w:rsidRPr="00F10D61" w:rsidRDefault="000E3696" w:rsidP="000E3696">
            <w:pPr>
              <w:pStyle w:val="ListParagraph"/>
              <w:numPr>
                <w:ilvl w:val="2"/>
                <w:numId w:val="29"/>
              </w:numPr>
              <w:spacing w:after="160" w:line="256" w:lineRule="auto"/>
              <w:rPr>
                <w:rFonts w:eastAsia="Malgun Gothic"/>
              </w:rPr>
            </w:pPr>
            <w:r w:rsidRPr="00F10D61">
              <w:rPr>
                <w:lang w:eastAsia="ko-KR"/>
              </w:rPr>
              <w:t xml:space="preserve">A separate sub-codebook can be generated when multi-PDSCH DCI is configured for a serving cell, </w:t>
            </w:r>
            <w:proofErr w:type="gramStart"/>
            <w:r w:rsidRPr="00F10D61">
              <w:rPr>
                <w:lang w:eastAsia="ko-KR"/>
              </w:rPr>
              <w:t>similar to</w:t>
            </w:r>
            <w:proofErr w:type="gramEnd"/>
            <w:r w:rsidRPr="00F10D61">
              <w:rPr>
                <w:lang w:eastAsia="ko-KR"/>
              </w:rPr>
              <w:t xml:space="preserve"> the way as 2</w:t>
            </w:r>
            <w:r w:rsidRPr="00F10D61">
              <w:rPr>
                <w:vertAlign w:val="superscript"/>
                <w:lang w:eastAsia="ko-KR"/>
              </w:rPr>
              <w:t>nd</w:t>
            </w:r>
            <w:r w:rsidRPr="00F10D61">
              <w:rPr>
                <w:lang w:eastAsia="ko-KR"/>
              </w:rPr>
              <w:t xml:space="preserve"> sub-codebook is defined to handle</w:t>
            </w:r>
            <w:r w:rsidRPr="00F10D61">
              <w:rPr>
                <w:rFonts w:hint="eastAsia"/>
                <w:lang w:eastAsia="ko-KR"/>
              </w:rPr>
              <w:t xml:space="preserve"> </w:t>
            </w:r>
            <w:r w:rsidRPr="00F10D61">
              <w:rPr>
                <w:lang w:eastAsia="ko-KR"/>
              </w:rPr>
              <w:t>CBG-based scheduling</w:t>
            </w:r>
          </w:p>
          <w:p w14:paraId="65A5CFF7" w14:textId="77777777" w:rsidR="000E3696" w:rsidRPr="00F10D61" w:rsidRDefault="000E3696" w:rsidP="000E3696">
            <w:pPr>
              <w:pStyle w:val="ListParagraph"/>
              <w:numPr>
                <w:ilvl w:val="3"/>
                <w:numId w:val="29"/>
              </w:numPr>
              <w:spacing w:after="160" w:line="256" w:lineRule="auto"/>
              <w:rPr>
                <w:rFonts w:eastAsia="Malgun Gothic"/>
              </w:rPr>
            </w:pPr>
            <w:r w:rsidRPr="00F10D61">
              <w:rPr>
                <w:lang w:eastAsia="ko-KR"/>
              </w:rPr>
              <w:t xml:space="preserve">FFS: whether single codebook or </w:t>
            </w:r>
            <w:r w:rsidRPr="00F10D61">
              <w:rPr>
                <w:rFonts w:eastAsia="Malgun Gothic"/>
              </w:rPr>
              <w:t xml:space="preserve">separate </w:t>
            </w:r>
            <w:r w:rsidRPr="00F10D61">
              <w:rPr>
                <w:lang w:eastAsia="ko-KR"/>
              </w:rPr>
              <w:t>sub-codebooks is(are) generated when multi-PDSCH DCI is configured for a serving cell</w:t>
            </w:r>
          </w:p>
          <w:p w14:paraId="25282481" w14:textId="77777777" w:rsidR="000E3696" w:rsidRPr="00F10D61" w:rsidRDefault="000E3696" w:rsidP="000E3696">
            <w:pPr>
              <w:pStyle w:val="ListParagraph"/>
              <w:numPr>
                <w:ilvl w:val="3"/>
                <w:numId w:val="29"/>
              </w:numPr>
              <w:spacing w:after="160" w:line="256" w:lineRule="auto"/>
              <w:rPr>
                <w:rFonts w:eastAsia="Malgun Gothic"/>
              </w:rPr>
            </w:pPr>
            <w:r w:rsidRPr="00F10D61">
              <w:rPr>
                <w:lang w:eastAsia="ko-KR"/>
              </w:rPr>
              <w:t>FFS: how many sub-codebooks are generated when multi-PDSCH DCI is configured for a serving cell and CBG is configured for the serving cell and/or the other serving cell(s)</w:t>
            </w:r>
          </w:p>
          <w:p w14:paraId="100D2050" w14:textId="77777777" w:rsidR="000E3696" w:rsidRPr="00F10D61" w:rsidRDefault="000E3696" w:rsidP="000E3696">
            <w:pPr>
              <w:pStyle w:val="ListParagraph"/>
              <w:numPr>
                <w:ilvl w:val="2"/>
                <w:numId w:val="29"/>
              </w:numPr>
              <w:spacing w:after="160" w:line="256" w:lineRule="auto"/>
              <w:rPr>
                <w:rFonts w:eastAsia="Malgun Gothic"/>
              </w:rPr>
            </w:pPr>
            <w:r w:rsidRPr="00F10D61">
              <w:rPr>
                <w:rFonts w:eastAsia="Malgun Gothic"/>
                <w:lang w:eastAsia="ko-KR"/>
              </w:rPr>
              <w:t xml:space="preserve">HARQ-ACK payload size is increased compared to single PDSCH scheduling only, since the number of HARQ-ACK bits corresponding to each DAI of the (sub-)codebook for multi-PDSCH DCI in case of </w:t>
            </w:r>
            <w:r w:rsidRPr="00F10D61">
              <w:rPr>
                <w:rFonts w:eastAsia="Malgun Gothic"/>
              </w:rPr>
              <w:t xml:space="preserve">separate </w:t>
            </w:r>
            <w:r w:rsidRPr="00F10D61">
              <w:rPr>
                <w:rFonts w:eastAsia="Malgun Gothic"/>
                <w:lang w:eastAsia="ko-KR"/>
              </w:rPr>
              <w:t>sub-codebooks (or for all DL DCIs in case of single codebook) depends on the maximum configured number of PDSCHs for multi-PDSCH DCI across serving cells belonging to the same PUCCH cell group.</w:t>
            </w:r>
          </w:p>
          <w:p w14:paraId="629D606C" w14:textId="77777777" w:rsidR="000E3696" w:rsidRPr="00F10D61" w:rsidRDefault="000E3696" w:rsidP="000E3696">
            <w:pPr>
              <w:pStyle w:val="ListParagraph"/>
              <w:numPr>
                <w:ilvl w:val="2"/>
                <w:numId w:val="29"/>
              </w:numPr>
              <w:spacing w:after="160" w:line="256" w:lineRule="auto"/>
              <w:rPr>
                <w:rFonts w:eastAsia="Malgun Gothic"/>
              </w:rPr>
            </w:pPr>
            <w:r w:rsidRPr="00F10D61">
              <w:rPr>
                <w:rFonts w:eastAsia="Malgun Gothic"/>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A88F463" w14:textId="77777777" w:rsidR="000E3696" w:rsidRPr="00F10D61" w:rsidRDefault="000E3696" w:rsidP="000E3696">
            <w:pPr>
              <w:pStyle w:val="ListParagraph"/>
              <w:numPr>
                <w:ilvl w:val="2"/>
                <w:numId w:val="29"/>
              </w:numPr>
              <w:spacing w:after="160" w:line="256" w:lineRule="auto"/>
              <w:rPr>
                <w:rFonts w:eastAsia="Malgun Gothic"/>
              </w:rPr>
            </w:pPr>
            <w:r w:rsidRPr="00F10D61">
              <w:rPr>
                <w:rFonts w:eastAsia="Malgun Gothic"/>
                <w:lang w:eastAsia="ko-KR"/>
              </w:rPr>
              <w:t xml:space="preserve">FFS: </w:t>
            </w:r>
            <w:r w:rsidRPr="00F10D61">
              <w:rPr>
                <w:bCs/>
                <w:iCs/>
                <w:snapToGrid w:val="0"/>
              </w:rPr>
              <w:t>time domain bundling of HARQ-ACK feedback, as per agreement in RAN1#104-e</w:t>
            </w:r>
          </w:p>
          <w:p w14:paraId="03145C0D" w14:textId="77777777" w:rsidR="000E3696" w:rsidRDefault="000E3696" w:rsidP="000E3696">
            <w:pPr>
              <w:pStyle w:val="ListParagraph"/>
              <w:numPr>
                <w:ilvl w:val="1"/>
                <w:numId w:val="29"/>
              </w:numPr>
              <w:spacing w:after="160" w:line="256" w:lineRule="auto"/>
              <w:rPr>
                <w:rFonts w:eastAsia="Malgun Gothic"/>
              </w:rPr>
            </w:pPr>
            <w:r w:rsidRPr="00F10D61">
              <w:rPr>
                <w:rFonts w:eastAsia="Malgun Gothic"/>
                <w:lang w:eastAsia="ko-KR"/>
              </w:rPr>
              <w:t xml:space="preserve">Note that </w:t>
            </w:r>
            <w:r w:rsidRPr="00F10D61">
              <w:rPr>
                <w:rFonts w:eastAsia="Malgun Gothic"/>
              </w:rPr>
              <w:t>multi-PDSCH DCI refers to a DL DCI where at least one entry of the TDRA table allows scheduling more than one PDSCH</w:t>
            </w:r>
          </w:p>
          <w:p w14:paraId="3F1C0948" w14:textId="77777777" w:rsidR="000E3696" w:rsidRDefault="000E3696" w:rsidP="000E3696">
            <w:pPr>
              <w:pStyle w:val="ListParagraph"/>
              <w:numPr>
                <w:ilvl w:val="0"/>
                <w:numId w:val="0"/>
              </w:numPr>
              <w:spacing w:after="160" w:line="256" w:lineRule="auto"/>
              <w:rPr>
                <w:rFonts w:eastAsia="Malgun Gothic"/>
              </w:rPr>
            </w:pPr>
          </w:p>
          <w:p w14:paraId="319CEF98" w14:textId="77777777" w:rsidR="000E3696" w:rsidRPr="0043652F" w:rsidRDefault="000E3696" w:rsidP="000E3696">
            <w:pPr>
              <w:pStyle w:val="ListParagraph"/>
              <w:numPr>
                <w:ilvl w:val="0"/>
                <w:numId w:val="0"/>
              </w:numPr>
              <w:spacing w:after="160" w:line="256" w:lineRule="auto"/>
              <w:rPr>
                <w:rFonts w:eastAsia="Malgun Gothic"/>
                <w:u w:val="single"/>
              </w:rPr>
            </w:pPr>
            <w:bookmarkStart w:id="2" w:name="_Hlk69808417"/>
            <w:r w:rsidRPr="0045577A">
              <w:rPr>
                <w:rFonts w:eastAsia="Malgun Gothic"/>
                <w:highlight w:val="yellow"/>
                <w:u w:val="single"/>
              </w:rPr>
              <w:t>Conclusion:</w:t>
            </w:r>
          </w:p>
          <w:p w14:paraId="6CA05BEE" w14:textId="77777777" w:rsidR="000E3696" w:rsidRPr="0043652F" w:rsidRDefault="000E3696" w:rsidP="000E3696">
            <w:pPr>
              <w:pStyle w:val="ListParagraph"/>
              <w:spacing w:after="160" w:line="256" w:lineRule="auto"/>
              <w:ind w:left="0"/>
              <w:rPr>
                <w:rFonts w:eastAsia="Malgun Gothic"/>
              </w:rPr>
            </w:pPr>
            <w:r w:rsidRPr="0043652F">
              <w:rPr>
                <w:rFonts w:eastAsia="Malgun Gothic"/>
              </w:rPr>
              <w:t>The following is observed for alternative 2 from prior agreement.</w:t>
            </w:r>
          </w:p>
          <w:p w14:paraId="5EF39EC3" w14:textId="77777777" w:rsidR="000E3696" w:rsidRPr="0043652F" w:rsidRDefault="000E3696" w:rsidP="000E3696">
            <w:pPr>
              <w:pStyle w:val="ListParagraph"/>
              <w:numPr>
                <w:ilvl w:val="0"/>
                <w:numId w:val="32"/>
              </w:numPr>
              <w:spacing w:after="160" w:line="252" w:lineRule="auto"/>
              <w:rPr>
                <w:rFonts w:eastAsia="Calibri"/>
                <w:lang w:eastAsia="zh-CN"/>
              </w:rPr>
            </w:pPr>
            <w:r w:rsidRPr="0043652F">
              <w:rPr>
                <w:lang w:eastAsia="ko-KR"/>
              </w:rPr>
              <w:t>For Alt 2a (C-DAI/T-DAI is counted per PDSCH with a single codebook) of generating type-2 HARQ-ACK codebook corresponding to DCI that can schedule multiple PDSCHs,</w:t>
            </w:r>
          </w:p>
          <w:p w14:paraId="431E8EDC" w14:textId="77777777" w:rsidR="000E3696" w:rsidRPr="0043652F" w:rsidRDefault="000E3696" w:rsidP="000E3696">
            <w:pPr>
              <w:pStyle w:val="ListParagraph"/>
              <w:numPr>
                <w:ilvl w:val="1"/>
                <w:numId w:val="32"/>
              </w:numPr>
              <w:spacing w:after="0" w:line="252" w:lineRule="auto"/>
              <w:rPr>
                <w:rFonts w:eastAsia="Times New Roman"/>
                <w:lang w:eastAsia="ko-KR"/>
              </w:rPr>
            </w:pPr>
            <w:r w:rsidRPr="0043652F">
              <w:rPr>
                <w:lang w:eastAsia="ko-KR"/>
              </w:rPr>
              <w:t>C-DAI/T-DAI in DL DCI: Bit-width can be increased (FFS: by how much), in DL DCI not only for multi-PDSCH DCI but also for single-PDSCH DCI for all serving cells including a serving cell not configured with multi-PDSCH DCI</w:t>
            </w:r>
          </w:p>
          <w:p w14:paraId="065B569B"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T-DAI in UL DCI: Bit-width can be increased (FFS: by how much), in UL DCI for all serving cells including a serving cell not configured with multi-PDSCH DCI</w:t>
            </w:r>
          </w:p>
          <w:p w14:paraId="79163320"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 xml:space="preserve">C-DAI/T-DAI in DL DCI and T-DAI in UL DCI shall be designed such that at most 3 consecutive DCI missing can be resolved, same as in Rel-15/16 NR. </w:t>
            </w:r>
          </w:p>
          <w:p w14:paraId="63B44304"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FFS: details on increment of DAI field size</w:t>
            </w:r>
          </w:p>
          <w:p w14:paraId="157BDBFA"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FFS: whether/how to handle the case where different DCI formats (e.g., DCI format 1_0 and DCI format 1_1) have different field sizes for C-DAI/T-DAI</w:t>
            </w:r>
          </w:p>
          <w:p w14:paraId="4BB2D266"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HARQ-ACK codebook generation:</w:t>
            </w:r>
          </w:p>
          <w:p w14:paraId="263E5EF5"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The number of HARQ-ACK bits depends on the number of scheduled PDSCHs.</w:t>
            </w:r>
          </w:p>
          <w:p w14:paraId="41CDB6EB"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FFS: ordering of the PDSCHs for DAI counting</w:t>
            </w:r>
          </w:p>
          <w:p w14:paraId="0BEF2E04"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 xml:space="preserve">FFS: </w:t>
            </w:r>
            <w:r w:rsidRPr="0043652F">
              <w:rPr>
                <w:snapToGrid w:val="0"/>
                <w:lang w:eastAsia="ko-KR"/>
              </w:rPr>
              <w:t>time domain bundling of HARQ-ACK feedback, as per agreement in RAN1#104-e</w:t>
            </w:r>
          </w:p>
          <w:p w14:paraId="71C4FE5B" w14:textId="77777777" w:rsidR="000E3696" w:rsidRDefault="000E3696" w:rsidP="000E3696">
            <w:pPr>
              <w:pStyle w:val="ListParagraph"/>
              <w:numPr>
                <w:ilvl w:val="1"/>
                <w:numId w:val="32"/>
              </w:numPr>
              <w:spacing w:after="160" w:line="252" w:lineRule="auto"/>
              <w:rPr>
                <w:lang w:eastAsia="ko-KR"/>
              </w:rPr>
            </w:pPr>
            <w:r w:rsidRPr="0043652F">
              <w:rPr>
                <w:lang w:eastAsia="ko-KR"/>
              </w:rPr>
              <w:t>Note that multi-PDSCH DCI refers to a DL DCI where at least one entry of the TDRA table allows scheduling more than one PDSCH</w:t>
            </w:r>
          </w:p>
          <w:p w14:paraId="2D5EDE06" w14:textId="77777777" w:rsidR="000E3696" w:rsidRDefault="000E3696" w:rsidP="000E3696">
            <w:pPr>
              <w:spacing w:after="160"/>
              <w:rPr>
                <w:rFonts w:eastAsia="Malgun Gothic"/>
                <w:u w:val="single"/>
              </w:rPr>
            </w:pPr>
            <w:r w:rsidRPr="0045577A">
              <w:rPr>
                <w:rFonts w:eastAsia="Malgun Gothic"/>
                <w:highlight w:val="yellow"/>
                <w:u w:val="single"/>
              </w:rPr>
              <w:t>Conclusion:</w:t>
            </w:r>
          </w:p>
          <w:p w14:paraId="2B78547D" w14:textId="77777777" w:rsidR="000E3696" w:rsidRPr="0045577A" w:rsidRDefault="000E3696" w:rsidP="000E3696">
            <w:pPr>
              <w:spacing w:after="160"/>
              <w:rPr>
                <w:rFonts w:eastAsia="DengXian"/>
                <w:lang w:eastAsia="ko-KR"/>
              </w:rPr>
            </w:pPr>
            <w:r w:rsidRPr="0043652F">
              <w:rPr>
                <w:rFonts w:eastAsia="Malgun Gothic"/>
              </w:rPr>
              <w:t>The following is observed for alternative 3 from prior agreement.</w:t>
            </w:r>
          </w:p>
          <w:p w14:paraId="424DFDC0" w14:textId="77777777" w:rsidR="000E3696" w:rsidRPr="0043652F" w:rsidRDefault="000E3696" w:rsidP="000E3696">
            <w:pPr>
              <w:pStyle w:val="ListParagraph"/>
              <w:numPr>
                <w:ilvl w:val="0"/>
                <w:numId w:val="32"/>
              </w:numPr>
              <w:spacing w:after="160" w:line="252" w:lineRule="auto"/>
              <w:rPr>
                <w:rFonts w:eastAsia="Calibri"/>
                <w:lang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of generating type-2 HARQ-ACK codebook corresponding to DCI that can schedule multiple PDSCHs,</w:t>
            </w:r>
          </w:p>
          <w:p w14:paraId="450C8D62" w14:textId="77777777" w:rsidR="000E3696" w:rsidRPr="0043652F" w:rsidRDefault="000E3696" w:rsidP="000E3696">
            <w:pPr>
              <w:pStyle w:val="ListParagraph"/>
              <w:numPr>
                <w:ilvl w:val="1"/>
                <w:numId w:val="32"/>
              </w:numPr>
              <w:spacing w:after="0" w:line="252" w:lineRule="auto"/>
              <w:rPr>
                <w:rFonts w:eastAsia="Times New Roman"/>
                <w:lang w:eastAsia="ko-KR"/>
              </w:rPr>
            </w:pPr>
            <w:r w:rsidRPr="0043652F">
              <w:rPr>
                <w:lang w:eastAsia="ko-KR"/>
              </w:rPr>
              <w:t>If M equals to the maximum configured number of PDSCHs, Alt 3 is the same with Alt 1, if the same number of codebooks is assumed.</w:t>
            </w:r>
          </w:p>
          <w:p w14:paraId="0D98D241"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Else if M equals to 1, Alt 3 is the same with Alt 2.</w:t>
            </w:r>
          </w:p>
          <w:p w14:paraId="3AC6BF6F"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 xml:space="preserve">Otherwise (i.e., 1&lt;M&lt;the maximum configured number of PDSCHs), Alt 3 is </w:t>
            </w:r>
            <w:proofErr w:type="gramStart"/>
            <w:r w:rsidRPr="0043652F">
              <w:rPr>
                <w:lang w:eastAsia="ko-KR"/>
              </w:rPr>
              <w:t>similar to</w:t>
            </w:r>
            <w:proofErr w:type="gramEnd"/>
            <w:r w:rsidRPr="0043652F">
              <w:rPr>
                <w:lang w:eastAsia="ko-KR"/>
              </w:rPr>
              <w:t xml:space="preserve"> Alt 2, except that</w:t>
            </w:r>
          </w:p>
          <w:p w14:paraId="75AAEB86"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lastRenderedPageBreak/>
              <w:t>The number of HARQ-ACK bits corresponding to each DAI increases by M times.</w:t>
            </w:r>
          </w:p>
          <w:p w14:paraId="391A6A97"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NACK bits may be padded if the number of scheduled PDSCHs is not an integer multiple of M.</w:t>
            </w:r>
          </w:p>
          <w:p w14:paraId="457806E2"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FFS: details on DAI field size</w:t>
            </w:r>
          </w:p>
          <w:p w14:paraId="28ACF8C0" w14:textId="77777777" w:rsidR="000E3696" w:rsidRPr="0043652F" w:rsidRDefault="000E3696" w:rsidP="000E3696">
            <w:pPr>
              <w:pStyle w:val="ListParagraph"/>
              <w:numPr>
                <w:ilvl w:val="2"/>
                <w:numId w:val="32"/>
              </w:numPr>
              <w:spacing w:after="0" w:line="252" w:lineRule="auto"/>
              <w:rPr>
                <w:lang w:eastAsia="ko-KR"/>
              </w:rPr>
            </w:pPr>
            <w:r w:rsidRPr="0043652F">
              <w:rPr>
                <w:lang w:eastAsia="ko-KR"/>
              </w:rPr>
              <w:t>FFS: whether single codebook or separate sub-codebooks is(are) generated when multi-PDSCH DCI is configured for a serving cell</w:t>
            </w:r>
          </w:p>
          <w:p w14:paraId="0ECF9FC4" w14:textId="77777777" w:rsidR="000E3696" w:rsidRPr="0043652F" w:rsidRDefault="000E3696" w:rsidP="000E3696">
            <w:pPr>
              <w:pStyle w:val="ListParagraph"/>
              <w:numPr>
                <w:ilvl w:val="1"/>
                <w:numId w:val="32"/>
              </w:numPr>
              <w:spacing w:after="0" w:line="252" w:lineRule="auto"/>
              <w:rPr>
                <w:lang w:eastAsia="ko-KR"/>
              </w:rPr>
            </w:pPr>
            <w:r w:rsidRPr="0043652F">
              <w:rPr>
                <w:lang w:eastAsia="ko-KR"/>
              </w:rPr>
              <w:t>In addition, new RRC parameter to configure M needs to be introduced.</w:t>
            </w:r>
          </w:p>
          <w:p w14:paraId="52464ECB" w14:textId="2CBB6641" w:rsidR="000E3696" w:rsidRPr="000E3696" w:rsidRDefault="000E3696" w:rsidP="000E3696">
            <w:pPr>
              <w:pStyle w:val="ListParagraph"/>
              <w:numPr>
                <w:ilvl w:val="1"/>
                <w:numId w:val="32"/>
              </w:numPr>
              <w:spacing w:after="160" w:line="252" w:lineRule="auto"/>
              <w:rPr>
                <w:lang w:eastAsia="ko-KR"/>
              </w:rPr>
            </w:pPr>
            <w:r w:rsidRPr="0043652F">
              <w:rPr>
                <w:lang w:eastAsia="ko-KR"/>
              </w:rPr>
              <w:t>Note that multi-PDSCH DCI refers to a DL DCI where at least one entry of the TDRA table allows scheduling more than one PDSCH</w:t>
            </w:r>
            <w:bookmarkEnd w:id="2"/>
          </w:p>
        </w:tc>
      </w:tr>
    </w:tbl>
    <w:p w14:paraId="30AB2A82" w14:textId="2790813A" w:rsidR="00CB5474" w:rsidRPr="000E3696" w:rsidRDefault="00CB5474" w:rsidP="000E3696">
      <w:pPr>
        <w:rPr>
          <w:b/>
          <w:bCs/>
        </w:rPr>
      </w:pPr>
    </w:p>
    <w:p w14:paraId="740276CC" w14:textId="0F72516B" w:rsidR="00192815" w:rsidRDefault="0088272C" w:rsidP="004A79F9">
      <w:r>
        <w:t>Type-2</w:t>
      </w:r>
      <w:r w:rsidR="007341D9">
        <w:t>/Dynamic</w:t>
      </w:r>
      <w:r>
        <w:t xml:space="preserve"> codebook can be used to multiplex HARQ-ACK bits corresponding to the </w:t>
      </w:r>
      <w:proofErr w:type="gramStart"/>
      <w:r>
        <w:t>actually transmitted</w:t>
      </w:r>
      <w:proofErr w:type="gramEnd"/>
      <w:r>
        <w:t xml:space="preserve"> number of </w:t>
      </w:r>
      <w:r w:rsidR="00192815">
        <w:t xml:space="preserve">PDSCHs in a multi-PDSCH slot. The DAI value in the most recent scheduling DCI can be used to determine the size of HARQ-ACK codebook size. During the RAN1 #104b-e meeting, a few C-DAI/T-DAI alternatives for multi-PDSCH were discussed and three conclusions were made respectively for the Alt 1, Alt 2a, and Alt 3. We summarize the </w:t>
      </w:r>
      <w:r w:rsidR="007341D9">
        <w:t>key aspects</w:t>
      </w:r>
      <w:r w:rsidR="00192815">
        <w:t xml:space="preserve"> of the three alternatives</w:t>
      </w:r>
      <w:r w:rsidR="007341D9">
        <w:t xml:space="preserve"> </w:t>
      </w:r>
      <w:r w:rsidR="00192815">
        <w:t xml:space="preserve">into the Table 1, </w:t>
      </w:r>
      <w:r w:rsidR="004A79F9">
        <w:t xml:space="preserve">including </w:t>
      </w:r>
      <w:r w:rsidR="00192815">
        <w:t xml:space="preserve">DAI overhead, HARQ codebook size, robustness to consecutive DTX, number of </w:t>
      </w:r>
      <w:r w:rsidR="004A79F9">
        <w:t>sub-</w:t>
      </w:r>
      <w:r w:rsidR="00192815">
        <w:t xml:space="preserve">codebooks, </w:t>
      </w:r>
      <w:r w:rsidR="004A79F9">
        <w:t xml:space="preserve">time-domain bundling, and standard impact. </w:t>
      </w:r>
    </w:p>
    <w:p w14:paraId="15D27140" w14:textId="77777777" w:rsidR="00ED4CE6" w:rsidRDefault="00ED4CE6" w:rsidP="004A79F9"/>
    <w:p w14:paraId="7789CA73" w14:textId="21A027A2" w:rsidR="00AB18AE" w:rsidRPr="00E71FCC" w:rsidRDefault="00192815" w:rsidP="00192815">
      <w:pPr>
        <w:jc w:val="center"/>
        <w:rPr>
          <w:b/>
          <w:bCs/>
          <w:sz w:val="20"/>
          <w:szCs w:val="20"/>
        </w:rPr>
      </w:pPr>
      <w:r w:rsidRPr="00E71FCC">
        <w:rPr>
          <w:b/>
          <w:bCs/>
          <w:sz w:val="20"/>
          <w:szCs w:val="20"/>
        </w:rPr>
        <w:t xml:space="preserve">Table 1. </w:t>
      </w:r>
      <w:r w:rsidR="0088272C" w:rsidRPr="00E71FCC">
        <w:rPr>
          <w:b/>
          <w:bCs/>
          <w:sz w:val="20"/>
          <w:szCs w:val="20"/>
        </w:rPr>
        <w:t xml:space="preserve"> </w:t>
      </w:r>
      <w:r w:rsidRPr="00E71FCC">
        <w:rPr>
          <w:b/>
          <w:bCs/>
          <w:sz w:val="20"/>
          <w:szCs w:val="20"/>
        </w:rPr>
        <w:t>Comparison among C-DAI/T-DAI counting alternatives for multi-PDSCH HARQ-ACK codebook</w:t>
      </w:r>
    </w:p>
    <w:tbl>
      <w:tblPr>
        <w:tblW w:w="8123" w:type="dxa"/>
        <w:jc w:val="center"/>
        <w:tblCellMar>
          <w:left w:w="0" w:type="dxa"/>
          <w:right w:w="0" w:type="dxa"/>
        </w:tblCellMar>
        <w:tblLook w:val="04A0" w:firstRow="1" w:lastRow="0" w:firstColumn="1" w:lastColumn="0" w:noHBand="0" w:noVBand="1"/>
      </w:tblPr>
      <w:tblGrid>
        <w:gridCol w:w="1562"/>
        <w:gridCol w:w="1182"/>
        <w:gridCol w:w="1182"/>
        <w:gridCol w:w="1228"/>
        <w:gridCol w:w="2969"/>
      </w:tblGrid>
      <w:tr w:rsidR="00AB18AE" w14:paraId="157F1107" w14:textId="77777777" w:rsidTr="00AB18AE">
        <w:trPr>
          <w:jc w:val="center"/>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8A638" w14:textId="77777777" w:rsidR="00AB18AE" w:rsidRDefault="00AB18AE" w:rsidP="00AB18AE"/>
        </w:tc>
        <w:tc>
          <w:tcPr>
            <w:tcW w:w="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DA9B4" w14:textId="7DE4107D" w:rsidR="00AB18AE" w:rsidRDefault="00AB18AE" w:rsidP="00AB18AE">
            <w:pPr>
              <w:jc w:val="center"/>
            </w:pPr>
            <w:r>
              <w:t>Alt 1</w:t>
            </w:r>
          </w:p>
        </w:tc>
        <w:tc>
          <w:tcPr>
            <w:tcW w:w="10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445DD" w14:textId="65028DD6" w:rsidR="00AB18AE" w:rsidRDefault="00AB18AE" w:rsidP="00AB18AE">
            <w:pPr>
              <w:jc w:val="center"/>
            </w:pPr>
            <w:r>
              <w:t>Alt 2a</w:t>
            </w:r>
          </w:p>
        </w:tc>
        <w:tc>
          <w:tcPr>
            <w:tcW w:w="12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92991" w14:textId="38E5DAAA" w:rsidR="00AB18AE" w:rsidRDefault="00AB18AE" w:rsidP="00AB18AE">
            <w:pPr>
              <w:jc w:val="center"/>
            </w:pPr>
            <w:r>
              <w:t>Alt 3</w:t>
            </w:r>
          </w:p>
        </w:tc>
        <w:tc>
          <w:tcPr>
            <w:tcW w:w="3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271A7" w14:textId="77777777" w:rsidR="00AB18AE" w:rsidRDefault="00AB18AE" w:rsidP="00AB18AE">
            <w:r>
              <w:t>Notes</w:t>
            </w:r>
          </w:p>
        </w:tc>
      </w:tr>
      <w:tr w:rsidR="00AB18AE" w14:paraId="56AAF4B2"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CE899" w14:textId="0B3B1361" w:rsidR="00AB18AE" w:rsidRDefault="00AB18AE" w:rsidP="00AB18AE">
            <w:pPr>
              <w:jc w:val="left"/>
            </w:pPr>
            <w:r>
              <w:t>DAI overhead</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14:paraId="5834121E" w14:textId="3A96E5FC" w:rsidR="00AB18AE" w:rsidRDefault="00AB18AE" w:rsidP="00AB18AE">
            <w:pPr>
              <w:jc w:val="center"/>
            </w:pPr>
            <w:r>
              <w:t>Low</w:t>
            </w:r>
          </w:p>
        </w:tc>
        <w:tc>
          <w:tcPr>
            <w:tcW w:w="1093" w:type="dxa"/>
            <w:tcBorders>
              <w:top w:val="nil"/>
              <w:left w:val="nil"/>
              <w:bottom w:val="single" w:sz="8" w:space="0" w:color="auto"/>
              <w:right w:val="single" w:sz="8" w:space="0" w:color="auto"/>
            </w:tcBorders>
            <w:tcMar>
              <w:top w:w="0" w:type="dxa"/>
              <w:left w:w="108" w:type="dxa"/>
              <w:bottom w:w="0" w:type="dxa"/>
              <w:right w:w="108" w:type="dxa"/>
            </w:tcMar>
            <w:hideMark/>
          </w:tcPr>
          <w:p w14:paraId="60A7EF40" w14:textId="75C5186C" w:rsidR="00AB18AE" w:rsidRDefault="00AB18AE" w:rsidP="00AB18AE">
            <w:pPr>
              <w:jc w:val="center"/>
            </w:pPr>
            <w:r>
              <w:t>High</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259248BD" w14:textId="3C3C1FF1" w:rsidR="00AB18AE" w:rsidRDefault="00AB18AE" w:rsidP="00AB18AE">
            <w:pPr>
              <w:jc w:val="center"/>
            </w:pPr>
            <w:r>
              <w:t>Adjustable</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4727A327" w14:textId="44C237ED" w:rsidR="00AB18AE" w:rsidRDefault="006140D0" w:rsidP="00AB18AE">
            <w:pPr>
              <w:jc w:val="left"/>
            </w:pPr>
            <w:r>
              <w:t>Larger than 10 bits overhead for Alt 2a for DL scheduling</w:t>
            </w:r>
            <w:r w:rsidR="00F56DE1">
              <w:t xml:space="preserve"> formats; and more overhead</w:t>
            </w:r>
            <w:r>
              <w:t xml:space="preserve"> </w:t>
            </w:r>
            <w:r w:rsidR="00F56DE1">
              <w:t>for</w:t>
            </w:r>
            <w:r>
              <w:t xml:space="preserve"> UL grant</w:t>
            </w:r>
            <w:r w:rsidR="00F56DE1">
              <w:t xml:space="preserve"> formats</w:t>
            </w:r>
          </w:p>
        </w:tc>
      </w:tr>
      <w:tr w:rsidR="00AB18AE" w14:paraId="4B0B2B72"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2F38" w14:textId="4D26F9F8" w:rsidR="00AB18AE" w:rsidRDefault="00AB18AE" w:rsidP="00AB18AE">
            <w:pPr>
              <w:jc w:val="left"/>
            </w:pPr>
            <w:r>
              <w:t>HARQ codebook size</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14:paraId="25728064" w14:textId="3CFAFD55" w:rsidR="00AB18AE" w:rsidRDefault="00AB18AE" w:rsidP="00AB18AE">
            <w:pPr>
              <w:jc w:val="center"/>
            </w:pPr>
            <w:r>
              <w:t>High</w:t>
            </w:r>
          </w:p>
        </w:tc>
        <w:tc>
          <w:tcPr>
            <w:tcW w:w="1093" w:type="dxa"/>
            <w:tcBorders>
              <w:top w:val="nil"/>
              <w:left w:val="nil"/>
              <w:bottom w:val="single" w:sz="8" w:space="0" w:color="auto"/>
              <w:right w:val="single" w:sz="8" w:space="0" w:color="auto"/>
            </w:tcBorders>
            <w:tcMar>
              <w:top w:w="0" w:type="dxa"/>
              <w:left w:w="108" w:type="dxa"/>
              <w:bottom w:w="0" w:type="dxa"/>
              <w:right w:w="108" w:type="dxa"/>
            </w:tcMar>
            <w:hideMark/>
          </w:tcPr>
          <w:p w14:paraId="34B43859" w14:textId="41DB9393" w:rsidR="00AB18AE" w:rsidRDefault="00C73D17" w:rsidP="00AB18AE">
            <w:pPr>
              <w:jc w:val="center"/>
            </w:pPr>
            <w:r>
              <w:t>Low</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00E274C5" w14:textId="30EB98B8" w:rsidR="00AB18AE" w:rsidRDefault="00C73D17" w:rsidP="00AB18AE">
            <w:pPr>
              <w:jc w:val="center"/>
            </w:pPr>
            <w:r>
              <w:t>Adjustable</w:t>
            </w:r>
          </w:p>
        </w:tc>
        <w:tc>
          <w:tcPr>
            <w:tcW w:w="3236" w:type="dxa"/>
            <w:tcBorders>
              <w:top w:val="nil"/>
              <w:left w:val="nil"/>
              <w:bottom w:val="single" w:sz="8" w:space="0" w:color="auto"/>
              <w:right w:val="single" w:sz="8" w:space="0" w:color="auto"/>
            </w:tcBorders>
            <w:tcMar>
              <w:top w:w="0" w:type="dxa"/>
              <w:left w:w="108" w:type="dxa"/>
              <w:bottom w:w="0" w:type="dxa"/>
              <w:right w:w="108" w:type="dxa"/>
            </w:tcMar>
            <w:hideMark/>
          </w:tcPr>
          <w:p w14:paraId="29D0D1BE" w14:textId="0E5322CB" w:rsidR="00AB18AE" w:rsidRDefault="006140D0" w:rsidP="00AB18AE">
            <w:pPr>
              <w:jc w:val="left"/>
            </w:pPr>
            <w:r>
              <w:t xml:space="preserve"> </w:t>
            </w:r>
          </w:p>
        </w:tc>
      </w:tr>
      <w:tr w:rsidR="00AB18AE" w14:paraId="03AEEA8A"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E8634" w14:textId="75E87162" w:rsidR="00AB18AE" w:rsidRDefault="00AB18AE" w:rsidP="00AB18AE">
            <w:pPr>
              <w:jc w:val="left"/>
            </w:pPr>
            <w:r>
              <w:t xml:space="preserve">Robustness to </w:t>
            </w:r>
            <w:r w:rsidR="006140D0">
              <w:t xml:space="preserve">consecutive DTX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14:paraId="24BF2327" w14:textId="573008EB" w:rsidR="00AB18AE" w:rsidRDefault="00C73D17" w:rsidP="00AB18AE">
            <w:pPr>
              <w:jc w:val="center"/>
            </w:pPr>
            <w:r>
              <w:t xml:space="preserve"> </w:t>
            </w:r>
            <w:r w:rsidR="00105CE9">
              <w:t>Low</w:t>
            </w:r>
          </w:p>
        </w:tc>
        <w:tc>
          <w:tcPr>
            <w:tcW w:w="1093" w:type="dxa"/>
            <w:tcBorders>
              <w:top w:val="nil"/>
              <w:left w:val="nil"/>
              <w:bottom w:val="single" w:sz="8" w:space="0" w:color="auto"/>
              <w:right w:val="single" w:sz="8" w:space="0" w:color="auto"/>
            </w:tcBorders>
            <w:tcMar>
              <w:top w:w="0" w:type="dxa"/>
              <w:left w:w="108" w:type="dxa"/>
              <w:bottom w:w="0" w:type="dxa"/>
              <w:right w:w="108" w:type="dxa"/>
            </w:tcMar>
            <w:hideMark/>
          </w:tcPr>
          <w:p w14:paraId="53B453BA" w14:textId="50471951" w:rsidR="00AB18AE" w:rsidRDefault="00105CE9" w:rsidP="00AB18AE">
            <w:pPr>
              <w:jc w:val="center"/>
            </w:pPr>
            <w:r>
              <w:t>High</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47FCE820" w14:textId="08931F10" w:rsidR="00AB18AE" w:rsidRDefault="00105CE9" w:rsidP="00AB18AE">
            <w:pPr>
              <w:jc w:val="center"/>
            </w:pPr>
            <w:r>
              <w:t>Adjustable</w:t>
            </w:r>
          </w:p>
        </w:tc>
        <w:tc>
          <w:tcPr>
            <w:tcW w:w="3236" w:type="dxa"/>
            <w:tcBorders>
              <w:top w:val="nil"/>
              <w:left w:val="nil"/>
              <w:bottom w:val="single" w:sz="8" w:space="0" w:color="auto"/>
              <w:right w:val="single" w:sz="8" w:space="0" w:color="auto"/>
            </w:tcBorders>
            <w:tcMar>
              <w:top w:w="0" w:type="dxa"/>
              <w:left w:w="108" w:type="dxa"/>
              <w:bottom w:w="0" w:type="dxa"/>
              <w:right w:w="108" w:type="dxa"/>
            </w:tcMar>
          </w:tcPr>
          <w:p w14:paraId="66B9DF0D" w14:textId="6B5BCADC" w:rsidR="00AB18AE" w:rsidRDefault="006140D0" w:rsidP="00AB18AE">
            <w:pPr>
              <w:jc w:val="left"/>
            </w:pPr>
            <w:r>
              <w:t>Robustness</w:t>
            </w:r>
            <w:r w:rsidR="00105CE9">
              <w:t xml:space="preserve"> to consecutive DTX </w:t>
            </w:r>
            <w:r>
              <w:t>increases with the</w:t>
            </w:r>
            <w:r w:rsidR="00105CE9">
              <w:t xml:space="preserve"> number of DAI bits</w:t>
            </w:r>
          </w:p>
        </w:tc>
      </w:tr>
      <w:tr w:rsidR="00AB18AE" w14:paraId="4F02C50C"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DC093" w14:textId="65F87077" w:rsidR="00AB18AE" w:rsidRDefault="00AB18AE" w:rsidP="00AB18AE">
            <w:pPr>
              <w:jc w:val="left"/>
            </w:pPr>
            <w:r>
              <w:t>Number of sub-codebooks</w:t>
            </w:r>
          </w:p>
        </w:tc>
        <w:tc>
          <w:tcPr>
            <w:tcW w:w="953" w:type="dxa"/>
            <w:tcBorders>
              <w:top w:val="nil"/>
              <w:left w:val="nil"/>
              <w:bottom w:val="single" w:sz="8" w:space="0" w:color="auto"/>
              <w:right w:val="single" w:sz="8" w:space="0" w:color="auto"/>
            </w:tcBorders>
            <w:tcMar>
              <w:top w:w="0" w:type="dxa"/>
              <w:left w:w="108" w:type="dxa"/>
              <w:bottom w:w="0" w:type="dxa"/>
              <w:right w:w="108" w:type="dxa"/>
            </w:tcMar>
          </w:tcPr>
          <w:p w14:paraId="0F11B613" w14:textId="41FFBB87" w:rsidR="00AB18AE" w:rsidRDefault="00C73D17" w:rsidP="00AB18AE">
            <w:pPr>
              <w:jc w:val="center"/>
            </w:pPr>
            <w:r>
              <w:t>Two</w:t>
            </w:r>
          </w:p>
        </w:tc>
        <w:tc>
          <w:tcPr>
            <w:tcW w:w="1093" w:type="dxa"/>
            <w:tcBorders>
              <w:top w:val="nil"/>
              <w:left w:val="nil"/>
              <w:bottom w:val="single" w:sz="8" w:space="0" w:color="auto"/>
              <w:right w:val="single" w:sz="8" w:space="0" w:color="auto"/>
            </w:tcBorders>
            <w:tcMar>
              <w:top w:w="0" w:type="dxa"/>
              <w:left w:w="108" w:type="dxa"/>
              <w:bottom w:w="0" w:type="dxa"/>
              <w:right w:w="108" w:type="dxa"/>
            </w:tcMar>
          </w:tcPr>
          <w:p w14:paraId="3582B53E" w14:textId="741A0DC0" w:rsidR="00AB18AE" w:rsidRDefault="00C73D17" w:rsidP="00AB18AE">
            <w:pPr>
              <w:jc w:val="center"/>
            </w:pPr>
            <w:r>
              <w:t>One</w:t>
            </w:r>
          </w:p>
        </w:tc>
        <w:tc>
          <w:tcPr>
            <w:tcW w:w="1231" w:type="dxa"/>
            <w:tcBorders>
              <w:top w:val="nil"/>
              <w:left w:val="nil"/>
              <w:bottom w:val="single" w:sz="8" w:space="0" w:color="auto"/>
              <w:right w:val="single" w:sz="8" w:space="0" w:color="auto"/>
            </w:tcBorders>
            <w:tcMar>
              <w:top w:w="0" w:type="dxa"/>
              <w:left w:w="108" w:type="dxa"/>
              <w:bottom w:w="0" w:type="dxa"/>
              <w:right w:w="108" w:type="dxa"/>
            </w:tcMar>
          </w:tcPr>
          <w:p w14:paraId="726FEA28" w14:textId="0A3C3495" w:rsidR="00AB18AE" w:rsidRDefault="00C73D17" w:rsidP="00AB18AE">
            <w:pPr>
              <w:jc w:val="center"/>
            </w:pPr>
            <w:r>
              <w:t>Not determined</w:t>
            </w:r>
          </w:p>
        </w:tc>
        <w:tc>
          <w:tcPr>
            <w:tcW w:w="3236" w:type="dxa"/>
            <w:tcBorders>
              <w:top w:val="nil"/>
              <w:left w:val="nil"/>
              <w:bottom w:val="single" w:sz="8" w:space="0" w:color="auto"/>
              <w:right w:val="single" w:sz="8" w:space="0" w:color="auto"/>
            </w:tcBorders>
            <w:tcMar>
              <w:top w:w="0" w:type="dxa"/>
              <w:left w:w="108" w:type="dxa"/>
              <w:bottom w:w="0" w:type="dxa"/>
              <w:right w:w="108" w:type="dxa"/>
            </w:tcMar>
          </w:tcPr>
          <w:p w14:paraId="4A76EA2E" w14:textId="5E2C68A1" w:rsidR="00AB18AE" w:rsidRDefault="00C73D17" w:rsidP="00AB18AE">
            <w:pPr>
              <w:jc w:val="left"/>
            </w:pPr>
            <w:r>
              <w:t>Alt 1 resembles how the CBG based sub-codebooks are used in Rel-15</w:t>
            </w:r>
          </w:p>
        </w:tc>
      </w:tr>
      <w:tr w:rsidR="00C73D17" w14:paraId="6A684C22"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4C919F" w14:textId="76ED5B3C" w:rsidR="00C73D17" w:rsidRDefault="00C73D17" w:rsidP="00AB18AE">
            <w:pPr>
              <w:jc w:val="left"/>
            </w:pPr>
            <w:r>
              <w:t>Time-domain bundling</w:t>
            </w:r>
          </w:p>
        </w:tc>
        <w:tc>
          <w:tcPr>
            <w:tcW w:w="953" w:type="dxa"/>
            <w:tcBorders>
              <w:top w:val="nil"/>
              <w:left w:val="nil"/>
              <w:bottom w:val="single" w:sz="8" w:space="0" w:color="auto"/>
              <w:right w:val="single" w:sz="8" w:space="0" w:color="auto"/>
            </w:tcBorders>
            <w:tcMar>
              <w:top w:w="0" w:type="dxa"/>
              <w:left w:w="108" w:type="dxa"/>
              <w:bottom w:w="0" w:type="dxa"/>
              <w:right w:w="108" w:type="dxa"/>
            </w:tcMar>
          </w:tcPr>
          <w:p w14:paraId="3D7B5030" w14:textId="50B6973B" w:rsidR="00C73D17" w:rsidRDefault="00C73D17" w:rsidP="00AB18AE">
            <w:pPr>
              <w:jc w:val="center"/>
            </w:pPr>
            <w:r>
              <w:t>Applicable</w:t>
            </w:r>
          </w:p>
        </w:tc>
        <w:tc>
          <w:tcPr>
            <w:tcW w:w="1093" w:type="dxa"/>
            <w:tcBorders>
              <w:top w:val="nil"/>
              <w:left w:val="nil"/>
              <w:bottom w:val="single" w:sz="8" w:space="0" w:color="auto"/>
              <w:right w:val="single" w:sz="8" w:space="0" w:color="auto"/>
            </w:tcBorders>
            <w:tcMar>
              <w:top w:w="0" w:type="dxa"/>
              <w:left w:w="108" w:type="dxa"/>
              <w:bottom w:w="0" w:type="dxa"/>
              <w:right w:w="108" w:type="dxa"/>
            </w:tcMar>
          </w:tcPr>
          <w:p w14:paraId="3EC00998" w14:textId="4ED8A399" w:rsidR="00C73D17" w:rsidRDefault="00C73D17" w:rsidP="00AB18AE">
            <w:pPr>
              <w:jc w:val="center"/>
            </w:pPr>
            <w:r>
              <w:t>Applicable</w:t>
            </w:r>
          </w:p>
        </w:tc>
        <w:tc>
          <w:tcPr>
            <w:tcW w:w="1231" w:type="dxa"/>
            <w:tcBorders>
              <w:top w:val="nil"/>
              <w:left w:val="nil"/>
              <w:bottom w:val="single" w:sz="8" w:space="0" w:color="auto"/>
              <w:right w:val="single" w:sz="8" w:space="0" w:color="auto"/>
            </w:tcBorders>
            <w:tcMar>
              <w:top w:w="0" w:type="dxa"/>
              <w:left w:w="108" w:type="dxa"/>
              <w:bottom w:w="0" w:type="dxa"/>
              <w:right w:w="108" w:type="dxa"/>
            </w:tcMar>
          </w:tcPr>
          <w:p w14:paraId="683CE2FC" w14:textId="3BBD060C" w:rsidR="008048F3" w:rsidRDefault="008048F3" w:rsidP="00D15B02">
            <w:r>
              <w:t>Applicable</w:t>
            </w:r>
          </w:p>
        </w:tc>
        <w:tc>
          <w:tcPr>
            <w:tcW w:w="3236" w:type="dxa"/>
            <w:tcBorders>
              <w:top w:val="nil"/>
              <w:left w:val="nil"/>
              <w:bottom w:val="single" w:sz="8" w:space="0" w:color="auto"/>
              <w:right w:val="single" w:sz="8" w:space="0" w:color="auto"/>
            </w:tcBorders>
            <w:tcMar>
              <w:top w:w="0" w:type="dxa"/>
              <w:left w:w="108" w:type="dxa"/>
              <w:bottom w:w="0" w:type="dxa"/>
              <w:right w:w="108" w:type="dxa"/>
            </w:tcMar>
          </w:tcPr>
          <w:p w14:paraId="02DCC46D" w14:textId="6FBAEC8D" w:rsidR="008048F3" w:rsidRDefault="008048F3" w:rsidP="00AB18AE">
            <w:pPr>
              <w:jc w:val="left"/>
            </w:pPr>
            <w:r>
              <w:t>Bundling size for the three alternatives can be different.</w:t>
            </w:r>
          </w:p>
        </w:tc>
      </w:tr>
      <w:tr w:rsidR="00AB18AE" w14:paraId="6DA63A6C" w14:textId="77777777" w:rsidTr="00AB18AE">
        <w:trPr>
          <w:jc w:val="center"/>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86A6D" w14:textId="43A5378A" w:rsidR="00AB18AE" w:rsidRDefault="00AB18AE" w:rsidP="00AB18AE">
            <w:pPr>
              <w:jc w:val="left"/>
            </w:pPr>
            <w:r>
              <w:t>Standard effort</w:t>
            </w:r>
          </w:p>
        </w:tc>
        <w:tc>
          <w:tcPr>
            <w:tcW w:w="953" w:type="dxa"/>
            <w:tcBorders>
              <w:top w:val="nil"/>
              <w:left w:val="nil"/>
              <w:bottom w:val="single" w:sz="8" w:space="0" w:color="auto"/>
              <w:right w:val="single" w:sz="8" w:space="0" w:color="auto"/>
            </w:tcBorders>
            <w:tcMar>
              <w:top w:w="0" w:type="dxa"/>
              <w:left w:w="108" w:type="dxa"/>
              <w:bottom w:w="0" w:type="dxa"/>
              <w:right w:w="108" w:type="dxa"/>
            </w:tcMar>
          </w:tcPr>
          <w:p w14:paraId="08C7BD94" w14:textId="77777777" w:rsidR="00AB18AE" w:rsidRDefault="00AB18AE" w:rsidP="00AB18AE">
            <w:pPr>
              <w:jc w:val="center"/>
            </w:pPr>
            <w:r>
              <w:t>Low</w:t>
            </w:r>
          </w:p>
        </w:tc>
        <w:tc>
          <w:tcPr>
            <w:tcW w:w="1093" w:type="dxa"/>
            <w:tcBorders>
              <w:top w:val="nil"/>
              <w:left w:val="nil"/>
              <w:bottom w:val="single" w:sz="8" w:space="0" w:color="auto"/>
              <w:right w:val="single" w:sz="8" w:space="0" w:color="auto"/>
            </w:tcBorders>
            <w:tcMar>
              <w:top w:w="0" w:type="dxa"/>
              <w:left w:w="108" w:type="dxa"/>
              <w:bottom w:w="0" w:type="dxa"/>
              <w:right w:w="108" w:type="dxa"/>
            </w:tcMar>
          </w:tcPr>
          <w:p w14:paraId="71C09268" w14:textId="3AB4BAE7" w:rsidR="00AB18AE" w:rsidRDefault="00C73D17" w:rsidP="00AB18AE">
            <w:pPr>
              <w:jc w:val="center"/>
            </w:pPr>
            <w:r>
              <w:t>Medium</w:t>
            </w:r>
          </w:p>
        </w:tc>
        <w:tc>
          <w:tcPr>
            <w:tcW w:w="1231" w:type="dxa"/>
            <w:tcBorders>
              <w:top w:val="nil"/>
              <w:left w:val="nil"/>
              <w:bottom w:val="single" w:sz="8" w:space="0" w:color="auto"/>
              <w:right w:val="single" w:sz="8" w:space="0" w:color="auto"/>
            </w:tcBorders>
            <w:tcMar>
              <w:top w:w="0" w:type="dxa"/>
              <w:left w:w="108" w:type="dxa"/>
              <w:bottom w:w="0" w:type="dxa"/>
              <w:right w:w="108" w:type="dxa"/>
            </w:tcMar>
          </w:tcPr>
          <w:p w14:paraId="03BD901A" w14:textId="3C0EDA1F" w:rsidR="00AB18AE" w:rsidRDefault="00C73D17" w:rsidP="00AB18AE">
            <w:pPr>
              <w:jc w:val="center"/>
            </w:pPr>
            <w:r>
              <w:t>High</w:t>
            </w:r>
          </w:p>
        </w:tc>
        <w:tc>
          <w:tcPr>
            <w:tcW w:w="3236" w:type="dxa"/>
            <w:tcBorders>
              <w:top w:val="nil"/>
              <w:left w:val="nil"/>
              <w:bottom w:val="single" w:sz="8" w:space="0" w:color="auto"/>
              <w:right w:val="single" w:sz="8" w:space="0" w:color="auto"/>
            </w:tcBorders>
            <w:tcMar>
              <w:top w:w="0" w:type="dxa"/>
              <w:left w:w="108" w:type="dxa"/>
              <w:bottom w:w="0" w:type="dxa"/>
              <w:right w:w="108" w:type="dxa"/>
            </w:tcMar>
          </w:tcPr>
          <w:p w14:paraId="3B8B64C9" w14:textId="52AEB8D3" w:rsidR="00AB18AE" w:rsidRDefault="006140D0" w:rsidP="00AB18AE">
            <w:pPr>
              <w:jc w:val="left"/>
            </w:pPr>
            <w:r>
              <w:t xml:space="preserve">Changing the way DAI is counted requires standard effort; deciding the bundling size M and introducing RRC parameter for Alt 3 requires standard effort. </w:t>
            </w:r>
          </w:p>
        </w:tc>
      </w:tr>
    </w:tbl>
    <w:p w14:paraId="48F567B7" w14:textId="681EEDA4" w:rsidR="00B61FD9" w:rsidRDefault="00B61FD9" w:rsidP="00A02172">
      <w:pPr>
        <w:rPr>
          <w:b/>
          <w:bCs/>
          <w:i/>
          <w:iCs/>
        </w:rPr>
      </w:pPr>
    </w:p>
    <w:p w14:paraId="120F5BE0" w14:textId="45525904" w:rsidR="00D154A5" w:rsidRDefault="004A79F9" w:rsidP="00A02172">
      <w:pPr>
        <w:rPr>
          <w:lang w:eastAsia="ko-KR"/>
        </w:rPr>
      </w:pPr>
      <w:r>
        <w:t xml:space="preserve">For the conclusion on Alt 1, one further study point is </w:t>
      </w:r>
      <w:r>
        <w:rPr>
          <w:lang w:eastAsia="ko-KR"/>
        </w:rPr>
        <w:t>on the number of</w:t>
      </w:r>
      <w:r w:rsidRPr="00F10D61">
        <w:rPr>
          <w:lang w:eastAsia="ko-KR"/>
        </w:rPr>
        <w:t xml:space="preserve"> sub-codebooks </w:t>
      </w:r>
      <w:r w:rsidR="00D803FA">
        <w:rPr>
          <w:lang w:eastAsia="ko-KR"/>
        </w:rPr>
        <w:t xml:space="preserve">that </w:t>
      </w:r>
      <w:r>
        <w:rPr>
          <w:lang w:eastAsia="ko-KR"/>
        </w:rPr>
        <w:t xml:space="preserve">should be </w:t>
      </w:r>
      <w:r w:rsidRPr="00F10D61">
        <w:rPr>
          <w:lang w:eastAsia="ko-KR"/>
        </w:rPr>
        <w:t>generated when multi-PDSCH DCI is configured for a serving cell and CBG is configured for the serving cell and/or the other serving cell(s)</w:t>
      </w:r>
      <w:r>
        <w:rPr>
          <w:lang w:eastAsia="ko-KR"/>
        </w:rPr>
        <w:t xml:space="preserve">. </w:t>
      </w:r>
      <w:r w:rsidR="007E6B89">
        <w:rPr>
          <w:lang w:eastAsia="ko-KR"/>
        </w:rPr>
        <w:t xml:space="preserve">This </w:t>
      </w:r>
      <w:r w:rsidR="00D803FA">
        <w:rPr>
          <w:lang w:eastAsia="ko-KR"/>
        </w:rPr>
        <w:t>study point</w:t>
      </w:r>
      <w:r w:rsidR="007E6B89">
        <w:rPr>
          <w:lang w:eastAsia="ko-KR"/>
        </w:rPr>
        <w:t xml:space="preserve"> indicates the possibility of </w:t>
      </w:r>
      <w:r w:rsidR="005C0F28">
        <w:rPr>
          <w:lang w:eastAsia="ko-KR"/>
        </w:rPr>
        <w:t xml:space="preserve">a joint </w:t>
      </w:r>
      <w:r w:rsidR="007E6B89">
        <w:rPr>
          <w:lang w:eastAsia="ko-KR"/>
        </w:rPr>
        <w:t xml:space="preserve">configuration of multi-PDSCH and CBG for a serving cell. However, as </w:t>
      </w:r>
      <w:r w:rsidR="00D154A5">
        <w:rPr>
          <w:lang w:eastAsia="ko-KR"/>
        </w:rPr>
        <w:t>was</w:t>
      </w:r>
      <w:r w:rsidR="007E6B89">
        <w:rPr>
          <w:lang w:eastAsia="ko-KR"/>
        </w:rPr>
        <w:t xml:space="preserve"> </w:t>
      </w:r>
      <w:r w:rsidR="00D803FA">
        <w:rPr>
          <w:lang w:eastAsia="ko-KR"/>
        </w:rPr>
        <w:t>discussed</w:t>
      </w:r>
      <w:r w:rsidR="007E6B89">
        <w:rPr>
          <w:lang w:eastAsia="ko-KR"/>
        </w:rPr>
        <w:t xml:space="preserve"> in the earlier section, CBG </w:t>
      </w:r>
      <w:r w:rsidR="00A74FF6">
        <w:rPr>
          <w:lang w:eastAsia="ko-KR"/>
        </w:rPr>
        <w:t>should not be jointly configured with multi-PDSCH</w:t>
      </w:r>
      <w:r w:rsidR="00D803FA">
        <w:rPr>
          <w:lang w:eastAsia="ko-KR"/>
        </w:rPr>
        <w:t xml:space="preserve">. Thus, </w:t>
      </w:r>
      <w:r w:rsidR="00D154A5">
        <w:rPr>
          <w:lang w:eastAsia="ko-KR"/>
        </w:rPr>
        <w:t>we think</w:t>
      </w:r>
      <w:r w:rsidR="00DD6DCB">
        <w:rPr>
          <w:lang w:eastAsia="ko-KR"/>
        </w:rPr>
        <w:t xml:space="preserve"> </w:t>
      </w:r>
      <w:r w:rsidR="00D3310D">
        <w:rPr>
          <w:lang w:eastAsia="ko-KR"/>
        </w:rPr>
        <w:t xml:space="preserve">the CBG part can be taken away from the study </w:t>
      </w:r>
      <w:proofErr w:type="spellStart"/>
      <w:r w:rsidR="00D3310D">
        <w:rPr>
          <w:lang w:eastAsia="ko-KR"/>
        </w:rPr>
        <w:t>pointto</w:t>
      </w:r>
      <w:proofErr w:type="spellEnd"/>
      <w:r w:rsidR="00D3310D">
        <w:rPr>
          <w:lang w:eastAsia="ko-KR"/>
        </w:rPr>
        <w:t xml:space="preserve"> reduce to</w:t>
      </w:r>
      <w:r w:rsidR="005C0F28">
        <w:rPr>
          <w:lang w:eastAsia="ko-KR"/>
        </w:rPr>
        <w:t xml:space="preserve"> </w:t>
      </w:r>
      <w:r w:rsidR="00D803FA">
        <w:rPr>
          <w:lang w:eastAsia="ko-KR"/>
        </w:rPr>
        <w:t>a selection</w:t>
      </w:r>
      <w:r w:rsidR="00D154A5">
        <w:rPr>
          <w:lang w:eastAsia="ko-KR"/>
        </w:rPr>
        <w:t xml:space="preserve"> </w:t>
      </w:r>
      <w:r w:rsidR="00D803FA">
        <w:rPr>
          <w:lang w:eastAsia="ko-KR"/>
        </w:rPr>
        <w:t>between</w:t>
      </w:r>
      <w:r w:rsidR="00D154A5">
        <w:rPr>
          <w:lang w:eastAsia="ko-KR"/>
        </w:rPr>
        <w:t xml:space="preserve"> one or two </w:t>
      </w:r>
      <w:r w:rsidR="00D803FA">
        <w:rPr>
          <w:lang w:eastAsia="ko-KR"/>
        </w:rPr>
        <w:t>as</w:t>
      </w:r>
      <w:r w:rsidR="00D154A5">
        <w:rPr>
          <w:lang w:eastAsia="ko-KR"/>
        </w:rPr>
        <w:t xml:space="preserve"> the number </w:t>
      </w:r>
      <w:r w:rsidR="00D803FA">
        <w:rPr>
          <w:lang w:eastAsia="ko-KR"/>
        </w:rPr>
        <w:t xml:space="preserve">for </w:t>
      </w:r>
      <w:r w:rsidR="00D154A5">
        <w:rPr>
          <w:lang w:eastAsia="ko-KR"/>
        </w:rPr>
        <w:t xml:space="preserve">sub-codebooks for Alt 1. </w:t>
      </w:r>
      <w:r w:rsidR="00D3310D">
        <w:rPr>
          <w:lang w:eastAsia="ko-KR"/>
        </w:rPr>
        <w:t xml:space="preserve">Also, </w:t>
      </w:r>
      <w:r w:rsidR="00D3310D">
        <w:rPr>
          <w:lang w:eastAsia="ko-KR"/>
        </w:rPr>
        <w:lastRenderedPageBreak/>
        <w:t xml:space="preserve">the overhead can be reduced with CBGs. </w:t>
      </w:r>
      <w:r w:rsidR="00D154A5">
        <w:rPr>
          <w:lang w:eastAsia="ko-KR"/>
        </w:rPr>
        <w:t xml:space="preserve">Regarding this choice, we understand the moderator’s reasoning in [3] </w:t>
      </w:r>
      <w:r w:rsidR="00D803FA">
        <w:rPr>
          <w:lang w:eastAsia="ko-KR"/>
        </w:rPr>
        <w:t>on</w:t>
      </w:r>
      <w:r w:rsidR="00D154A5">
        <w:rPr>
          <w:lang w:eastAsia="ko-KR"/>
        </w:rPr>
        <w:t xml:space="preserve"> the potential codebook size reduction as cited below. </w:t>
      </w:r>
    </w:p>
    <w:p w14:paraId="6E889B00" w14:textId="298C92C1" w:rsidR="00D154A5" w:rsidRPr="00D154A5" w:rsidRDefault="00D154A5" w:rsidP="00D154A5">
      <w:pPr>
        <w:rPr>
          <w:i/>
          <w:iCs/>
          <w:lang w:eastAsia="ko-KR"/>
        </w:rPr>
      </w:pPr>
      <w:r>
        <w:rPr>
          <w:lang w:eastAsia="ko-KR"/>
        </w:rPr>
        <w:t>“</w:t>
      </w:r>
      <w:r w:rsidRPr="00D154A5">
        <w:rPr>
          <w:i/>
          <w:iCs/>
          <w:lang w:eastAsia="ko-KR"/>
        </w:rPr>
        <w:t>Two sub-codebooks, compared to single codebook, are beneficial in terms of HARQ-ACK codebook size reduction. In case of D1 (= # of DAIs for single-PDSCH case) and D2 (= # of DAIs for multi-PDSCH case),</w:t>
      </w:r>
    </w:p>
    <w:p w14:paraId="09AF32A9" w14:textId="77777777" w:rsidR="00D154A5" w:rsidRPr="00D154A5" w:rsidRDefault="00D154A5" w:rsidP="00D154A5">
      <w:pPr>
        <w:pStyle w:val="ListParagraph"/>
        <w:numPr>
          <w:ilvl w:val="0"/>
          <w:numId w:val="29"/>
        </w:numPr>
        <w:spacing w:after="160" w:line="256" w:lineRule="auto"/>
        <w:rPr>
          <w:rFonts w:eastAsia="Malgun Gothic"/>
          <w:i/>
          <w:iCs/>
        </w:rPr>
      </w:pPr>
      <w:r w:rsidRPr="00D154A5">
        <w:rPr>
          <w:i/>
          <w:iCs/>
        </w:rPr>
        <w:t>For single codebook, # of HARQ-ACK bits = (D1+D2) * N</w:t>
      </w:r>
    </w:p>
    <w:p w14:paraId="213720FD" w14:textId="0791EF5F" w:rsidR="00D154A5" w:rsidRPr="00D154A5" w:rsidRDefault="00D154A5" w:rsidP="00D154A5">
      <w:pPr>
        <w:pStyle w:val="ListParagraph"/>
        <w:numPr>
          <w:ilvl w:val="0"/>
          <w:numId w:val="29"/>
        </w:numPr>
        <w:spacing w:after="160" w:line="256" w:lineRule="auto"/>
        <w:rPr>
          <w:rFonts w:eastAsia="Malgun Gothic"/>
          <w:i/>
          <w:iCs/>
        </w:rPr>
      </w:pPr>
      <w:r w:rsidRPr="00D154A5">
        <w:rPr>
          <w:i/>
          <w:iCs/>
        </w:rPr>
        <w:t>For two sub-codebooks, # of HARQ-ACK bits = D1 + (D2 * N)</w:t>
      </w:r>
      <w:r>
        <w:rPr>
          <w:i/>
          <w:iCs/>
        </w:rPr>
        <w:t>”</w:t>
      </w:r>
    </w:p>
    <w:p w14:paraId="395BED9A" w14:textId="18DC6BBE" w:rsidR="00732F35" w:rsidRDefault="00D154A5" w:rsidP="00D154A5">
      <w:pPr>
        <w:rPr>
          <w:b/>
          <w:bCs/>
          <w:i/>
          <w:iCs/>
        </w:rPr>
      </w:pPr>
      <w:r w:rsidRPr="00D154A5">
        <w:rPr>
          <w:b/>
          <w:bCs/>
          <w:i/>
          <w:iCs/>
        </w:rPr>
        <w:t xml:space="preserve">Proposal </w:t>
      </w:r>
      <w:r w:rsidR="002A2DB9">
        <w:rPr>
          <w:b/>
          <w:bCs/>
          <w:i/>
          <w:iCs/>
        </w:rPr>
        <w:t>9</w:t>
      </w:r>
      <w:r w:rsidRPr="00D154A5">
        <w:rPr>
          <w:b/>
          <w:bCs/>
          <w:i/>
          <w:iCs/>
        </w:rPr>
        <w:t xml:space="preserve">: </w:t>
      </w:r>
      <w:r>
        <w:rPr>
          <w:b/>
          <w:bCs/>
          <w:i/>
          <w:iCs/>
        </w:rPr>
        <w:t xml:space="preserve">Two sub-codebooks </w:t>
      </w:r>
      <w:r w:rsidR="00732F35">
        <w:rPr>
          <w:b/>
          <w:bCs/>
          <w:i/>
          <w:iCs/>
        </w:rPr>
        <w:t>can</w:t>
      </w:r>
      <w:r>
        <w:rPr>
          <w:b/>
          <w:bCs/>
          <w:i/>
          <w:iCs/>
        </w:rPr>
        <w:t xml:space="preserve"> be adopted with Alt 1 to reduce HARQ-ACK </w:t>
      </w:r>
      <w:r w:rsidR="00732F35">
        <w:rPr>
          <w:b/>
          <w:bCs/>
          <w:i/>
          <w:iCs/>
        </w:rPr>
        <w:t>codebook size</w:t>
      </w:r>
      <w:r w:rsidRPr="00D154A5">
        <w:rPr>
          <w:b/>
          <w:bCs/>
          <w:i/>
          <w:iCs/>
        </w:rPr>
        <w:t>.</w:t>
      </w:r>
      <w:r>
        <w:rPr>
          <w:b/>
          <w:bCs/>
          <w:i/>
          <w:iCs/>
        </w:rPr>
        <w:t xml:space="preserve"> While multi-PDSCH and CBG</w:t>
      </w:r>
      <w:r w:rsidR="00B1791C">
        <w:rPr>
          <w:b/>
          <w:bCs/>
          <w:i/>
          <w:iCs/>
        </w:rPr>
        <w:t xml:space="preserve"> should not be jointly configured for HARQ-ACK codebook generation</w:t>
      </w:r>
      <w:r w:rsidR="00732F35">
        <w:rPr>
          <w:b/>
          <w:bCs/>
          <w:i/>
          <w:iCs/>
        </w:rPr>
        <w:t xml:space="preserve"> for multi-PDSCH</w:t>
      </w:r>
      <w:r w:rsidR="00B1791C">
        <w:rPr>
          <w:b/>
          <w:bCs/>
          <w:i/>
          <w:iCs/>
        </w:rPr>
        <w:t>.</w:t>
      </w:r>
    </w:p>
    <w:p w14:paraId="0F87BB3D" w14:textId="57727529" w:rsidR="00732F35" w:rsidRDefault="00732F35" w:rsidP="00D154A5">
      <w:pPr>
        <w:rPr>
          <w:b/>
          <w:bCs/>
          <w:i/>
          <w:iCs/>
        </w:rPr>
      </w:pPr>
      <w:r>
        <w:rPr>
          <w:bCs/>
          <w:iCs/>
          <w:snapToGrid w:val="0"/>
        </w:rPr>
        <w:t xml:space="preserve">Another further study point is on </w:t>
      </w:r>
      <w:r w:rsidRPr="00F10D61">
        <w:rPr>
          <w:bCs/>
          <w:iCs/>
          <w:snapToGrid w:val="0"/>
        </w:rPr>
        <w:t xml:space="preserve">time domain bundling </w:t>
      </w:r>
      <w:r>
        <w:rPr>
          <w:bCs/>
          <w:iCs/>
          <w:snapToGrid w:val="0"/>
        </w:rPr>
        <w:t>to reduce the codebook size, which, as summarize</w:t>
      </w:r>
      <w:r w:rsidR="00D803FA">
        <w:rPr>
          <w:bCs/>
          <w:iCs/>
          <w:snapToGrid w:val="0"/>
        </w:rPr>
        <w:t>d</w:t>
      </w:r>
      <w:r>
        <w:rPr>
          <w:bCs/>
          <w:iCs/>
          <w:snapToGrid w:val="0"/>
        </w:rPr>
        <w:t xml:space="preserve"> by the table</w:t>
      </w:r>
      <w:r w:rsidR="00D803FA">
        <w:rPr>
          <w:bCs/>
          <w:iCs/>
          <w:snapToGrid w:val="0"/>
        </w:rPr>
        <w:t>,</w:t>
      </w:r>
      <w:r>
        <w:rPr>
          <w:bCs/>
          <w:iCs/>
          <w:snapToGrid w:val="0"/>
        </w:rPr>
        <w:t xml:space="preserve"> can be applied </w:t>
      </w:r>
      <w:r w:rsidR="00D803FA">
        <w:rPr>
          <w:bCs/>
          <w:iCs/>
          <w:snapToGrid w:val="0"/>
        </w:rPr>
        <w:t xml:space="preserve">by </w:t>
      </w:r>
      <w:r>
        <w:rPr>
          <w:bCs/>
          <w:iCs/>
          <w:snapToGrid w:val="0"/>
        </w:rPr>
        <w:t xml:space="preserve">any alternative. For a certain SCS, if the maximum configurable PDSCHs for a multi-PDSCH is N, e.g., N=8 for SCS 960kHz and N=4 for SCS 480kHz (N=1 for SCS 120kHz), then </w:t>
      </w:r>
      <w:r w:rsidR="00656648">
        <w:rPr>
          <w:bCs/>
          <w:iCs/>
          <w:snapToGrid w:val="0"/>
        </w:rPr>
        <w:t>the</w:t>
      </w:r>
      <w:r>
        <w:rPr>
          <w:bCs/>
          <w:iCs/>
          <w:snapToGrid w:val="0"/>
        </w:rPr>
        <w:t xml:space="preserve"> bundling size </w:t>
      </w:r>
      <w:r w:rsidR="00656648">
        <w:rPr>
          <w:bCs/>
          <w:iCs/>
          <w:snapToGrid w:val="0"/>
        </w:rPr>
        <w:t xml:space="preserve">can be a configurable number </w:t>
      </w:r>
      <w:r>
        <w:rPr>
          <w:bCs/>
          <w:iCs/>
          <w:snapToGrid w:val="0"/>
        </w:rPr>
        <w:t xml:space="preserve">for Alt 1 can be </w:t>
      </w:r>
      <m:oMath>
        <m:sSup>
          <m:sSupPr>
            <m:ctrlPr>
              <w:rPr>
                <w:rFonts w:ascii="Cambria Math" w:hAnsi="Cambria Math"/>
                <w:bCs/>
                <w:iCs/>
                <w:snapToGrid w:val="0"/>
              </w:rPr>
            </m:ctrlPr>
          </m:sSupPr>
          <m:e>
            <m:r>
              <w:rPr>
                <w:rFonts w:ascii="Cambria Math" w:hAnsi="Cambria Math"/>
                <w:snapToGrid w:val="0"/>
              </w:rPr>
              <m:t>2</m:t>
            </m:r>
          </m:e>
          <m:sup>
            <m:r>
              <w:rPr>
                <w:rFonts w:ascii="Cambria Math" w:hAnsi="Cambria Math"/>
                <w:snapToGrid w:val="0"/>
              </w:rPr>
              <m:t>l</m:t>
            </m:r>
          </m:sup>
        </m:sSup>
      </m:oMath>
      <w:r>
        <w:rPr>
          <w:bCs/>
          <w:iCs/>
          <w:snapToGrid w:val="0"/>
        </w:rPr>
        <w:t xml:space="preserve">, </w:t>
      </w:r>
      <m:oMath>
        <m:r>
          <w:rPr>
            <w:rFonts w:ascii="Cambria Math" w:hAnsi="Cambria Math"/>
            <w:snapToGrid w:val="0"/>
          </w:rPr>
          <m:t>0≤l≤</m:t>
        </m:r>
        <m:sSub>
          <m:sSubPr>
            <m:ctrlPr>
              <w:rPr>
                <w:rFonts w:ascii="Cambria Math" w:hAnsi="Cambria Math"/>
                <w:bCs/>
                <w:i/>
                <w:iCs/>
                <w:snapToGrid w:val="0"/>
              </w:rPr>
            </m:ctrlPr>
          </m:sSubPr>
          <m:e>
            <m:r>
              <w:rPr>
                <w:rFonts w:ascii="Cambria Math" w:hAnsi="Cambria Math"/>
                <w:snapToGrid w:val="0"/>
              </w:rPr>
              <m:t>log</m:t>
            </m:r>
          </m:e>
          <m:sub>
            <m:r>
              <w:rPr>
                <w:rFonts w:ascii="Cambria Math" w:hAnsi="Cambria Math"/>
                <w:snapToGrid w:val="0"/>
              </w:rPr>
              <m:t>2</m:t>
            </m:r>
          </m:sub>
        </m:sSub>
        <m:d>
          <m:dPr>
            <m:ctrlPr>
              <w:rPr>
                <w:rFonts w:ascii="Cambria Math" w:hAnsi="Cambria Math"/>
                <w:bCs/>
                <w:i/>
                <w:iCs/>
                <w:snapToGrid w:val="0"/>
              </w:rPr>
            </m:ctrlPr>
          </m:dPr>
          <m:e>
            <m:r>
              <w:rPr>
                <w:rFonts w:ascii="Cambria Math" w:hAnsi="Cambria Math"/>
                <w:snapToGrid w:val="0"/>
              </w:rPr>
              <m:t>N</m:t>
            </m:r>
          </m:e>
        </m:d>
      </m:oMath>
      <w:r>
        <w:rPr>
          <w:bCs/>
          <w:iCs/>
          <w:snapToGrid w:val="0"/>
        </w:rPr>
        <w:t xml:space="preserve">. </w:t>
      </w:r>
      <w:r w:rsidR="00656648">
        <w:rPr>
          <w:bCs/>
          <w:iCs/>
          <w:snapToGrid w:val="0"/>
        </w:rPr>
        <w:t>For Alt 2a, since the HARQ-ACK codebook size relates to the actual transmitted number N’ of PDSCHs in each multi-PDSCH, instead of the maximum schedulable number N, we recommend a fixed bundling size of 2 for Alt 2a</w:t>
      </w:r>
      <w:r w:rsidR="00D803FA">
        <w:rPr>
          <w:bCs/>
          <w:iCs/>
          <w:snapToGrid w:val="0"/>
        </w:rPr>
        <w:t xml:space="preserve"> to reduce the needed NACK to be padded</w:t>
      </w:r>
      <w:r w:rsidR="00656648">
        <w:rPr>
          <w:bCs/>
          <w:iCs/>
          <w:snapToGrid w:val="0"/>
        </w:rPr>
        <w:t xml:space="preserve">. Alt 3 is a superset of Alt 1 and Alt 2a, such that the bundling size </w:t>
      </w:r>
      <w:r w:rsidR="00D803FA">
        <w:rPr>
          <w:bCs/>
          <w:iCs/>
          <w:snapToGrid w:val="0"/>
        </w:rPr>
        <w:t>can be a</w:t>
      </w:r>
      <w:r w:rsidR="00656648">
        <w:rPr>
          <w:bCs/>
          <w:iCs/>
          <w:snapToGrid w:val="0"/>
        </w:rPr>
        <w:t xml:space="preserve"> configurable </w:t>
      </w:r>
      <w:r w:rsidR="00D803FA">
        <w:rPr>
          <w:bCs/>
          <w:iCs/>
          <w:snapToGrid w:val="0"/>
        </w:rPr>
        <w:t>number</w:t>
      </w:r>
      <w:r w:rsidR="00656648">
        <w:rPr>
          <w:bCs/>
          <w:iCs/>
          <w:snapToGrid w:val="0"/>
        </w:rPr>
        <w:t xml:space="preserve"> </w:t>
      </w:r>
      <m:oMath>
        <m:sSup>
          <m:sSupPr>
            <m:ctrlPr>
              <w:rPr>
                <w:rFonts w:ascii="Cambria Math" w:hAnsi="Cambria Math"/>
                <w:bCs/>
                <w:iCs/>
                <w:snapToGrid w:val="0"/>
              </w:rPr>
            </m:ctrlPr>
          </m:sSupPr>
          <m:e>
            <m:r>
              <w:rPr>
                <w:rFonts w:ascii="Cambria Math" w:hAnsi="Cambria Math"/>
                <w:snapToGrid w:val="0"/>
              </w:rPr>
              <m:t>2</m:t>
            </m:r>
          </m:e>
          <m:sup>
            <m:r>
              <w:rPr>
                <w:rFonts w:ascii="Cambria Math" w:hAnsi="Cambria Math"/>
                <w:snapToGrid w:val="0"/>
              </w:rPr>
              <m:t>l</m:t>
            </m:r>
          </m:sup>
        </m:sSup>
      </m:oMath>
      <w:r w:rsidR="00656648">
        <w:rPr>
          <w:bCs/>
          <w:iCs/>
          <w:snapToGrid w:val="0"/>
        </w:rPr>
        <w:t xml:space="preserve">, </w:t>
      </w:r>
      <m:oMath>
        <m:r>
          <w:rPr>
            <w:rFonts w:ascii="Cambria Math" w:hAnsi="Cambria Math"/>
            <w:snapToGrid w:val="0"/>
          </w:rPr>
          <m:t>0≤l≤</m:t>
        </m:r>
        <m:sSub>
          <m:sSubPr>
            <m:ctrlPr>
              <w:rPr>
                <w:rFonts w:ascii="Cambria Math" w:hAnsi="Cambria Math"/>
                <w:bCs/>
                <w:i/>
                <w:iCs/>
                <w:snapToGrid w:val="0"/>
              </w:rPr>
            </m:ctrlPr>
          </m:sSubPr>
          <m:e>
            <m:r>
              <w:rPr>
                <w:rFonts w:ascii="Cambria Math" w:hAnsi="Cambria Math"/>
                <w:snapToGrid w:val="0"/>
              </w:rPr>
              <m:t>log</m:t>
            </m:r>
          </m:e>
          <m:sub>
            <m:r>
              <w:rPr>
                <w:rFonts w:ascii="Cambria Math" w:hAnsi="Cambria Math"/>
                <w:snapToGrid w:val="0"/>
              </w:rPr>
              <m:t>2</m:t>
            </m:r>
          </m:sub>
        </m:sSub>
        <m:d>
          <m:dPr>
            <m:ctrlPr>
              <w:rPr>
                <w:rFonts w:ascii="Cambria Math" w:hAnsi="Cambria Math"/>
                <w:bCs/>
                <w:i/>
                <w:iCs/>
                <w:snapToGrid w:val="0"/>
              </w:rPr>
            </m:ctrlPr>
          </m:dPr>
          <m:e>
            <m:r>
              <w:rPr>
                <w:rFonts w:ascii="Cambria Math" w:hAnsi="Cambria Math"/>
                <w:snapToGrid w:val="0"/>
              </w:rPr>
              <m:t>M</m:t>
            </m:r>
          </m:e>
        </m:d>
        <m:r>
          <w:rPr>
            <w:rFonts w:ascii="Cambria Math" w:hAnsi="Cambria Math"/>
            <w:snapToGrid w:val="0"/>
          </w:rPr>
          <m:t>,</m:t>
        </m:r>
      </m:oMath>
      <w:r w:rsidR="00656648">
        <w:rPr>
          <w:bCs/>
          <w:iCs/>
          <w:snapToGrid w:val="0"/>
        </w:rPr>
        <w:t xml:space="preserve"> if M=N (Alt 3 reduces to Alt 1)</w:t>
      </w:r>
      <w:r w:rsidR="00D803FA">
        <w:rPr>
          <w:bCs/>
          <w:iCs/>
          <w:snapToGrid w:val="0"/>
        </w:rPr>
        <w:t>;</w:t>
      </w:r>
      <w:r w:rsidR="00656648">
        <w:rPr>
          <w:bCs/>
          <w:iCs/>
          <w:snapToGrid w:val="0"/>
        </w:rPr>
        <w:t xml:space="preserve"> or equals to 2 if M=1 (Alt 3 reduces to Alt 1). </w:t>
      </w:r>
    </w:p>
    <w:p w14:paraId="3AC7515E" w14:textId="5932F59E" w:rsidR="00656648" w:rsidRDefault="004F2F82" w:rsidP="00656648">
      <w:pPr>
        <w:rPr>
          <w:b/>
          <w:bCs/>
          <w:i/>
          <w:iCs/>
        </w:rPr>
      </w:pPr>
      <w:r>
        <w:rPr>
          <w:b/>
          <w:bCs/>
          <w:i/>
          <w:iCs/>
        </w:rPr>
        <w:t>Observation</w:t>
      </w:r>
      <w:r w:rsidR="00656648" w:rsidRPr="00D154A5">
        <w:rPr>
          <w:b/>
          <w:bCs/>
          <w:i/>
          <w:iCs/>
        </w:rPr>
        <w:t xml:space="preserve"> </w:t>
      </w:r>
      <w:r w:rsidR="00AC4811">
        <w:rPr>
          <w:b/>
          <w:bCs/>
          <w:i/>
          <w:iCs/>
        </w:rPr>
        <w:t>5</w:t>
      </w:r>
      <w:r w:rsidR="00656648" w:rsidRPr="00D154A5">
        <w:rPr>
          <w:b/>
          <w:bCs/>
          <w:i/>
          <w:iCs/>
        </w:rPr>
        <w:t xml:space="preserve">: </w:t>
      </w:r>
      <w:r w:rsidR="00656648">
        <w:rPr>
          <w:b/>
          <w:bCs/>
          <w:i/>
          <w:iCs/>
        </w:rPr>
        <w:t xml:space="preserve">The time-domain bundling size </w:t>
      </w:r>
      <w:r>
        <w:rPr>
          <w:b/>
          <w:bCs/>
          <w:i/>
          <w:iCs/>
        </w:rPr>
        <w:t>can be</w:t>
      </w:r>
      <w:r w:rsidR="00656648">
        <w:rPr>
          <w:b/>
          <w:bCs/>
          <w:i/>
          <w:iCs/>
        </w:rPr>
        <w:t xml:space="preserve"> </w:t>
      </w:r>
      <m:oMath>
        <m:sSup>
          <m:sSupPr>
            <m:ctrlPr>
              <w:rPr>
                <w:rFonts w:ascii="Cambria Math" w:hAnsi="Cambria Math"/>
                <w:b/>
                <w:i/>
                <w:iCs/>
                <w:snapToGrid w:val="0"/>
              </w:rPr>
            </m:ctrlPr>
          </m:sSupPr>
          <m:e>
            <m:r>
              <m:rPr>
                <m:sty m:val="bi"/>
              </m:rPr>
              <w:rPr>
                <w:rFonts w:ascii="Cambria Math" w:hAnsi="Cambria Math"/>
                <w:snapToGrid w:val="0"/>
              </w:rPr>
              <m:t>2</m:t>
            </m:r>
          </m:e>
          <m:sup>
            <m:r>
              <m:rPr>
                <m:sty m:val="bi"/>
              </m:rPr>
              <w:rPr>
                <w:rFonts w:ascii="Cambria Math" w:hAnsi="Cambria Math"/>
                <w:snapToGrid w:val="0"/>
              </w:rPr>
              <m:t>l</m:t>
            </m:r>
          </m:sup>
        </m:sSup>
      </m:oMath>
      <w:r w:rsidR="00656648" w:rsidRPr="00656648">
        <w:rPr>
          <w:b/>
          <w:i/>
          <w:iCs/>
          <w:snapToGrid w:val="0"/>
        </w:rPr>
        <w:t xml:space="preserve">, </w:t>
      </w:r>
      <m:oMath>
        <m:r>
          <m:rPr>
            <m:sty m:val="bi"/>
          </m:rPr>
          <w:rPr>
            <w:rFonts w:ascii="Cambria Math" w:hAnsi="Cambria Math"/>
            <w:snapToGrid w:val="0"/>
          </w:rPr>
          <m:t>0≤l≤</m:t>
        </m:r>
        <m:sSub>
          <m:sSubPr>
            <m:ctrlPr>
              <w:rPr>
                <w:rFonts w:ascii="Cambria Math" w:hAnsi="Cambria Math"/>
                <w:b/>
                <w:i/>
                <w:iCs/>
                <w:snapToGrid w:val="0"/>
              </w:rPr>
            </m:ctrlPr>
          </m:sSubPr>
          <m:e>
            <m:r>
              <m:rPr>
                <m:sty m:val="bi"/>
              </m:rPr>
              <w:rPr>
                <w:rFonts w:ascii="Cambria Math" w:hAnsi="Cambria Math"/>
                <w:snapToGrid w:val="0"/>
              </w:rPr>
              <m:t>log</m:t>
            </m:r>
          </m:e>
          <m:sub>
            <m:r>
              <m:rPr>
                <m:sty m:val="bi"/>
              </m:rPr>
              <w:rPr>
                <w:rFonts w:ascii="Cambria Math" w:hAnsi="Cambria Math"/>
                <w:snapToGrid w:val="0"/>
              </w:rPr>
              <m:t>2</m:t>
            </m:r>
          </m:sub>
        </m:sSub>
        <m:d>
          <m:dPr>
            <m:ctrlPr>
              <w:rPr>
                <w:rFonts w:ascii="Cambria Math" w:hAnsi="Cambria Math"/>
                <w:b/>
                <w:i/>
                <w:iCs/>
                <w:snapToGrid w:val="0"/>
              </w:rPr>
            </m:ctrlPr>
          </m:dPr>
          <m:e>
            <m:r>
              <m:rPr>
                <m:sty m:val="bi"/>
              </m:rPr>
              <w:rPr>
                <w:rFonts w:ascii="Cambria Math" w:hAnsi="Cambria Math"/>
                <w:snapToGrid w:val="0"/>
              </w:rPr>
              <m:t>N</m:t>
            </m:r>
          </m:e>
        </m:d>
      </m:oMath>
      <w:r w:rsidR="00656648">
        <w:rPr>
          <w:b/>
          <w:bCs/>
          <w:i/>
          <w:iCs/>
        </w:rPr>
        <w:t xml:space="preserve"> for Alt </w:t>
      </w:r>
      <w:r w:rsidR="00222A28">
        <w:rPr>
          <w:b/>
          <w:bCs/>
          <w:i/>
          <w:iCs/>
        </w:rPr>
        <w:t>1 and</w:t>
      </w:r>
      <w:r w:rsidR="00656648">
        <w:rPr>
          <w:b/>
          <w:bCs/>
          <w:i/>
          <w:iCs/>
        </w:rPr>
        <w:t xml:space="preserve"> </w:t>
      </w:r>
      <w:r w:rsidR="00D803FA">
        <w:rPr>
          <w:b/>
          <w:bCs/>
          <w:i/>
          <w:iCs/>
        </w:rPr>
        <w:t>a fixed value 2 for Alt 2a. Time-domain B</w:t>
      </w:r>
      <w:r>
        <w:rPr>
          <w:b/>
          <w:bCs/>
          <w:i/>
          <w:iCs/>
        </w:rPr>
        <w:t xml:space="preserve">undling is appliable </w:t>
      </w:r>
      <w:r w:rsidR="00D803FA">
        <w:rPr>
          <w:b/>
          <w:bCs/>
          <w:i/>
          <w:iCs/>
        </w:rPr>
        <w:t>by</w:t>
      </w:r>
      <w:r>
        <w:rPr>
          <w:b/>
          <w:bCs/>
          <w:i/>
          <w:iCs/>
        </w:rPr>
        <w:t xml:space="preserve"> all alternatives</w:t>
      </w:r>
      <w:r w:rsidR="00656648">
        <w:rPr>
          <w:b/>
          <w:bCs/>
          <w:i/>
          <w:iCs/>
        </w:rPr>
        <w:t xml:space="preserve">. </w:t>
      </w:r>
    </w:p>
    <w:p w14:paraId="76ED67FF" w14:textId="5B747F5A" w:rsidR="00D803FA" w:rsidRDefault="00214A54" w:rsidP="00D154A5">
      <w:pPr>
        <w:rPr>
          <w:bCs/>
          <w:iCs/>
          <w:snapToGrid w:val="0"/>
        </w:rPr>
      </w:pPr>
      <w:r>
        <w:t>For Alt 2a, the increment of DAI size is the main problem. As was identified during the last meeting, both the C-DAI/T-DAI in DL DCI and the UL DAI needs to be 2+</w:t>
      </w:r>
      <m:oMath>
        <m:sSub>
          <m:sSubPr>
            <m:ctrlPr>
              <w:rPr>
                <w:rFonts w:ascii="Cambria Math" w:hAnsi="Cambria Math"/>
                <w:bCs/>
                <w:i/>
                <w:iCs/>
                <w:snapToGrid w:val="0"/>
              </w:rPr>
            </m:ctrlPr>
          </m:sSubPr>
          <m:e>
            <m:r>
              <w:rPr>
                <w:rFonts w:ascii="Cambria Math" w:hAnsi="Cambria Math"/>
                <w:snapToGrid w:val="0"/>
              </w:rPr>
              <m:t>⌈log</m:t>
            </m:r>
          </m:e>
          <m:sub>
            <m:r>
              <w:rPr>
                <w:rFonts w:ascii="Cambria Math" w:hAnsi="Cambria Math"/>
                <w:snapToGrid w:val="0"/>
              </w:rPr>
              <m:t>2</m:t>
            </m:r>
          </m:sub>
        </m:sSub>
        <m:d>
          <m:dPr>
            <m:ctrlPr>
              <w:rPr>
                <w:rFonts w:ascii="Cambria Math" w:hAnsi="Cambria Math"/>
                <w:bCs/>
                <w:i/>
                <w:iCs/>
                <w:snapToGrid w:val="0"/>
              </w:rPr>
            </m:ctrlPr>
          </m:dPr>
          <m:e>
            <m:r>
              <w:rPr>
                <w:rFonts w:ascii="Cambria Math" w:hAnsi="Cambria Math"/>
                <w:snapToGrid w:val="0"/>
              </w:rPr>
              <m:t>N</m:t>
            </m:r>
          </m:e>
        </m:d>
        <m:r>
          <w:rPr>
            <w:rFonts w:ascii="Cambria Math" w:hAnsi="Cambria Math"/>
            <w:snapToGrid w:val="0"/>
          </w:rPr>
          <m:t>⌉</m:t>
        </m:r>
      </m:oMath>
      <w:r w:rsidRPr="00214A54">
        <w:rPr>
          <w:bCs/>
          <w:iCs/>
          <w:snapToGrid w:val="0"/>
        </w:rPr>
        <w:t>.</w:t>
      </w:r>
      <w:r>
        <w:rPr>
          <w:bCs/>
          <w:iCs/>
          <w:snapToGrid w:val="0"/>
        </w:rPr>
        <w:t xml:space="preserve"> In the case N=8, </w:t>
      </w:r>
      <w:r w:rsidR="00D3310D">
        <w:rPr>
          <w:bCs/>
          <w:iCs/>
          <w:snapToGrid w:val="0"/>
        </w:rPr>
        <w:t xml:space="preserve">since each of the C-DAI/T-DAI/UL DAI needs to increase by 3 bits, </w:t>
      </w:r>
      <w:r>
        <w:rPr>
          <w:bCs/>
          <w:iCs/>
          <w:snapToGrid w:val="0"/>
        </w:rPr>
        <w:t xml:space="preserve">a total of </w:t>
      </w:r>
      <w:r w:rsidR="00D803FA">
        <w:rPr>
          <w:bCs/>
          <w:iCs/>
          <w:snapToGrid w:val="0"/>
        </w:rPr>
        <w:t>3×3=</w:t>
      </w:r>
      <w:r>
        <w:rPr>
          <w:bCs/>
          <w:iCs/>
          <w:snapToGrid w:val="0"/>
        </w:rPr>
        <w:t xml:space="preserve">9 extra bits </w:t>
      </w:r>
      <w:r w:rsidR="00D803FA">
        <w:rPr>
          <w:bCs/>
          <w:iCs/>
          <w:snapToGrid w:val="0"/>
        </w:rPr>
        <w:t>are</w:t>
      </w:r>
      <w:r>
        <w:rPr>
          <w:bCs/>
          <w:iCs/>
          <w:snapToGrid w:val="0"/>
        </w:rPr>
        <w:t xml:space="preserve"> needed for downlink scheduling. </w:t>
      </w:r>
    </w:p>
    <w:p w14:paraId="121B6444" w14:textId="1F467ABC" w:rsidR="00D154A5" w:rsidRPr="00214A54" w:rsidRDefault="00214A54" w:rsidP="00D154A5">
      <w:r>
        <w:rPr>
          <w:bCs/>
          <w:iCs/>
          <w:snapToGrid w:val="0"/>
        </w:rPr>
        <w:t xml:space="preserve">A further study point is </w:t>
      </w:r>
      <w:r w:rsidRPr="0043652F">
        <w:rPr>
          <w:lang w:eastAsia="ko-KR"/>
        </w:rPr>
        <w:t>whether/how to handle the case where different DCI formats (e.g., DCI format 1_0 and DCI format 1_1) have different field sizes for C-DAI/T-DAI</w:t>
      </w:r>
      <w:r>
        <w:rPr>
          <w:lang w:eastAsia="ko-KR"/>
        </w:rPr>
        <w:t xml:space="preserve">. Our recommendation is not to </w:t>
      </w:r>
      <w:proofErr w:type="spellStart"/>
      <w:r>
        <w:rPr>
          <w:lang w:eastAsia="ko-KR"/>
        </w:rPr>
        <w:t>extendmultiple</w:t>
      </w:r>
      <w:proofErr w:type="spellEnd"/>
      <w:r>
        <w:rPr>
          <w:lang w:eastAsia="ko-KR"/>
        </w:rPr>
        <w:t xml:space="preserve"> DCI formats </w:t>
      </w:r>
      <w:r w:rsidR="00364964">
        <w:rPr>
          <w:lang w:eastAsia="ko-KR"/>
        </w:rPr>
        <w:t xml:space="preserve">for scheduling multi-PDSCH, </w:t>
      </w:r>
      <w:r w:rsidR="00D803FA">
        <w:rPr>
          <w:lang w:eastAsia="ko-KR"/>
        </w:rPr>
        <w:t>instead,</w:t>
      </w:r>
      <w:r w:rsidR="00364964">
        <w:rPr>
          <w:lang w:eastAsia="ko-KR"/>
        </w:rPr>
        <w:t xml:space="preserve"> </w:t>
      </w:r>
      <w:r w:rsidR="00D803FA">
        <w:rPr>
          <w:lang w:eastAsia="ko-KR"/>
        </w:rPr>
        <w:t xml:space="preserve">only </w:t>
      </w:r>
      <w:r w:rsidR="00364964">
        <w:rPr>
          <w:lang w:eastAsia="ko-KR"/>
        </w:rPr>
        <w:t>DCI format 1_1</w:t>
      </w:r>
      <w:r w:rsidR="00D803FA">
        <w:rPr>
          <w:lang w:eastAsia="ko-KR"/>
        </w:rPr>
        <w:t xml:space="preserve"> is extended for multi-PDSCH</w:t>
      </w:r>
      <w:r w:rsidR="00364964">
        <w:rPr>
          <w:lang w:eastAsia="ko-KR"/>
        </w:rPr>
        <w:t xml:space="preserve">. This serves to simplify the </w:t>
      </w:r>
      <w:r w:rsidR="00D803FA">
        <w:rPr>
          <w:lang w:eastAsia="ko-KR"/>
        </w:rPr>
        <w:t>design</w:t>
      </w:r>
      <w:r w:rsidR="00364964">
        <w:rPr>
          <w:lang w:eastAsia="ko-KR"/>
        </w:rPr>
        <w:t xml:space="preserve">. </w:t>
      </w:r>
    </w:p>
    <w:p w14:paraId="699C00EF" w14:textId="17D81582" w:rsidR="00364964" w:rsidRDefault="00364964" w:rsidP="00364964">
      <w:pPr>
        <w:rPr>
          <w:b/>
          <w:bCs/>
          <w:i/>
          <w:iCs/>
        </w:rPr>
      </w:pPr>
      <w:r w:rsidRPr="00D154A5">
        <w:rPr>
          <w:b/>
          <w:bCs/>
          <w:i/>
          <w:iCs/>
        </w:rPr>
        <w:t xml:space="preserve">Proposal </w:t>
      </w:r>
      <w:r w:rsidR="00AC4811">
        <w:rPr>
          <w:b/>
          <w:bCs/>
          <w:i/>
          <w:iCs/>
        </w:rPr>
        <w:t>1</w:t>
      </w:r>
      <w:r w:rsidR="002A2DB9">
        <w:rPr>
          <w:b/>
          <w:bCs/>
          <w:i/>
          <w:iCs/>
        </w:rPr>
        <w:t>0</w:t>
      </w:r>
      <w:r w:rsidRPr="00D154A5">
        <w:rPr>
          <w:b/>
          <w:bCs/>
          <w:i/>
          <w:iCs/>
        </w:rPr>
        <w:t xml:space="preserve">: </w:t>
      </w:r>
      <w:r>
        <w:rPr>
          <w:b/>
          <w:bCs/>
          <w:i/>
          <w:iCs/>
        </w:rPr>
        <w:t xml:space="preserve">Only DCI format 1_1 is extended for scheduling multi-PDSCH. </w:t>
      </w:r>
    </w:p>
    <w:p w14:paraId="1D0B91CE" w14:textId="4B178D86" w:rsidR="00EC768E" w:rsidRDefault="00EC768E" w:rsidP="00EC768E">
      <w:pPr>
        <w:spacing w:after="0" w:line="252" w:lineRule="auto"/>
        <w:rPr>
          <w:lang w:eastAsia="ko-KR"/>
        </w:rPr>
      </w:pPr>
      <w:r>
        <w:rPr>
          <w:lang w:eastAsia="ko-KR"/>
        </w:rPr>
        <w:t xml:space="preserve">Regarding the </w:t>
      </w:r>
      <w:r w:rsidRPr="0043652F">
        <w:rPr>
          <w:lang w:eastAsia="ko-KR"/>
        </w:rPr>
        <w:t>ordering of the PDSCHs for DAI counting</w:t>
      </w:r>
      <w:r>
        <w:rPr>
          <w:lang w:eastAsia="ko-KR"/>
        </w:rPr>
        <w:t xml:space="preserve">, the legacy way is that the C-DAI indicates the number of schedule downlink transmissions in a ‘carrier-first, time-second’ manner, and the T-DAI indicates the total number of downlink transmission across all carriers up to this point in time, i.e., the largest C-DAI at the current point in time. The UE only needs to receive at least one component carrier  in order to know the T-DAI thus the size of the codebook at this point in time. There seems no motivation to change the rule of ordering for DAI counting since the legacy ordering would well accommodate multi-PDSCH.   </w:t>
      </w:r>
    </w:p>
    <w:p w14:paraId="5B886E9D" w14:textId="77777777" w:rsidR="00EC768E" w:rsidRPr="0043652F" w:rsidRDefault="00EC768E" w:rsidP="00EC768E">
      <w:pPr>
        <w:spacing w:after="0" w:line="252" w:lineRule="auto"/>
        <w:rPr>
          <w:lang w:eastAsia="ko-KR"/>
        </w:rPr>
      </w:pPr>
    </w:p>
    <w:p w14:paraId="4D26D874" w14:textId="49AF16AD" w:rsidR="00EC768E" w:rsidRDefault="00EC768E" w:rsidP="00EC768E">
      <w:pPr>
        <w:rPr>
          <w:b/>
          <w:bCs/>
          <w:i/>
          <w:iCs/>
        </w:rPr>
      </w:pPr>
      <w:r w:rsidRPr="00D154A5">
        <w:rPr>
          <w:b/>
          <w:bCs/>
          <w:i/>
          <w:iCs/>
        </w:rPr>
        <w:t xml:space="preserve">Proposal </w:t>
      </w:r>
      <w:r w:rsidR="00AC4811">
        <w:rPr>
          <w:b/>
          <w:bCs/>
          <w:i/>
          <w:iCs/>
        </w:rPr>
        <w:t>1</w:t>
      </w:r>
      <w:r w:rsidR="002A2DB9">
        <w:rPr>
          <w:b/>
          <w:bCs/>
          <w:i/>
          <w:iCs/>
        </w:rPr>
        <w:t>1</w:t>
      </w:r>
      <w:r w:rsidRPr="00D154A5">
        <w:rPr>
          <w:b/>
          <w:bCs/>
          <w:i/>
          <w:iCs/>
        </w:rPr>
        <w:t xml:space="preserve">: </w:t>
      </w:r>
      <w:r w:rsidR="00661513">
        <w:rPr>
          <w:b/>
          <w:bCs/>
          <w:i/>
          <w:iCs/>
        </w:rPr>
        <w:t>Reuse</w:t>
      </w:r>
      <w:r>
        <w:rPr>
          <w:b/>
          <w:bCs/>
          <w:i/>
          <w:iCs/>
        </w:rPr>
        <w:t xml:space="preserve"> the legacy </w:t>
      </w:r>
      <w:r w:rsidR="0071434D" w:rsidRPr="0071434D">
        <w:rPr>
          <w:b/>
          <w:bCs/>
          <w:i/>
          <w:iCs/>
          <w:lang w:eastAsia="ko-KR"/>
        </w:rPr>
        <w:t>carrier-first time-second</w:t>
      </w:r>
      <w:r w:rsidR="0071434D">
        <w:rPr>
          <w:b/>
          <w:bCs/>
          <w:i/>
          <w:iCs/>
        </w:rPr>
        <w:t xml:space="preserve"> </w:t>
      </w:r>
      <w:r>
        <w:rPr>
          <w:b/>
          <w:bCs/>
          <w:i/>
          <w:iCs/>
        </w:rPr>
        <w:t>ordering</w:t>
      </w:r>
      <w:r w:rsidR="00661513">
        <w:rPr>
          <w:b/>
          <w:bCs/>
          <w:i/>
          <w:iCs/>
        </w:rPr>
        <w:t xml:space="preserve"> of DAI counting for multi-PDSCH</w:t>
      </w:r>
      <w:r>
        <w:rPr>
          <w:b/>
          <w:bCs/>
          <w:i/>
          <w:iCs/>
        </w:rPr>
        <w:t xml:space="preserve">. </w:t>
      </w:r>
    </w:p>
    <w:p w14:paraId="38C87AC4" w14:textId="444674DA" w:rsidR="006C1DF9" w:rsidRDefault="006C1DF9" w:rsidP="00D154A5">
      <w:pPr>
        <w:spacing w:after="160" w:line="256" w:lineRule="auto"/>
        <w:rPr>
          <w:bCs/>
          <w:iCs/>
          <w:snapToGrid w:val="0"/>
        </w:rPr>
      </w:pPr>
      <w:r>
        <w:rPr>
          <w:rFonts w:eastAsia="Malgun Gothic"/>
        </w:rPr>
        <w:t xml:space="preserve">Alt 3 is a superset of Alt 1 and Alt 2a. As is conclude, Alt 3 reduces to Alt 1 if </w:t>
      </w:r>
      <w:r w:rsidRPr="0043652F">
        <w:rPr>
          <w:lang w:eastAsia="ko-KR"/>
        </w:rPr>
        <w:t>M equals to the maximum configured number</w:t>
      </w:r>
      <w:r>
        <w:rPr>
          <w:lang w:eastAsia="ko-KR"/>
        </w:rPr>
        <w:t xml:space="preserve"> </w:t>
      </w:r>
      <w:r w:rsidRPr="0043652F">
        <w:rPr>
          <w:lang w:eastAsia="ko-KR"/>
        </w:rPr>
        <w:t>of PDSCHs</w:t>
      </w:r>
      <w:r>
        <w:rPr>
          <w:lang w:eastAsia="ko-KR"/>
        </w:rPr>
        <w:t>, i.e., N</w:t>
      </w:r>
      <w:r>
        <w:rPr>
          <w:rFonts w:eastAsia="Malgun Gothic"/>
        </w:rPr>
        <w:t xml:space="preserve">; and reduces to Alt 2a if M = 1. If 1 &lt; M &lt; N,  the DAI field size is </w:t>
      </w:r>
      <w:r>
        <w:t>2+</w:t>
      </w:r>
      <m:oMath>
        <m:sSub>
          <m:sSubPr>
            <m:ctrlPr>
              <w:rPr>
                <w:rFonts w:ascii="Cambria Math" w:hAnsi="Cambria Math"/>
                <w:bCs/>
                <w:i/>
                <w:iCs/>
                <w:snapToGrid w:val="0"/>
              </w:rPr>
            </m:ctrlPr>
          </m:sSubPr>
          <m:e>
            <m:r>
              <w:rPr>
                <w:rFonts w:ascii="Cambria Math" w:hAnsi="Cambria Math"/>
                <w:snapToGrid w:val="0"/>
              </w:rPr>
              <m:t>⌈log</m:t>
            </m:r>
          </m:e>
          <m:sub>
            <m:r>
              <w:rPr>
                <w:rFonts w:ascii="Cambria Math" w:hAnsi="Cambria Math"/>
                <w:snapToGrid w:val="0"/>
              </w:rPr>
              <m:t>2</m:t>
            </m:r>
          </m:sub>
        </m:sSub>
        <m:d>
          <m:dPr>
            <m:ctrlPr>
              <w:rPr>
                <w:rFonts w:ascii="Cambria Math" w:hAnsi="Cambria Math"/>
                <w:bCs/>
                <w:i/>
                <w:iCs/>
                <w:snapToGrid w:val="0"/>
              </w:rPr>
            </m:ctrlPr>
          </m:dPr>
          <m:e>
            <m:r>
              <w:rPr>
                <w:rFonts w:ascii="Cambria Math" w:hAnsi="Cambria Math"/>
                <w:snapToGrid w:val="0"/>
              </w:rPr>
              <m:t>N</m:t>
            </m:r>
          </m:e>
        </m:d>
        <m:r>
          <w:rPr>
            <w:rFonts w:ascii="Cambria Math" w:hAnsi="Cambria Math"/>
            <w:snapToGrid w:val="0"/>
          </w:rPr>
          <m:t>/M⌉</m:t>
        </m:r>
      </m:oMath>
      <w:r>
        <w:rPr>
          <w:bCs/>
          <w:iCs/>
          <w:snapToGrid w:val="0"/>
        </w:rPr>
        <w:t>, which is in between the length</w:t>
      </w:r>
      <w:r w:rsidR="0071434D">
        <w:rPr>
          <w:bCs/>
          <w:iCs/>
          <w:snapToGrid w:val="0"/>
        </w:rPr>
        <w:t>s</w:t>
      </w:r>
      <w:r>
        <w:rPr>
          <w:bCs/>
          <w:iCs/>
          <w:snapToGrid w:val="0"/>
        </w:rPr>
        <w:t xml:space="preserve"> </w:t>
      </w:r>
      <w:r w:rsidR="0071434D">
        <w:rPr>
          <w:bCs/>
          <w:iCs/>
          <w:snapToGrid w:val="0"/>
        </w:rPr>
        <w:t>associated with</w:t>
      </w:r>
      <w:r>
        <w:rPr>
          <w:bCs/>
          <w:iCs/>
          <w:snapToGrid w:val="0"/>
        </w:rPr>
        <w:t xml:space="preserve"> Alt 1 and Alt 2a. </w:t>
      </w:r>
    </w:p>
    <w:p w14:paraId="62460E3A" w14:textId="3409CA12" w:rsidR="006C1DF9" w:rsidRDefault="006C1DF9" w:rsidP="00D154A5">
      <w:pPr>
        <w:spacing w:after="160" w:line="256" w:lineRule="auto"/>
        <w:rPr>
          <w:rFonts w:eastAsia="Malgun Gothic"/>
        </w:rPr>
      </w:pPr>
      <w:r>
        <w:rPr>
          <w:bCs/>
          <w:iCs/>
          <w:snapToGrid w:val="0"/>
        </w:rPr>
        <w:t xml:space="preserve">The other study point of Alt 3 is whether single sub-codebook or two sub-codebooks are used when </w:t>
      </w:r>
      <w:r>
        <w:rPr>
          <w:rFonts w:eastAsia="Malgun Gothic"/>
        </w:rPr>
        <w:t xml:space="preserve">1 &lt; M &lt; N, given that two sub-codebooks are used when M = N and one sub-codebook when M = 1. Recall that the motivation of using two sub-codebooks is to save the HARQ-ACK codebook size, which becomes larger when M approaches N. </w:t>
      </w:r>
      <w:r w:rsidR="001F67B6">
        <w:rPr>
          <w:rFonts w:eastAsia="Malgun Gothic"/>
        </w:rPr>
        <w:t xml:space="preserve">Therefore, the decision seems to be related with the actual configurable values of M between [1,N]. If only small values, e.g., up to 2 is configurable for M, Alt 3 is more similar to Alt 2a than to Alt1, </w:t>
      </w:r>
      <w:r w:rsidR="00B640AF">
        <w:rPr>
          <w:rFonts w:eastAsia="Malgun Gothic"/>
        </w:rPr>
        <w:t xml:space="preserve">thus in theory there is less need </w:t>
      </w:r>
      <w:r w:rsidR="001F67B6">
        <w:rPr>
          <w:rFonts w:eastAsia="Malgun Gothic"/>
        </w:rPr>
        <w:t xml:space="preserve">to allow the two sub-codebooks feature for Alt 3 for </w:t>
      </w:r>
      <w:r w:rsidR="001F67B6">
        <w:rPr>
          <w:rFonts w:eastAsia="Malgun Gothic"/>
        </w:rPr>
        <w:lastRenderedPageBreak/>
        <w:t xml:space="preserve">the minor </w:t>
      </w:r>
      <w:r w:rsidR="00B640AF">
        <w:rPr>
          <w:rFonts w:eastAsia="Malgun Gothic"/>
        </w:rPr>
        <w:t xml:space="preserve">codebook size </w:t>
      </w:r>
      <w:r w:rsidR="001F67B6">
        <w:rPr>
          <w:rFonts w:eastAsia="Malgun Gothic"/>
        </w:rPr>
        <w:t xml:space="preserve">saving. </w:t>
      </w:r>
      <w:r w:rsidR="00B640AF">
        <w:rPr>
          <w:rFonts w:eastAsia="Malgun Gothic"/>
        </w:rPr>
        <w:t>For</w:t>
      </w:r>
      <w:r w:rsidR="001F67B6">
        <w:rPr>
          <w:rFonts w:eastAsia="Malgun Gothic"/>
        </w:rPr>
        <w:t xml:space="preserve"> larger values of M, or </w:t>
      </w:r>
      <w:r w:rsidR="00B640AF">
        <w:rPr>
          <w:rFonts w:eastAsia="Malgun Gothic"/>
        </w:rPr>
        <w:t xml:space="preserve">if </w:t>
      </w:r>
      <w:r w:rsidR="001F67B6">
        <w:rPr>
          <w:rFonts w:eastAsia="Malgun Gothic"/>
        </w:rPr>
        <w:t xml:space="preserve">all values are configurable for M, the two sub-codebook mechanism </w:t>
      </w:r>
      <w:r w:rsidR="00B640AF">
        <w:rPr>
          <w:rFonts w:eastAsia="Malgun Gothic"/>
        </w:rPr>
        <w:t>has more advantage</w:t>
      </w:r>
      <w:r w:rsidR="001F67B6">
        <w:rPr>
          <w:rFonts w:eastAsia="Malgun Gothic"/>
        </w:rPr>
        <w:t xml:space="preserve">.   </w:t>
      </w:r>
    </w:p>
    <w:p w14:paraId="7699EA1B" w14:textId="6DDF4C5F" w:rsidR="00B640AF" w:rsidRPr="006C1DF9" w:rsidRDefault="00B640AF" w:rsidP="00D154A5">
      <w:pPr>
        <w:spacing w:after="160" w:line="256" w:lineRule="auto"/>
        <w:rPr>
          <w:bCs/>
          <w:iCs/>
          <w:snapToGrid w:val="0"/>
        </w:rPr>
      </w:pPr>
      <w:r>
        <w:rPr>
          <w:rFonts w:eastAsia="Malgun Gothic"/>
        </w:rPr>
        <w:t xml:space="preserve">Despite the discussion above, we think that if eventually two sub-codebooks is agreed for Alt 1 (Alt 3, M=N), standard effort is anyway taken and extending the framework to the 1 &lt; M &lt; N case for Alt 3 is relatively marginal. Therefore, we </w:t>
      </w:r>
      <w:r w:rsidR="009C4AB1">
        <w:rPr>
          <w:rFonts w:eastAsia="Malgun Gothic"/>
        </w:rPr>
        <w:t xml:space="preserve">prefer </w:t>
      </w:r>
      <w:r>
        <w:rPr>
          <w:rFonts w:eastAsia="Malgun Gothic"/>
        </w:rPr>
        <w:t xml:space="preserve">the option of two codebooks for 1 &lt; </w:t>
      </w:r>
      <w:r w:rsidRPr="00B640AF">
        <w:rPr>
          <w:rFonts w:eastAsia="Malgun Gothic"/>
        </w:rPr>
        <w:t xml:space="preserve">M </w:t>
      </w:r>
      <m:oMath>
        <m:r>
          <w:rPr>
            <w:rFonts w:ascii="Cambria Math" w:hAnsi="Cambria Math"/>
            <w:snapToGrid w:val="0"/>
          </w:rPr>
          <m:t>≤</m:t>
        </m:r>
      </m:oMath>
      <w:r w:rsidRPr="00B640AF">
        <w:rPr>
          <w:rFonts w:eastAsia="Malgun Gothic"/>
        </w:rPr>
        <w:t xml:space="preserve"> N</w:t>
      </w:r>
      <w:r>
        <w:rPr>
          <w:rFonts w:eastAsia="Malgun Gothic"/>
        </w:rPr>
        <w:t>.</w:t>
      </w:r>
    </w:p>
    <w:p w14:paraId="435AC9CF" w14:textId="26E54668" w:rsidR="001F67B6" w:rsidRDefault="001E7DE4" w:rsidP="001F67B6">
      <w:pPr>
        <w:rPr>
          <w:b/>
          <w:bCs/>
          <w:i/>
          <w:iCs/>
        </w:rPr>
      </w:pPr>
      <w:r>
        <w:rPr>
          <w:b/>
          <w:bCs/>
          <w:i/>
          <w:iCs/>
        </w:rPr>
        <w:t>Observation</w:t>
      </w:r>
      <w:r w:rsidR="001F67B6" w:rsidRPr="00D154A5">
        <w:rPr>
          <w:b/>
          <w:bCs/>
          <w:i/>
          <w:iCs/>
        </w:rPr>
        <w:t xml:space="preserve"> </w:t>
      </w:r>
      <w:r>
        <w:rPr>
          <w:b/>
          <w:bCs/>
          <w:i/>
          <w:iCs/>
        </w:rPr>
        <w:t>6</w:t>
      </w:r>
      <w:r w:rsidR="001F67B6" w:rsidRPr="00D154A5">
        <w:rPr>
          <w:b/>
          <w:bCs/>
          <w:i/>
          <w:iCs/>
        </w:rPr>
        <w:t xml:space="preserve">: </w:t>
      </w:r>
      <w:r w:rsidR="001F67B6">
        <w:rPr>
          <w:b/>
          <w:bCs/>
          <w:i/>
          <w:iCs/>
        </w:rPr>
        <w:t>Whether us</w:t>
      </w:r>
      <w:r w:rsidR="00B640AF">
        <w:rPr>
          <w:b/>
          <w:bCs/>
          <w:i/>
          <w:iCs/>
        </w:rPr>
        <w:t>ing</w:t>
      </w:r>
      <w:r w:rsidR="001F67B6">
        <w:rPr>
          <w:b/>
          <w:bCs/>
          <w:i/>
          <w:iCs/>
        </w:rPr>
        <w:t xml:space="preserve"> two sub-codebooks for Alt 3 </w:t>
      </w:r>
      <w:r w:rsidR="00B640AF">
        <w:rPr>
          <w:b/>
          <w:bCs/>
          <w:i/>
          <w:iCs/>
        </w:rPr>
        <w:t xml:space="preserve">when </w:t>
      </w:r>
      <w:r w:rsidR="00B640AF" w:rsidRPr="00B640AF">
        <w:rPr>
          <w:rFonts w:eastAsia="Malgun Gothic"/>
          <w:b/>
          <w:bCs/>
          <w:i/>
          <w:iCs/>
        </w:rPr>
        <w:t>1 &lt; M &lt; N</w:t>
      </w:r>
      <w:r w:rsidR="00B640AF">
        <w:rPr>
          <w:b/>
          <w:bCs/>
          <w:i/>
          <w:iCs/>
        </w:rPr>
        <w:t xml:space="preserve"> could serve to reduce </w:t>
      </w:r>
      <w:r>
        <w:rPr>
          <w:b/>
          <w:bCs/>
          <w:i/>
          <w:iCs/>
        </w:rPr>
        <w:t>notabl</w:t>
      </w:r>
      <w:r w:rsidR="009C4AB1">
        <w:rPr>
          <w:b/>
          <w:bCs/>
          <w:i/>
          <w:iCs/>
        </w:rPr>
        <w:t>y</w:t>
      </w:r>
      <w:r>
        <w:rPr>
          <w:b/>
          <w:bCs/>
          <w:i/>
          <w:iCs/>
        </w:rPr>
        <w:t xml:space="preserve"> </w:t>
      </w:r>
      <w:r w:rsidR="009C4AB1">
        <w:rPr>
          <w:b/>
          <w:bCs/>
          <w:i/>
          <w:iCs/>
        </w:rPr>
        <w:t xml:space="preserve">the </w:t>
      </w:r>
      <w:r w:rsidR="00D15B02">
        <w:rPr>
          <w:b/>
          <w:bCs/>
          <w:i/>
          <w:iCs/>
        </w:rPr>
        <w:t>number</w:t>
      </w:r>
      <w:r>
        <w:rPr>
          <w:b/>
          <w:bCs/>
          <w:i/>
          <w:iCs/>
        </w:rPr>
        <w:t xml:space="preserve"> of </w:t>
      </w:r>
      <w:r w:rsidR="00B640AF">
        <w:rPr>
          <w:b/>
          <w:bCs/>
          <w:i/>
          <w:iCs/>
        </w:rPr>
        <w:t>HARQ-ACK bits depends on the actual scheduled value M</w:t>
      </w:r>
      <w:r w:rsidR="001F67B6">
        <w:rPr>
          <w:b/>
          <w:bCs/>
          <w:i/>
          <w:iCs/>
        </w:rPr>
        <w:t>.</w:t>
      </w:r>
      <w:r w:rsidR="00B640AF">
        <w:rPr>
          <w:b/>
          <w:bCs/>
          <w:i/>
          <w:iCs/>
        </w:rPr>
        <w:t xml:space="preserve"> </w:t>
      </w:r>
      <w:r w:rsidR="001F67B6">
        <w:rPr>
          <w:b/>
          <w:bCs/>
          <w:i/>
          <w:iCs/>
        </w:rPr>
        <w:t xml:space="preserve"> </w:t>
      </w:r>
    </w:p>
    <w:p w14:paraId="74EEF07D" w14:textId="4E30A698" w:rsidR="001E7DE4" w:rsidRDefault="001E7DE4" w:rsidP="001F67B6">
      <w:pPr>
        <w:rPr>
          <w:b/>
          <w:bCs/>
          <w:i/>
          <w:iCs/>
        </w:rPr>
      </w:pPr>
      <w:r>
        <w:rPr>
          <w:b/>
          <w:bCs/>
          <w:i/>
          <w:iCs/>
        </w:rPr>
        <w:t xml:space="preserve">Proposal 12: </w:t>
      </w:r>
      <w:r w:rsidR="009C4AB1">
        <w:rPr>
          <w:b/>
          <w:bCs/>
          <w:i/>
          <w:iCs/>
        </w:rPr>
        <w:t>U</w:t>
      </w:r>
      <w:r>
        <w:rPr>
          <w:b/>
          <w:bCs/>
          <w:i/>
          <w:iCs/>
        </w:rPr>
        <w:t xml:space="preserve">se two sub-codebooks for Alt 3 for cases when </w:t>
      </w:r>
      <w:r w:rsidRPr="001E7DE4">
        <w:rPr>
          <w:rFonts w:eastAsia="Malgun Gothic"/>
          <w:b/>
          <w:bCs/>
          <w:i/>
          <w:iCs/>
        </w:rPr>
        <w:t xml:space="preserve">for 1 &lt; M </w:t>
      </w:r>
      <m:oMath>
        <m:r>
          <m:rPr>
            <m:sty m:val="bi"/>
          </m:rPr>
          <w:rPr>
            <w:rFonts w:ascii="Cambria Math" w:hAnsi="Cambria Math"/>
            <w:snapToGrid w:val="0"/>
          </w:rPr>
          <m:t>≤</m:t>
        </m:r>
      </m:oMath>
      <w:r w:rsidRPr="001E7DE4">
        <w:rPr>
          <w:rFonts w:eastAsia="Malgun Gothic"/>
          <w:b/>
          <w:bCs/>
          <w:i/>
          <w:iCs/>
        </w:rPr>
        <w:t xml:space="preserve"> N</w:t>
      </w:r>
      <w:r>
        <w:rPr>
          <w:rFonts w:eastAsia="Malgun Gothic"/>
          <w:b/>
          <w:bCs/>
          <w:i/>
          <w:iCs/>
        </w:rPr>
        <w:t xml:space="preserve"> if two sub-codebooks is agreed under Alt 1. </w:t>
      </w:r>
    </w:p>
    <w:p w14:paraId="058FAD16" w14:textId="0CFCD0C9" w:rsidR="004A79F9" w:rsidRPr="004A79F9" w:rsidRDefault="004A79F9" w:rsidP="00A02172"/>
    <w:p w14:paraId="3C22D5FA" w14:textId="77777777" w:rsidR="00FC1FFF" w:rsidRDefault="00FC1FFF" w:rsidP="00FC1FFF">
      <w:pPr>
        <w:pStyle w:val="Heading1"/>
      </w:pPr>
      <w:r>
        <w:t>Conclusion</w:t>
      </w:r>
    </w:p>
    <w:p w14:paraId="1F779ABC" w14:textId="5BD78312" w:rsidR="00FC1FFF" w:rsidRDefault="00C5753A" w:rsidP="00FC1FFF">
      <w:r>
        <w:t xml:space="preserve">For multi-PDSCH scheduled by a single DCI, the fields extensions for a dedicated format are discussed. Three conclusions associated with HARQ-ACK codebook generation alternatives are further studied respectively.    </w:t>
      </w:r>
    </w:p>
    <w:p w14:paraId="4FE6AB2E" w14:textId="77777777" w:rsidR="0061625C" w:rsidRDefault="0061625C" w:rsidP="0061625C">
      <w:pPr>
        <w:snapToGrid/>
        <w:spacing w:after="0"/>
        <w:rPr>
          <w:highlight w:val="yellow"/>
        </w:rPr>
      </w:pPr>
      <w:r>
        <w:rPr>
          <w:b/>
          <w:bCs/>
          <w:i/>
          <w:iCs/>
        </w:rPr>
        <w:t xml:space="preserve">Observation 1: The number of rows of an enhanced TDRA configuration table might need to surpass 16 as configured for the legacy Rel-15/16, and thus increased DCI bit-width is expected. </w:t>
      </w:r>
    </w:p>
    <w:p w14:paraId="745855F0" w14:textId="77777777" w:rsidR="00AC4811" w:rsidRPr="00AC4811" w:rsidRDefault="00AC4811" w:rsidP="00AC4811">
      <w:pPr>
        <w:snapToGrid/>
        <w:spacing w:after="0" w:line="140" w:lineRule="exact"/>
        <w:rPr>
          <w:highlight w:val="yellow"/>
        </w:rPr>
      </w:pPr>
    </w:p>
    <w:p w14:paraId="7F38E0BC" w14:textId="77777777" w:rsidR="0061625C" w:rsidRPr="002A2DB9" w:rsidRDefault="0061625C" w:rsidP="0061625C">
      <w:pPr>
        <w:snapToGrid/>
        <w:spacing w:after="0"/>
        <w:rPr>
          <w:b/>
          <w:bCs/>
          <w:i/>
          <w:iCs/>
        </w:rPr>
      </w:pPr>
      <w:r>
        <w:rPr>
          <w:b/>
          <w:bCs/>
          <w:i/>
          <w:iCs/>
        </w:rPr>
        <w:t xml:space="preserve">Observation 2. User-multiplexing is of lower priority due to narrow-beam in 52.6GHz to 71GHz band, thus UE may occupy larger number of PRBs, which allows increased RBG size. </w:t>
      </w:r>
    </w:p>
    <w:p w14:paraId="0FD1C796" w14:textId="77777777" w:rsidR="00872E87" w:rsidRPr="00872E87" w:rsidRDefault="00872E87" w:rsidP="00AC4811">
      <w:pPr>
        <w:snapToGrid/>
        <w:spacing w:after="0" w:line="140" w:lineRule="exact"/>
        <w:rPr>
          <w:b/>
          <w:bCs/>
          <w:i/>
          <w:iCs/>
        </w:rPr>
      </w:pPr>
    </w:p>
    <w:p w14:paraId="135D8203" w14:textId="77777777" w:rsidR="0061625C" w:rsidRDefault="0061625C" w:rsidP="0061625C">
      <w:pPr>
        <w:rPr>
          <w:b/>
          <w:bCs/>
          <w:i/>
          <w:iCs/>
        </w:rPr>
      </w:pPr>
      <w:r>
        <w:rPr>
          <w:b/>
          <w:bCs/>
          <w:i/>
          <w:iCs/>
        </w:rPr>
        <w:t xml:space="preserve">Observation 3: Option 2 may not have the equal flexibility to handle non-contiguous multi-PDSCH as with Option 1 and can suffer from DL/UL collision. </w:t>
      </w:r>
    </w:p>
    <w:p w14:paraId="2108E8C9" w14:textId="77777777" w:rsidR="0061625C" w:rsidRDefault="0061625C" w:rsidP="0061625C">
      <w:pPr>
        <w:rPr>
          <w:b/>
          <w:bCs/>
          <w:i/>
          <w:iCs/>
        </w:rPr>
      </w:pPr>
      <w:r>
        <w:rPr>
          <w:b/>
          <w:bCs/>
          <w:i/>
          <w:iCs/>
        </w:rPr>
        <w:t xml:space="preserve">Observation 4: It can be beneficial to study coverage loss if a larger size type-1 HARQ-ACK codebook is carried by UCI of certain PUCCH format. </w:t>
      </w:r>
    </w:p>
    <w:p w14:paraId="4EB287FF" w14:textId="77777777" w:rsidR="001F17D8" w:rsidRDefault="001F17D8" w:rsidP="001F17D8">
      <w:pPr>
        <w:rPr>
          <w:b/>
          <w:bCs/>
          <w:i/>
          <w:iCs/>
        </w:rPr>
      </w:pPr>
      <w:r>
        <w:rPr>
          <w:b/>
          <w:bCs/>
          <w:i/>
          <w:iCs/>
        </w:rPr>
        <w:t>Observation</w:t>
      </w:r>
      <w:r w:rsidRPr="00D154A5">
        <w:rPr>
          <w:b/>
          <w:bCs/>
          <w:i/>
          <w:iCs/>
        </w:rPr>
        <w:t xml:space="preserve"> </w:t>
      </w:r>
      <w:r>
        <w:rPr>
          <w:b/>
          <w:bCs/>
          <w:i/>
          <w:iCs/>
        </w:rPr>
        <w:t>5</w:t>
      </w:r>
      <w:r w:rsidRPr="00D154A5">
        <w:rPr>
          <w:b/>
          <w:bCs/>
          <w:i/>
          <w:iCs/>
        </w:rPr>
        <w:t xml:space="preserve">: </w:t>
      </w:r>
      <w:r>
        <w:rPr>
          <w:b/>
          <w:bCs/>
          <w:i/>
          <w:iCs/>
        </w:rPr>
        <w:t xml:space="preserve">The time-domain bundling size can be </w:t>
      </w:r>
      <m:oMath>
        <m:sSup>
          <m:sSupPr>
            <m:ctrlPr>
              <w:rPr>
                <w:rFonts w:ascii="Cambria Math" w:hAnsi="Cambria Math"/>
                <w:b/>
                <w:i/>
                <w:iCs/>
                <w:snapToGrid w:val="0"/>
              </w:rPr>
            </m:ctrlPr>
          </m:sSupPr>
          <m:e>
            <m:r>
              <m:rPr>
                <m:sty m:val="bi"/>
              </m:rPr>
              <w:rPr>
                <w:rFonts w:ascii="Cambria Math" w:hAnsi="Cambria Math"/>
                <w:snapToGrid w:val="0"/>
              </w:rPr>
              <m:t>2</m:t>
            </m:r>
          </m:e>
          <m:sup>
            <m:r>
              <m:rPr>
                <m:sty m:val="bi"/>
              </m:rPr>
              <w:rPr>
                <w:rFonts w:ascii="Cambria Math" w:hAnsi="Cambria Math"/>
                <w:snapToGrid w:val="0"/>
              </w:rPr>
              <m:t>l</m:t>
            </m:r>
          </m:sup>
        </m:sSup>
      </m:oMath>
      <w:r w:rsidRPr="00656648">
        <w:rPr>
          <w:b/>
          <w:i/>
          <w:iCs/>
          <w:snapToGrid w:val="0"/>
        </w:rPr>
        <w:t xml:space="preserve">, </w:t>
      </w:r>
      <m:oMath>
        <m:r>
          <m:rPr>
            <m:sty m:val="bi"/>
          </m:rPr>
          <w:rPr>
            <w:rFonts w:ascii="Cambria Math" w:hAnsi="Cambria Math"/>
            <w:snapToGrid w:val="0"/>
          </w:rPr>
          <m:t>0≤l≤</m:t>
        </m:r>
        <m:sSub>
          <m:sSubPr>
            <m:ctrlPr>
              <w:rPr>
                <w:rFonts w:ascii="Cambria Math" w:hAnsi="Cambria Math"/>
                <w:b/>
                <w:i/>
                <w:iCs/>
                <w:snapToGrid w:val="0"/>
              </w:rPr>
            </m:ctrlPr>
          </m:sSubPr>
          <m:e>
            <m:r>
              <m:rPr>
                <m:sty m:val="bi"/>
              </m:rPr>
              <w:rPr>
                <w:rFonts w:ascii="Cambria Math" w:hAnsi="Cambria Math"/>
                <w:snapToGrid w:val="0"/>
              </w:rPr>
              <m:t>log</m:t>
            </m:r>
          </m:e>
          <m:sub>
            <m:r>
              <m:rPr>
                <m:sty m:val="bi"/>
              </m:rPr>
              <w:rPr>
                <w:rFonts w:ascii="Cambria Math" w:hAnsi="Cambria Math"/>
                <w:snapToGrid w:val="0"/>
              </w:rPr>
              <m:t>2</m:t>
            </m:r>
          </m:sub>
        </m:sSub>
        <m:d>
          <m:dPr>
            <m:ctrlPr>
              <w:rPr>
                <w:rFonts w:ascii="Cambria Math" w:hAnsi="Cambria Math"/>
                <w:b/>
                <w:i/>
                <w:iCs/>
                <w:snapToGrid w:val="0"/>
              </w:rPr>
            </m:ctrlPr>
          </m:dPr>
          <m:e>
            <m:r>
              <m:rPr>
                <m:sty m:val="bi"/>
              </m:rPr>
              <w:rPr>
                <w:rFonts w:ascii="Cambria Math" w:hAnsi="Cambria Math"/>
                <w:snapToGrid w:val="0"/>
              </w:rPr>
              <m:t>N</m:t>
            </m:r>
          </m:e>
        </m:d>
      </m:oMath>
      <w:r>
        <w:rPr>
          <w:b/>
          <w:bCs/>
          <w:i/>
          <w:iCs/>
        </w:rPr>
        <w:t xml:space="preserve"> for Alt 1 and a fixed value 2 for Alt 2a. Time-domain Bundling is appliable by all alternatives. </w:t>
      </w:r>
    </w:p>
    <w:p w14:paraId="27A96928" w14:textId="77777777" w:rsidR="003427EF" w:rsidRDefault="003427EF" w:rsidP="003427EF">
      <w:pPr>
        <w:rPr>
          <w:b/>
          <w:bCs/>
          <w:i/>
          <w:iCs/>
        </w:rPr>
      </w:pPr>
      <w:r>
        <w:rPr>
          <w:b/>
          <w:bCs/>
          <w:i/>
          <w:iCs/>
        </w:rPr>
        <w:t>Observation</w:t>
      </w:r>
      <w:r w:rsidRPr="00D154A5">
        <w:rPr>
          <w:b/>
          <w:bCs/>
          <w:i/>
          <w:iCs/>
        </w:rPr>
        <w:t xml:space="preserve"> </w:t>
      </w:r>
      <w:r>
        <w:rPr>
          <w:b/>
          <w:bCs/>
          <w:i/>
          <w:iCs/>
        </w:rPr>
        <w:t>6</w:t>
      </w:r>
      <w:r w:rsidRPr="00D154A5">
        <w:rPr>
          <w:b/>
          <w:bCs/>
          <w:i/>
          <w:iCs/>
        </w:rPr>
        <w:t xml:space="preserve">: </w:t>
      </w:r>
      <w:r>
        <w:rPr>
          <w:b/>
          <w:bCs/>
          <w:i/>
          <w:iCs/>
        </w:rPr>
        <w:t xml:space="preserve">Whether using two sub-codebooks for Alt 3 when </w:t>
      </w:r>
      <w:r w:rsidRPr="00B640AF">
        <w:rPr>
          <w:rFonts w:eastAsia="Malgun Gothic"/>
          <w:b/>
          <w:bCs/>
          <w:i/>
          <w:iCs/>
        </w:rPr>
        <w:t>1 &lt; M &lt; N</w:t>
      </w:r>
      <w:r>
        <w:rPr>
          <w:b/>
          <w:bCs/>
          <w:i/>
          <w:iCs/>
        </w:rPr>
        <w:t xml:space="preserve"> could serve to reduce notably the number of HARQ-ACK bits depends on the actual scheduled value M.  </w:t>
      </w:r>
    </w:p>
    <w:p w14:paraId="6B7F48C5" w14:textId="77777777" w:rsidR="00B14B39" w:rsidRDefault="00B14B39" w:rsidP="00C569DA">
      <w:pPr>
        <w:snapToGrid/>
        <w:spacing w:after="0"/>
        <w:rPr>
          <w:b/>
          <w:bCs/>
          <w:i/>
          <w:iCs/>
        </w:rPr>
      </w:pPr>
    </w:p>
    <w:p w14:paraId="2CFAFC28" w14:textId="77777777" w:rsidR="001F17D8" w:rsidRDefault="001F17D8" w:rsidP="001F17D8">
      <w:pPr>
        <w:snapToGrid/>
        <w:spacing w:after="0"/>
        <w:rPr>
          <w:b/>
          <w:bCs/>
          <w:i/>
          <w:iCs/>
        </w:rPr>
      </w:pPr>
      <w:r>
        <w:rPr>
          <w:b/>
          <w:bCs/>
          <w:i/>
          <w:iCs/>
        </w:rPr>
        <w:t xml:space="preserve">Proposal 1. Only single-PDSCH is supported for SCS 120kHz for reason that the duration of a multi-slot can be larger the channel coherence time consideration for cases of moderate speed. </w:t>
      </w:r>
    </w:p>
    <w:p w14:paraId="2FD20408" w14:textId="77777777" w:rsidR="00B14B39" w:rsidRDefault="00B14B39" w:rsidP="00B14B39">
      <w:pPr>
        <w:snapToGrid/>
        <w:spacing w:after="0" w:line="140" w:lineRule="exact"/>
        <w:rPr>
          <w:highlight w:val="yellow"/>
        </w:rPr>
      </w:pPr>
    </w:p>
    <w:p w14:paraId="3DF5DB7C" w14:textId="77777777" w:rsidR="00D966EB" w:rsidRDefault="00D966EB" w:rsidP="00D966EB">
      <w:pPr>
        <w:snapToGrid/>
        <w:spacing w:after="0"/>
        <w:rPr>
          <w:b/>
          <w:bCs/>
          <w:i/>
          <w:iCs/>
        </w:rPr>
      </w:pPr>
      <w:r>
        <w:rPr>
          <w:b/>
          <w:bCs/>
          <w:i/>
          <w:iCs/>
        </w:rPr>
        <w:t xml:space="preserve">Proposal 2. Reuse the legacy Rel-17 maximum schedulable PDSCHs with a single DCI, i.e., 8, as the upper bound of number of slots in a multi-PDSCH/PUSCH for both the SCS 480kHz and SCS 960kHz. No further restriction is needed for SCS 480kHz.  </w:t>
      </w:r>
    </w:p>
    <w:p w14:paraId="2EFFE04D" w14:textId="77777777" w:rsidR="00AC4811" w:rsidRDefault="00AC4811" w:rsidP="00AC4811">
      <w:pPr>
        <w:snapToGrid/>
        <w:spacing w:after="0" w:line="140" w:lineRule="exact"/>
        <w:rPr>
          <w:b/>
          <w:bCs/>
          <w:i/>
          <w:iCs/>
        </w:rPr>
      </w:pPr>
    </w:p>
    <w:p w14:paraId="2A7563DE" w14:textId="77777777" w:rsidR="00D966EB" w:rsidRDefault="00D966EB" w:rsidP="00D966EB">
      <w:pPr>
        <w:snapToGrid/>
        <w:spacing w:after="0"/>
        <w:rPr>
          <w:b/>
          <w:bCs/>
          <w:i/>
          <w:iCs/>
        </w:rPr>
      </w:pPr>
      <w:r>
        <w:rPr>
          <w:b/>
          <w:bCs/>
          <w:i/>
          <w:iCs/>
        </w:rPr>
        <w:t xml:space="preserve">Proposal 3. Extend the RRC TDRA configuration table to include multiple SLIVs, mapping types, and slot offsets for each scheduled PUSCH/PDSCH in a multi-PUSCH/PDSCH.  </w:t>
      </w:r>
    </w:p>
    <w:p w14:paraId="2594F8D2" w14:textId="77777777" w:rsidR="00F070F7" w:rsidRPr="00F070F7" w:rsidRDefault="00F070F7" w:rsidP="00AC4811">
      <w:pPr>
        <w:snapToGrid/>
        <w:spacing w:after="0" w:line="140" w:lineRule="exact"/>
        <w:rPr>
          <w:highlight w:val="yellow"/>
        </w:rPr>
      </w:pPr>
    </w:p>
    <w:p w14:paraId="2DB08F73" w14:textId="77777777" w:rsidR="00D966EB" w:rsidRDefault="00D966EB" w:rsidP="00D966EB">
      <w:r>
        <w:rPr>
          <w:b/>
          <w:bCs/>
          <w:i/>
          <w:iCs/>
        </w:rPr>
        <w:t xml:space="preserve">Proposal 4: Decide </w:t>
      </w:r>
      <w:r w:rsidRPr="0053474E">
        <w:rPr>
          <w:b/>
          <w:bCs/>
          <w:i/>
          <w:iCs/>
        </w:rPr>
        <w:t xml:space="preserve"> </w:t>
      </w:r>
      <w:r>
        <w:rPr>
          <w:b/>
          <w:bCs/>
          <w:i/>
          <w:iCs/>
        </w:rPr>
        <w:t xml:space="preserve">the maximum number of </w:t>
      </w:r>
      <w:r w:rsidRPr="0053474E">
        <w:rPr>
          <w:b/>
          <w:bCs/>
          <w:i/>
          <w:iCs/>
        </w:rPr>
        <w:t xml:space="preserve"> </w:t>
      </w:r>
      <w:proofErr w:type="spellStart"/>
      <w:r w:rsidRPr="0053474E">
        <w:rPr>
          <w:b/>
          <w:bCs/>
          <w:i/>
          <w:iCs/>
        </w:rPr>
        <w:t>layer</w:t>
      </w:r>
      <w:r>
        <w:rPr>
          <w:b/>
          <w:bCs/>
          <w:i/>
          <w:iCs/>
        </w:rPr>
        <w:t>that</w:t>
      </w:r>
      <w:proofErr w:type="spellEnd"/>
      <w:r>
        <w:rPr>
          <w:b/>
          <w:bCs/>
          <w:i/>
          <w:iCs/>
        </w:rPr>
        <w:t xml:space="preserve"> </w:t>
      </w:r>
      <w:r w:rsidRPr="0053474E">
        <w:rPr>
          <w:b/>
          <w:bCs/>
          <w:i/>
          <w:iCs/>
        </w:rPr>
        <w:t>s should be supported for 52.6GHz to 71GHz band before deciding whether the MCS/RV/NDI fields for the 2</w:t>
      </w:r>
      <w:r w:rsidRPr="0053474E">
        <w:rPr>
          <w:b/>
          <w:bCs/>
          <w:i/>
          <w:iCs/>
          <w:vertAlign w:val="superscript"/>
        </w:rPr>
        <w:t>nd</w:t>
      </w:r>
      <w:r w:rsidRPr="0053474E">
        <w:rPr>
          <w:b/>
          <w:bCs/>
          <w:i/>
          <w:iCs/>
        </w:rPr>
        <w:t xml:space="preserve"> TB is needed or not.</w:t>
      </w:r>
      <w:r>
        <w:rPr>
          <w:iCs/>
        </w:rPr>
        <w:t xml:space="preserve"> </w:t>
      </w:r>
      <w:r w:rsidRPr="00D15B02">
        <w:rPr>
          <w:b/>
          <w:bCs/>
          <w:i/>
        </w:rPr>
        <w:t>The legacy rule that the MCS/RV/NDI fields for the 2</w:t>
      </w:r>
      <w:r w:rsidRPr="00D15B02">
        <w:rPr>
          <w:b/>
          <w:bCs/>
          <w:i/>
          <w:vertAlign w:val="superscript"/>
        </w:rPr>
        <w:t>nd</w:t>
      </w:r>
      <w:r w:rsidRPr="00D15B02">
        <w:rPr>
          <w:b/>
          <w:bCs/>
          <w:i/>
        </w:rPr>
        <w:t xml:space="preserve"> TB is only relevant for &gt;4 layer</w:t>
      </w:r>
      <w:r>
        <w:rPr>
          <w:b/>
          <w:bCs/>
          <w:i/>
        </w:rPr>
        <w:t>s</w:t>
      </w:r>
      <w:r w:rsidRPr="00D15B02">
        <w:rPr>
          <w:b/>
          <w:bCs/>
          <w:i/>
        </w:rPr>
        <w:t xml:space="preserve"> transmission</w:t>
      </w:r>
      <w:r>
        <w:rPr>
          <w:b/>
          <w:bCs/>
          <w:i/>
        </w:rPr>
        <w:t>s</w:t>
      </w:r>
      <w:r w:rsidRPr="00D15B02">
        <w:rPr>
          <w:b/>
          <w:bCs/>
          <w:i/>
        </w:rPr>
        <w:t xml:space="preserve"> still appl</w:t>
      </w:r>
      <w:r>
        <w:rPr>
          <w:b/>
          <w:bCs/>
          <w:i/>
        </w:rPr>
        <w:t>y</w:t>
      </w:r>
      <w:r w:rsidRPr="00D15B02">
        <w:rPr>
          <w:b/>
          <w:bCs/>
          <w:i/>
        </w:rPr>
        <w:t xml:space="preserve"> here.</w:t>
      </w:r>
      <w:r>
        <w:rPr>
          <w:iCs/>
        </w:rPr>
        <w:t xml:space="preserve"> </w:t>
      </w:r>
    </w:p>
    <w:p w14:paraId="54AE7ABA" w14:textId="77777777" w:rsidR="00D966EB" w:rsidRPr="00552803" w:rsidRDefault="00D966EB" w:rsidP="00D966EB">
      <w:pPr>
        <w:rPr>
          <w:b/>
          <w:bCs/>
          <w:i/>
          <w:iCs/>
        </w:rPr>
      </w:pPr>
      <w:r w:rsidRPr="00552803">
        <w:rPr>
          <w:b/>
          <w:bCs/>
          <w:i/>
          <w:iCs/>
        </w:rPr>
        <w:t xml:space="preserve">Proposal 5: </w:t>
      </w:r>
      <w:r>
        <w:rPr>
          <w:b/>
          <w:bCs/>
          <w:i/>
          <w:iCs/>
        </w:rPr>
        <w:t xml:space="preserve">CBGTI/CBGFI is not applicable in a DCI format that schedules multi-PDSCH for SCSs including 480kHz/960kHz; but can be applied to cases under the SCS 120kHz. </w:t>
      </w:r>
    </w:p>
    <w:p w14:paraId="593F37DD" w14:textId="77777777" w:rsidR="00D966EB" w:rsidRDefault="00D966EB" w:rsidP="00D966EB">
      <w:pPr>
        <w:rPr>
          <w:b/>
          <w:bCs/>
          <w:i/>
          <w:iCs/>
        </w:rPr>
      </w:pPr>
      <w:r>
        <w:rPr>
          <w:b/>
          <w:bCs/>
          <w:i/>
          <w:iCs/>
        </w:rPr>
        <w:t>Proposal 6: Option 1 is preferred over Option 1a for determine the candidate PDSCH occasion for type-1 HARQ-ACK codebook to be established</w:t>
      </w:r>
      <w:r w:rsidRPr="0053474E">
        <w:rPr>
          <w:b/>
          <w:bCs/>
          <w:i/>
          <w:iCs/>
        </w:rPr>
        <w:t>.</w:t>
      </w:r>
      <w:r>
        <w:rPr>
          <w:b/>
          <w:bCs/>
          <w:i/>
          <w:iCs/>
        </w:rPr>
        <w:t xml:space="preserve"> All slot offsets are included in the TDRA table for multi-PDSCH such that the extended K1 set is obtainable for contiguous and non-contiguous multi-PDSCH configurations. </w:t>
      </w:r>
    </w:p>
    <w:p w14:paraId="0D94F191" w14:textId="77777777" w:rsidR="00D966EB" w:rsidRPr="00C268DE" w:rsidRDefault="00D966EB" w:rsidP="00D966EB">
      <w:pPr>
        <w:rPr>
          <w:b/>
          <w:bCs/>
          <w:i/>
          <w:iCs/>
        </w:rPr>
      </w:pPr>
      <w:r>
        <w:rPr>
          <w:b/>
          <w:bCs/>
          <w:i/>
          <w:iCs/>
        </w:rPr>
        <w:lastRenderedPageBreak/>
        <w:t xml:space="preserve">Proposal 7: For the non-continuous multi-PDSCH, restrict the maximum allowable gaps to maximally 2 slots between individual PDSCHs to limit the size of the extended K1 set. </w:t>
      </w:r>
    </w:p>
    <w:p w14:paraId="00CFA3F7" w14:textId="77777777" w:rsidR="00D966EB" w:rsidRPr="00BD33D2" w:rsidRDefault="00D966EB" w:rsidP="00D966EB">
      <w:pPr>
        <w:spacing w:after="160" w:line="259" w:lineRule="auto"/>
        <w:jc w:val="left"/>
        <w:rPr>
          <w:b/>
          <w:bCs/>
          <w:i/>
          <w:iCs/>
        </w:rPr>
      </w:pPr>
      <w:r w:rsidRPr="00D47B55">
        <w:rPr>
          <w:b/>
          <w:bCs/>
          <w:i/>
          <w:iCs/>
        </w:rPr>
        <w:t xml:space="preserve">Proposal 8: </w:t>
      </w:r>
      <w:r>
        <w:rPr>
          <w:b/>
          <w:bCs/>
          <w:i/>
          <w:iCs/>
        </w:rPr>
        <w:t xml:space="preserve">Study if there is benefit of adopting multi-PUCCH for multi-PDSCH for either mitigation of coverage loss or reduce idle slot if HARQ starvation is a significant issue for the higher SCSs.  </w:t>
      </w:r>
    </w:p>
    <w:p w14:paraId="69F9A9EC" w14:textId="77777777" w:rsidR="00D966EB" w:rsidRDefault="00D966EB" w:rsidP="00D966EB">
      <w:pPr>
        <w:rPr>
          <w:b/>
          <w:bCs/>
          <w:i/>
          <w:iCs/>
        </w:rPr>
      </w:pPr>
      <w:r w:rsidRPr="00D154A5">
        <w:rPr>
          <w:b/>
          <w:bCs/>
          <w:i/>
          <w:iCs/>
        </w:rPr>
        <w:t xml:space="preserve">Proposal </w:t>
      </w:r>
      <w:r>
        <w:rPr>
          <w:b/>
          <w:bCs/>
          <w:i/>
          <w:iCs/>
        </w:rPr>
        <w:t>9</w:t>
      </w:r>
      <w:r w:rsidRPr="00D154A5">
        <w:rPr>
          <w:b/>
          <w:bCs/>
          <w:i/>
          <w:iCs/>
        </w:rPr>
        <w:t xml:space="preserve">: </w:t>
      </w:r>
      <w:r>
        <w:rPr>
          <w:b/>
          <w:bCs/>
          <w:i/>
          <w:iCs/>
        </w:rPr>
        <w:t>Two sub-codebooks can be adopted with Alt 1 to reduce HARQ-ACK codebook size</w:t>
      </w:r>
      <w:r w:rsidRPr="00D154A5">
        <w:rPr>
          <w:b/>
          <w:bCs/>
          <w:i/>
          <w:iCs/>
        </w:rPr>
        <w:t>.</w:t>
      </w:r>
      <w:r>
        <w:rPr>
          <w:b/>
          <w:bCs/>
          <w:i/>
          <w:iCs/>
        </w:rPr>
        <w:t xml:space="preserve"> While multi-PDSCH and CBG should not be jointly configured for HARQ-ACK codebook generation for multi-PDSCH.</w:t>
      </w:r>
    </w:p>
    <w:p w14:paraId="465B6E5F" w14:textId="77777777" w:rsidR="00D966EB" w:rsidRDefault="00D966EB" w:rsidP="00D966EB">
      <w:pPr>
        <w:rPr>
          <w:b/>
          <w:bCs/>
          <w:i/>
          <w:iCs/>
        </w:rPr>
      </w:pPr>
      <w:r w:rsidRPr="00D154A5">
        <w:rPr>
          <w:b/>
          <w:bCs/>
          <w:i/>
          <w:iCs/>
        </w:rPr>
        <w:t xml:space="preserve">Proposal </w:t>
      </w:r>
      <w:r>
        <w:rPr>
          <w:b/>
          <w:bCs/>
          <w:i/>
          <w:iCs/>
        </w:rPr>
        <w:t>10</w:t>
      </w:r>
      <w:r w:rsidRPr="00D154A5">
        <w:rPr>
          <w:b/>
          <w:bCs/>
          <w:i/>
          <w:iCs/>
        </w:rPr>
        <w:t xml:space="preserve">: </w:t>
      </w:r>
      <w:r>
        <w:rPr>
          <w:b/>
          <w:bCs/>
          <w:i/>
          <w:iCs/>
        </w:rPr>
        <w:t xml:space="preserve">Only DCI format 1_1 is extended for scheduling multi-PDSCH. </w:t>
      </w:r>
    </w:p>
    <w:p w14:paraId="469CA83E" w14:textId="77777777" w:rsidR="00D966EB" w:rsidRDefault="00D966EB" w:rsidP="00D966EB">
      <w:pPr>
        <w:rPr>
          <w:b/>
          <w:bCs/>
          <w:i/>
          <w:iCs/>
        </w:rPr>
      </w:pPr>
      <w:r w:rsidRPr="00D154A5">
        <w:rPr>
          <w:b/>
          <w:bCs/>
          <w:i/>
          <w:iCs/>
        </w:rPr>
        <w:t xml:space="preserve">Proposal </w:t>
      </w:r>
      <w:r>
        <w:rPr>
          <w:b/>
          <w:bCs/>
          <w:i/>
          <w:iCs/>
        </w:rPr>
        <w:t>11</w:t>
      </w:r>
      <w:r w:rsidRPr="00D154A5">
        <w:rPr>
          <w:b/>
          <w:bCs/>
          <w:i/>
          <w:iCs/>
        </w:rPr>
        <w:t xml:space="preserve">: </w:t>
      </w:r>
      <w:r>
        <w:rPr>
          <w:b/>
          <w:bCs/>
          <w:i/>
          <w:iCs/>
        </w:rPr>
        <w:t xml:space="preserve">Reuse the legacy </w:t>
      </w:r>
      <w:r w:rsidRPr="0071434D">
        <w:rPr>
          <w:b/>
          <w:bCs/>
          <w:i/>
          <w:iCs/>
          <w:lang w:eastAsia="ko-KR"/>
        </w:rPr>
        <w:t>carrier-first time-second</w:t>
      </w:r>
      <w:r>
        <w:rPr>
          <w:b/>
          <w:bCs/>
          <w:i/>
          <w:iCs/>
        </w:rPr>
        <w:t xml:space="preserve"> ordering of DAI counting for multi-PDSCH. </w:t>
      </w:r>
    </w:p>
    <w:p w14:paraId="7627F97C" w14:textId="77777777" w:rsidR="00D966EB" w:rsidRDefault="00D966EB" w:rsidP="00D966EB">
      <w:pPr>
        <w:rPr>
          <w:b/>
          <w:bCs/>
          <w:i/>
          <w:iCs/>
        </w:rPr>
      </w:pPr>
      <w:r>
        <w:rPr>
          <w:b/>
          <w:bCs/>
          <w:i/>
          <w:iCs/>
        </w:rPr>
        <w:t xml:space="preserve">Proposal 12: Use two sub-codebooks for Alt 3 for cases when </w:t>
      </w:r>
      <w:r w:rsidRPr="001E7DE4">
        <w:rPr>
          <w:rFonts w:eastAsia="Malgun Gothic"/>
          <w:b/>
          <w:bCs/>
          <w:i/>
          <w:iCs/>
        </w:rPr>
        <w:t xml:space="preserve">for 1 &lt; M </w:t>
      </w:r>
      <m:oMath>
        <m:r>
          <m:rPr>
            <m:sty m:val="bi"/>
          </m:rPr>
          <w:rPr>
            <w:rFonts w:ascii="Cambria Math" w:hAnsi="Cambria Math"/>
            <w:snapToGrid w:val="0"/>
          </w:rPr>
          <m:t>≤</m:t>
        </m:r>
      </m:oMath>
      <w:r w:rsidRPr="001E7DE4">
        <w:rPr>
          <w:rFonts w:eastAsia="Malgun Gothic"/>
          <w:b/>
          <w:bCs/>
          <w:i/>
          <w:iCs/>
        </w:rPr>
        <w:t xml:space="preserve"> N</w:t>
      </w:r>
      <w:r>
        <w:rPr>
          <w:rFonts w:eastAsia="Malgun Gothic"/>
          <w:b/>
          <w:bCs/>
          <w:i/>
          <w:iCs/>
        </w:rPr>
        <w:t xml:space="preserve"> if two sub-codebooks is agreed under Alt 1. </w:t>
      </w:r>
    </w:p>
    <w:p w14:paraId="069F4C5C" w14:textId="77777777" w:rsidR="008C36FE" w:rsidRPr="008C36FE" w:rsidRDefault="008C36FE" w:rsidP="008C36FE"/>
    <w:p w14:paraId="03F5C4F6" w14:textId="4A422A53" w:rsidR="008C36FE" w:rsidRDefault="008C36FE" w:rsidP="008C36FE">
      <w:pPr>
        <w:pStyle w:val="Heading1"/>
        <w:numPr>
          <w:ilvl w:val="0"/>
          <w:numId w:val="0"/>
        </w:numPr>
        <w:ind w:left="432" w:hanging="432"/>
      </w:pPr>
      <w:r>
        <w:t>References</w:t>
      </w:r>
    </w:p>
    <w:p w14:paraId="19A6DB12" w14:textId="29FF6959" w:rsidR="00940311" w:rsidRPr="008802FB" w:rsidRDefault="00940311" w:rsidP="008802FB">
      <w:pPr>
        <w:pStyle w:val="2222"/>
        <w:numPr>
          <w:ilvl w:val="0"/>
          <w:numId w:val="15"/>
        </w:numPr>
        <w:spacing w:after="120" w:line="240" w:lineRule="auto"/>
        <w:ind w:firstLineChars="0"/>
        <w:rPr>
          <w:color w:val="000000" w:themeColor="text1"/>
          <w:sz w:val="20"/>
          <w:lang w:val="en-US" w:eastAsia="ko-KR"/>
        </w:rPr>
      </w:pPr>
      <w:r w:rsidRPr="008802FB">
        <w:rPr>
          <w:color w:val="000000" w:themeColor="text1"/>
          <w:sz w:val="20"/>
          <w:lang w:val="en-US" w:eastAsia="ko-KR"/>
        </w:rPr>
        <w:t>RP-202925, “</w:t>
      </w:r>
      <w:r w:rsidRPr="008802FB">
        <w:rPr>
          <w:i/>
          <w:iCs/>
          <w:color w:val="000000" w:themeColor="text1"/>
          <w:sz w:val="20"/>
          <w:lang w:val="en-US" w:eastAsia="ko-KR"/>
        </w:rPr>
        <w:t>Revised WID: Extending current NR operation to 71 GHz</w:t>
      </w:r>
      <w:r w:rsidRPr="008802FB">
        <w:rPr>
          <w:color w:val="000000" w:themeColor="text1"/>
          <w:sz w:val="20"/>
          <w:lang w:val="en-US" w:eastAsia="ko-KR"/>
        </w:rPr>
        <w:t>”, CMCC, RAN#90e.</w:t>
      </w:r>
    </w:p>
    <w:p w14:paraId="46793866" w14:textId="1DA95B8C" w:rsidR="00111628" w:rsidRPr="008802FB" w:rsidRDefault="00111628" w:rsidP="008802FB">
      <w:pPr>
        <w:pStyle w:val="ListParagraph"/>
        <w:numPr>
          <w:ilvl w:val="0"/>
          <w:numId w:val="15"/>
        </w:numPr>
        <w:spacing w:beforeLines="50" w:before="120"/>
        <w:rPr>
          <w:rFonts w:asciiTheme="majorBidi" w:hAnsiTheme="majorBidi" w:cstheme="majorBidi"/>
          <w:color w:val="000000" w:themeColor="text1"/>
          <w:sz w:val="20"/>
          <w:szCs w:val="20"/>
        </w:rPr>
      </w:pPr>
      <w:r w:rsidRPr="008802FB">
        <w:rPr>
          <w:rFonts w:asciiTheme="majorBidi" w:hAnsiTheme="majorBidi" w:cstheme="majorBidi"/>
          <w:color w:val="000000" w:themeColor="text1"/>
          <w:sz w:val="20"/>
          <w:szCs w:val="20"/>
        </w:rPr>
        <w:t xml:space="preserve">“RAN1 </w:t>
      </w:r>
      <w:r w:rsidRPr="008802FB">
        <w:rPr>
          <w:rFonts w:asciiTheme="majorBidi" w:hAnsiTheme="majorBidi" w:cstheme="majorBidi"/>
          <w:i/>
          <w:iCs/>
          <w:color w:val="000000" w:themeColor="text1"/>
          <w:sz w:val="20"/>
          <w:szCs w:val="20"/>
        </w:rPr>
        <w:t>Chairman’s Notes</w:t>
      </w:r>
      <w:r w:rsidRPr="008802FB">
        <w:rPr>
          <w:rFonts w:asciiTheme="majorBidi" w:hAnsiTheme="majorBidi" w:cstheme="majorBidi"/>
          <w:color w:val="000000" w:themeColor="text1"/>
          <w:sz w:val="20"/>
          <w:szCs w:val="20"/>
        </w:rPr>
        <w:t>”, 3GPP RAN1#104-e-bis.</w:t>
      </w:r>
    </w:p>
    <w:p w14:paraId="42B8FC20" w14:textId="761B48BF" w:rsidR="00B911BA" w:rsidRPr="008802FB" w:rsidRDefault="00B911BA" w:rsidP="008802FB">
      <w:pPr>
        <w:pStyle w:val="2222"/>
        <w:numPr>
          <w:ilvl w:val="0"/>
          <w:numId w:val="15"/>
        </w:numPr>
        <w:spacing w:after="120" w:line="240" w:lineRule="auto"/>
        <w:ind w:firstLineChars="0"/>
        <w:rPr>
          <w:rFonts w:cs="Times New Roman"/>
          <w:color w:val="000000" w:themeColor="text1"/>
          <w:sz w:val="20"/>
          <w:lang w:val="en-US" w:eastAsia="ko-KR"/>
        </w:rPr>
      </w:pPr>
      <w:r w:rsidRPr="008802FB">
        <w:rPr>
          <w:rFonts w:cs="Times New Roman"/>
          <w:color w:val="000000" w:themeColor="text1"/>
          <w:sz w:val="20"/>
          <w:lang w:val="en-US" w:eastAsia="ko-KR"/>
        </w:rPr>
        <w:t>R1-21</w:t>
      </w:r>
      <w:r w:rsidR="00D54BD3">
        <w:rPr>
          <w:rFonts w:cs="Times New Roman"/>
          <w:color w:val="000000" w:themeColor="text1"/>
          <w:sz w:val="20"/>
          <w:lang w:val="en-US" w:eastAsia="ko-KR"/>
        </w:rPr>
        <w:t>01972</w:t>
      </w:r>
      <w:r w:rsidR="008C36FE" w:rsidRPr="008802FB">
        <w:rPr>
          <w:rFonts w:cs="Times New Roman"/>
          <w:color w:val="000000" w:themeColor="text1"/>
          <w:sz w:val="20"/>
          <w:lang w:val="en-US" w:eastAsia="ko-KR"/>
        </w:rPr>
        <w:t>, “</w:t>
      </w:r>
      <w:r w:rsidRPr="008802FB">
        <w:rPr>
          <w:rFonts w:cs="Times New Roman"/>
          <w:i/>
          <w:iCs/>
          <w:color w:val="000000" w:themeColor="text1"/>
          <w:sz w:val="20"/>
          <w:shd w:val="clear" w:color="auto" w:fill="FFFFFF"/>
        </w:rPr>
        <w:t>Summary #3 of PDSCH/PUSCH enhancements (Scheduling/HARQ)”</w:t>
      </w:r>
      <w:r w:rsidR="00D24F6F" w:rsidRPr="008802FB">
        <w:rPr>
          <w:rFonts w:cs="Times New Roman"/>
          <w:i/>
          <w:iCs/>
          <w:color w:val="000000" w:themeColor="text1"/>
          <w:sz w:val="20"/>
          <w:shd w:val="clear" w:color="auto" w:fill="FFFFFF"/>
        </w:rPr>
        <w:t xml:space="preserve">, </w:t>
      </w:r>
      <w:r w:rsidR="00D24F6F" w:rsidRPr="008802FB">
        <w:rPr>
          <w:rFonts w:asciiTheme="majorBidi" w:hAnsiTheme="majorBidi" w:cstheme="majorBidi"/>
          <w:color w:val="000000" w:themeColor="text1"/>
          <w:sz w:val="20"/>
        </w:rPr>
        <w:t>3GPP RAN1#104-e-bis</w:t>
      </w:r>
      <w:r w:rsidRPr="008802FB">
        <w:rPr>
          <w:rFonts w:cs="Times New Roman"/>
          <w:i/>
          <w:iCs/>
          <w:color w:val="000000" w:themeColor="text1"/>
          <w:sz w:val="20"/>
          <w:shd w:val="clear" w:color="auto" w:fill="FFFFFF"/>
        </w:rPr>
        <w:t>.</w:t>
      </w:r>
    </w:p>
    <w:p w14:paraId="7A3337E8" w14:textId="72F86FCE" w:rsidR="008802FB" w:rsidRPr="008802FB" w:rsidRDefault="008802FB" w:rsidP="008802FB">
      <w:pPr>
        <w:pStyle w:val="2222"/>
        <w:numPr>
          <w:ilvl w:val="0"/>
          <w:numId w:val="15"/>
        </w:numPr>
        <w:spacing w:after="120" w:line="240" w:lineRule="auto"/>
        <w:ind w:firstLineChars="0"/>
        <w:rPr>
          <w:rFonts w:cs="Times New Roman"/>
          <w:color w:val="000000" w:themeColor="text1"/>
          <w:sz w:val="20"/>
          <w:lang w:val="en-US" w:eastAsia="ko-KR"/>
        </w:rPr>
      </w:pPr>
      <w:bookmarkStart w:id="3" w:name="_Ref68466155"/>
      <w:r w:rsidRPr="008802FB">
        <w:rPr>
          <w:sz w:val="20"/>
          <w:lang w:eastAsia="ko-KR"/>
        </w:rPr>
        <w:t>TS 38.21</w:t>
      </w:r>
      <w:r w:rsidR="005A7210">
        <w:rPr>
          <w:sz w:val="20"/>
          <w:lang w:eastAsia="ko-KR"/>
        </w:rPr>
        <w:t>3</w:t>
      </w:r>
      <w:r w:rsidRPr="008802FB">
        <w:rPr>
          <w:sz w:val="20"/>
          <w:lang w:eastAsia="ko-KR"/>
        </w:rPr>
        <w:t>, “</w:t>
      </w:r>
      <w:r w:rsidR="005A7210">
        <w:rPr>
          <w:i/>
          <w:iCs/>
          <w:sz w:val="20"/>
          <w:lang w:eastAsia="ko-KR"/>
        </w:rPr>
        <w:t>Physical layer procedure for control</w:t>
      </w:r>
      <w:r w:rsidRPr="008802FB">
        <w:rPr>
          <w:i/>
          <w:iCs/>
          <w:sz w:val="20"/>
          <w:lang w:eastAsia="ko-KR"/>
        </w:rPr>
        <w:t xml:space="preserve"> (Release 16)</w:t>
      </w:r>
      <w:r w:rsidRPr="008802FB">
        <w:rPr>
          <w:sz w:val="20"/>
          <w:lang w:eastAsia="ko-KR"/>
        </w:rPr>
        <w:t>”.</w:t>
      </w:r>
      <w:bookmarkEnd w:id="3"/>
    </w:p>
    <w:p w14:paraId="29AAE084" w14:textId="5371402A" w:rsidR="001A4565" w:rsidRPr="00F56452" w:rsidRDefault="00CD46B4" w:rsidP="00F56452">
      <w:pPr>
        <w:pStyle w:val="2222"/>
        <w:numPr>
          <w:ilvl w:val="0"/>
          <w:numId w:val="15"/>
        </w:numPr>
        <w:spacing w:after="120" w:line="240" w:lineRule="auto"/>
        <w:ind w:firstLineChars="0"/>
        <w:rPr>
          <w:color w:val="000000" w:themeColor="text1"/>
          <w:sz w:val="20"/>
          <w:lang w:val="en-US" w:eastAsia="ko-KR"/>
        </w:rPr>
      </w:pPr>
      <w:r>
        <w:rPr>
          <w:color w:val="000000" w:themeColor="text1"/>
          <w:sz w:val="20"/>
        </w:rPr>
        <w:t>R1-2101310, “</w:t>
      </w:r>
      <w:r w:rsidRPr="00CD46B4">
        <w:rPr>
          <w:i/>
          <w:iCs/>
          <w:color w:val="000000" w:themeColor="text1"/>
          <w:sz w:val="20"/>
        </w:rPr>
        <w:t>PDSCH/PUSCH Enhancements</w:t>
      </w:r>
      <w:r>
        <w:rPr>
          <w:color w:val="000000" w:themeColor="text1"/>
          <w:sz w:val="20"/>
        </w:rPr>
        <w:t>”</w:t>
      </w:r>
      <w:r w:rsidRPr="008802FB">
        <w:rPr>
          <w:rFonts w:cs="Times New Roman"/>
          <w:i/>
          <w:iCs/>
          <w:color w:val="000000" w:themeColor="text1"/>
          <w:sz w:val="20"/>
          <w:shd w:val="clear" w:color="auto" w:fill="FFFFFF"/>
        </w:rPr>
        <w:t>,</w:t>
      </w:r>
      <w:r>
        <w:rPr>
          <w:rFonts w:cs="Times New Roman"/>
          <w:i/>
          <w:iCs/>
          <w:color w:val="000000" w:themeColor="text1"/>
          <w:sz w:val="20"/>
          <w:shd w:val="clear" w:color="auto" w:fill="FFFFFF"/>
        </w:rPr>
        <w:t xml:space="preserve"> </w:t>
      </w:r>
      <w:r>
        <w:rPr>
          <w:rFonts w:cs="Times New Roman"/>
          <w:color w:val="000000" w:themeColor="text1"/>
          <w:sz w:val="20"/>
          <w:shd w:val="clear" w:color="auto" w:fill="FFFFFF"/>
        </w:rPr>
        <w:t>Ericsson,</w:t>
      </w:r>
      <w:r w:rsidRPr="008802FB">
        <w:rPr>
          <w:rFonts w:cs="Times New Roman"/>
          <w:i/>
          <w:iCs/>
          <w:color w:val="000000" w:themeColor="text1"/>
          <w:sz w:val="20"/>
          <w:shd w:val="clear" w:color="auto" w:fill="FFFFFF"/>
        </w:rPr>
        <w:t xml:space="preserve"> </w:t>
      </w:r>
      <w:r w:rsidRPr="008802FB">
        <w:rPr>
          <w:rFonts w:asciiTheme="majorBidi" w:hAnsiTheme="majorBidi" w:cstheme="majorBidi"/>
          <w:color w:val="000000" w:themeColor="text1"/>
          <w:sz w:val="20"/>
        </w:rPr>
        <w:t>3GPP RAN1#104-e-bis</w:t>
      </w:r>
      <w:r w:rsidRPr="008802FB">
        <w:rPr>
          <w:rFonts w:cs="Times New Roman"/>
          <w:i/>
          <w:iCs/>
          <w:color w:val="000000" w:themeColor="text1"/>
          <w:sz w:val="20"/>
          <w:shd w:val="clear" w:color="auto" w:fill="FFFFFF"/>
        </w:rPr>
        <w:t>.</w:t>
      </w:r>
    </w:p>
    <w:sectPr w:rsidR="001A4565" w:rsidRPr="00F56452" w:rsidSect="00521308">
      <w:pgSz w:w="11909" w:h="16834" w:code="9"/>
      <w:pgMar w:top="1440" w:right="115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IDFont+F6">
    <w:altName w:val="Yu Gothic"/>
    <w:panose1 w:val="00000000000000000000"/>
    <w:charset w:val="80"/>
    <w:family w:val="auto"/>
    <w:notTrueType/>
    <w:pitch w:val="default"/>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IDFont+F3">
    <w:altName w:val="Calibri"/>
    <w:panose1 w:val="00000000000000000000"/>
    <w:charset w:val="00"/>
    <w:family w:val="auto"/>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5EB5"/>
    <w:multiLevelType w:val="multilevel"/>
    <w:tmpl w:val="01605EB5"/>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3D2167"/>
    <w:multiLevelType w:val="hybridMultilevel"/>
    <w:tmpl w:val="BDF4D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6B3E77"/>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91AD5"/>
    <w:multiLevelType w:val="hybridMultilevel"/>
    <w:tmpl w:val="573269B4"/>
    <w:lvl w:ilvl="0" w:tplc="D59EA5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70660"/>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0AB24F6"/>
    <w:multiLevelType w:val="hybridMultilevel"/>
    <w:tmpl w:val="363E3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8F7240"/>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5C5C2F"/>
    <w:multiLevelType w:val="multilevel"/>
    <w:tmpl w:val="226C0318"/>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A65EA"/>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2"/>
  </w:num>
  <w:num w:numId="4">
    <w:abstractNumId w:val="9"/>
  </w:num>
  <w:num w:numId="5">
    <w:abstractNumId w:val="27"/>
  </w:num>
  <w:num w:numId="6">
    <w:abstractNumId w:val="23"/>
  </w:num>
  <w:num w:numId="7">
    <w:abstractNumId w:val="15"/>
  </w:num>
  <w:num w:numId="8">
    <w:abstractNumId w:val="5"/>
  </w:num>
  <w:num w:numId="9">
    <w:abstractNumId w:val="15"/>
  </w:num>
  <w:num w:numId="10">
    <w:abstractNumId w:val="30"/>
  </w:num>
  <w:num w:numId="11">
    <w:abstractNumId w:val="6"/>
  </w:num>
  <w:num w:numId="12">
    <w:abstractNumId w:val="28"/>
  </w:num>
  <w:num w:numId="13">
    <w:abstractNumId w:val="29"/>
  </w:num>
  <w:num w:numId="14">
    <w:abstractNumId w:val="16"/>
  </w:num>
  <w:num w:numId="15">
    <w:abstractNumId w:val="3"/>
  </w:num>
  <w:num w:numId="16">
    <w:abstractNumId w:val="7"/>
  </w:num>
  <w:num w:numId="17">
    <w:abstractNumId w:val="31"/>
  </w:num>
  <w:num w:numId="18">
    <w:abstractNumId w:val="11"/>
  </w:num>
  <w:num w:numId="19">
    <w:abstractNumId w:val="24"/>
  </w:num>
  <w:num w:numId="20">
    <w:abstractNumId w:val="19"/>
  </w:num>
  <w:num w:numId="21">
    <w:abstractNumId w:val="17"/>
  </w:num>
  <w:num w:numId="22">
    <w:abstractNumId w:val="8"/>
  </w:num>
  <w:num w:numId="23">
    <w:abstractNumId w:val="13"/>
  </w:num>
  <w:num w:numId="24">
    <w:abstractNumId w:val="12"/>
  </w:num>
  <w:num w:numId="25">
    <w:abstractNumId w:val="21"/>
  </w:num>
  <w:num w:numId="26">
    <w:abstractNumId w:val="25"/>
  </w:num>
  <w:num w:numId="27">
    <w:abstractNumId w:val="10"/>
  </w:num>
  <w:num w:numId="28">
    <w:abstractNumId w:val="26"/>
  </w:num>
  <w:num w:numId="29">
    <w:abstractNumId w:val="20"/>
  </w:num>
  <w:num w:numId="30">
    <w:abstractNumId w:val="1"/>
  </w:num>
  <w:num w:numId="31">
    <w:abstractNumId w:val="4"/>
  </w:num>
  <w:num w:numId="32">
    <w:abstractNumId w:val="20"/>
  </w:num>
  <w:num w:numId="33">
    <w:abstractNumId w:val="2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9C7"/>
    <w:rsid w:val="00003A8A"/>
    <w:rsid w:val="000103C5"/>
    <w:rsid w:val="0001291A"/>
    <w:rsid w:val="00014F30"/>
    <w:rsid w:val="00020D16"/>
    <w:rsid w:val="00046635"/>
    <w:rsid w:val="00066AF5"/>
    <w:rsid w:val="00076515"/>
    <w:rsid w:val="00076536"/>
    <w:rsid w:val="000A0764"/>
    <w:rsid w:val="000B7BE0"/>
    <w:rsid w:val="000C6418"/>
    <w:rsid w:val="000E3696"/>
    <w:rsid w:val="00105CE9"/>
    <w:rsid w:val="00111628"/>
    <w:rsid w:val="00113027"/>
    <w:rsid w:val="00115680"/>
    <w:rsid w:val="00137D36"/>
    <w:rsid w:val="00157D2A"/>
    <w:rsid w:val="001634E0"/>
    <w:rsid w:val="001676E7"/>
    <w:rsid w:val="0018134C"/>
    <w:rsid w:val="00192815"/>
    <w:rsid w:val="001A4565"/>
    <w:rsid w:val="001A551E"/>
    <w:rsid w:val="001A56B5"/>
    <w:rsid w:val="001A5D50"/>
    <w:rsid w:val="001D1783"/>
    <w:rsid w:val="001D3490"/>
    <w:rsid w:val="001D3758"/>
    <w:rsid w:val="001E3C6D"/>
    <w:rsid w:val="001E7DE4"/>
    <w:rsid w:val="001F17D8"/>
    <w:rsid w:val="001F67B6"/>
    <w:rsid w:val="002007FC"/>
    <w:rsid w:val="00204792"/>
    <w:rsid w:val="00213B5D"/>
    <w:rsid w:val="002146CB"/>
    <w:rsid w:val="00214A54"/>
    <w:rsid w:val="00222A28"/>
    <w:rsid w:val="00235FD2"/>
    <w:rsid w:val="00243406"/>
    <w:rsid w:val="00252A06"/>
    <w:rsid w:val="0026119F"/>
    <w:rsid w:val="00273006"/>
    <w:rsid w:val="002829B4"/>
    <w:rsid w:val="00291A79"/>
    <w:rsid w:val="002A2DB9"/>
    <w:rsid w:val="002B160A"/>
    <w:rsid w:val="002B1C35"/>
    <w:rsid w:val="002B3CA8"/>
    <w:rsid w:val="002D0D1C"/>
    <w:rsid w:val="002D5448"/>
    <w:rsid w:val="002E531E"/>
    <w:rsid w:val="002E694B"/>
    <w:rsid w:val="002F3B6E"/>
    <w:rsid w:val="002F5B6A"/>
    <w:rsid w:val="002F6AD0"/>
    <w:rsid w:val="003007B1"/>
    <w:rsid w:val="0032338F"/>
    <w:rsid w:val="0032550C"/>
    <w:rsid w:val="00326EAD"/>
    <w:rsid w:val="00327C3D"/>
    <w:rsid w:val="003427EF"/>
    <w:rsid w:val="00343C70"/>
    <w:rsid w:val="00343E4E"/>
    <w:rsid w:val="00344EB3"/>
    <w:rsid w:val="00355858"/>
    <w:rsid w:val="00355A03"/>
    <w:rsid w:val="00364964"/>
    <w:rsid w:val="00366199"/>
    <w:rsid w:val="0038111A"/>
    <w:rsid w:val="00387BFF"/>
    <w:rsid w:val="0039223A"/>
    <w:rsid w:val="003A14EA"/>
    <w:rsid w:val="003B5C47"/>
    <w:rsid w:val="003D001E"/>
    <w:rsid w:val="0040394C"/>
    <w:rsid w:val="004047C9"/>
    <w:rsid w:val="00406F43"/>
    <w:rsid w:val="00414ADE"/>
    <w:rsid w:val="00415376"/>
    <w:rsid w:val="00415D1D"/>
    <w:rsid w:val="0041683D"/>
    <w:rsid w:val="0045577A"/>
    <w:rsid w:val="00476730"/>
    <w:rsid w:val="00477B4A"/>
    <w:rsid w:val="00482F72"/>
    <w:rsid w:val="00483CA2"/>
    <w:rsid w:val="004856F2"/>
    <w:rsid w:val="004937D2"/>
    <w:rsid w:val="00495D54"/>
    <w:rsid w:val="004A79F9"/>
    <w:rsid w:val="004B5F0E"/>
    <w:rsid w:val="004C36E0"/>
    <w:rsid w:val="004D3DA9"/>
    <w:rsid w:val="004D5552"/>
    <w:rsid w:val="004E042C"/>
    <w:rsid w:val="004E0579"/>
    <w:rsid w:val="004F0A01"/>
    <w:rsid w:val="004F0F7F"/>
    <w:rsid w:val="004F2F82"/>
    <w:rsid w:val="004F4379"/>
    <w:rsid w:val="00505910"/>
    <w:rsid w:val="0051153B"/>
    <w:rsid w:val="00513FF9"/>
    <w:rsid w:val="00514745"/>
    <w:rsid w:val="00521308"/>
    <w:rsid w:val="00522B5E"/>
    <w:rsid w:val="0053474E"/>
    <w:rsid w:val="00555ED9"/>
    <w:rsid w:val="005729E3"/>
    <w:rsid w:val="0057703D"/>
    <w:rsid w:val="005A7210"/>
    <w:rsid w:val="005B3523"/>
    <w:rsid w:val="005C0F28"/>
    <w:rsid w:val="005C4090"/>
    <w:rsid w:val="005C553E"/>
    <w:rsid w:val="005D04B2"/>
    <w:rsid w:val="005D4A30"/>
    <w:rsid w:val="005E20DD"/>
    <w:rsid w:val="005E3810"/>
    <w:rsid w:val="00612EC7"/>
    <w:rsid w:val="006140D0"/>
    <w:rsid w:val="0061625C"/>
    <w:rsid w:val="006229C7"/>
    <w:rsid w:val="00623ABF"/>
    <w:rsid w:val="0062634A"/>
    <w:rsid w:val="0062750C"/>
    <w:rsid w:val="00636257"/>
    <w:rsid w:val="00656648"/>
    <w:rsid w:val="00657883"/>
    <w:rsid w:val="00661513"/>
    <w:rsid w:val="00672A0A"/>
    <w:rsid w:val="00675825"/>
    <w:rsid w:val="006B5B73"/>
    <w:rsid w:val="006C1DF9"/>
    <w:rsid w:val="006C5F4E"/>
    <w:rsid w:val="006F0824"/>
    <w:rsid w:val="006F19A0"/>
    <w:rsid w:val="006F7E8E"/>
    <w:rsid w:val="00710E6B"/>
    <w:rsid w:val="00711D98"/>
    <w:rsid w:val="00712A2D"/>
    <w:rsid w:val="0071434D"/>
    <w:rsid w:val="00716294"/>
    <w:rsid w:val="007173EF"/>
    <w:rsid w:val="00726F33"/>
    <w:rsid w:val="00732F35"/>
    <w:rsid w:val="007341D9"/>
    <w:rsid w:val="007401FF"/>
    <w:rsid w:val="007471C4"/>
    <w:rsid w:val="00770C3D"/>
    <w:rsid w:val="00790941"/>
    <w:rsid w:val="00792692"/>
    <w:rsid w:val="00793608"/>
    <w:rsid w:val="00793C9B"/>
    <w:rsid w:val="00794133"/>
    <w:rsid w:val="007A6D23"/>
    <w:rsid w:val="007A7992"/>
    <w:rsid w:val="007D0D72"/>
    <w:rsid w:val="007E6B89"/>
    <w:rsid w:val="008028C1"/>
    <w:rsid w:val="008048F3"/>
    <w:rsid w:val="00813612"/>
    <w:rsid w:val="00821ED0"/>
    <w:rsid w:val="00826DB0"/>
    <w:rsid w:val="008366DC"/>
    <w:rsid w:val="008433DC"/>
    <w:rsid w:val="00844839"/>
    <w:rsid w:val="00861FB7"/>
    <w:rsid w:val="00863802"/>
    <w:rsid w:val="008675AC"/>
    <w:rsid w:val="00872E87"/>
    <w:rsid w:val="008771DE"/>
    <w:rsid w:val="008802FB"/>
    <w:rsid w:val="00881C20"/>
    <w:rsid w:val="0088272C"/>
    <w:rsid w:val="00890A64"/>
    <w:rsid w:val="008A23B0"/>
    <w:rsid w:val="008A5AC8"/>
    <w:rsid w:val="008B3375"/>
    <w:rsid w:val="008C36FE"/>
    <w:rsid w:val="008C471E"/>
    <w:rsid w:val="008C4DD6"/>
    <w:rsid w:val="008C6C3B"/>
    <w:rsid w:val="008D32D7"/>
    <w:rsid w:val="008E2500"/>
    <w:rsid w:val="008E31DF"/>
    <w:rsid w:val="008E6B66"/>
    <w:rsid w:val="008E7338"/>
    <w:rsid w:val="008F6D47"/>
    <w:rsid w:val="00912EE3"/>
    <w:rsid w:val="00913654"/>
    <w:rsid w:val="00923254"/>
    <w:rsid w:val="00940311"/>
    <w:rsid w:val="0094415B"/>
    <w:rsid w:val="00947AF9"/>
    <w:rsid w:val="00952BAF"/>
    <w:rsid w:val="0096111C"/>
    <w:rsid w:val="00965B0F"/>
    <w:rsid w:val="00965BA5"/>
    <w:rsid w:val="0097761B"/>
    <w:rsid w:val="009806EE"/>
    <w:rsid w:val="00980FB9"/>
    <w:rsid w:val="009944A7"/>
    <w:rsid w:val="009B174B"/>
    <w:rsid w:val="009C4AB1"/>
    <w:rsid w:val="009D3F1D"/>
    <w:rsid w:val="009E1AB3"/>
    <w:rsid w:val="009F1C13"/>
    <w:rsid w:val="00A02172"/>
    <w:rsid w:val="00A02226"/>
    <w:rsid w:val="00A10F93"/>
    <w:rsid w:val="00A1182B"/>
    <w:rsid w:val="00A119AD"/>
    <w:rsid w:val="00A16B6D"/>
    <w:rsid w:val="00A16C02"/>
    <w:rsid w:val="00A2631C"/>
    <w:rsid w:val="00A3095C"/>
    <w:rsid w:val="00A46258"/>
    <w:rsid w:val="00A5355E"/>
    <w:rsid w:val="00A54B66"/>
    <w:rsid w:val="00A65191"/>
    <w:rsid w:val="00A65E67"/>
    <w:rsid w:val="00A70563"/>
    <w:rsid w:val="00A74FF6"/>
    <w:rsid w:val="00A82EBD"/>
    <w:rsid w:val="00A84AC5"/>
    <w:rsid w:val="00A97E31"/>
    <w:rsid w:val="00AB18AE"/>
    <w:rsid w:val="00AC098A"/>
    <w:rsid w:val="00AC4811"/>
    <w:rsid w:val="00AC5DA6"/>
    <w:rsid w:val="00AE0C3A"/>
    <w:rsid w:val="00AF1D05"/>
    <w:rsid w:val="00B1173A"/>
    <w:rsid w:val="00B14B39"/>
    <w:rsid w:val="00B1791C"/>
    <w:rsid w:val="00B319AD"/>
    <w:rsid w:val="00B35637"/>
    <w:rsid w:val="00B41E07"/>
    <w:rsid w:val="00B5178D"/>
    <w:rsid w:val="00B61FD9"/>
    <w:rsid w:val="00B623AF"/>
    <w:rsid w:val="00B640AF"/>
    <w:rsid w:val="00B71DFB"/>
    <w:rsid w:val="00B8553E"/>
    <w:rsid w:val="00B90011"/>
    <w:rsid w:val="00B911BA"/>
    <w:rsid w:val="00BA3272"/>
    <w:rsid w:val="00BC3633"/>
    <w:rsid w:val="00BD6CAD"/>
    <w:rsid w:val="00BE1AAE"/>
    <w:rsid w:val="00BF0D72"/>
    <w:rsid w:val="00C05FE2"/>
    <w:rsid w:val="00C23E38"/>
    <w:rsid w:val="00C26270"/>
    <w:rsid w:val="00C268DE"/>
    <w:rsid w:val="00C44039"/>
    <w:rsid w:val="00C53EA4"/>
    <w:rsid w:val="00C569DA"/>
    <w:rsid w:val="00C5753A"/>
    <w:rsid w:val="00C60767"/>
    <w:rsid w:val="00C615D2"/>
    <w:rsid w:val="00C67BC4"/>
    <w:rsid w:val="00C717F4"/>
    <w:rsid w:val="00C73D17"/>
    <w:rsid w:val="00C74FF4"/>
    <w:rsid w:val="00C84E7B"/>
    <w:rsid w:val="00CA0DE7"/>
    <w:rsid w:val="00CA4206"/>
    <w:rsid w:val="00CA6023"/>
    <w:rsid w:val="00CB28F9"/>
    <w:rsid w:val="00CB5474"/>
    <w:rsid w:val="00CD35A9"/>
    <w:rsid w:val="00CD46B4"/>
    <w:rsid w:val="00CE1CB6"/>
    <w:rsid w:val="00CE518E"/>
    <w:rsid w:val="00CF209E"/>
    <w:rsid w:val="00D008DD"/>
    <w:rsid w:val="00D014FC"/>
    <w:rsid w:val="00D041EB"/>
    <w:rsid w:val="00D06869"/>
    <w:rsid w:val="00D11731"/>
    <w:rsid w:val="00D154A5"/>
    <w:rsid w:val="00D15B02"/>
    <w:rsid w:val="00D24F6F"/>
    <w:rsid w:val="00D27DF9"/>
    <w:rsid w:val="00D3095E"/>
    <w:rsid w:val="00D3310D"/>
    <w:rsid w:val="00D54BD3"/>
    <w:rsid w:val="00D6109A"/>
    <w:rsid w:val="00D62122"/>
    <w:rsid w:val="00D66263"/>
    <w:rsid w:val="00D803FA"/>
    <w:rsid w:val="00D820AB"/>
    <w:rsid w:val="00D82FEA"/>
    <w:rsid w:val="00D84F52"/>
    <w:rsid w:val="00D87994"/>
    <w:rsid w:val="00D91A50"/>
    <w:rsid w:val="00D966EB"/>
    <w:rsid w:val="00DC5A91"/>
    <w:rsid w:val="00DC5B5B"/>
    <w:rsid w:val="00DC7427"/>
    <w:rsid w:val="00DD416B"/>
    <w:rsid w:val="00DD6DCB"/>
    <w:rsid w:val="00DE672F"/>
    <w:rsid w:val="00DF4617"/>
    <w:rsid w:val="00E01574"/>
    <w:rsid w:val="00E11031"/>
    <w:rsid w:val="00E1451E"/>
    <w:rsid w:val="00E152C3"/>
    <w:rsid w:val="00E35747"/>
    <w:rsid w:val="00E40A36"/>
    <w:rsid w:val="00E55A76"/>
    <w:rsid w:val="00E678C0"/>
    <w:rsid w:val="00E71FCC"/>
    <w:rsid w:val="00E82C27"/>
    <w:rsid w:val="00E955FF"/>
    <w:rsid w:val="00EA48C1"/>
    <w:rsid w:val="00EA77EC"/>
    <w:rsid w:val="00EB0B26"/>
    <w:rsid w:val="00EB19A1"/>
    <w:rsid w:val="00EB5E13"/>
    <w:rsid w:val="00EB7E20"/>
    <w:rsid w:val="00EC0CBE"/>
    <w:rsid w:val="00EC768E"/>
    <w:rsid w:val="00ED4CE6"/>
    <w:rsid w:val="00EF4052"/>
    <w:rsid w:val="00EF50AC"/>
    <w:rsid w:val="00EF7763"/>
    <w:rsid w:val="00F070F7"/>
    <w:rsid w:val="00F44C8B"/>
    <w:rsid w:val="00F56452"/>
    <w:rsid w:val="00F56DE1"/>
    <w:rsid w:val="00F7418A"/>
    <w:rsid w:val="00F86FF0"/>
    <w:rsid w:val="00FA20BD"/>
    <w:rsid w:val="00FB41E2"/>
    <w:rsid w:val="00FC1FFF"/>
    <w:rsid w:val="00FC423F"/>
    <w:rsid w:val="00FD0441"/>
    <w:rsid w:val="00FD07BE"/>
    <w:rsid w:val="00FD1E57"/>
    <w:rsid w:val="00FD6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46A36"/>
  <w15:chartTrackingRefBased/>
  <w15:docId w15:val="{6B9B5AAA-E5DC-46D1-B68C-B20013AF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B9"/>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980FB9"/>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980FB9"/>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980FB9"/>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980FB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980FB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980FB9"/>
    <w:pPr>
      <w:numPr>
        <w:ilvl w:val="5"/>
        <w:numId w:val="1"/>
      </w:numPr>
      <w:spacing w:before="240" w:after="60"/>
      <w:outlineLvl w:val="5"/>
    </w:pPr>
    <w:rPr>
      <w:b/>
      <w:bCs/>
    </w:rPr>
  </w:style>
  <w:style w:type="paragraph" w:styleId="Heading7">
    <w:name w:val="heading 7"/>
    <w:basedOn w:val="Normal"/>
    <w:next w:val="Normal"/>
    <w:link w:val="Heading7Char"/>
    <w:qFormat/>
    <w:rsid w:val="00980FB9"/>
    <w:pPr>
      <w:numPr>
        <w:ilvl w:val="6"/>
        <w:numId w:val="1"/>
      </w:numPr>
      <w:spacing w:before="240" w:after="60"/>
      <w:outlineLvl w:val="6"/>
    </w:pPr>
    <w:rPr>
      <w:sz w:val="24"/>
      <w:szCs w:val="24"/>
    </w:rPr>
  </w:style>
  <w:style w:type="paragraph" w:styleId="Heading8">
    <w:name w:val="heading 8"/>
    <w:basedOn w:val="Normal"/>
    <w:next w:val="Normal"/>
    <w:link w:val="Heading8Char"/>
    <w:qFormat/>
    <w:rsid w:val="00980FB9"/>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980FB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0FB9"/>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980FB9"/>
    <w:rPr>
      <w:rFonts w:ascii="Arial" w:eastAsia="SimSun" w:hAnsi="Arial" w:cs="Times New Roman"/>
      <w:b/>
      <w:bCs/>
      <w:sz w:val="24"/>
      <w:lang w:eastAsia="en-US"/>
    </w:rPr>
  </w:style>
  <w:style w:type="character" w:customStyle="1" w:styleId="Heading3Char">
    <w:name w:val="Heading 3 Char"/>
    <w:basedOn w:val="DefaultParagraphFont"/>
    <w:link w:val="Heading3"/>
    <w:rsid w:val="00980FB9"/>
    <w:rPr>
      <w:rFonts w:ascii="Arial" w:eastAsia="SimSun" w:hAnsi="Arial" w:cs="Times New Roman"/>
      <w:b/>
      <w:lang w:eastAsia="en-US"/>
    </w:rPr>
  </w:style>
  <w:style w:type="character" w:customStyle="1" w:styleId="Heading4Char">
    <w:name w:val="Heading 4 Char"/>
    <w:basedOn w:val="DefaultParagraphFont"/>
    <w:link w:val="Heading4"/>
    <w:rsid w:val="00980FB9"/>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980FB9"/>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980FB9"/>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980FB9"/>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980FB9"/>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980FB9"/>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980FB9"/>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980FB9"/>
    <w:rPr>
      <w:rFonts w:ascii="Times New Roman" w:eastAsia="DengXian" w:hAnsi="Times New Roman" w:cs="Times New Roman"/>
      <w:lang w:eastAsia="en-US"/>
    </w:rPr>
  </w:style>
  <w:style w:type="character" w:styleId="Hyperlink">
    <w:name w:val="Hyperlink"/>
    <w:uiPriority w:val="99"/>
    <w:rsid w:val="00980FB9"/>
    <w:rPr>
      <w:color w:val="0000FF"/>
      <w:u w:val="single"/>
    </w:rPr>
  </w:style>
  <w:style w:type="paragraph" w:styleId="BodyText">
    <w:name w:val="Body Text"/>
    <w:aliases w:val="bt,正文文本,正 文 文 本,본 문"/>
    <w:basedOn w:val="Normal"/>
    <w:link w:val="BodyTextChar"/>
    <w:qFormat/>
    <w:rsid w:val="007401FF"/>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7401FF"/>
    <w:rPr>
      <w:rFonts w:ascii="Times" w:eastAsia="Batang" w:hAnsi="Times" w:cs="Times New Roman"/>
      <w:sz w:val="20"/>
      <w:szCs w:val="24"/>
      <w:lang w:val="en-GB" w:eastAsia="x-none"/>
    </w:rPr>
  </w:style>
  <w:style w:type="paragraph" w:customStyle="1" w:styleId="References">
    <w:name w:val="References"/>
    <w:basedOn w:val="Normal"/>
    <w:rsid w:val="008C36FE"/>
    <w:pPr>
      <w:numPr>
        <w:numId w:val="14"/>
      </w:numPr>
      <w:adjustRightInd/>
      <w:spacing w:after="60"/>
    </w:pPr>
    <w:rPr>
      <w:sz w:val="20"/>
      <w:szCs w:val="16"/>
    </w:rPr>
  </w:style>
  <w:style w:type="character" w:styleId="Emphasis">
    <w:name w:val="Emphasis"/>
    <w:basedOn w:val="DefaultParagraphFont"/>
    <w:uiPriority w:val="20"/>
    <w:qFormat/>
    <w:rsid w:val="008C36FE"/>
    <w:rPr>
      <w:i/>
      <w:iCs/>
    </w:rPr>
  </w:style>
  <w:style w:type="paragraph" w:customStyle="1" w:styleId="2222">
    <w:name w:val="스타일 스타일 스타일 스타일 양쪽 첫 줄:  2 글자 + 첫 줄:  2 글자 + 첫 줄:  2 글자 + 첫 줄:  2..."/>
    <w:basedOn w:val="Normal"/>
    <w:link w:val="2222Char"/>
    <w:rsid w:val="008C36FE"/>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8C36FE"/>
    <w:rPr>
      <w:rFonts w:ascii="Times New Roman" w:eastAsia="Malgun Gothic" w:hAnsi="Times New Roman" w:cs="Batang"/>
      <w:szCs w:val="20"/>
      <w:lang w:val="en-GB" w:eastAsia="en-US"/>
    </w:rPr>
  </w:style>
  <w:style w:type="paragraph" w:styleId="NormalWeb">
    <w:name w:val="Normal (Web)"/>
    <w:basedOn w:val="Normal"/>
    <w:uiPriority w:val="99"/>
    <w:semiHidden/>
    <w:unhideWhenUsed/>
    <w:rsid w:val="00B61FD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B1">
    <w:name w:val="B1"/>
    <w:basedOn w:val="Normal"/>
    <w:link w:val="B1Zchn"/>
    <w:qFormat/>
    <w:rsid w:val="00D041EB"/>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D041EB"/>
    <w:rPr>
      <w:rFonts w:ascii="Times New Roman" w:eastAsia="Times New Roman" w:hAnsi="Times New Roman" w:cs="Times New Roman"/>
      <w:sz w:val="20"/>
      <w:szCs w:val="20"/>
      <w:lang w:val="x-none" w:eastAsia="en-US"/>
    </w:rPr>
  </w:style>
  <w:style w:type="table" w:styleId="TableGrid">
    <w:name w:val="Table Grid"/>
    <w:aliases w:val="TableGrid"/>
    <w:basedOn w:val="TableNormal"/>
    <w:qFormat/>
    <w:rsid w:val="00EA48C1"/>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612EC7"/>
  </w:style>
  <w:style w:type="paragraph" w:styleId="BalloonText">
    <w:name w:val="Balloon Text"/>
    <w:basedOn w:val="Normal"/>
    <w:link w:val="BalloonTextChar"/>
    <w:uiPriority w:val="99"/>
    <w:semiHidden/>
    <w:unhideWhenUsed/>
    <w:rsid w:val="00AE0C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C3A"/>
    <w:rPr>
      <w:rFonts w:ascii="Segoe UI" w:eastAsia="SimSun" w:hAnsi="Segoe UI" w:cs="Segoe UI"/>
      <w:sz w:val="18"/>
      <w:szCs w:val="18"/>
      <w:lang w:eastAsia="en-US"/>
    </w:rPr>
  </w:style>
  <w:style w:type="character" w:styleId="CommentReference">
    <w:name w:val="annotation reference"/>
    <w:basedOn w:val="DefaultParagraphFont"/>
    <w:uiPriority w:val="99"/>
    <w:semiHidden/>
    <w:unhideWhenUsed/>
    <w:rsid w:val="00AE0C3A"/>
    <w:rPr>
      <w:sz w:val="16"/>
      <w:szCs w:val="16"/>
    </w:rPr>
  </w:style>
  <w:style w:type="paragraph" w:styleId="CommentText">
    <w:name w:val="annotation text"/>
    <w:basedOn w:val="Normal"/>
    <w:link w:val="CommentTextChar"/>
    <w:uiPriority w:val="99"/>
    <w:unhideWhenUsed/>
    <w:rsid w:val="00AE0C3A"/>
    <w:rPr>
      <w:sz w:val="20"/>
      <w:szCs w:val="20"/>
    </w:rPr>
  </w:style>
  <w:style w:type="character" w:customStyle="1" w:styleId="CommentTextChar">
    <w:name w:val="Comment Text Char"/>
    <w:basedOn w:val="DefaultParagraphFont"/>
    <w:link w:val="CommentText"/>
    <w:uiPriority w:val="99"/>
    <w:rsid w:val="00AE0C3A"/>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E0C3A"/>
    <w:rPr>
      <w:b/>
      <w:bCs/>
    </w:rPr>
  </w:style>
  <w:style w:type="character" w:customStyle="1" w:styleId="CommentSubjectChar">
    <w:name w:val="Comment Subject Char"/>
    <w:basedOn w:val="CommentTextChar"/>
    <w:link w:val="CommentSubject"/>
    <w:uiPriority w:val="99"/>
    <w:semiHidden/>
    <w:rsid w:val="00AE0C3A"/>
    <w:rPr>
      <w:rFonts w:ascii="Times New Roman" w:eastAsia="SimSun" w:hAnsi="Times New Roman" w:cs="Times New Roman"/>
      <w:b/>
      <w:bCs/>
      <w:sz w:val="20"/>
      <w:szCs w:val="20"/>
      <w:lang w:eastAsia="en-US"/>
    </w:rPr>
  </w:style>
  <w:style w:type="paragraph" w:customStyle="1" w:styleId="references0">
    <w:name w:val="references"/>
    <w:basedOn w:val="Normal"/>
    <w:qFormat/>
    <w:rsid w:val="008802FB"/>
    <w:pPr>
      <w:numPr>
        <w:numId w:val="33"/>
      </w:numPr>
      <w:tabs>
        <w:tab w:val="left" w:pos="432"/>
      </w:tabs>
      <w:autoSpaceDE/>
      <w:autoSpaceDN/>
      <w:adjustRightInd/>
      <w:snapToGrid/>
      <w:spacing w:after="60"/>
      <w:ind w:left="360"/>
    </w:pPr>
    <w:rPr>
      <w:sz w:val="20"/>
    </w:rPr>
  </w:style>
  <w:style w:type="character" w:styleId="PlaceholderText">
    <w:name w:val="Placeholder Text"/>
    <w:basedOn w:val="DefaultParagraphFont"/>
    <w:uiPriority w:val="99"/>
    <w:semiHidden/>
    <w:rsid w:val="004D55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8E6B6-2CCA-4D0C-8420-8DA4C16E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5928</Words>
  <Characters>33793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 Gao</dc:creator>
  <cp:keywords/>
  <dc:description/>
  <cp:lastModifiedBy>George Calcev</cp:lastModifiedBy>
  <cp:revision>2</cp:revision>
  <dcterms:created xsi:type="dcterms:W3CDTF">2021-05-11T21:33:00Z</dcterms:created>
  <dcterms:modified xsi:type="dcterms:W3CDTF">2021-05-11T21:33:00Z</dcterms:modified>
</cp:coreProperties>
</file>