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proofErr w:type="spellStart"/>
      <w:r>
        <w:rPr>
          <w:rFonts w:asciiTheme="minorHAnsi" w:hAnsiTheme="minorHAnsi" w:cstheme="minorHAnsi"/>
          <w:i/>
          <w:iCs/>
          <w:lang w:eastAsia="zh-CN"/>
        </w:rPr>
        <w:t>T</w:t>
      </w:r>
      <w:r>
        <w:rPr>
          <w:rFonts w:asciiTheme="minorHAnsi" w:hAnsiTheme="minorHAnsi" w:cstheme="minorHAnsi"/>
          <w:i/>
          <w:iCs/>
          <w:vertAlign w:val="subscript"/>
        </w:rPr>
        <w:t>c</w:t>
      </w:r>
      <w:proofErr w:type="spellEnd"/>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TW"/>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lastRenderedPageBreak/>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4.6pt;mso-width-percent:0;mso-height-percent:0;mso-width-percent:0;mso-height-percent:0" o:ole="">
                  <v:imagedata r:id="rId15" o:title=""/>
                </v:shape>
                <o:OLEObject Type="Embed" ProgID="Equation.3" ShapeID="_x0000_i1025" DrawAspect="Content" ObjectID="_1679922211"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6pt;height:14.6pt;mso-width-percent:0;mso-height-percent:0;mso-width-percent:0;mso-height-percent:0" o:ole="">
                  <v:imagedata r:id="rId15" o:title=""/>
                </v:shape>
                <o:OLEObject Type="Embed" ProgID="Equation.3" ShapeID="_x0000_i1026" DrawAspect="Content" ObjectID="_1679922212"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6pt;height:14.6pt;mso-width-percent:0;mso-height-percent:0;mso-width-percent:0;mso-height-percent:0" o:ole="">
                  <v:imagedata r:id="rId15" o:title=""/>
                </v:shape>
                <o:OLEObject Type="Embed" ProgID="Equation.3" ShapeID="_x0000_i1027" DrawAspect="Content" ObjectID="_1679922213"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B36C5">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B36C5">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B36C5">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B36C5">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B36C5">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B36C5">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B36C5">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B36C5">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B36C5">
              <w:trPr>
                <w:trHeight w:val="339"/>
              </w:trPr>
              <w:tc>
                <w:tcPr>
                  <w:tcW w:w="1871" w:type="dxa"/>
                </w:tcPr>
                <w:p w14:paraId="7A680F8E"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B36C5">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B36C5">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B36C5">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B36C5">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B36C5">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B36C5">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B36C5">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B36C5">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B36C5">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w:t>
            </w:r>
            <w:proofErr w:type="gramStart"/>
            <w:r w:rsidR="00232D25">
              <w:rPr>
                <w:rFonts w:ascii="Times New Roman" w:hAnsi="Times New Roman"/>
                <w:szCs w:val="20"/>
                <w:lang w:eastAsia="zh-CN"/>
              </w:rPr>
              <w:t>N3  for</w:t>
            </w:r>
            <w:proofErr w:type="gramEnd"/>
            <w:r w:rsidR="00232D25">
              <w:rPr>
                <w:rFonts w:ascii="Times New Roman" w:hAnsi="Times New Roman"/>
                <w:szCs w:val="20"/>
                <w:lang w:eastAsia="zh-CN"/>
              </w:rPr>
              <w:t xml:space="preserve"> 480/960kHz and we </w:t>
            </w:r>
            <w:r w:rsidR="00232D25">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48" w14:anchorId="42CC6397">
                <v:shape id="_x0000_i1029" type="#_x0000_t75" style="width:3in;height:102.5pt" o:ole="">
                  <v:imagedata r:id="rId19" o:title=""/>
                </v:shape>
                <o:OLEObject Type="Embed" ProgID="PBrush" ShapeID="_x0000_i1029" DrawAspect="Content" ObjectID="_1679922214" r:id="rId20"/>
              </w:object>
            </w:r>
          </w:p>
        </w:tc>
      </w:tr>
    </w:tbl>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lastRenderedPageBreak/>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lastRenderedPageBreak/>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 xml:space="preserve">Cyclic block PTRS with circulant ICI filter approximation with or without PT-RS power boosting tends to require longer ICI compensation filters </w:t>
            </w:r>
            <w:r>
              <w:lastRenderedPageBreak/>
              <w:t>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lastRenderedPageBreak/>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8" type="#_x0000_t75" alt="" style="width:390.05pt;height:216.45pt;mso-width-percent:0;mso-height-percent:0;mso-width-percent:0;mso-height-percent:0" o:ole="">
                  <v:imagedata r:id="rId22" o:title=""/>
                </v:shape>
                <o:OLEObject Type="Embed" ProgID="PBrush" ShapeID="_x0000_i1028" DrawAspect="Content" ObjectID="_1679922215"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bookmarkStart w:id="130" w:name="_GoBack" w:colFirst="0" w:colLast="0"/>
            <w:proofErr w:type="spellStart"/>
            <w:r>
              <w:rPr>
                <w:rFonts w:ascii="Times New Roman" w:hAnsi="Times New Roman"/>
                <w:szCs w:val="20"/>
                <w:lang w:eastAsia="zh-CN"/>
              </w:rPr>
              <w:t>MediaTek</w:t>
            </w:r>
            <w:proofErr w:type="spellEnd"/>
          </w:p>
        </w:tc>
        <w:tc>
          <w:tcPr>
            <w:tcW w:w="8021" w:type="dxa"/>
          </w:tcPr>
          <w:p w14:paraId="103C0838" w14:textId="6AC498A1" w:rsidR="00AD4BB8" w:rsidRDefault="00AD4BB8" w:rsidP="00AD4BB8">
            <w:pPr>
              <w:pStyle w:val="BodyText"/>
              <w:spacing w:after="0" w:line="240" w:lineRule="auto"/>
              <w:rPr>
                <w:rFonts w:ascii="Times New Roman" w:hAnsi="Times New Roman" w:hint="eastAsia"/>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bookmarkEnd w:id="130"/>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1" w:name="_Ref68170168"/>
            <w:r>
              <w:t xml:space="preserve">Observation </w:t>
            </w:r>
            <w:fldSimple w:instr=" SEQ Observation \* ARABIC ">
              <w:r>
                <w:t>4</w:t>
              </w:r>
            </w:fldSimple>
            <w:r>
              <w:t>:</w:t>
            </w:r>
            <w:bookmarkEnd w:id="131"/>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w:t>
            </w:r>
            <w:r>
              <w:rPr>
                <w:rFonts w:ascii="Times New Roman" w:hAnsi="Times New Roman"/>
                <w:sz w:val="20"/>
                <w:szCs w:val="20"/>
              </w:rPr>
              <w:lastRenderedPageBreak/>
              <w:t>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2"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2"/>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3"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4" w:name="_Hlk61849589"/>
            <w:bookmarkEnd w:id="133"/>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5" w:name="_Hlk61849605"/>
            <w:bookmarkEnd w:id="134"/>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36" w:name="_Hlk61849622"/>
            <w:bookmarkEnd w:id="135"/>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7" w:name="_Hlk61849637"/>
            <w:bookmarkEnd w:id="136"/>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8" w:name="_Hlk61849651"/>
            <w:bookmarkEnd w:id="137"/>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9" w:name="_Hlk61849660"/>
            <w:bookmarkEnd w:id="138"/>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40" w:name="_Hlk61849668"/>
            <w:bookmarkStart w:id="141" w:name="_Hlk68078285"/>
            <w:bookmarkEnd w:id="139"/>
            <w:r>
              <w:rPr>
                <w:b w:val="0"/>
                <w:i/>
                <w:iCs/>
              </w:rPr>
              <w:t>Observation 25: It is not feasible to introduce new DMRS type for PUSCH/PDSCH in Rel-17 for above 52.6 GHz.</w:t>
            </w:r>
            <w:bookmarkEnd w:id="140"/>
          </w:p>
          <w:p w14:paraId="2856BDF8" w14:textId="77777777" w:rsidR="00183434" w:rsidRDefault="00993DCC">
            <w:pPr>
              <w:pStyle w:val="Caption"/>
              <w:rPr>
                <w:b w:val="0"/>
                <w:i/>
                <w:iCs/>
              </w:rPr>
            </w:pPr>
            <w:bookmarkStart w:id="142" w:name="_Hlk61849698"/>
            <w:bookmarkStart w:id="143" w:name="_Hlk66733819"/>
            <w:bookmarkEnd w:id="141"/>
            <w:r>
              <w:rPr>
                <w:b w:val="0"/>
                <w:i/>
                <w:iCs/>
              </w:rPr>
              <w:t>Proposal 21:</w:t>
            </w:r>
            <w:r>
              <w:rPr>
                <w:b w:val="0"/>
              </w:rPr>
              <w:t xml:space="preserve"> </w:t>
            </w:r>
            <w:r>
              <w:rPr>
                <w:b w:val="0"/>
                <w:i/>
                <w:iCs/>
              </w:rPr>
              <w:t>No additional DMRS pattern is supported in Rel-17 for above 52.6 GHz.</w:t>
            </w:r>
            <w:bookmarkEnd w:id="142"/>
          </w:p>
          <w:p w14:paraId="22C28D04" w14:textId="77777777" w:rsidR="00183434" w:rsidRDefault="00993DCC">
            <w:pPr>
              <w:pStyle w:val="Caption"/>
              <w:rPr>
                <w:b w:val="0"/>
                <w:bCs w:val="0"/>
                <w:i/>
                <w:iCs/>
              </w:rPr>
            </w:pPr>
            <w:bookmarkStart w:id="144" w:name="_Hlk68078661"/>
            <w:bookmarkEnd w:id="143"/>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4"/>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5"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5"/>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6"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6"/>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7"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8" w:name="o8to9"/>
            <w:bookmarkEnd w:id="147"/>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9" w:name="p5"/>
            <w:bookmarkEnd w:id="148"/>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50" w:name="p6"/>
            <w:bookmarkEnd w:id="149"/>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50"/>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1"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2" w:name="_Hlk68605497"/>
            <w:bookmarkEnd w:id="151"/>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3" w:name="_Hlk68605503"/>
            <w:bookmarkEnd w:id="152"/>
            <w:r>
              <w:rPr>
                <w:i/>
                <w:iCs/>
              </w:rPr>
              <w:t>Proposal 2:</w:t>
            </w:r>
            <w:r>
              <w:rPr>
                <w:bCs/>
                <w:i/>
                <w:iCs/>
              </w:rPr>
              <w:t xml:space="preserve"> Support the updated antenna port(s) indication table for enhanced density DM-RS. </w:t>
            </w:r>
          </w:p>
          <w:bookmarkEnd w:id="153"/>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TW"/>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w:t>
            </w:r>
            <w:r>
              <w:rPr>
                <w:rFonts w:ascii="Times New Roman" w:hAnsi="Times New Roman"/>
                <w:szCs w:val="20"/>
                <w:lang w:eastAsia="zh-CN"/>
              </w:rPr>
              <w:lastRenderedPageBreak/>
              <w:t xml:space="preserve">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lastRenderedPageBreak/>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w:t>
            </w:r>
            <w:r>
              <w:rPr>
                <w:rFonts w:ascii="Times New Roman" w:eastAsia="MS PMincho" w:hAnsi="Times New Roman"/>
                <w:szCs w:val="20"/>
                <w:lang w:eastAsia="zh-CN"/>
              </w:rPr>
              <w:lastRenderedPageBreak/>
              <w:t>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lastRenderedPageBreak/>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EA466C">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EA466C">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EA466C">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EA466C">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EA466C">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EA466C">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EA466C">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EA466C">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EA466C">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EA466C">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EA466C">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EA466C">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EA466C">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EA466C">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EA466C">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EA466C">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EA466C">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EA466C">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EA466C">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EA466C">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EA466C">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EA466C">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EA466C">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EA466C">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EA466C">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EA466C">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EA466C">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EA466C">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66C65" w14:textId="77777777" w:rsidR="00B96B8D" w:rsidRDefault="00B96B8D">
      <w:pPr>
        <w:spacing w:after="0" w:line="240" w:lineRule="auto"/>
      </w:pPr>
      <w:r>
        <w:separator/>
      </w:r>
    </w:p>
  </w:endnote>
  <w:endnote w:type="continuationSeparator" w:id="0">
    <w:p w14:paraId="2D40A1D7" w14:textId="77777777" w:rsidR="00B96B8D" w:rsidRDefault="00B9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EA466C" w:rsidRDefault="00EA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EA466C" w:rsidRDefault="00EA46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3041482E" w:rsidR="00EA466C" w:rsidRDefault="00EA466C">
    <w:pPr>
      <w:pStyle w:val="Footer"/>
      <w:ind w:right="360"/>
    </w:pPr>
    <w:r>
      <w:rPr>
        <w:rStyle w:val="PageNumber"/>
      </w:rPr>
      <w:fldChar w:fldCharType="begin"/>
    </w:r>
    <w:r>
      <w:rPr>
        <w:rStyle w:val="PageNumber"/>
      </w:rPr>
      <w:instrText xml:space="preserve"> PAGE </w:instrText>
    </w:r>
    <w:r>
      <w:rPr>
        <w:rStyle w:val="PageNumber"/>
      </w:rPr>
      <w:fldChar w:fldCharType="separate"/>
    </w:r>
    <w:r w:rsidR="00AD4BB8">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BB8">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78FFF" w14:textId="77777777" w:rsidR="00B96B8D" w:rsidRDefault="00B96B8D">
      <w:pPr>
        <w:spacing w:after="0" w:line="240" w:lineRule="auto"/>
      </w:pPr>
      <w:r>
        <w:separator/>
      </w:r>
    </w:p>
  </w:footnote>
  <w:footnote w:type="continuationSeparator" w:id="0">
    <w:p w14:paraId="62B8A729" w14:textId="77777777" w:rsidR="00B96B8D" w:rsidRDefault="00B96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EA466C" w:rsidRDefault="00EA46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C4503557-402A-45F5-80C7-04BF4100164B}">
  <ds:schemaRefs>
    <ds:schemaRef ds:uri="http://schemas.openxmlformats.org/officeDocument/2006/bibliography"/>
  </ds:schemaRefs>
</ds:datastoreItem>
</file>

<file path=customXml/itemProps7.xml><?xml version="1.0" encoding="utf-8"?>
<ds:datastoreItem xmlns:ds="http://schemas.openxmlformats.org/officeDocument/2006/customXml" ds:itemID="{7B8D3A65-059E-43B8-8F91-0B2F1CEA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TotalTime>
  <Pages>54</Pages>
  <Words>21283</Words>
  <Characters>121316</Characters>
  <Application>Microsoft Office Word</Application>
  <DocSecurity>0</DocSecurity>
  <Lines>1010</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142315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Hsien-Ping Lin</cp:lastModifiedBy>
  <cp:revision>5</cp:revision>
  <cp:lastPrinted>2011-11-09T07:49:00Z</cp:lastPrinted>
  <dcterms:created xsi:type="dcterms:W3CDTF">2021-04-14T21:19:00Z</dcterms:created>
  <dcterms:modified xsi:type="dcterms:W3CDTF">2021-04-14T21:41:00Z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