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B41E" w14:textId="6AB9AC53" w:rsidR="002C0FE2" w:rsidRPr="007D4D20" w:rsidRDefault="002C0FE2" w:rsidP="002C0FE2">
      <w:pPr>
        <w:tabs>
          <w:tab w:val="right" w:pos="9216"/>
        </w:tabs>
        <w:jc w:val="both"/>
        <w:rPr>
          <w:b/>
          <w:kern w:val="2"/>
          <w:sz w:val="22"/>
          <w:szCs w:val="22"/>
          <w:lang w:eastAsia="zh-CN"/>
        </w:rPr>
      </w:pPr>
      <w:r w:rsidRPr="007D4D20">
        <w:rPr>
          <w:b/>
          <w:kern w:val="2"/>
          <w:sz w:val="22"/>
          <w:szCs w:val="22"/>
          <w:lang w:eastAsia="zh-CN"/>
        </w:rPr>
        <w:t>3GPP TSG RAN WG1 Meeting #104bis-e</w:t>
      </w:r>
      <w:r w:rsidRPr="007D4D20">
        <w:rPr>
          <w:b/>
          <w:kern w:val="2"/>
          <w:sz w:val="22"/>
          <w:szCs w:val="22"/>
          <w:lang w:eastAsia="zh-CN"/>
        </w:rPr>
        <w:tab/>
        <w:t>R1-</w:t>
      </w:r>
      <w:r w:rsidRPr="002C0FE2">
        <w:rPr>
          <w:b/>
          <w:kern w:val="2"/>
          <w:sz w:val="22"/>
          <w:szCs w:val="22"/>
          <w:highlight w:val="yellow"/>
          <w:lang w:eastAsia="zh-CN"/>
        </w:rPr>
        <w:t>210</w:t>
      </w:r>
      <w:r w:rsidRPr="002C0FE2">
        <w:rPr>
          <w:b/>
          <w:kern w:val="2"/>
          <w:sz w:val="22"/>
          <w:szCs w:val="22"/>
          <w:highlight w:val="yellow"/>
          <w:lang w:eastAsia="zh-CN"/>
        </w:rPr>
        <w:t>abcd</w:t>
      </w:r>
    </w:p>
    <w:p w14:paraId="5C2FDE74" w14:textId="77777777" w:rsidR="002C0FE2" w:rsidRPr="007D4D20" w:rsidRDefault="002C0FE2" w:rsidP="002C0FE2">
      <w:pPr>
        <w:spacing w:afterLines="50" w:after="120"/>
        <w:jc w:val="both"/>
        <w:rPr>
          <w:b/>
          <w:kern w:val="2"/>
          <w:sz w:val="22"/>
          <w:szCs w:val="22"/>
          <w:lang w:eastAsia="zh-CN"/>
        </w:rPr>
      </w:pPr>
      <w:r w:rsidRPr="007D4D20">
        <w:rPr>
          <w:b/>
          <w:kern w:val="2"/>
          <w:sz w:val="22"/>
          <w:szCs w:val="22"/>
          <w:lang w:eastAsia="zh-CN"/>
        </w:rPr>
        <w:t>E-meeting, April 12th – 20th, 2021</w:t>
      </w:r>
    </w:p>
    <w:p w14:paraId="3375F636" w14:textId="77777777" w:rsidR="002C0FE2" w:rsidRPr="007D4D20" w:rsidRDefault="002C0FE2" w:rsidP="002C0FE2">
      <w:pPr>
        <w:pBdr>
          <w:top w:val="single" w:sz="4" w:space="1" w:color="auto"/>
        </w:pBdr>
        <w:autoSpaceDE w:val="0"/>
        <w:autoSpaceDN w:val="0"/>
        <w:adjustRightInd w:val="0"/>
        <w:snapToGrid w:val="0"/>
        <w:ind w:left="0" w:firstLine="0"/>
        <w:jc w:val="both"/>
        <w:rPr>
          <w:rFonts w:ascii="Calibri" w:eastAsia="SimSun" w:hAnsi="Calibri" w:cs="Calibri"/>
          <w:b/>
          <w:kern w:val="2"/>
          <w:sz w:val="22"/>
          <w:szCs w:val="22"/>
          <w:lang w:eastAsia="zh-CN"/>
        </w:rPr>
      </w:pPr>
    </w:p>
    <w:p w14:paraId="4F7348F0" w14:textId="77777777" w:rsidR="002C0FE2" w:rsidRPr="007D4D20" w:rsidRDefault="002C0FE2" w:rsidP="002C0FE2">
      <w:pPr>
        <w:spacing w:after="60"/>
        <w:ind w:left="1555" w:hanging="1555"/>
        <w:jc w:val="both"/>
        <w:rPr>
          <w:b/>
          <w:kern w:val="2"/>
          <w:sz w:val="22"/>
          <w:szCs w:val="22"/>
          <w:lang w:eastAsia="zh-CN"/>
        </w:rPr>
      </w:pPr>
      <w:r w:rsidRPr="007D4D20">
        <w:rPr>
          <w:b/>
          <w:kern w:val="2"/>
          <w:sz w:val="22"/>
          <w:szCs w:val="22"/>
          <w:lang w:eastAsia="zh-CN"/>
        </w:rPr>
        <w:t>Agenda Item:</w:t>
      </w:r>
      <w:r w:rsidRPr="007D4D20">
        <w:rPr>
          <w:b/>
          <w:kern w:val="2"/>
          <w:sz w:val="22"/>
          <w:szCs w:val="22"/>
          <w:lang w:eastAsia="zh-CN"/>
        </w:rPr>
        <w:tab/>
        <w:t>8.1.4</w:t>
      </w:r>
    </w:p>
    <w:p w14:paraId="14C1F86E" w14:textId="77777777" w:rsidR="002C0FE2" w:rsidRPr="007D4D20" w:rsidRDefault="002C0FE2" w:rsidP="002C0FE2">
      <w:pPr>
        <w:spacing w:after="60"/>
        <w:ind w:left="1555" w:hanging="1555"/>
        <w:jc w:val="both"/>
        <w:rPr>
          <w:b/>
          <w:kern w:val="2"/>
          <w:sz w:val="22"/>
          <w:szCs w:val="22"/>
          <w:lang w:eastAsia="zh-CN"/>
        </w:rPr>
      </w:pPr>
      <w:r w:rsidRPr="007D4D20">
        <w:rPr>
          <w:b/>
          <w:kern w:val="2"/>
          <w:sz w:val="22"/>
          <w:szCs w:val="22"/>
          <w:lang w:eastAsia="zh-CN"/>
        </w:rPr>
        <w:t>Source:</w:t>
      </w:r>
      <w:r w:rsidRPr="007D4D20">
        <w:rPr>
          <w:b/>
          <w:kern w:val="2"/>
          <w:sz w:val="22"/>
          <w:szCs w:val="22"/>
          <w:lang w:eastAsia="zh-CN"/>
        </w:rPr>
        <w:tab/>
        <w:t>(Moderator) Huawei, HiSilicon</w:t>
      </w:r>
    </w:p>
    <w:p w14:paraId="7064543F" w14:textId="3B631207" w:rsidR="002C0FE2" w:rsidRPr="007D4D20" w:rsidRDefault="002C0FE2" w:rsidP="002C0FE2">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7D4D20">
        <w:rPr>
          <w:rFonts w:ascii="Calibri" w:eastAsia="SimSun" w:hAnsi="Calibri" w:cs="Calibri"/>
          <w:b/>
          <w:kern w:val="2"/>
          <w:sz w:val="22"/>
          <w:szCs w:val="22"/>
          <w:lang w:val="en-US" w:eastAsia="zh-CN"/>
        </w:rPr>
        <w:t>Title:</w:t>
      </w:r>
      <w:r w:rsidRPr="007D4D20">
        <w:rPr>
          <w:rFonts w:ascii="Calibri" w:eastAsia="SimSun" w:hAnsi="Calibri" w:cs="Calibri"/>
          <w:b/>
          <w:kern w:val="2"/>
          <w:sz w:val="22"/>
          <w:szCs w:val="22"/>
          <w:lang w:val="en-US" w:eastAsia="zh-CN"/>
        </w:rPr>
        <w:tab/>
        <w:t xml:space="preserve">Summary of CSI enhancements for MTRP and FDD (Round </w:t>
      </w:r>
      <w:r>
        <w:rPr>
          <w:rFonts w:ascii="Calibri" w:eastAsia="SimSun" w:hAnsi="Calibri" w:cs="Calibri"/>
          <w:b/>
          <w:kern w:val="2"/>
          <w:sz w:val="22"/>
          <w:szCs w:val="22"/>
          <w:lang w:val="en-US" w:eastAsia="zh-CN"/>
        </w:rPr>
        <w:t>3</w:t>
      </w:r>
      <w:r w:rsidRPr="007D4D20">
        <w:rPr>
          <w:rFonts w:ascii="Calibri" w:eastAsia="SimSun" w:hAnsi="Calibri" w:cs="Calibri"/>
          <w:b/>
          <w:kern w:val="2"/>
          <w:sz w:val="22"/>
          <w:szCs w:val="22"/>
          <w:lang w:val="en-US" w:eastAsia="zh-CN"/>
        </w:rPr>
        <w:t>)</w:t>
      </w:r>
    </w:p>
    <w:p w14:paraId="5400EF3E" w14:textId="77777777" w:rsidR="002C0FE2" w:rsidRPr="007D4D20" w:rsidRDefault="002C0FE2" w:rsidP="002C0FE2">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7D4D20">
        <w:rPr>
          <w:rFonts w:ascii="Calibri" w:eastAsia="SimSun" w:hAnsi="Calibri" w:cs="Calibri"/>
          <w:b/>
          <w:kern w:val="2"/>
          <w:sz w:val="22"/>
          <w:szCs w:val="22"/>
          <w:lang w:val="en-US" w:eastAsia="zh-CN"/>
        </w:rPr>
        <w:t>Document for:</w:t>
      </w:r>
      <w:r w:rsidRPr="007D4D20">
        <w:rPr>
          <w:rFonts w:ascii="Calibri" w:eastAsia="SimSun" w:hAnsi="Calibri" w:cs="Calibri"/>
          <w:b/>
          <w:kern w:val="2"/>
          <w:sz w:val="22"/>
          <w:szCs w:val="22"/>
          <w:lang w:val="en-US" w:eastAsia="zh-CN"/>
        </w:rPr>
        <w:tab/>
        <w:t xml:space="preserve">Discussion and Decision </w:t>
      </w:r>
    </w:p>
    <w:p w14:paraId="42E70F31" w14:textId="77777777" w:rsidR="002C0FE2" w:rsidRPr="009A6844" w:rsidRDefault="002C0FE2" w:rsidP="002C0FE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353E9355" w14:textId="77777777" w:rsidR="002C0FE2" w:rsidRDefault="002C0FE2" w:rsidP="002C0FE2">
      <w:pPr>
        <w:pStyle w:val="Heading1"/>
        <w:spacing w:after="120"/>
        <w:ind w:left="431" w:hanging="431"/>
        <w:jc w:val="both"/>
        <w:rPr>
          <w:rFonts w:ascii="Calibri" w:hAnsi="Calibri" w:cs="Calibri"/>
          <w:sz w:val="28"/>
          <w:szCs w:val="28"/>
        </w:rPr>
      </w:pPr>
      <w:r>
        <w:rPr>
          <w:rFonts w:ascii="Calibri" w:hAnsi="Calibri" w:cs="Calibri"/>
          <w:sz w:val="28"/>
          <w:szCs w:val="28"/>
        </w:rPr>
        <w:t>Agreements</w:t>
      </w:r>
    </w:p>
    <w:p w14:paraId="147AEF96" w14:textId="77777777" w:rsidR="002C0FE2" w:rsidRPr="00BA087E" w:rsidRDefault="002C0FE2" w:rsidP="002C0FE2">
      <w:pPr>
        <w:rPr>
          <w:b/>
          <w:bCs/>
        </w:rPr>
      </w:pPr>
      <w:r w:rsidRPr="00BA087E">
        <w:rPr>
          <w:b/>
          <w:bCs/>
          <w:highlight w:val="green"/>
        </w:rPr>
        <w:t>Agreement</w:t>
      </w:r>
    </w:p>
    <w:p w14:paraId="4B460E88" w14:textId="77777777" w:rsidR="002C0FE2" w:rsidRPr="00BA087E" w:rsidRDefault="002C0FE2" w:rsidP="002C0FE2">
      <w:pPr>
        <w:autoSpaceDE w:val="0"/>
        <w:autoSpaceDN w:val="0"/>
        <w:adjustRightInd w:val="0"/>
        <w:snapToGrid w:val="0"/>
        <w:jc w:val="both"/>
        <w:rPr>
          <w:rFonts w:eastAsia="MS Mincho" w:cs="Times"/>
          <w:bCs/>
          <w:iCs/>
          <w:szCs w:val="20"/>
          <w:lang w:val="en-US" w:eastAsia="ja-JP"/>
        </w:rPr>
      </w:pPr>
      <w:r w:rsidRPr="00BA087E">
        <w:rPr>
          <w:rFonts w:eastAsia="MS Mincho" w:cs="Times"/>
          <w:bCs/>
          <w:iCs/>
          <w:szCs w:val="20"/>
          <w:lang w:val="en-US" w:eastAsia="ja-JP"/>
        </w:rPr>
        <w:t xml:space="preserve">For rank=1, polarization-common based free-selection should be supported for </w:t>
      </w:r>
      <w:r w:rsidRPr="00A73862">
        <w:rPr>
          <w:rFonts w:eastAsia="MS Mincho" w:cs="Times"/>
          <w:bCs/>
          <w:i/>
          <w:iCs/>
          <w:szCs w:val="20"/>
          <w:lang w:val="en-US" w:eastAsia="ja-JP"/>
        </w:rPr>
        <w:t>W</w:t>
      </w:r>
      <w:r w:rsidRPr="00A73862">
        <w:rPr>
          <w:rFonts w:eastAsia="MS Mincho" w:cs="Times"/>
          <w:bCs/>
          <w:i/>
          <w:iCs/>
          <w:szCs w:val="20"/>
          <w:vertAlign w:val="subscript"/>
          <w:lang w:val="en-US" w:eastAsia="ja-JP"/>
        </w:rPr>
        <w:t>1</w:t>
      </w:r>
      <w:r w:rsidRPr="00BA087E">
        <w:rPr>
          <w:rFonts w:eastAsia="MS Mincho" w:cs="Times"/>
          <w:bCs/>
          <w:iCs/>
          <w:szCs w:val="20"/>
          <w:lang w:val="en-US" w:eastAsia="ja-JP"/>
        </w:rPr>
        <w:fldChar w:fldCharType="begin"/>
      </w:r>
      <w:r w:rsidRPr="00BA087E">
        <w:rPr>
          <w:rFonts w:eastAsia="MS Mincho" w:cs="Times"/>
          <w:bCs/>
          <w:iCs/>
          <w:szCs w:val="20"/>
          <w:lang w:val="en-US" w:eastAsia="ja-JP"/>
        </w:rPr>
        <w:instrText xml:space="preserve"> QUOTE </w:instrText>
      </w:r>
      <m:oMath>
        <m:sSub>
          <m:sSubPr>
            <m:ctrlPr>
              <w:rPr>
                <w:rFonts w:ascii="Cambria Math" w:eastAsia="MS Mincho" w:hAnsi="Cambria Math"/>
                <w:sz w:val="22"/>
                <w:szCs w:val="22"/>
                <w:lang w:val="en-US" w:eastAsia="ja-JP"/>
              </w:rPr>
            </m:ctrlPr>
          </m:sSubPr>
          <m:e>
            <m:r>
              <m:rPr>
                <m:sty m:val="bi"/>
              </m:rPr>
              <w:rPr>
                <w:rFonts w:ascii="Cambria Math" w:eastAsia="MS Mincho" w:hAnsi="Cambria Math"/>
                <w:sz w:val="22"/>
                <w:szCs w:val="22"/>
                <w:lang w:val="en-US" w:eastAsia="ja-JP"/>
              </w:rPr>
              <m:t>W</m:t>
            </m:r>
          </m:e>
          <m:sub>
            <m:r>
              <w:rPr>
                <w:rFonts w:ascii="Cambria Math" w:eastAsia="MS Mincho" w:hAnsi="Cambria Math"/>
                <w:sz w:val="22"/>
                <w:szCs w:val="22"/>
                <w:lang w:val="en-US" w:eastAsia="ja-JP"/>
              </w:rPr>
              <m:t>1</m:t>
            </m:r>
          </m:sub>
        </m:sSub>
      </m:oMath>
      <w:r w:rsidRPr="00BA087E">
        <w:rPr>
          <w:rFonts w:eastAsia="MS Mincho" w:cs="Times"/>
          <w:bCs/>
          <w:iCs/>
          <w:szCs w:val="20"/>
          <w:lang w:val="en-US" w:eastAsia="ja-JP"/>
        </w:rPr>
        <w:instrText xml:space="preserve"> </w:instrText>
      </w:r>
      <w:r w:rsidRPr="00BA087E">
        <w:rPr>
          <w:rFonts w:eastAsia="MS Mincho" w:cs="Times"/>
          <w:bCs/>
          <w:iCs/>
          <w:szCs w:val="20"/>
          <w:lang w:val="en-US" w:eastAsia="ja-JP"/>
        </w:rPr>
        <w:fldChar w:fldCharType="separate"/>
      </w:r>
      <w:r w:rsidRPr="00BA087E">
        <w:rPr>
          <w:rFonts w:eastAsia="MS Mincho" w:cs="Times"/>
          <w:bCs/>
          <w:iCs/>
          <w:szCs w:val="20"/>
          <w:lang w:val="en-US" w:eastAsia="ja-JP"/>
        </w:rPr>
        <w:fldChar w:fldCharType="end"/>
      </w:r>
      <w:r w:rsidRPr="00BA087E">
        <w:rPr>
          <w:rFonts w:eastAsia="MS Mincho" w:cs="Times"/>
          <w:bCs/>
          <w:iCs/>
          <w:szCs w:val="20"/>
          <w:lang w:val="en-US" w:eastAsia="ja-JP"/>
        </w:rPr>
        <w:t>.</w:t>
      </w:r>
    </w:p>
    <w:p w14:paraId="59A8445B" w14:textId="77777777" w:rsidR="002C0FE2" w:rsidRPr="00A73862" w:rsidRDefault="002C0FE2" w:rsidP="002C0FE2">
      <w:pPr>
        <w:pStyle w:val="ListParagraph"/>
        <w:numPr>
          <w:ilvl w:val="0"/>
          <w:numId w:val="6"/>
        </w:numPr>
        <w:ind w:leftChars="0"/>
        <w:jc w:val="both"/>
        <w:rPr>
          <w:rFonts w:ascii="Times New Roman" w:hAnsi="Times New Roman"/>
          <w:bCs/>
          <w:iCs/>
          <w:szCs w:val="22"/>
        </w:rPr>
      </w:pPr>
      <w:r w:rsidRPr="00A73862">
        <w:rPr>
          <w:rFonts w:ascii="Times New Roman" w:hAnsi="Times New Roman"/>
          <w:bCs/>
          <w:iCs/>
          <w:szCs w:val="22"/>
        </w:rPr>
        <w:t>FFS: Whether there is a need to restrict the number of CSI-RS ports for which this is supported</w:t>
      </w:r>
    </w:p>
    <w:p w14:paraId="275345CE" w14:textId="77777777" w:rsidR="002C0FE2" w:rsidRPr="00A73862" w:rsidRDefault="002C0FE2" w:rsidP="002C0FE2">
      <w:pPr>
        <w:rPr>
          <w:szCs w:val="40"/>
        </w:rPr>
      </w:pPr>
    </w:p>
    <w:p w14:paraId="40A9B525" w14:textId="77777777" w:rsidR="002C0FE2" w:rsidRPr="00A73862" w:rsidRDefault="002C0FE2" w:rsidP="002C0FE2">
      <w:pPr>
        <w:jc w:val="both"/>
        <w:rPr>
          <w:rFonts w:ascii="Times New Roman" w:hAnsi="Times New Roman"/>
          <w:b/>
          <w:bCs/>
          <w:iCs/>
          <w:szCs w:val="22"/>
          <w:highlight w:val="green"/>
        </w:rPr>
      </w:pPr>
      <w:r w:rsidRPr="00A73862">
        <w:rPr>
          <w:rFonts w:ascii="Times New Roman" w:hAnsi="Times New Roman"/>
          <w:b/>
          <w:bCs/>
          <w:iCs/>
          <w:szCs w:val="22"/>
          <w:highlight w:val="green"/>
        </w:rPr>
        <w:t>Agreement</w:t>
      </w:r>
    </w:p>
    <w:p w14:paraId="499726F4" w14:textId="77777777" w:rsidR="002C0FE2" w:rsidRPr="00A73862" w:rsidRDefault="002C0FE2" w:rsidP="002C0FE2">
      <w:pPr>
        <w:jc w:val="both"/>
        <w:rPr>
          <w:rFonts w:ascii="Times New Roman" w:hAnsi="Times New Roman"/>
          <w:bCs/>
          <w:iCs/>
          <w:szCs w:val="22"/>
        </w:rPr>
      </w:pPr>
      <w:r w:rsidRPr="00A73862">
        <w:rPr>
          <w:rFonts w:ascii="Times New Roman" w:hAnsi="Times New Roman"/>
          <w:bCs/>
          <w:iCs/>
          <w:szCs w:val="22"/>
        </w:rPr>
        <w:t xml:space="preserve">Support the indication of following RI combinations by a joint RI field for a NCJT measurement hypothesis in CSI part 1, when the maximal transmission layers is less than or equal to 4:    </w:t>
      </w:r>
    </w:p>
    <w:p w14:paraId="46BE48AA" w14:textId="77777777" w:rsidR="002C0FE2" w:rsidRPr="00A73862" w:rsidRDefault="002C0FE2" w:rsidP="002C0FE2">
      <w:pPr>
        <w:pStyle w:val="ListParagraph"/>
        <w:numPr>
          <w:ilvl w:val="0"/>
          <w:numId w:val="6"/>
        </w:numPr>
        <w:ind w:leftChars="0"/>
        <w:jc w:val="both"/>
        <w:rPr>
          <w:rFonts w:ascii="Times New Roman" w:hAnsi="Times New Roman"/>
          <w:bCs/>
          <w:iCs/>
          <w:szCs w:val="22"/>
        </w:rPr>
      </w:pPr>
      <w:r w:rsidRPr="00A73862">
        <w:rPr>
          <w:rFonts w:ascii="Times New Roman" w:hAnsi="Times New Roman"/>
          <w:bCs/>
          <w:iCs/>
          <w:szCs w:val="22"/>
        </w:rPr>
        <w:t>{1, 1}, {1, 2}, {2,1}, {2,2}</w:t>
      </w:r>
    </w:p>
    <w:p w14:paraId="0CF67C6D" w14:textId="77777777" w:rsidR="002C0FE2" w:rsidRPr="00A73862" w:rsidRDefault="002C0FE2" w:rsidP="002C0FE2">
      <w:pPr>
        <w:pStyle w:val="ListParagraph"/>
        <w:numPr>
          <w:ilvl w:val="0"/>
          <w:numId w:val="6"/>
        </w:numPr>
        <w:ind w:leftChars="0"/>
        <w:jc w:val="both"/>
        <w:rPr>
          <w:rFonts w:ascii="Times New Roman" w:hAnsi="Times New Roman"/>
          <w:bCs/>
          <w:iCs/>
          <w:szCs w:val="22"/>
        </w:rPr>
      </w:pPr>
      <w:r w:rsidRPr="00A73862">
        <w:rPr>
          <w:rFonts w:ascii="Times New Roman" w:hAnsi="Times New Roman"/>
          <w:bCs/>
          <w:iCs/>
          <w:szCs w:val="22"/>
        </w:rPr>
        <w:t>FFS: CBSR and/or RI restrictions per TRP or across TRPs</w:t>
      </w:r>
    </w:p>
    <w:p w14:paraId="67100CD4" w14:textId="77777777" w:rsidR="002C0FE2" w:rsidRDefault="002C0FE2" w:rsidP="002C0FE2"/>
    <w:p w14:paraId="6DC919CC" w14:textId="77777777" w:rsidR="002C0FE2" w:rsidRPr="00A73862" w:rsidRDefault="002C0FE2" w:rsidP="002C0FE2">
      <w:pPr>
        <w:pStyle w:val="ListParagraph"/>
        <w:autoSpaceDE w:val="0"/>
        <w:autoSpaceDN w:val="0"/>
        <w:adjustRightInd w:val="0"/>
        <w:snapToGrid w:val="0"/>
        <w:spacing w:after="48"/>
        <w:ind w:leftChars="0" w:left="1440"/>
        <w:jc w:val="both"/>
        <w:rPr>
          <w:rFonts w:ascii="Times New Roman" w:eastAsia="SimSun" w:hAnsi="Times New Roman"/>
          <w:b/>
          <w:iCs/>
          <w:szCs w:val="20"/>
          <w:highlight w:val="green"/>
          <w:lang w:val="en-US" w:eastAsia="zh-CN"/>
        </w:rPr>
      </w:pPr>
      <w:r w:rsidRPr="00A73862">
        <w:rPr>
          <w:rFonts w:ascii="Times New Roman" w:eastAsia="SimSun" w:hAnsi="Times New Roman"/>
          <w:b/>
          <w:iCs/>
          <w:szCs w:val="20"/>
          <w:highlight w:val="green"/>
          <w:lang w:val="en-US" w:eastAsia="zh-CN"/>
        </w:rPr>
        <w:t>Agreement</w:t>
      </w:r>
    </w:p>
    <w:p w14:paraId="56EF9FD1" w14:textId="77777777" w:rsidR="002C0FE2" w:rsidRPr="00A73862" w:rsidRDefault="002C0FE2" w:rsidP="002C0FE2">
      <w:pPr>
        <w:pStyle w:val="ListParagraph"/>
        <w:autoSpaceDE w:val="0"/>
        <w:autoSpaceDN w:val="0"/>
        <w:adjustRightInd w:val="0"/>
        <w:snapToGrid w:val="0"/>
        <w:spacing w:after="48"/>
        <w:ind w:leftChars="0" w:left="1440"/>
        <w:jc w:val="both"/>
        <w:rPr>
          <w:rFonts w:ascii="Times New Roman" w:eastAsia="SimSun" w:hAnsi="Times New Roman"/>
          <w:bCs/>
          <w:szCs w:val="20"/>
          <w:lang w:val="en-US" w:eastAsia="zh-CN"/>
        </w:rPr>
      </w:pPr>
      <w:r w:rsidRPr="00A73862">
        <w:rPr>
          <w:rFonts w:ascii="Times New Roman" w:eastAsia="SimSun" w:hAnsi="Times New Roman"/>
          <w:bCs/>
          <w:szCs w:val="20"/>
          <w:lang w:val="en-US" w:eastAsia="zh-CN"/>
        </w:rPr>
        <w:t xml:space="preserve">With regarding to the maximal values of </w:t>
      </w:r>
      <w:r w:rsidRPr="00A73862">
        <w:rPr>
          <w:rFonts w:ascii="Times New Roman" w:eastAsia="SimSun" w:hAnsi="Times New Roman"/>
          <w:bCs/>
          <w:i/>
          <w:szCs w:val="20"/>
          <w:lang w:val="en-US" w:eastAsia="zh-CN"/>
        </w:rPr>
        <w:t>N</w:t>
      </w:r>
      <w:r w:rsidRPr="00A73862">
        <w:rPr>
          <w:rFonts w:ascii="Times New Roman" w:eastAsia="SimSun" w:hAnsi="Times New Roman"/>
          <w:bCs/>
          <w:i/>
          <w:szCs w:val="20"/>
          <w:vertAlign w:val="subscript"/>
          <w:lang w:val="en-US" w:eastAsia="zh-CN"/>
        </w:rPr>
        <w:t>max</w:t>
      </w:r>
      <w:r w:rsidRPr="00A73862">
        <w:rPr>
          <w:rFonts w:ascii="Times New Roman" w:eastAsia="SimSun" w:hAnsi="Times New Roman"/>
          <w:bCs/>
          <w:szCs w:val="20"/>
          <w:lang w:val="en-US" w:eastAsia="zh-CN"/>
        </w:rPr>
        <w:t xml:space="preserve"> for </w:t>
      </w:r>
      <w:r w:rsidRPr="00A73862">
        <w:rPr>
          <w:rFonts w:ascii="Times New Roman" w:eastAsia="SimSun" w:hAnsi="Times New Roman"/>
          <w:bCs/>
          <w:i/>
          <w:szCs w:val="20"/>
          <w:lang w:val="en-US" w:eastAsia="zh-CN"/>
        </w:rPr>
        <w:t>N, K</w:t>
      </w:r>
      <w:r w:rsidRPr="00A73862">
        <w:rPr>
          <w:rFonts w:ascii="Times New Roman" w:eastAsia="SimSun" w:hAnsi="Times New Roman"/>
          <w:bCs/>
          <w:i/>
          <w:szCs w:val="20"/>
          <w:vertAlign w:val="subscript"/>
          <w:lang w:val="en-US" w:eastAsia="zh-CN"/>
        </w:rPr>
        <w:t>s,max</w:t>
      </w:r>
      <w:r w:rsidRPr="00A73862">
        <w:rPr>
          <w:rFonts w:ascii="Times New Roman" w:eastAsia="SimSun" w:hAnsi="Times New Roman"/>
          <w:bCs/>
          <w:i/>
          <w:szCs w:val="20"/>
          <w:lang w:val="en-US" w:eastAsia="zh-CN"/>
        </w:rPr>
        <w:t xml:space="preserve"> </w:t>
      </w:r>
      <w:r w:rsidRPr="00A73862">
        <w:rPr>
          <w:rFonts w:ascii="Times New Roman" w:eastAsia="SimSun" w:hAnsi="Times New Roman"/>
          <w:bCs/>
          <w:szCs w:val="20"/>
          <w:lang w:val="en-US" w:eastAsia="zh-CN"/>
        </w:rPr>
        <w:t xml:space="preserve">for </w:t>
      </w:r>
      <w:r w:rsidRPr="00A73862">
        <w:rPr>
          <w:rFonts w:ascii="Times New Roman" w:eastAsia="SimSun" w:hAnsi="Times New Roman"/>
          <w:bCs/>
          <w:i/>
          <w:szCs w:val="20"/>
          <w:lang w:val="en-US" w:eastAsia="zh-CN"/>
        </w:rPr>
        <w:t>K</w:t>
      </w:r>
      <w:r w:rsidRPr="00A73862">
        <w:rPr>
          <w:rFonts w:ascii="Times New Roman" w:eastAsia="SimSun" w:hAnsi="Times New Roman"/>
          <w:bCs/>
          <w:i/>
          <w:szCs w:val="20"/>
          <w:vertAlign w:val="subscript"/>
          <w:lang w:val="en-US" w:eastAsia="zh-CN"/>
        </w:rPr>
        <w:t>s</w:t>
      </w:r>
      <w:r w:rsidRPr="00A73862">
        <w:rPr>
          <w:rFonts w:ascii="Times New Roman" w:eastAsia="SimSun" w:hAnsi="Times New Roman"/>
          <w:bCs/>
          <w:szCs w:val="20"/>
          <w:lang w:val="en-US" w:eastAsia="zh-CN"/>
        </w:rPr>
        <w:t>:</w:t>
      </w:r>
    </w:p>
    <w:p w14:paraId="41D306BE" w14:textId="77777777" w:rsidR="002C0FE2" w:rsidRPr="00A73862" w:rsidRDefault="002C0FE2" w:rsidP="002C0FE2">
      <w:pPr>
        <w:pStyle w:val="ListParagraph"/>
        <w:numPr>
          <w:ilvl w:val="0"/>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kern w:val="2"/>
          <w:szCs w:val="20"/>
          <w:lang w:eastAsia="zh-CN"/>
        </w:rPr>
        <w:t xml:space="preserve">Support of </w:t>
      </w:r>
      <w:r w:rsidRPr="00A73862">
        <w:rPr>
          <w:rFonts w:ascii="Times New Roman" w:eastAsia="Malgun Gothic" w:hAnsi="Times New Roman"/>
          <w:bCs/>
          <w:i/>
          <w:kern w:val="2"/>
          <w:szCs w:val="20"/>
          <w:lang w:eastAsia="zh-CN"/>
        </w:rPr>
        <w:t>N</w:t>
      </w:r>
      <w:r w:rsidRPr="00A73862">
        <w:rPr>
          <w:rFonts w:ascii="Times New Roman" w:eastAsia="Malgun Gothic" w:hAnsi="Times New Roman"/>
          <w:bCs/>
          <w:i/>
          <w:kern w:val="2"/>
          <w:szCs w:val="20"/>
          <w:vertAlign w:val="subscript"/>
          <w:lang w:eastAsia="zh-CN"/>
        </w:rPr>
        <w:t>max</w:t>
      </w:r>
      <w:r w:rsidRPr="00A73862">
        <w:rPr>
          <w:rFonts w:ascii="Times New Roman" w:eastAsia="Malgun Gothic" w:hAnsi="Times New Roman"/>
          <w:bCs/>
          <w:kern w:val="2"/>
          <w:szCs w:val="20"/>
          <w:lang w:eastAsia="zh-CN"/>
        </w:rPr>
        <w:t>=2 is a UE optional feature</w:t>
      </w:r>
    </w:p>
    <w:p w14:paraId="57B67D7D" w14:textId="77777777" w:rsidR="002C0FE2" w:rsidRPr="00A73862" w:rsidRDefault="002C0FE2" w:rsidP="002C0FE2">
      <w:pPr>
        <w:pStyle w:val="ListParagraph"/>
        <w:numPr>
          <w:ilvl w:val="0"/>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kern w:val="2"/>
          <w:szCs w:val="20"/>
          <w:lang w:eastAsia="zh-CN"/>
        </w:rPr>
        <w:t xml:space="preserve">Support of </w:t>
      </w:r>
      <w:r w:rsidRPr="00A73862">
        <w:rPr>
          <w:rFonts w:ascii="Times New Roman" w:eastAsia="Malgun Gothic" w:hAnsi="Times New Roman"/>
          <w:bCs/>
          <w:i/>
          <w:kern w:val="2"/>
          <w:szCs w:val="20"/>
          <w:lang w:eastAsia="zh-CN"/>
        </w:rPr>
        <w:t>K</w:t>
      </w:r>
      <w:r w:rsidRPr="00A73862">
        <w:rPr>
          <w:rFonts w:ascii="Times New Roman" w:eastAsia="Malgun Gothic" w:hAnsi="Times New Roman"/>
          <w:bCs/>
          <w:i/>
          <w:kern w:val="2"/>
          <w:szCs w:val="20"/>
          <w:vertAlign w:val="subscript"/>
          <w:lang w:eastAsia="zh-CN"/>
        </w:rPr>
        <w:t>s,max</w:t>
      </w:r>
      <w:r w:rsidRPr="00A73862">
        <w:rPr>
          <w:rFonts w:ascii="Times New Roman" w:eastAsia="Malgun Gothic" w:hAnsi="Times New Roman"/>
          <w:bCs/>
          <w:kern w:val="2"/>
          <w:szCs w:val="20"/>
          <w:lang w:eastAsia="zh-CN"/>
        </w:rPr>
        <w:t>=</w:t>
      </w:r>
      <w:r w:rsidRPr="00A73862">
        <w:rPr>
          <w:rFonts w:ascii="Times New Roman" w:eastAsia="Malgun Gothic" w:hAnsi="Times New Roman"/>
          <w:bCs/>
          <w:i/>
          <w:kern w:val="2"/>
          <w:szCs w:val="20"/>
          <w:lang w:eastAsia="zh-CN"/>
        </w:rPr>
        <w:t>X</w:t>
      </w:r>
      <w:r w:rsidRPr="00A73862">
        <w:rPr>
          <w:rFonts w:ascii="Times New Roman" w:eastAsia="Malgun Gothic" w:hAnsi="Times New Roman"/>
          <w:bCs/>
          <w:kern w:val="2"/>
          <w:szCs w:val="20"/>
          <w:lang w:eastAsia="zh-CN"/>
        </w:rPr>
        <w:t xml:space="preserve"> is a UE optional feature</w:t>
      </w:r>
    </w:p>
    <w:p w14:paraId="0EF915C8" w14:textId="77777777" w:rsidR="002C0FE2" w:rsidRPr="00A73862" w:rsidRDefault="002C0FE2" w:rsidP="002C0FE2">
      <w:pPr>
        <w:pStyle w:val="ListParagraph"/>
        <w:numPr>
          <w:ilvl w:val="1"/>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i/>
          <w:kern w:val="2"/>
          <w:szCs w:val="20"/>
          <w:lang w:eastAsia="zh-CN"/>
        </w:rPr>
        <w:t>X</w:t>
      </w:r>
      <w:r w:rsidRPr="00A73862">
        <w:rPr>
          <w:rFonts w:ascii="Times New Roman" w:eastAsia="Malgun Gothic" w:hAnsi="Times New Roman"/>
          <w:bCs/>
          <w:kern w:val="2"/>
          <w:szCs w:val="20"/>
          <w:lang w:eastAsia="zh-CN"/>
        </w:rPr>
        <w:t xml:space="preserve"> can be up to 8 and other candidate values can be discussed as part of UE features</w:t>
      </w:r>
    </w:p>
    <w:p w14:paraId="04C54651" w14:textId="77777777" w:rsidR="002C0FE2" w:rsidRPr="00A73862" w:rsidRDefault="002C0FE2" w:rsidP="002C0FE2">
      <w:pPr>
        <w:pStyle w:val="ListParagraph"/>
        <w:numPr>
          <w:ilvl w:val="0"/>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kern w:val="2"/>
          <w:szCs w:val="20"/>
          <w:lang w:eastAsia="zh-CN"/>
        </w:rPr>
        <w:t xml:space="preserve">FFS: Default value of </w:t>
      </w:r>
      <w:r w:rsidRPr="00A73862">
        <w:rPr>
          <w:rFonts w:ascii="Times New Roman" w:eastAsia="SimSun" w:hAnsi="Times New Roman"/>
          <w:bCs/>
          <w:i/>
          <w:szCs w:val="20"/>
          <w:lang w:val="en-US" w:eastAsia="zh-CN"/>
        </w:rPr>
        <w:t>N</w:t>
      </w:r>
      <w:r w:rsidRPr="00A73862">
        <w:rPr>
          <w:rFonts w:ascii="Times New Roman" w:eastAsia="SimSun" w:hAnsi="Times New Roman"/>
          <w:bCs/>
          <w:i/>
          <w:szCs w:val="20"/>
          <w:vertAlign w:val="subscript"/>
          <w:lang w:val="en-US" w:eastAsia="zh-CN"/>
        </w:rPr>
        <w:t>max</w:t>
      </w:r>
      <w:r w:rsidRPr="00A73862">
        <w:rPr>
          <w:rFonts w:ascii="Times New Roman" w:eastAsia="SimSun" w:hAnsi="Times New Roman"/>
          <w:bCs/>
          <w:szCs w:val="20"/>
          <w:lang w:val="en-US" w:eastAsia="zh-CN"/>
        </w:rPr>
        <w:t xml:space="preserve">, </w:t>
      </w:r>
      <w:r w:rsidRPr="00A73862">
        <w:rPr>
          <w:rFonts w:ascii="Times New Roman" w:eastAsia="SimSun" w:hAnsi="Times New Roman"/>
          <w:bCs/>
          <w:i/>
          <w:szCs w:val="20"/>
          <w:lang w:val="en-US" w:eastAsia="zh-CN"/>
        </w:rPr>
        <w:t>K</w:t>
      </w:r>
      <w:r w:rsidRPr="00A73862">
        <w:rPr>
          <w:rFonts w:ascii="Times New Roman" w:eastAsia="SimSun" w:hAnsi="Times New Roman"/>
          <w:bCs/>
          <w:i/>
          <w:szCs w:val="20"/>
          <w:vertAlign w:val="subscript"/>
          <w:lang w:val="en-US" w:eastAsia="zh-CN"/>
        </w:rPr>
        <w:t>s,max</w:t>
      </w:r>
      <w:r w:rsidRPr="00A73862">
        <w:rPr>
          <w:rFonts w:ascii="Times New Roman" w:eastAsia="SimSun" w:hAnsi="Times New Roman"/>
          <w:bCs/>
          <w:szCs w:val="20"/>
          <w:lang w:val="en-US" w:eastAsia="zh-CN"/>
        </w:rPr>
        <w:t xml:space="preserve">  </w:t>
      </w:r>
    </w:p>
    <w:p w14:paraId="1F274ECB" w14:textId="77777777" w:rsidR="002C0FE2" w:rsidRPr="00A73862" w:rsidRDefault="002C0FE2" w:rsidP="002C0FE2">
      <w:pPr>
        <w:pStyle w:val="ListParagraph"/>
        <w:numPr>
          <w:ilvl w:val="0"/>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kern w:val="2"/>
          <w:szCs w:val="20"/>
          <w:lang w:eastAsia="zh-CN"/>
        </w:rPr>
        <w:t xml:space="preserve">FFS: Which combinations of </w:t>
      </w:r>
      <w:r w:rsidRPr="00A73862">
        <w:rPr>
          <w:rFonts w:ascii="Times New Roman" w:eastAsia="Malgun Gothic" w:hAnsi="Times New Roman"/>
          <w:bCs/>
          <w:i/>
          <w:kern w:val="2"/>
          <w:szCs w:val="20"/>
          <w:lang w:eastAsia="zh-CN"/>
        </w:rPr>
        <w:t>N</w:t>
      </w:r>
      <w:r w:rsidRPr="00A73862">
        <w:rPr>
          <w:rFonts w:ascii="Times New Roman" w:eastAsia="Malgun Gothic" w:hAnsi="Times New Roman"/>
          <w:bCs/>
          <w:kern w:val="2"/>
          <w:szCs w:val="20"/>
          <w:lang w:eastAsia="zh-CN"/>
        </w:rPr>
        <w:t>&lt;=</w:t>
      </w:r>
      <w:r w:rsidRPr="00A73862">
        <w:rPr>
          <w:rFonts w:ascii="Times New Roman" w:eastAsia="SimSun" w:hAnsi="Times New Roman"/>
          <w:bCs/>
          <w:i/>
          <w:szCs w:val="20"/>
          <w:lang w:val="en-US" w:eastAsia="zh-CN"/>
        </w:rPr>
        <w:t>N</w:t>
      </w:r>
      <w:r w:rsidRPr="00A73862">
        <w:rPr>
          <w:rFonts w:ascii="Times New Roman" w:eastAsia="SimSun" w:hAnsi="Times New Roman"/>
          <w:bCs/>
          <w:i/>
          <w:szCs w:val="20"/>
          <w:vertAlign w:val="subscript"/>
          <w:lang w:val="en-US" w:eastAsia="zh-CN"/>
        </w:rPr>
        <w:t>max</w:t>
      </w:r>
      <w:r w:rsidRPr="00A73862">
        <w:rPr>
          <w:rFonts w:ascii="Times New Roman" w:eastAsia="SimSun" w:hAnsi="Times New Roman"/>
          <w:bCs/>
          <w:szCs w:val="20"/>
          <w:lang w:val="en-US" w:eastAsia="zh-CN"/>
        </w:rPr>
        <w:t xml:space="preserve">, </w:t>
      </w:r>
      <w:r w:rsidRPr="00A73862">
        <w:rPr>
          <w:rFonts w:ascii="Times New Roman" w:eastAsia="SimSun" w:hAnsi="Times New Roman"/>
          <w:bCs/>
          <w:i/>
          <w:szCs w:val="20"/>
          <w:lang w:val="en-US" w:eastAsia="zh-CN"/>
        </w:rPr>
        <w:t>K</w:t>
      </w:r>
      <w:r w:rsidRPr="00A73862">
        <w:rPr>
          <w:rFonts w:ascii="Times New Roman" w:eastAsia="SimSun" w:hAnsi="Times New Roman"/>
          <w:bCs/>
          <w:i/>
          <w:szCs w:val="20"/>
          <w:vertAlign w:val="subscript"/>
          <w:lang w:val="en-US" w:eastAsia="zh-CN"/>
        </w:rPr>
        <w:t>s</w:t>
      </w:r>
      <w:r w:rsidRPr="00A73862">
        <w:rPr>
          <w:rFonts w:ascii="Times New Roman" w:eastAsia="SimSun" w:hAnsi="Times New Roman"/>
          <w:bCs/>
          <w:szCs w:val="20"/>
          <w:lang w:val="en-US" w:eastAsia="zh-CN"/>
        </w:rPr>
        <w:t>&lt;=</w:t>
      </w:r>
      <w:r w:rsidRPr="00A73862">
        <w:rPr>
          <w:rFonts w:ascii="Times New Roman" w:eastAsia="SimSun" w:hAnsi="Times New Roman"/>
          <w:bCs/>
          <w:i/>
          <w:szCs w:val="20"/>
          <w:lang w:val="en-US" w:eastAsia="zh-CN"/>
        </w:rPr>
        <w:t>K</w:t>
      </w:r>
      <w:r w:rsidRPr="00A73862">
        <w:rPr>
          <w:rFonts w:ascii="Times New Roman" w:eastAsia="SimSun" w:hAnsi="Times New Roman"/>
          <w:bCs/>
          <w:i/>
          <w:szCs w:val="20"/>
          <w:vertAlign w:val="subscript"/>
          <w:lang w:val="en-US" w:eastAsia="zh-CN"/>
        </w:rPr>
        <w:t>s,max</w:t>
      </w:r>
      <w:r w:rsidRPr="00A73862">
        <w:rPr>
          <w:rFonts w:ascii="Times New Roman" w:eastAsia="SimSun" w:hAnsi="Times New Roman"/>
          <w:bCs/>
          <w:szCs w:val="20"/>
          <w:lang w:val="en-US" w:eastAsia="zh-CN"/>
        </w:rPr>
        <w:t xml:space="preserve"> are supported</w:t>
      </w:r>
    </w:p>
    <w:p w14:paraId="42069285" w14:textId="77777777" w:rsidR="002C0FE2" w:rsidRPr="00A73862" w:rsidRDefault="002C0FE2" w:rsidP="002C0FE2">
      <w:pPr>
        <w:rPr>
          <w:szCs w:val="20"/>
        </w:rPr>
      </w:pPr>
    </w:p>
    <w:p w14:paraId="112FCAD1" w14:textId="77777777" w:rsidR="002C0FE2" w:rsidRPr="008F7A06" w:rsidRDefault="002C0FE2" w:rsidP="002C0FE2">
      <w:pPr>
        <w:rPr>
          <w:b/>
          <w:bCs/>
          <w:highlight w:val="green"/>
        </w:rPr>
      </w:pPr>
      <w:r w:rsidRPr="008F7A06">
        <w:rPr>
          <w:b/>
          <w:bCs/>
          <w:highlight w:val="green"/>
        </w:rPr>
        <w:t>Agreement</w:t>
      </w:r>
    </w:p>
    <w:p w14:paraId="718466E0" w14:textId="77777777" w:rsidR="002C0FE2" w:rsidRPr="00A73862" w:rsidRDefault="002C0FE2" w:rsidP="002C0FE2">
      <w:pPr>
        <w:autoSpaceDE w:val="0"/>
        <w:autoSpaceDN w:val="0"/>
        <w:adjustRightInd w:val="0"/>
        <w:snapToGrid w:val="0"/>
        <w:jc w:val="both"/>
        <w:rPr>
          <w:rFonts w:ascii="Times New Roman" w:eastAsia="MS Mincho" w:hAnsi="Times New Roman"/>
          <w:szCs w:val="20"/>
          <w:lang w:val="en-US" w:eastAsia="ja-JP"/>
        </w:rPr>
      </w:pPr>
      <w:r w:rsidRPr="00A73862">
        <w:rPr>
          <w:rFonts w:ascii="Times New Roman" w:eastAsia="MS Mincho" w:hAnsi="Times New Roman"/>
          <w:szCs w:val="20"/>
          <w:lang w:val="en-US" w:eastAsia="ja-JP"/>
        </w:rPr>
        <w:t>At least for rank 1, combinatorial coefficient is used for port selection for W</w:t>
      </w:r>
      <w:r w:rsidRPr="00A73862">
        <w:rPr>
          <w:rFonts w:ascii="Times New Roman" w:eastAsia="MS Mincho" w:hAnsi="Times New Roman"/>
          <w:szCs w:val="20"/>
          <w:vertAlign w:val="subscript"/>
          <w:lang w:val="en-US" w:eastAsia="ja-JP"/>
        </w:rPr>
        <w:t>1</w:t>
      </w:r>
      <w:r w:rsidRPr="00A73862">
        <w:rPr>
          <w:rFonts w:ascii="Times New Roman" w:eastAsia="MS Mincho" w:hAnsi="Times New Roman"/>
          <w:szCs w:val="20"/>
          <w:lang w:val="en-US" w:eastAsia="ja-JP"/>
        </w:rPr>
        <w:t>.</w:t>
      </w:r>
    </w:p>
    <w:p w14:paraId="7F6B8CFE" w14:textId="77777777" w:rsidR="002C0FE2" w:rsidRPr="00A73862" w:rsidRDefault="002C0FE2" w:rsidP="002C0FE2">
      <w:pPr>
        <w:pStyle w:val="ListParagraph"/>
        <w:numPr>
          <w:ilvl w:val="0"/>
          <w:numId w:val="3"/>
        </w:numPr>
        <w:ind w:leftChars="0"/>
        <w:jc w:val="both"/>
        <w:rPr>
          <w:rFonts w:ascii="Times New Roman" w:eastAsia="Malgun Gothic" w:hAnsi="Times New Roman"/>
          <w:bCs/>
          <w:kern w:val="2"/>
          <w:szCs w:val="20"/>
          <w:lang w:eastAsia="zh-CN"/>
        </w:rPr>
      </w:pPr>
      <w:r w:rsidRPr="00A73862">
        <w:rPr>
          <w:rFonts w:ascii="Times New Roman" w:eastAsia="Malgun Gothic" w:hAnsi="Times New Roman"/>
          <w:bCs/>
          <w:kern w:val="2"/>
          <w:szCs w:val="20"/>
          <w:lang w:eastAsia="zh-CN"/>
        </w:rPr>
        <w:t xml:space="preserve">FFS when </w:t>
      </w:r>
      <w:r w:rsidRPr="00A73862">
        <w:rPr>
          <w:rFonts w:ascii="Times New Roman" w:eastAsia="Malgun Gothic" w:hAnsi="Times New Roman"/>
          <w:bCs/>
          <w:i/>
          <w:kern w:val="2"/>
          <w:szCs w:val="20"/>
          <w:lang w:eastAsia="zh-CN"/>
        </w:rPr>
        <w:t>W</w:t>
      </w:r>
      <w:r w:rsidRPr="00A73862">
        <w:rPr>
          <w:rFonts w:ascii="Times New Roman" w:eastAsia="Malgun Gothic" w:hAnsi="Times New Roman"/>
          <w:bCs/>
          <w:i/>
          <w:kern w:val="2"/>
          <w:szCs w:val="20"/>
          <w:vertAlign w:val="subscript"/>
          <w:lang w:eastAsia="zh-CN"/>
        </w:rPr>
        <w:t>f</w:t>
      </w:r>
      <w:r w:rsidRPr="00A73862">
        <w:rPr>
          <w:rFonts w:ascii="Times New Roman" w:eastAsia="Malgun Gothic" w:hAnsi="Times New Roman"/>
          <w:bCs/>
          <w:i/>
          <w:kern w:val="2"/>
          <w:szCs w:val="20"/>
          <w:lang w:eastAsia="zh-CN"/>
        </w:rPr>
        <w:t xml:space="preserve"> </w:t>
      </w:r>
      <w:r w:rsidRPr="00A73862">
        <w:rPr>
          <w:rFonts w:ascii="Times New Roman" w:eastAsia="Malgun Gothic" w:hAnsi="Times New Roman"/>
          <w:bCs/>
          <w:kern w:val="2"/>
          <w:szCs w:val="20"/>
          <w:lang w:eastAsia="zh-CN"/>
        </w:rPr>
        <w:t>is turned off</w:t>
      </w:r>
    </w:p>
    <w:p w14:paraId="5C0CE295" w14:textId="77777777" w:rsidR="002C0FE2" w:rsidRPr="008F7A06" w:rsidRDefault="002C0FE2" w:rsidP="002C0FE2">
      <w:pPr>
        <w:rPr>
          <w:lang w:val="en-US"/>
        </w:rPr>
      </w:pPr>
    </w:p>
    <w:p w14:paraId="755D6723" w14:textId="77777777" w:rsidR="002C0FE2" w:rsidRPr="00A73862" w:rsidRDefault="002C0FE2" w:rsidP="002C0FE2">
      <w:pPr>
        <w:autoSpaceDE w:val="0"/>
        <w:autoSpaceDN w:val="0"/>
        <w:adjustRightInd w:val="0"/>
        <w:snapToGrid w:val="0"/>
        <w:jc w:val="both"/>
        <w:rPr>
          <w:rFonts w:ascii="Times New Roman" w:eastAsia="MS Mincho" w:hAnsi="Times New Roman"/>
          <w:b/>
          <w:szCs w:val="20"/>
          <w:highlight w:val="green"/>
          <w:lang w:val="en-US" w:eastAsia="ja-JP"/>
        </w:rPr>
      </w:pPr>
      <w:r w:rsidRPr="00A73862">
        <w:rPr>
          <w:rFonts w:ascii="Times New Roman" w:eastAsia="MS Mincho" w:hAnsi="Times New Roman"/>
          <w:b/>
          <w:szCs w:val="20"/>
          <w:highlight w:val="green"/>
          <w:lang w:val="en-US" w:eastAsia="ja-JP"/>
        </w:rPr>
        <w:t>Agreement</w:t>
      </w:r>
    </w:p>
    <w:p w14:paraId="1B4A90F8" w14:textId="77777777" w:rsidR="002C0FE2" w:rsidRPr="00A73862" w:rsidRDefault="002C0FE2" w:rsidP="002C0FE2">
      <w:pPr>
        <w:autoSpaceDE w:val="0"/>
        <w:autoSpaceDN w:val="0"/>
        <w:adjustRightInd w:val="0"/>
        <w:snapToGrid w:val="0"/>
        <w:jc w:val="both"/>
        <w:rPr>
          <w:rFonts w:ascii="Times New Roman" w:eastAsia="MS Mincho" w:hAnsi="Times New Roman"/>
          <w:szCs w:val="20"/>
          <w:lang w:val="en-US" w:eastAsia="ja-JP"/>
        </w:rPr>
      </w:pPr>
      <w:r w:rsidRPr="00A73862">
        <w:rPr>
          <w:rFonts w:ascii="Times New Roman" w:eastAsia="MS Mincho" w:hAnsi="Times New Roman"/>
          <w:szCs w:val="20"/>
          <w:lang w:val="en-US" w:eastAsia="ja-JP"/>
        </w:rPr>
        <w:t xml:space="preserve">Confirm following working assumption of </w:t>
      </w:r>
      <w:r w:rsidRPr="00A73862">
        <w:rPr>
          <w:rFonts w:ascii="Times New Roman" w:eastAsia="MS Mincho" w:hAnsi="Times New Roman"/>
          <w:i/>
          <w:szCs w:val="20"/>
          <w:lang w:val="en-US" w:eastAsia="ja-JP"/>
        </w:rPr>
        <w:t>W</w:t>
      </w:r>
      <w:r w:rsidRPr="00A73862">
        <w:rPr>
          <w:rFonts w:ascii="Times New Roman" w:eastAsia="MS Mincho" w:hAnsi="Times New Roman"/>
          <w:i/>
          <w:szCs w:val="20"/>
          <w:vertAlign w:val="subscript"/>
          <w:lang w:val="en-US" w:eastAsia="ja-JP"/>
        </w:rPr>
        <w:t>f</w:t>
      </w:r>
      <w:r w:rsidRPr="00A73862">
        <w:rPr>
          <w:rFonts w:ascii="Times New Roman" w:eastAsia="MS Mincho" w:hAnsi="Times New Roman"/>
          <w:szCs w:val="20"/>
          <w:lang w:val="en-US" w:eastAsia="ja-JP"/>
        </w:rPr>
        <w:t xml:space="preserve"> for R17 PS CB</w:t>
      </w:r>
    </w:p>
    <w:p w14:paraId="16A83943" w14:textId="77777777" w:rsidR="002C0FE2" w:rsidRPr="00A73862" w:rsidRDefault="002C0FE2" w:rsidP="002C0FE2">
      <w:pPr>
        <w:pStyle w:val="ListParagraph"/>
        <w:numPr>
          <w:ilvl w:val="0"/>
          <w:numId w:val="11"/>
        </w:numPr>
        <w:autoSpaceDE w:val="0"/>
        <w:autoSpaceDN w:val="0"/>
        <w:adjustRightInd w:val="0"/>
        <w:snapToGrid w:val="0"/>
        <w:ind w:leftChars="0" w:left="704"/>
        <w:jc w:val="both"/>
        <w:rPr>
          <w:rFonts w:ascii="Times New Roman" w:eastAsia="MS Mincho" w:hAnsi="Times New Roman"/>
          <w:szCs w:val="20"/>
          <w:lang w:val="en-US" w:eastAsia="ja-JP"/>
        </w:rPr>
      </w:pPr>
      <w:r w:rsidRPr="00A73862">
        <w:rPr>
          <w:rFonts w:ascii="Times New Roman" w:eastAsia="MS Mincho" w:hAnsi="Times New Roman"/>
          <w:szCs w:val="20"/>
          <w:lang w:val="en-US" w:eastAsia="ja-JP"/>
        </w:rPr>
        <w:t xml:space="preserve">Support of </w:t>
      </w:r>
      <w:r w:rsidRPr="00A73862">
        <w:rPr>
          <w:rFonts w:ascii="Times New Roman" w:eastAsia="MS Mincho" w:hAnsi="Times New Roman"/>
          <w:i/>
          <w:szCs w:val="20"/>
          <w:lang w:val="en-US" w:eastAsia="ja-JP"/>
        </w:rPr>
        <w:t>M</w:t>
      </w:r>
      <w:r w:rsidRPr="00A73862">
        <w:rPr>
          <w:rFonts w:ascii="Times New Roman" w:eastAsia="MS Mincho" w:hAnsi="Times New Roman"/>
          <w:i/>
          <w:szCs w:val="20"/>
          <w:vertAlign w:val="subscript"/>
          <w:lang w:val="en-US" w:eastAsia="ja-JP"/>
        </w:rPr>
        <w:t>v</w:t>
      </w:r>
      <w:r w:rsidRPr="00A73862">
        <w:rPr>
          <w:rFonts w:ascii="Times New Roman" w:eastAsia="MS Mincho" w:hAnsi="Times New Roman"/>
          <w:szCs w:val="20"/>
          <w:lang w:val="en-US" w:eastAsia="ja-JP"/>
        </w:rPr>
        <w:t>&gt;1 is a UE optional feature if the UE supports Rel-17 PS codebook enhancement, taking into account UE complexity related to codebook parameters.</w:t>
      </w:r>
    </w:p>
    <w:p w14:paraId="4EA97789" w14:textId="77777777" w:rsidR="002C0FE2" w:rsidRDefault="002C0FE2" w:rsidP="002C0FE2">
      <w:pPr>
        <w:rPr>
          <w:lang w:val="en-US" w:eastAsia="x-none"/>
        </w:rPr>
      </w:pPr>
    </w:p>
    <w:p w14:paraId="565BA573" w14:textId="77777777" w:rsidR="002C0FE2" w:rsidRDefault="002C0FE2" w:rsidP="002C0FE2">
      <w:pPr>
        <w:jc w:val="both"/>
        <w:rPr>
          <w:rStyle w:val="Emphasis"/>
          <w:rFonts w:ascii="Calibri" w:eastAsiaTheme="minorEastAsia" w:hAnsi="Calibri"/>
          <w:i w:val="0"/>
          <w:iCs w:val="0"/>
          <w:szCs w:val="22"/>
        </w:rPr>
      </w:pPr>
      <w:r>
        <w:rPr>
          <w:rStyle w:val="Emphasis"/>
          <w:b/>
          <w:bCs/>
          <w:i w:val="0"/>
          <w:iCs w:val="0"/>
          <w:highlight w:val="green"/>
        </w:rPr>
        <w:t>Agreement</w:t>
      </w:r>
      <w:r>
        <w:rPr>
          <w:rStyle w:val="Emphasis"/>
          <w:b/>
          <w:bCs/>
          <w:i w:val="0"/>
          <w:iCs w:val="0"/>
        </w:rPr>
        <w:t xml:space="preserve"> </w:t>
      </w:r>
    </w:p>
    <w:p w14:paraId="14E70F16" w14:textId="77777777" w:rsidR="002C0FE2" w:rsidRDefault="002C0FE2" w:rsidP="002C0FE2">
      <w:pPr>
        <w:jc w:val="both"/>
        <w:rPr>
          <w:rStyle w:val="Emphasis"/>
          <w:i w:val="0"/>
          <w:iCs w:val="0"/>
        </w:rPr>
      </w:pPr>
      <w:r>
        <w:rPr>
          <w:rStyle w:val="Emphasis"/>
          <w:i w:val="0"/>
          <w:iCs w:val="0"/>
        </w:rPr>
        <w:t>With regarding to possible restriction between K</w:t>
      </w:r>
      <w:r>
        <w:rPr>
          <w:rStyle w:val="Emphasis"/>
          <w:i w:val="0"/>
          <w:iCs w:val="0"/>
          <w:vertAlign w:val="subscript"/>
        </w:rPr>
        <w:t>1</w:t>
      </w:r>
      <w:r>
        <w:rPr>
          <w:rStyle w:val="Emphasis"/>
          <w:i w:val="0"/>
          <w:iCs w:val="0"/>
        </w:rPr>
        <w:t xml:space="preserve"> and K</w:t>
      </w:r>
      <w:r>
        <w:rPr>
          <w:rStyle w:val="Emphasis"/>
          <w:i w:val="0"/>
          <w:iCs w:val="0"/>
          <w:vertAlign w:val="subscript"/>
        </w:rPr>
        <w:t>2</w:t>
      </w:r>
      <w:r>
        <w:rPr>
          <w:rStyle w:val="Emphasis"/>
          <w:i w:val="0"/>
          <w:iCs w:val="0"/>
        </w:rPr>
        <w:t xml:space="preserve"> </w:t>
      </w:r>
    </w:p>
    <w:p w14:paraId="7F3A7E74" w14:textId="77777777" w:rsidR="002C0FE2" w:rsidRDefault="002C0FE2" w:rsidP="009C17A5">
      <w:pPr>
        <w:pStyle w:val="ListParagraph"/>
        <w:numPr>
          <w:ilvl w:val="0"/>
          <w:numId w:val="39"/>
        </w:numPr>
        <w:ind w:leftChars="0"/>
        <w:rPr>
          <w:rStyle w:val="Emphasis"/>
          <w:i w:val="0"/>
          <w:iCs w:val="0"/>
        </w:rPr>
      </w:pPr>
      <w:r>
        <w:rPr>
          <w:rStyle w:val="Emphasis"/>
          <w:i w:val="0"/>
          <w:iCs w:val="0"/>
        </w:rPr>
        <w:t>Alt 2: No restriction as long as K</w:t>
      </w:r>
      <w:r>
        <w:rPr>
          <w:rStyle w:val="Emphasis"/>
          <w:i w:val="0"/>
          <w:iCs w:val="0"/>
          <w:vertAlign w:val="subscript"/>
        </w:rPr>
        <w:t>1</w:t>
      </w:r>
      <w:r>
        <w:rPr>
          <w:rStyle w:val="Emphasis"/>
          <w:i w:val="0"/>
          <w:iCs w:val="0"/>
        </w:rPr>
        <w:t>+K</w:t>
      </w:r>
      <w:r>
        <w:rPr>
          <w:rStyle w:val="Emphasis"/>
          <w:i w:val="0"/>
          <w:iCs w:val="0"/>
          <w:vertAlign w:val="subscript"/>
        </w:rPr>
        <w:t>2</w:t>
      </w:r>
      <w:r>
        <w:rPr>
          <w:rStyle w:val="Emphasis"/>
          <w:i w:val="0"/>
          <w:iCs w:val="0"/>
        </w:rPr>
        <w:t>=K</w:t>
      </w:r>
      <w:r>
        <w:rPr>
          <w:rStyle w:val="Emphasis"/>
          <w:i w:val="0"/>
          <w:iCs w:val="0"/>
          <w:vertAlign w:val="subscript"/>
        </w:rPr>
        <w:t>s</w:t>
      </w:r>
    </w:p>
    <w:p w14:paraId="02122294" w14:textId="77777777" w:rsidR="002C0FE2" w:rsidRDefault="002C0FE2" w:rsidP="002C0FE2">
      <w:pPr>
        <w:jc w:val="both"/>
        <w:rPr>
          <w:rFonts w:ascii="Times New Roman" w:hAnsi="Times New Roman"/>
          <w:szCs w:val="20"/>
          <w:lang w:val="en-US"/>
        </w:rPr>
      </w:pPr>
    </w:p>
    <w:p w14:paraId="0CC533C1" w14:textId="77777777" w:rsidR="002C0FE2" w:rsidRDefault="002C0FE2" w:rsidP="002C0FE2">
      <w:pPr>
        <w:jc w:val="both"/>
        <w:rPr>
          <w:rStyle w:val="Emphasis"/>
          <w:rFonts w:ascii="Calibri" w:hAnsi="Calibri" w:cs="Calibri"/>
          <w:i w:val="0"/>
          <w:iCs w:val="0"/>
          <w:sz w:val="22"/>
          <w:szCs w:val="22"/>
        </w:rPr>
      </w:pPr>
      <w:r>
        <w:rPr>
          <w:rStyle w:val="Emphasis"/>
          <w:b/>
          <w:bCs/>
          <w:i w:val="0"/>
          <w:iCs w:val="0"/>
          <w:highlight w:val="green"/>
        </w:rPr>
        <w:t>Agreement</w:t>
      </w:r>
      <w:r>
        <w:rPr>
          <w:rStyle w:val="Emphasis"/>
          <w:b/>
          <w:bCs/>
          <w:i w:val="0"/>
          <w:iCs w:val="0"/>
        </w:rPr>
        <w:t xml:space="preserve"> </w:t>
      </w:r>
    </w:p>
    <w:p w14:paraId="045F1822" w14:textId="77777777" w:rsidR="002C0FE2" w:rsidRDefault="002C0FE2" w:rsidP="002C0FE2">
      <w:pPr>
        <w:jc w:val="both"/>
        <w:rPr>
          <w:rFonts w:ascii="Times New Roman" w:hAnsi="Times New Roman"/>
          <w:b/>
          <w:bCs/>
        </w:rPr>
      </w:pPr>
      <w:r>
        <w:rPr>
          <w:rStyle w:val="Emphasis"/>
          <w:i w:val="0"/>
          <w:iCs w:val="0"/>
        </w:rPr>
        <w:t>The UE may assume that QCL-Type D of CMRs associated with a NCJT measurement hypothesis are applied to the corresponding CSI-IM resource.</w:t>
      </w:r>
    </w:p>
    <w:p w14:paraId="4F2D907B" w14:textId="77777777" w:rsidR="002C0FE2" w:rsidRDefault="002C0FE2" w:rsidP="002C0FE2">
      <w:pPr>
        <w:jc w:val="both"/>
        <w:rPr>
          <w:rFonts w:ascii="Times New Roman" w:hAnsi="Times New Roman"/>
          <w:b/>
          <w:bCs/>
        </w:rPr>
      </w:pPr>
    </w:p>
    <w:p w14:paraId="220C9BDA" w14:textId="77777777" w:rsidR="002C0FE2" w:rsidRDefault="002C0FE2" w:rsidP="002C0FE2">
      <w:pPr>
        <w:jc w:val="both"/>
        <w:rPr>
          <w:rStyle w:val="Emphasis"/>
          <w:rFonts w:ascii="Calibri" w:hAnsi="Calibri" w:cs="Calibri"/>
          <w:i w:val="0"/>
          <w:iCs w:val="0"/>
        </w:rPr>
      </w:pPr>
      <w:r>
        <w:rPr>
          <w:rStyle w:val="Emphasis"/>
          <w:b/>
          <w:bCs/>
          <w:i w:val="0"/>
          <w:iCs w:val="0"/>
          <w:highlight w:val="green"/>
        </w:rPr>
        <w:t>Agreement</w:t>
      </w:r>
      <w:r>
        <w:rPr>
          <w:rStyle w:val="Emphasis"/>
          <w:b/>
          <w:bCs/>
          <w:i w:val="0"/>
          <w:iCs w:val="0"/>
        </w:rPr>
        <w:t xml:space="preserve"> </w:t>
      </w:r>
    </w:p>
    <w:p w14:paraId="58C3AC9F" w14:textId="77777777" w:rsidR="002C0FE2" w:rsidRDefault="002C0FE2" w:rsidP="002C0FE2">
      <w:pPr>
        <w:jc w:val="both"/>
        <w:rPr>
          <w:rStyle w:val="Emphasis"/>
          <w:lang w:val="en-US"/>
        </w:rPr>
      </w:pPr>
      <w:r>
        <w:rPr>
          <w:rStyle w:val="Emphasis"/>
          <w:i w:val="0"/>
          <w:iCs w:val="0"/>
        </w:rPr>
        <w:t>For the UE be configured to report one CSI associated with the best one among NCJT and single-TRP measurement hypotheses (i.e. Option 2),</w:t>
      </w:r>
    </w:p>
    <w:p w14:paraId="65C232F7"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rPr>
        <w:t>Alt 1: Single CRI is reported whereas CRI bit size depends on total number of valid CMR pairs for NCJT measurement hypothesis and valid CMRs for single-TRP measurement hypotheses.</w:t>
      </w:r>
    </w:p>
    <w:p w14:paraId="662A1A73" w14:textId="77777777" w:rsidR="002C0FE2" w:rsidRDefault="002C0FE2" w:rsidP="002C0FE2">
      <w:pPr>
        <w:pStyle w:val="ListParagraph"/>
        <w:numPr>
          <w:ilvl w:val="1"/>
          <w:numId w:val="37"/>
        </w:numPr>
        <w:ind w:leftChars="0" w:left="1160"/>
        <w:jc w:val="both"/>
        <w:rPr>
          <w:rStyle w:val="Emphasis"/>
          <w:rFonts w:cs="Calibri"/>
          <w:i w:val="0"/>
          <w:iCs w:val="0"/>
          <w:lang w:val="en-US"/>
        </w:rPr>
      </w:pPr>
      <w:r>
        <w:rPr>
          <w:rStyle w:val="Emphasis"/>
          <w:i w:val="0"/>
          <w:iCs w:val="0"/>
        </w:rPr>
        <w:t>FFS further mapping mechanism between each CRI codepoint and Single-TRP/NCJT measurement hypothesis.</w:t>
      </w:r>
    </w:p>
    <w:p w14:paraId="78459D1E" w14:textId="77777777" w:rsidR="002C0FE2" w:rsidRDefault="002C0FE2" w:rsidP="002C0FE2">
      <w:pPr>
        <w:jc w:val="both"/>
        <w:rPr>
          <w:rFonts w:ascii="Times New Roman" w:hAnsi="Times New Roman"/>
        </w:rPr>
      </w:pPr>
    </w:p>
    <w:p w14:paraId="21A984F5" w14:textId="77777777" w:rsidR="002C0FE2" w:rsidRDefault="002C0FE2" w:rsidP="002C0FE2">
      <w:pPr>
        <w:jc w:val="both"/>
        <w:rPr>
          <w:rStyle w:val="Emphasis"/>
          <w:rFonts w:ascii="Calibri" w:hAnsi="Calibri" w:cs="Calibri"/>
          <w:i w:val="0"/>
          <w:iCs w:val="0"/>
        </w:rPr>
      </w:pPr>
      <w:r>
        <w:rPr>
          <w:rStyle w:val="Emphasis"/>
          <w:b/>
          <w:bCs/>
          <w:i w:val="0"/>
          <w:iCs w:val="0"/>
          <w:highlight w:val="green"/>
        </w:rPr>
        <w:t>Agreement</w:t>
      </w:r>
      <w:r>
        <w:rPr>
          <w:rStyle w:val="Emphasis"/>
          <w:b/>
          <w:bCs/>
          <w:i w:val="0"/>
          <w:iCs w:val="0"/>
        </w:rPr>
        <w:t xml:space="preserve"> </w:t>
      </w:r>
    </w:p>
    <w:p w14:paraId="7F5E649F" w14:textId="77777777" w:rsidR="002C0FE2" w:rsidRDefault="002C0FE2" w:rsidP="002C0FE2">
      <w:pPr>
        <w:jc w:val="both"/>
        <w:rPr>
          <w:rStyle w:val="Emphasis"/>
          <w:lang w:val="en-US"/>
        </w:rPr>
      </w:pPr>
      <w:r>
        <w:rPr>
          <w:rStyle w:val="Emphasis"/>
          <w:i w:val="0"/>
          <w:iCs w:val="0"/>
        </w:rPr>
        <w:lastRenderedPageBreak/>
        <w:t>A 2-part CSI report is supported in Rel-17 for a CSI reporting configuration associated with NCJT measurement hypothesis with following clarifications:</w:t>
      </w:r>
    </w:p>
    <w:p w14:paraId="63471BC0"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rPr>
        <w:t>Within CSI part 1</w:t>
      </w:r>
    </w:p>
    <w:p w14:paraId="3A00757C" w14:textId="77777777" w:rsidR="002C0FE2" w:rsidRDefault="002C0FE2" w:rsidP="002C0FE2">
      <w:pPr>
        <w:pStyle w:val="ListParagraph"/>
        <w:numPr>
          <w:ilvl w:val="1"/>
          <w:numId w:val="37"/>
        </w:numPr>
        <w:ind w:leftChars="0" w:left="1160"/>
        <w:jc w:val="both"/>
        <w:rPr>
          <w:rStyle w:val="Emphasis"/>
          <w:rFonts w:cs="Calibri"/>
          <w:i w:val="0"/>
          <w:iCs w:val="0"/>
          <w:lang w:val="en-US"/>
        </w:rPr>
      </w:pPr>
      <w:r>
        <w:rPr>
          <w:rStyle w:val="Emphasis"/>
          <w:i w:val="0"/>
          <w:iCs w:val="0"/>
        </w:rPr>
        <w:t>CRI, RI, WB CQI and SB CQI for the first CW are reported with consistent payload and zero padding (if needed). FFS further details</w:t>
      </w:r>
    </w:p>
    <w:p w14:paraId="3EA7DCA1" w14:textId="77777777" w:rsidR="002C0FE2" w:rsidRDefault="002C0FE2" w:rsidP="002C0FE2">
      <w:pPr>
        <w:pStyle w:val="ListParagraph"/>
        <w:numPr>
          <w:ilvl w:val="1"/>
          <w:numId w:val="37"/>
        </w:numPr>
        <w:ind w:leftChars="0" w:left="1160"/>
        <w:jc w:val="both"/>
        <w:rPr>
          <w:rStyle w:val="Emphasis"/>
          <w:rFonts w:ascii="Calibri" w:hAnsi="Calibri"/>
          <w:i w:val="0"/>
          <w:iCs w:val="0"/>
          <w:sz w:val="22"/>
          <w:szCs w:val="22"/>
        </w:rPr>
      </w:pPr>
      <w:r>
        <w:rPr>
          <w:rStyle w:val="Emphasis"/>
          <w:i w:val="0"/>
          <w:iCs w:val="0"/>
        </w:rPr>
        <w:t>FFS whether RI can be shared between NCJT CSI and single-TRP CSIs to reduce CSI feedback overhead</w:t>
      </w:r>
    </w:p>
    <w:p w14:paraId="48C7EA60" w14:textId="77777777" w:rsidR="002C0FE2" w:rsidRDefault="002C0FE2" w:rsidP="002C0FE2">
      <w:pPr>
        <w:pStyle w:val="ListParagraph"/>
        <w:numPr>
          <w:ilvl w:val="1"/>
          <w:numId w:val="37"/>
        </w:numPr>
        <w:ind w:leftChars="0" w:left="1160"/>
        <w:jc w:val="both"/>
        <w:rPr>
          <w:rStyle w:val="Emphasis"/>
          <w:i w:val="0"/>
          <w:iCs w:val="0"/>
          <w:szCs w:val="20"/>
        </w:rPr>
      </w:pPr>
      <w:r>
        <w:rPr>
          <w:rStyle w:val="Emphasis"/>
          <w:i w:val="0"/>
          <w:iCs w:val="0"/>
        </w:rPr>
        <w:t>FFS whether additional field is needed, at least for Option 2</w:t>
      </w:r>
    </w:p>
    <w:p w14:paraId="38772F34" w14:textId="77777777" w:rsidR="002C0FE2" w:rsidRDefault="002C0FE2" w:rsidP="009C17A5">
      <w:pPr>
        <w:pStyle w:val="ListParagraph"/>
        <w:numPr>
          <w:ilvl w:val="0"/>
          <w:numId w:val="39"/>
        </w:numPr>
        <w:ind w:leftChars="0"/>
        <w:rPr>
          <w:rFonts w:ascii="Times New Roman" w:hAnsi="Times New Roman"/>
          <w:lang w:val="en-US"/>
        </w:rPr>
      </w:pPr>
      <w:r>
        <w:rPr>
          <w:rFonts w:ascii="Times New Roman" w:hAnsi="Times New Roman"/>
        </w:rPr>
        <w:t>Within CSI part 2:</w:t>
      </w:r>
    </w:p>
    <w:p w14:paraId="4F5ABEEC" w14:textId="77777777" w:rsidR="002C0FE2" w:rsidRDefault="002C0FE2" w:rsidP="002C0FE2">
      <w:pPr>
        <w:pStyle w:val="ListParagraph"/>
        <w:numPr>
          <w:ilvl w:val="1"/>
          <w:numId w:val="37"/>
        </w:numPr>
        <w:ind w:leftChars="0" w:left="1160"/>
        <w:jc w:val="both"/>
        <w:rPr>
          <w:rStyle w:val="Emphasis"/>
          <w:rFonts w:cs="Calibri"/>
          <w:i w:val="0"/>
          <w:iCs w:val="0"/>
        </w:rPr>
      </w:pPr>
      <w:r>
        <w:rPr>
          <w:rStyle w:val="Emphasis"/>
          <w:i w:val="0"/>
          <w:iCs w:val="0"/>
        </w:rPr>
        <w:t>FFS further compression/omission/Sharing of PMI among Single-TRP and NCJT hypotheses</w:t>
      </w:r>
    </w:p>
    <w:p w14:paraId="675B4630" w14:textId="77777777" w:rsidR="002C0FE2" w:rsidRDefault="002C0FE2" w:rsidP="002C0FE2">
      <w:pPr>
        <w:jc w:val="both"/>
        <w:rPr>
          <w:rFonts w:ascii="Times New Roman" w:hAnsi="Times New Roman"/>
          <w:b/>
          <w:bCs/>
          <w:i/>
          <w:iCs/>
          <w:lang w:val="en-US"/>
        </w:rPr>
      </w:pPr>
    </w:p>
    <w:p w14:paraId="33A09334" w14:textId="77777777" w:rsidR="002C0FE2" w:rsidRDefault="002C0FE2" w:rsidP="002C0FE2">
      <w:pPr>
        <w:jc w:val="both"/>
        <w:rPr>
          <w:rStyle w:val="Emphasis"/>
          <w:rFonts w:ascii="Calibri" w:hAnsi="Calibri" w:cs="Calibri"/>
        </w:rPr>
      </w:pPr>
      <w:r>
        <w:rPr>
          <w:rStyle w:val="Emphasis"/>
          <w:b/>
          <w:bCs/>
          <w:i w:val="0"/>
          <w:iCs w:val="0"/>
          <w:highlight w:val="green"/>
        </w:rPr>
        <w:t>Agreement</w:t>
      </w:r>
      <w:r>
        <w:rPr>
          <w:rStyle w:val="Emphasis"/>
          <w:b/>
          <w:bCs/>
          <w:i w:val="0"/>
          <w:iCs w:val="0"/>
        </w:rPr>
        <w:t xml:space="preserve"> </w:t>
      </w:r>
    </w:p>
    <w:p w14:paraId="323BFDB8" w14:textId="77777777" w:rsidR="002C0FE2" w:rsidRDefault="002C0FE2" w:rsidP="002C0FE2">
      <w:pPr>
        <w:jc w:val="both"/>
        <w:rPr>
          <w:rFonts w:ascii="Times New Roman" w:hAnsi="Times New Roman"/>
        </w:rPr>
      </w:pPr>
      <w:r>
        <w:rPr>
          <w:rFonts w:ascii="Times New Roman" w:hAnsi="Times New Roman"/>
        </w:rPr>
        <w:t xml:space="preserve">Whether a NZP CSI-RS resource </w:t>
      </w:r>
      <w:r>
        <w:rPr>
          <w:rFonts w:ascii="Times New Roman" w:hAnsi="Times New Roman"/>
          <w:i/>
          <w:iCs/>
        </w:rPr>
        <w:t>m</w:t>
      </w:r>
      <w:r>
        <w:rPr>
          <w:rFonts w:ascii="Times New Roman" w:hAnsi="Times New Roman"/>
        </w:rPr>
        <w:t xml:space="preserve"> can be referred by two CMR pairs (</w:t>
      </w:r>
      <w:r>
        <w:rPr>
          <w:rFonts w:ascii="Times New Roman" w:hAnsi="Times New Roman"/>
          <w:i/>
          <w:iCs/>
        </w:rPr>
        <w:t>m, a</w:t>
      </w:r>
      <w:r>
        <w:rPr>
          <w:rFonts w:ascii="Times New Roman" w:hAnsi="Times New Roman"/>
        </w:rPr>
        <w:t>) and (</w:t>
      </w:r>
      <w:r>
        <w:rPr>
          <w:rFonts w:ascii="Times New Roman" w:hAnsi="Times New Roman"/>
          <w:i/>
          <w:iCs/>
        </w:rPr>
        <w:t>m, b</w:t>
      </w:r>
      <w:r>
        <w:rPr>
          <w:rFonts w:ascii="Times New Roman" w:hAnsi="Times New Roman"/>
        </w:rPr>
        <w:t>) configured for NCJT measurement hypotheses, study following Alternatives and down-select one Alternative in RAN1#105-e:</w:t>
      </w:r>
    </w:p>
    <w:p w14:paraId="42814ECA"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rPr>
        <w:t>Alt 1: It is feasible for FR1 but not for FR2.</w:t>
      </w:r>
    </w:p>
    <w:p w14:paraId="75B87824"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rPr>
        <w:t>Alt 2: It is feasible for both FR1 and FR2 but subject to further UE capability for FR2.</w:t>
      </w:r>
    </w:p>
    <w:p w14:paraId="40E5F856" w14:textId="77777777" w:rsidR="002C0FE2" w:rsidRDefault="002C0FE2" w:rsidP="002C0FE2">
      <w:pPr>
        <w:pStyle w:val="ListParagraph"/>
        <w:ind w:left="2240"/>
        <w:jc w:val="both"/>
        <w:rPr>
          <w:rFonts w:ascii="Times New Roman" w:hAnsi="Times New Roman"/>
        </w:rPr>
      </w:pPr>
    </w:p>
    <w:p w14:paraId="5174CD70" w14:textId="77777777" w:rsidR="002C0FE2" w:rsidRDefault="002C0FE2" w:rsidP="002C0FE2">
      <w:pPr>
        <w:jc w:val="both"/>
        <w:rPr>
          <w:rStyle w:val="Emphasis"/>
          <w:rFonts w:ascii="Calibri" w:hAnsi="Calibri" w:cs="Calibri"/>
          <w:i w:val="0"/>
          <w:iCs w:val="0"/>
        </w:rPr>
      </w:pPr>
      <w:r>
        <w:rPr>
          <w:rStyle w:val="Emphasis"/>
          <w:b/>
          <w:bCs/>
          <w:i w:val="0"/>
          <w:iCs w:val="0"/>
          <w:highlight w:val="green"/>
        </w:rPr>
        <w:t>Agreement</w:t>
      </w:r>
      <w:r>
        <w:rPr>
          <w:rStyle w:val="Emphasis"/>
          <w:b/>
          <w:bCs/>
          <w:i w:val="0"/>
          <w:iCs w:val="0"/>
        </w:rPr>
        <w:t xml:space="preserve"> </w:t>
      </w:r>
    </w:p>
    <w:p w14:paraId="08FA257F" w14:textId="77777777" w:rsidR="002C0FE2" w:rsidRDefault="002C0FE2" w:rsidP="002C0FE2">
      <w:pPr>
        <w:jc w:val="both"/>
        <w:rPr>
          <w:rFonts w:ascii="Times New Roman" w:hAnsi="Times New Roman"/>
        </w:rPr>
      </w:pPr>
      <w:r>
        <w:rPr>
          <w:rFonts w:ascii="Times New Roman" w:hAnsi="Times New Roman"/>
        </w:rPr>
        <w:t>Whether a NZP CSI-RS resource can be referred by both a CMR pair configured for NCJT measurement hypothesis and a CMR configured for Single-TRP measurement hypothesis, study following Alternatives and down-select one Alternative in RAN1 105e:</w:t>
      </w:r>
    </w:p>
    <w:p w14:paraId="7FD4D853" w14:textId="77777777" w:rsidR="002C0FE2" w:rsidRDefault="002C0FE2" w:rsidP="009C17A5">
      <w:pPr>
        <w:pStyle w:val="ListParagraph"/>
        <w:numPr>
          <w:ilvl w:val="0"/>
          <w:numId w:val="39"/>
        </w:numPr>
        <w:ind w:leftChars="0"/>
        <w:rPr>
          <w:rFonts w:ascii="Times New Roman" w:hAnsi="Times New Roman"/>
        </w:rPr>
      </w:pPr>
      <w:bookmarkStart w:id="0" w:name="_GoBack"/>
      <w:bookmarkEnd w:id="0"/>
      <w:r>
        <w:rPr>
          <w:rFonts w:ascii="Times New Roman" w:hAnsi="Times New Roman"/>
          <w:color w:val="000000"/>
        </w:rPr>
        <w:t>Alt 2: It is feasible for FR1 but it is not for FR2. For FR2, the UE is expected to have different NZP CSI-RS resources configured for all CMRs of Single-TRP and NCJT measurement hypotheses respectively.</w:t>
      </w:r>
    </w:p>
    <w:p w14:paraId="237BE85B"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color w:val="000000"/>
        </w:rPr>
        <w:t>Alt 3: It is feasible in both FR1 and FR2 but subject to UE capability for FR2. If a UE supports and the sharing is also enabled by gNB, two CMRs from a CMR pair configured for a NCJT measurement hypothesis can be used for Single-TRP measurement hypotheses, otherwise they cannot.</w:t>
      </w:r>
    </w:p>
    <w:p w14:paraId="638DBCCE" w14:textId="77777777" w:rsidR="002C0FE2" w:rsidRDefault="002C0FE2" w:rsidP="002C0FE2">
      <w:pPr>
        <w:jc w:val="both"/>
        <w:rPr>
          <w:rFonts w:ascii="Times New Roman" w:hAnsi="Times New Roman"/>
          <w:b/>
          <w:bCs/>
          <w:i/>
          <w:iCs/>
        </w:rPr>
      </w:pPr>
    </w:p>
    <w:p w14:paraId="4F910B31" w14:textId="77777777" w:rsidR="002C0FE2" w:rsidRDefault="002C0FE2" w:rsidP="002C0FE2">
      <w:pPr>
        <w:jc w:val="both"/>
        <w:rPr>
          <w:rStyle w:val="Emphasis"/>
          <w:rFonts w:ascii="Calibri" w:hAnsi="Calibri" w:cs="Calibri"/>
        </w:rPr>
      </w:pPr>
      <w:r>
        <w:rPr>
          <w:rStyle w:val="Emphasis"/>
          <w:b/>
          <w:bCs/>
          <w:i w:val="0"/>
          <w:iCs w:val="0"/>
          <w:highlight w:val="green"/>
        </w:rPr>
        <w:t>Agreement</w:t>
      </w:r>
      <w:r>
        <w:rPr>
          <w:rStyle w:val="Emphasis"/>
          <w:b/>
          <w:bCs/>
          <w:i w:val="0"/>
          <w:iCs w:val="0"/>
        </w:rPr>
        <w:t xml:space="preserve"> </w:t>
      </w:r>
    </w:p>
    <w:p w14:paraId="0A674746" w14:textId="77777777" w:rsidR="002C0FE2" w:rsidRDefault="002C0FE2" w:rsidP="002C0FE2">
      <w:pPr>
        <w:shd w:val="clear" w:color="auto" w:fill="FFFFFF"/>
        <w:rPr>
          <w:rFonts w:ascii="Times New Roman" w:hAnsi="Times New Roman"/>
        </w:rPr>
      </w:pPr>
      <w:r>
        <w:rPr>
          <w:rFonts w:ascii="Times New Roman" w:hAnsi="Times New Roman"/>
          <w:color w:val="000000"/>
        </w:rPr>
        <w:t>For the UE configured to report X CSIs (at least when X&gt;0) associated with single-TRP measurement hypotheses and one CSI associated with NCJT measurement hypothesis, study following issues for potential CSI omission/priority/updating rules:</w:t>
      </w:r>
    </w:p>
    <w:p w14:paraId="3725EE32" w14:textId="77777777" w:rsidR="002C0FE2" w:rsidRDefault="002C0FE2" w:rsidP="009C17A5">
      <w:pPr>
        <w:pStyle w:val="ListParagraph"/>
        <w:numPr>
          <w:ilvl w:val="0"/>
          <w:numId w:val="39"/>
        </w:numPr>
        <w:ind w:leftChars="0"/>
        <w:rPr>
          <w:rFonts w:ascii="Times New Roman" w:hAnsi="Times New Roman"/>
        </w:rPr>
      </w:pPr>
      <w:r>
        <w:rPr>
          <w:rFonts w:ascii="Times New Roman" w:hAnsi="Times New Roman"/>
          <w:color w:val="000000"/>
        </w:rPr>
        <w:t>Issue 1: Prioritize CSI with different measurement hypotheses within the single CSI report, when the UE is configured with CSI Option 1 with X=1 or 2.</w:t>
      </w:r>
    </w:p>
    <w:p w14:paraId="452FBC9F" w14:textId="77777777" w:rsidR="002C0FE2" w:rsidRPr="009C17A5" w:rsidRDefault="002C0FE2" w:rsidP="009C17A5">
      <w:pPr>
        <w:pStyle w:val="ListParagraph"/>
        <w:numPr>
          <w:ilvl w:val="0"/>
          <w:numId w:val="39"/>
        </w:numPr>
        <w:ind w:leftChars="0"/>
        <w:rPr>
          <w:lang w:val="en-US"/>
        </w:rPr>
      </w:pPr>
      <w:r w:rsidRPr="009C17A5">
        <w:rPr>
          <w:rFonts w:ascii="Times New Roman" w:hAnsi="Times New Roman"/>
          <w:color w:val="000000"/>
        </w:rPr>
        <w:t>Issue 2: Omission of NCJT CSI in CSI part 2 depending on the corresponding CRI or RI or CQI in CSI part 1.</w:t>
      </w:r>
    </w:p>
    <w:p w14:paraId="543E04BB" w14:textId="77777777" w:rsidR="002C0FE2" w:rsidRPr="002C0FE2" w:rsidRDefault="002C0FE2" w:rsidP="00D10B5E">
      <w:pPr>
        <w:pStyle w:val="ListParagraph"/>
        <w:autoSpaceDE w:val="0"/>
        <w:autoSpaceDN w:val="0"/>
        <w:adjustRightInd w:val="0"/>
        <w:snapToGrid w:val="0"/>
        <w:ind w:leftChars="0" w:left="0" w:firstLine="0"/>
        <w:jc w:val="both"/>
        <w:rPr>
          <w:b/>
          <w:sz w:val="28"/>
          <w:u w:val="single"/>
          <w:lang w:val="en-US" w:eastAsia="en-US"/>
        </w:rPr>
      </w:pPr>
    </w:p>
    <w:p w14:paraId="3A5633F7" w14:textId="77777777" w:rsidR="002C0FE2" w:rsidRDefault="002C0FE2" w:rsidP="002C0FE2">
      <w:pPr>
        <w:pStyle w:val="Heading1"/>
        <w:spacing w:after="120"/>
        <w:ind w:left="431" w:hanging="431"/>
        <w:jc w:val="both"/>
        <w:rPr>
          <w:rFonts w:ascii="Calibri" w:hAnsi="Calibri" w:cs="Calibri"/>
          <w:sz w:val="28"/>
          <w:szCs w:val="28"/>
        </w:rPr>
      </w:pPr>
      <w:r>
        <w:rPr>
          <w:rFonts w:ascii="Calibri" w:hAnsi="Calibri" w:cs="Calibri"/>
          <w:sz w:val="28"/>
          <w:szCs w:val="28"/>
        </w:rPr>
        <w:t xml:space="preserve">Proposals </w:t>
      </w:r>
    </w:p>
    <w:p w14:paraId="6C6358E5" w14:textId="77777777" w:rsidR="002C0FE2" w:rsidRDefault="002C0FE2" w:rsidP="00D10B5E">
      <w:pPr>
        <w:pStyle w:val="ListParagraph"/>
        <w:autoSpaceDE w:val="0"/>
        <w:autoSpaceDN w:val="0"/>
        <w:adjustRightInd w:val="0"/>
        <w:snapToGrid w:val="0"/>
        <w:ind w:leftChars="0" w:left="0" w:firstLine="0"/>
        <w:jc w:val="both"/>
        <w:rPr>
          <w:b/>
          <w:sz w:val="28"/>
          <w:u w:val="single"/>
          <w:lang w:eastAsia="en-US"/>
        </w:rPr>
      </w:pPr>
    </w:p>
    <w:p w14:paraId="6A484AC7" w14:textId="77777777" w:rsidR="002C0FE2" w:rsidRDefault="002C0FE2" w:rsidP="00D10B5E">
      <w:pPr>
        <w:pStyle w:val="ListParagraph"/>
        <w:autoSpaceDE w:val="0"/>
        <w:autoSpaceDN w:val="0"/>
        <w:adjustRightInd w:val="0"/>
        <w:snapToGrid w:val="0"/>
        <w:ind w:leftChars="0" w:left="0" w:firstLine="0"/>
        <w:jc w:val="both"/>
        <w:rPr>
          <w:b/>
          <w:sz w:val="28"/>
          <w:u w:val="single"/>
          <w:lang w:eastAsia="en-US"/>
        </w:rPr>
      </w:pPr>
    </w:p>
    <w:p w14:paraId="66A3ED6C" w14:textId="77777777" w:rsidR="002B38B6" w:rsidRPr="00D67CE4" w:rsidRDefault="002B38B6" w:rsidP="00D10B5E">
      <w:pPr>
        <w:pStyle w:val="ListParagraph"/>
        <w:autoSpaceDE w:val="0"/>
        <w:autoSpaceDN w:val="0"/>
        <w:adjustRightInd w:val="0"/>
        <w:snapToGrid w:val="0"/>
        <w:ind w:leftChars="0" w:left="0" w:firstLine="0"/>
        <w:jc w:val="both"/>
        <w:rPr>
          <w:b/>
          <w:sz w:val="28"/>
          <w:u w:val="single"/>
          <w:lang w:eastAsia="en-US"/>
        </w:rPr>
      </w:pPr>
      <w:r w:rsidRPr="00D67CE4">
        <w:rPr>
          <w:b/>
          <w:sz w:val="28"/>
          <w:u w:val="single"/>
          <w:lang w:eastAsia="en-US"/>
        </w:rPr>
        <w:t>MTRP CSI</w:t>
      </w:r>
    </w:p>
    <w:p w14:paraId="39D844D7" w14:textId="77777777" w:rsidR="002B38B6" w:rsidRPr="00D67CE4" w:rsidRDefault="002B38B6" w:rsidP="00D10B5E">
      <w:pPr>
        <w:pStyle w:val="ListParagraph"/>
        <w:autoSpaceDE w:val="0"/>
        <w:autoSpaceDN w:val="0"/>
        <w:adjustRightInd w:val="0"/>
        <w:snapToGrid w:val="0"/>
        <w:ind w:leftChars="0" w:left="0" w:firstLine="0"/>
        <w:jc w:val="both"/>
        <w:rPr>
          <w:rFonts w:ascii="Times New Roman" w:eastAsia="SimSun" w:hAnsi="Times New Roman"/>
          <w:b/>
          <w:i/>
          <w:szCs w:val="22"/>
          <w:lang w:val="en-US" w:eastAsia="zh-CN"/>
        </w:rPr>
      </w:pPr>
    </w:p>
    <w:p w14:paraId="05A87B78" w14:textId="77777777" w:rsidR="002B66B0" w:rsidRPr="00247273" w:rsidRDefault="002B66B0" w:rsidP="00247273">
      <w:pPr>
        <w:pStyle w:val="NormalWeb"/>
        <w:spacing w:before="0" w:beforeAutospacing="0" w:after="0" w:afterAutospacing="0"/>
        <w:rPr>
          <w:sz w:val="22"/>
          <w:szCs w:val="22"/>
        </w:rPr>
      </w:pPr>
      <w:r w:rsidRPr="00247273">
        <w:rPr>
          <w:rStyle w:val="Strong"/>
          <w:sz w:val="22"/>
          <w:szCs w:val="22"/>
        </w:rPr>
        <w:t xml:space="preserve">Proposal 15-1:  </w:t>
      </w:r>
      <w:r w:rsidRPr="00247273">
        <w:rPr>
          <w:sz w:val="22"/>
          <w:szCs w:val="22"/>
        </w:rPr>
        <w:t>For the UE configured to report X CSIs associated with single-TRP measurement hypotheses and one CSI associated with NCJT measurement hypothesis (i.e. Option 1), </w:t>
      </w:r>
    </w:p>
    <w:p w14:paraId="2B95560E" w14:textId="77777777" w:rsidR="002B66B0" w:rsidRPr="00247273" w:rsidRDefault="002B66B0" w:rsidP="00247273">
      <w:pPr>
        <w:pStyle w:val="NormalWeb"/>
        <w:numPr>
          <w:ilvl w:val="0"/>
          <w:numId w:val="23"/>
        </w:numPr>
        <w:spacing w:before="0" w:beforeAutospacing="0" w:after="0" w:afterAutospacing="0"/>
        <w:rPr>
          <w:sz w:val="22"/>
          <w:szCs w:val="22"/>
        </w:rPr>
      </w:pPr>
      <w:r w:rsidRPr="00247273">
        <w:rPr>
          <w:sz w:val="22"/>
          <w:szCs w:val="22"/>
        </w:rPr>
        <w:t>Alt 1: X+1 CRIs are reported, whereas X CRIs are for single-TRP measurement hypotheses and one CRI is for NCJT measurement hypothesis.  Each CRI bit size depends on the corresponding number of either valid CMR pairs for NCJT measurement hypothesis or valid CMRs for single-TRP measurement hypotheses</w:t>
      </w:r>
    </w:p>
    <w:p w14:paraId="741F16D1" w14:textId="542B3BE0" w:rsidR="00247273" w:rsidRPr="00247273" w:rsidRDefault="00247273" w:rsidP="00247273">
      <w:pPr>
        <w:pStyle w:val="NormalWeb"/>
        <w:numPr>
          <w:ilvl w:val="0"/>
          <w:numId w:val="23"/>
        </w:numPr>
        <w:spacing w:before="0" w:beforeAutospacing="0" w:after="0" w:afterAutospacing="0"/>
        <w:rPr>
          <w:color w:val="FF0000"/>
          <w:sz w:val="22"/>
          <w:szCs w:val="22"/>
        </w:rPr>
      </w:pPr>
      <w:r w:rsidRPr="00247273">
        <w:rPr>
          <w:color w:val="FF0000"/>
          <w:sz w:val="22"/>
          <w:szCs w:val="22"/>
        </w:rPr>
        <w:t>For the purpose of payload construction, Alt1 does not imply that the X+1 CRIs are reported jointly as single field of one CSI report.</w:t>
      </w:r>
    </w:p>
    <w:p w14:paraId="468E70B5" w14:textId="77777777" w:rsidR="002B66B0" w:rsidRPr="00247273" w:rsidRDefault="002B66B0" w:rsidP="00247273">
      <w:pPr>
        <w:ind w:left="0" w:firstLine="0"/>
        <w:jc w:val="both"/>
        <w:rPr>
          <w:rStyle w:val="Emphasis"/>
          <w:rFonts w:ascii="Times New Roman" w:hAnsi="Times New Roman"/>
          <w:b/>
          <w:iCs w:val="0"/>
          <w:sz w:val="22"/>
          <w:szCs w:val="22"/>
        </w:rPr>
      </w:pPr>
    </w:p>
    <w:p w14:paraId="2A206FAF" w14:textId="4FF66C6C" w:rsidR="00247273" w:rsidRPr="00247273" w:rsidRDefault="002B66B0" w:rsidP="00247273">
      <w:pPr>
        <w:shd w:val="clear" w:color="auto" w:fill="FFFFFF"/>
        <w:ind w:left="0" w:firstLine="0"/>
        <w:rPr>
          <w:rFonts w:ascii="Times New Roman" w:eastAsia="Times New Roman" w:hAnsi="Times New Roman"/>
          <w:bCs/>
          <w:sz w:val="22"/>
          <w:szCs w:val="22"/>
          <w:lang w:eastAsia="zh-CN"/>
        </w:rPr>
      </w:pPr>
      <w:r w:rsidRPr="00247273">
        <w:rPr>
          <w:rFonts w:ascii="Times New Roman" w:eastAsia="Times New Roman" w:hAnsi="Times New Roman"/>
          <w:b/>
          <w:bCs/>
          <w:sz w:val="22"/>
          <w:szCs w:val="22"/>
          <w:lang w:eastAsia="zh-CN"/>
        </w:rPr>
        <w:t>Proposal 17: </w:t>
      </w:r>
      <w:r w:rsidR="00247273" w:rsidRPr="00247273">
        <w:rPr>
          <w:rFonts w:ascii="Times New Roman" w:eastAsia="Times New Roman" w:hAnsi="Times New Roman"/>
          <w:bCs/>
          <w:sz w:val="22"/>
          <w:szCs w:val="22"/>
          <w:lang w:eastAsia="zh-CN"/>
        </w:rPr>
        <w:t xml:space="preserve">For CSI measurement associated to a reporting setting CSI-ReportConfig for NCJT, an NCJT CSI hypothesis based on a pair of CMRs </w:t>
      </w:r>
      <w:r w:rsidR="00247273" w:rsidRPr="00247273">
        <w:rPr>
          <w:rFonts w:ascii="Times New Roman" w:eastAsia="Times New Roman" w:hAnsi="Times New Roman"/>
          <w:bCs/>
          <w:color w:val="FF0000"/>
          <w:sz w:val="22"/>
          <w:szCs w:val="22"/>
          <w:lang w:eastAsia="zh-CN"/>
        </w:rPr>
        <w:t xml:space="preserve">assumes </w:t>
      </w:r>
      <w:r w:rsidR="00247273" w:rsidRPr="00247273">
        <w:rPr>
          <w:rFonts w:ascii="Times New Roman" w:eastAsia="Times New Roman" w:hAnsi="Times New Roman"/>
          <w:bCs/>
          <w:sz w:val="22"/>
          <w:szCs w:val="22"/>
          <w:lang w:eastAsia="zh-CN"/>
        </w:rPr>
        <w:t>to occupy two CPUs, two active NZP CSI-RS resources, and a number of active ports corresponding to both CMRs.</w:t>
      </w:r>
    </w:p>
    <w:p w14:paraId="78B8F541" w14:textId="39695D46" w:rsidR="002B66B0" w:rsidRPr="00247273" w:rsidRDefault="00247273" w:rsidP="00247273">
      <w:pPr>
        <w:pStyle w:val="ListParagraph"/>
        <w:numPr>
          <w:ilvl w:val="0"/>
          <w:numId w:val="35"/>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sz w:val="22"/>
          <w:szCs w:val="22"/>
          <w:lang w:eastAsia="zh-CN"/>
        </w:rPr>
        <w:lastRenderedPageBreak/>
        <w:t>If a NZP CSI-RS resource is referred X times by CMR pairs for NCJT measurement hypothesis and CMR for Single-TRP measurement hypothesis, the CSI-RS resource and the CSI-RS ports within the CSI-RS resource are counted X times for active resources and active ports.</w:t>
      </w:r>
    </w:p>
    <w:p w14:paraId="11C81161" w14:textId="77777777" w:rsidR="002B66B0" w:rsidRPr="00247273" w:rsidRDefault="002B66B0" w:rsidP="00247273">
      <w:pPr>
        <w:ind w:left="0" w:firstLine="0"/>
        <w:jc w:val="both"/>
        <w:rPr>
          <w:rStyle w:val="Emphasis"/>
          <w:rFonts w:ascii="Times New Roman" w:hAnsi="Times New Roman"/>
          <w:b/>
          <w:iCs w:val="0"/>
          <w:sz w:val="22"/>
          <w:szCs w:val="22"/>
        </w:rPr>
      </w:pPr>
    </w:p>
    <w:p w14:paraId="2E660E23" w14:textId="77777777" w:rsidR="002B66B0" w:rsidRPr="00247273" w:rsidRDefault="002B66B0" w:rsidP="00247273">
      <w:pPr>
        <w:pStyle w:val="NormalWeb"/>
        <w:spacing w:before="0" w:beforeAutospacing="0" w:after="0" w:afterAutospacing="0"/>
        <w:rPr>
          <w:sz w:val="22"/>
          <w:szCs w:val="22"/>
        </w:rPr>
      </w:pPr>
      <w:r w:rsidRPr="00247273">
        <w:rPr>
          <w:rStyle w:val="Strong"/>
          <w:sz w:val="22"/>
          <w:szCs w:val="22"/>
        </w:rPr>
        <w:t>Proposal 12:</w:t>
      </w:r>
      <w:r w:rsidRPr="00247273">
        <w:rPr>
          <w:sz w:val="22"/>
          <w:szCs w:val="22"/>
        </w:rPr>
        <w:t xml:space="preserve"> For CSI measurement associated with a CSI-ReportConfig for NC-JT, study following aspects: </w:t>
      </w:r>
    </w:p>
    <w:p w14:paraId="1C392591" w14:textId="77777777" w:rsidR="002B66B0" w:rsidRPr="00247273" w:rsidRDefault="002B66B0" w:rsidP="00247273">
      <w:pPr>
        <w:pStyle w:val="NormalWeb"/>
        <w:numPr>
          <w:ilvl w:val="0"/>
          <w:numId w:val="25"/>
        </w:numPr>
        <w:spacing w:before="0" w:beforeAutospacing="0" w:after="0" w:afterAutospacing="0"/>
        <w:rPr>
          <w:sz w:val="22"/>
          <w:szCs w:val="22"/>
        </w:rPr>
      </w:pPr>
      <w:r w:rsidRPr="00247273">
        <w:rPr>
          <w:sz w:val="22"/>
          <w:szCs w:val="22"/>
        </w:rPr>
        <w:t>whether to support dynamic updating, e.g. by MAC-CE,  for CMR pairs for NCJT measurement hypotheses, and/or CMRs for Single-TRP measurement hypotheses, and/or TCI states in CMRs, and/or the number of single-TRP CSIs (i.e. X=0/1/2) in a NCJT CSI report</w:t>
      </w:r>
    </w:p>
    <w:p w14:paraId="5762DEC7" w14:textId="77777777" w:rsidR="002B66B0" w:rsidRPr="00247273" w:rsidRDefault="002B66B0" w:rsidP="00247273">
      <w:pPr>
        <w:pStyle w:val="NormalWeb"/>
        <w:numPr>
          <w:ilvl w:val="0"/>
          <w:numId w:val="26"/>
        </w:numPr>
        <w:spacing w:before="0" w:beforeAutospacing="0" w:after="0" w:afterAutospacing="0"/>
        <w:rPr>
          <w:sz w:val="22"/>
          <w:szCs w:val="22"/>
        </w:rPr>
      </w:pPr>
      <w:r w:rsidRPr="00247273">
        <w:rPr>
          <w:sz w:val="22"/>
          <w:szCs w:val="22"/>
        </w:rPr>
        <w:t>whether additional high layer signalling is needed to configure M (M≤ Ks) CMRs from the CSI-RS resource set for CMR for Single-TRP measurement hypotheses</w:t>
      </w:r>
    </w:p>
    <w:p w14:paraId="07094D7E" w14:textId="060AA564" w:rsidR="002B66B0" w:rsidRPr="00247273" w:rsidRDefault="002B66B0" w:rsidP="00247273">
      <w:pPr>
        <w:pStyle w:val="NormalWeb"/>
        <w:numPr>
          <w:ilvl w:val="0"/>
          <w:numId w:val="26"/>
        </w:numPr>
        <w:spacing w:before="0" w:beforeAutospacing="0" w:after="0" w:afterAutospacing="0"/>
        <w:rPr>
          <w:sz w:val="22"/>
          <w:szCs w:val="22"/>
        </w:rPr>
      </w:pPr>
      <w:r w:rsidRPr="00247273">
        <w:rPr>
          <w:sz w:val="22"/>
          <w:szCs w:val="22"/>
        </w:rPr>
        <w:t>For CMRs configured in the CSI-RS resource set, whether support high layer signalling to enable/disable single-TRP measurement hypothesis using CMR configured within CMR pairs for NCJT measurement hypothesis</w:t>
      </w:r>
    </w:p>
    <w:p w14:paraId="063B53A7" w14:textId="77777777" w:rsidR="00D81A61" w:rsidRPr="00247273" w:rsidRDefault="00D81A61" w:rsidP="00247273">
      <w:pPr>
        <w:jc w:val="both"/>
        <w:rPr>
          <w:rFonts w:ascii="Times New Roman" w:hAnsi="Times New Roman"/>
          <w:b/>
          <w:i/>
          <w:sz w:val="22"/>
          <w:szCs w:val="22"/>
        </w:rPr>
      </w:pPr>
    </w:p>
    <w:p w14:paraId="2D40418F" w14:textId="77777777" w:rsidR="001E345F" w:rsidRPr="00247273" w:rsidRDefault="001E345F" w:rsidP="00247273">
      <w:pPr>
        <w:jc w:val="both"/>
        <w:rPr>
          <w:rFonts w:ascii="Times New Roman" w:hAnsi="Times New Roman"/>
          <w:sz w:val="22"/>
          <w:szCs w:val="22"/>
        </w:rPr>
      </w:pPr>
    </w:p>
    <w:p w14:paraId="6B9B941B" w14:textId="77777777" w:rsidR="00053F9C" w:rsidRPr="00247273" w:rsidRDefault="00053F9C" w:rsidP="00247273">
      <w:pPr>
        <w:shd w:val="clear" w:color="auto" w:fill="FFFFFF"/>
        <w:ind w:left="0" w:firstLine="0"/>
        <w:rPr>
          <w:rFonts w:ascii="Times New Roman" w:eastAsia="Times New Roman" w:hAnsi="Times New Roman"/>
          <w:sz w:val="22"/>
          <w:szCs w:val="22"/>
          <w:lang w:eastAsia="zh-CN"/>
        </w:rPr>
      </w:pPr>
      <w:r w:rsidRPr="00247273">
        <w:rPr>
          <w:rFonts w:ascii="Times New Roman" w:eastAsia="Times New Roman" w:hAnsi="Times New Roman"/>
          <w:b/>
          <w:bCs/>
          <w:iCs/>
          <w:sz w:val="22"/>
          <w:szCs w:val="22"/>
          <w:lang w:eastAsia="zh-CN"/>
        </w:rPr>
        <w:t>Proposal 14-1:</w:t>
      </w:r>
      <w:r w:rsidRPr="00247273">
        <w:rPr>
          <w:rFonts w:ascii="Times New Roman" w:eastAsia="Times New Roman" w:hAnsi="Times New Roman"/>
          <w:bCs/>
          <w:iCs/>
          <w:sz w:val="22"/>
          <w:szCs w:val="22"/>
          <w:lang w:eastAsia="zh-CN"/>
        </w:rPr>
        <w:t xml:space="preserve"> Whether a CSI-IM can be referred by both NCJT and Single-TRP measurement hypotheses, study following Alternatives and FR1/FR2 differentiation </w:t>
      </w:r>
      <w:r w:rsidRPr="002A2B3C">
        <w:rPr>
          <w:rFonts w:ascii="Times New Roman" w:eastAsia="Times New Roman" w:hAnsi="Times New Roman"/>
          <w:bCs/>
          <w:iCs/>
          <w:strike/>
          <w:color w:val="FF0000"/>
          <w:sz w:val="22"/>
          <w:szCs w:val="22"/>
          <w:lang w:eastAsia="zh-CN"/>
        </w:rPr>
        <w:t>in RAN1 105e</w:t>
      </w:r>
      <w:r w:rsidRPr="00247273">
        <w:rPr>
          <w:rFonts w:ascii="Times New Roman" w:eastAsia="Times New Roman" w:hAnsi="Times New Roman"/>
          <w:bCs/>
          <w:iCs/>
          <w:sz w:val="22"/>
          <w:szCs w:val="22"/>
          <w:lang w:eastAsia="zh-CN"/>
        </w:rPr>
        <w:t>:</w:t>
      </w:r>
    </w:p>
    <w:p w14:paraId="4A8DB8B5" w14:textId="51525EB5" w:rsidR="00053F9C" w:rsidRPr="00247273" w:rsidRDefault="00053F9C" w:rsidP="00247273">
      <w:pPr>
        <w:pStyle w:val="ListParagraph"/>
        <w:numPr>
          <w:ilvl w:val="0"/>
          <w:numId w:val="27"/>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iCs/>
          <w:sz w:val="22"/>
          <w:szCs w:val="22"/>
          <w:lang w:eastAsia="zh-CN"/>
        </w:rPr>
        <w:t>Alt 1: CSI-IM can be shared by both NCJT and Single-TRP measurement hypotheses.</w:t>
      </w:r>
    </w:p>
    <w:p w14:paraId="39F3DCFC" w14:textId="57533C33" w:rsidR="00053F9C" w:rsidRPr="00247273" w:rsidRDefault="00053F9C" w:rsidP="00247273">
      <w:pPr>
        <w:pStyle w:val="ListParagraph"/>
        <w:numPr>
          <w:ilvl w:val="0"/>
          <w:numId w:val="27"/>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iCs/>
          <w:sz w:val="22"/>
          <w:szCs w:val="22"/>
          <w:lang w:eastAsia="zh-CN"/>
        </w:rPr>
        <w:t>Alt 2: A CSI-IM resource is configured to be associated with either a CMR for Single-TRP measurement hypothesis or a CMR pair for NCJT measurement hypothesis</w:t>
      </w:r>
    </w:p>
    <w:p w14:paraId="5B71723B" w14:textId="76AECFBE" w:rsidR="00053F9C" w:rsidRPr="00247273" w:rsidRDefault="00053F9C" w:rsidP="00247273">
      <w:pPr>
        <w:pStyle w:val="ListParagraph"/>
        <w:numPr>
          <w:ilvl w:val="0"/>
          <w:numId w:val="27"/>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iCs/>
          <w:sz w:val="22"/>
          <w:szCs w:val="22"/>
          <w:lang w:eastAsia="zh-CN"/>
        </w:rPr>
        <w:t>FR1 and FR2 differentiation</w:t>
      </w:r>
    </w:p>
    <w:p w14:paraId="5C3208BA" w14:textId="77777777" w:rsidR="002A2B3C" w:rsidRDefault="002A2B3C" w:rsidP="00247273">
      <w:pPr>
        <w:shd w:val="clear" w:color="auto" w:fill="FFFFFF"/>
        <w:ind w:left="0" w:firstLine="0"/>
        <w:rPr>
          <w:rFonts w:ascii="Times New Roman" w:eastAsia="Times New Roman" w:hAnsi="Times New Roman"/>
          <w:b/>
          <w:bCs/>
          <w:iCs/>
          <w:sz w:val="22"/>
          <w:szCs w:val="22"/>
          <w:lang w:eastAsia="zh-CN"/>
        </w:rPr>
      </w:pPr>
    </w:p>
    <w:p w14:paraId="52D3BA7B" w14:textId="77777777" w:rsidR="00053F9C" w:rsidRPr="00247273" w:rsidRDefault="00053F9C" w:rsidP="00247273">
      <w:pPr>
        <w:shd w:val="clear" w:color="auto" w:fill="FFFFFF"/>
        <w:ind w:left="0" w:firstLine="0"/>
        <w:rPr>
          <w:rFonts w:ascii="Times New Roman" w:eastAsia="Times New Roman" w:hAnsi="Times New Roman"/>
          <w:sz w:val="22"/>
          <w:szCs w:val="22"/>
          <w:lang w:eastAsia="zh-CN"/>
        </w:rPr>
      </w:pPr>
      <w:r w:rsidRPr="00247273">
        <w:rPr>
          <w:rFonts w:ascii="Times New Roman" w:eastAsia="Times New Roman" w:hAnsi="Times New Roman"/>
          <w:b/>
          <w:bCs/>
          <w:iCs/>
          <w:sz w:val="22"/>
          <w:szCs w:val="22"/>
          <w:lang w:eastAsia="zh-CN"/>
        </w:rPr>
        <w:t>Proposal 14-3:</w:t>
      </w:r>
      <w:r w:rsidRPr="00247273">
        <w:rPr>
          <w:rFonts w:ascii="Times New Roman" w:eastAsia="Times New Roman" w:hAnsi="Times New Roman"/>
          <w:bCs/>
          <w:iCs/>
          <w:sz w:val="22"/>
          <w:szCs w:val="22"/>
          <w:lang w:eastAsia="zh-CN"/>
        </w:rPr>
        <w:t xml:space="preserve"> Whether to support interference measurement based on NZP CSI-RS outside the CMR pair configured for NCJT measurement hypothesis, in addition to CSI-IM, study following Alternatives and down-select one Alternative in RAN1 105e:</w:t>
      </w:r>
    </w:p>
    <w:p w14:paraId="1FA5E4B7" w14:textId="55D9A18D" w:rsidR="00053F9C" w:rsidRPr="00247273" w:rsidRDefault="00053F9C" w:rsidP="00247273">
      <w:pPr>
        <w:pStyle w:val="ListParagraph"/>
        <w:numPr>
          <w:ilvl w:val="0"/>
          <w:numId w:val="28"/>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iCs/>
          <w:sz w:val="22"/>
          <w:szCs w:val="22"/>
          <w:lang w:eastAsia="zh-CN"/>
        </w:rPr>
        <w:t>Alt 1: Yes, it is supported, subject to limitations, e.g. N=1 CMR pair and Ks=2 CMR resources</w:t>
      </w:r>
    </w:p>
    <w:p w14:paraId="3A4406C4" w14:textId="0C3932FD" w:rsidR="00053F9C" w:rsidRPr="00247273" w:rsidRDefault="00053F9C" w:rsidP="00247273">
      <w:pPr>
        <w:pStyle w:val="ListParagraph"/>
        <w:numPr>
          <w:ilvl w:val="0"/>
          <w:numId w:val="28"/>
        </w:numPr>
        <w:shd w:val="clear" w:color="auto" w:fill="FFFFFF"/>
        <w:ind w:leftChars="0"/>
        <w:rPr>
          <w:rFonts w:ascii="Times New Roman" w:eastAsia="Times New Roman" w:hAnsi="Times New Roman"/>
          <w:sz w:val="22"/>
          <w:szCs w:val="22"/>
          <w:lang w:eastAsia="zh-CN"/>
        </w:rPr>
      </w:pPr>
      <w:r w:rsidRPr="00247273">
        <w:rPr>
          <w:rFonts w:ascii="Times New Roman" w:eastAsia="Times New Roman" w:hAnsi="Times New Roman"/>
          <w:bCs/>
          <w:iCs/>
          <w:sz w:val="22"/>
          <w:szCs w:val="22"/>
          <w:lang w:eastAsia="zh-CN"/>
        </w:rPr>
        <w:t>Alt 2: No, it is not supported</w:t>
      </w:r>
    </w:p>
    <w:p w14:paraId="433DB1E8" w14:textId="77777777" w:rsidR="001E345F" w:rsidRDefault="001E345F" w:rsidP="000D6371">
      <w:pPr>
        <w:jc w:val="both"/>
        <w:rPr>
          <w:rFonts w:ascii="Times New Roman" w:hAnsi="Times New Roman"/>
          <w:b/>
          <w:i/>
          <w:sz w:val="22"/>
          <w:szCs w:val="22"/>
        </w:rPr>
      </w:pPr>
    </w:p>
    <w:p w14:paraId="63A5096D" w14:textId="77777777" w:rsidR="004F02E1" w:rsidRDefault="004F02E1" w:rsidP="000D6371">
      <w:pPr>
        <w:jc w:val="both"/>
        <w:rPr>
          <w:rFonts w:ascii="Times New Roman" w:hAnsi="Times New Roman"/>
          <w:b/>
          <w:i/>
          <w:sz w:val="22"/>
          <w:szCs w:val="22"/>
        </w:rPr>
      </w:pPr>
    </w:p>
    <w:p w14:paraId="49AB85EF" w14:textId="77777777" w:rsidR="002C0FE2" w:rsidRDefault="002C0FE2" w:rsidP="000D6371">
      <w:pPr>
        <w:jc w:val="both"/>
        <w:rPr>
          <w:rFonts w:ascii="Times New Roman" w:hAnsi="Times New Roman"/>
          <w:b/>
          <w:sz w:val="36"/>
          <w:szCs w:val="22"/>
          <w:u w:val="single"/>
        </w:rPr>
      </w:pPr>
    </w:p>
    <w:p w14:paraId="13B37DCE" w14:textId="67EE04D3" w:rsidR="004F02E1" w:rsidRPr="008051CC" w:rsidRDefault="004F02E1" w:rsidP="000D6371">
      <w:pPr>
        <w:jc w:val="both"/>
        <w:rPr>
          <w:rFonts w:ascii="Times New Roman" w:hAnsi="Times New Roman"/>
          <w:b/>
          <w:sz w:val="28"/>
          <w:szCs w:val="28"/>
          <w:u w:val="single"/>
        </w:rPr>
      </w:pPr>
      <w:r w:rsidRPr="008051CC">
        <w:rPr>
          <w:rFonts w:ascii="Times New Roman" w:hAnsi="Times New Roman"/>
          <w:b/>
          <w:sz w:val="28"/>
          <w:szCs w:val="28"/>
          <w:u w:val="single"/>
        </w:rPr>
        <w:t>FDD CSI</w:t>
      </w:r>
    </w:p>
    <w:p w14:paraId="1A73ECFE" w14:textId="77777777" w:rsidR="004F02E1" w:rsidRPr="000D24D8" w:rsidRDefault="004F02E1" w:rsidP="004F02E1">
      <w:pPr>
        <w:rPr>
          <w:rFonts w:ascii="Times New Roman" w:eastAsia="Times New Roman" w:hAnsi="Times New Roman"/>
          <w:sz w:val="22"/>
          <w:szCs w:val="22"/>
        </w:rPr>
      </w:pPr>
      <w:r w:rsidRPr="004F02E1">
        <w:rPr>
          <w:rFonts w:ascii="Times New Roman" w:eastAsia="Times New Roman" w:hAnsi="Times New Roman"/>
          <w:b/>
          <w:bCs/>
          <w:sz w:val="22"/>
          <w:szCs w:val="22"/>
        </w:rPr>
        <w:t xml:space="preserve">Proposal 8-1: </w:t>
      </w:r>
      <w:r w:rsidRPr="000D24D8">
        <w:rPr>
          <w:rFonts w:ascii="Times New Roman" w:eastAsia="Times New Roman" w:hAnsi="Times New Roman"/>
          <w:sz w:val="22"/>
          <w:szCs w:val="22"/>
        </w:rPr>
        <w:t>A bitmap for indication non-zero coefficients should be supported for W</w:t>
      </w:r>
      <w:r w:rsidRPr="00CD638C">
        <w:rPr>
          <w:rFonts w:ascii="Times New Roman" w:eastAsia="Times New Roman" w:hAnsi="Times New Roman"/>
          <w:sz w:val="22"/>
          <w:szCs w:val="22"/>
          <w:vertAlign w:val="subscript"/>
        </w:rPr>
        <w:t>2</w:t>
      </w:r>
      <w:r w:rsidRPr="000D24D8">
        <w:rPr>
          <w:rFonts w:ascii="Times New Roman" w:eastAsia="Times New Roman" w:hAnsi="Times New Roman"/>
          <w:sz w:val="22"/>
          <w:szCs w:val="22"/>
        </w:rPr>
        <w:t xml:space="preserve"> with a compression coefficient beta&lt;=1 whereas</w:t>
      </w:r>
    </w:p>
    <w:p w14:paraId="6C577C13" w14:textId="77777777" w:rsidR="004F02E1" w:rsidRPr="000D24D8" w:rsidRDefault="004F02E1" w:rsidP="004F02E1">
      <w:pPr>
        <w:numPr>
          <w:ilvl w:val="0"/>
          <w:numId w:val="33"/>
        </w:numPr>
        <w:rPr>
          <w:rFonts w:ascii="Times New Roman" w:eastAsia="Times New Roman" w:hAnsi="Times New Roman"/>
          <w:color w:val="FF0000"/>
          <w:sz w:val="22"/>
          <w:szCs w:val="22"/>
        </w:rPr>
      </w:pPr>
      <w:r w:rsidRPr="00DD1FDC">
        <w:rPr>
          <w:rFonts w:ascii="Times New Roman" w:eastAsia="Times New Roman" w:hAnsi="Times New Roman"/>
          <w:bCs/>
          <w:color w:val="FF0000"/>
          <w:sz w:val="22"/>
          <w:szCs w:val="22"/>
        </w:rPr>
        <w:t>Support Beta=1, FFS additional values of beta &lt; 1, e.g. 1/8, 1/4, 1/2, 3/4</w:t>
      </w:r>
    </w:p>
    <w:p w14:paraId="733FE0C2" w14:textId="77777777" w:rsidR="004F02E1" w:rsidRPr="000D24D8" w:rsidRDefault="004F02E1" w:rsidP="004F02E1">
      <w:pPr>
        <w:numPr>
          <w:ilvl w:val="0"/>
          <w:numId w:val="33"/>
        </w:numPr>
        <w:rPr>
          <w:rFonts w:ascii="Times New Roman" w:eastAsia="Times New Roman" w:hAnsi="Times New Roman"/>
          <w:sz w:val="22"/>
          <w:szCs w:val="22"/>
        </w:rPr>
      </w:pPr>
      <w:r w:rsidRPr="000D24D8">
        <w:rPr>
          <w:rFonts w:ascii="Times New Roman" w:eastAsia="Times New Roman" w:hAnsi="Times New Roman"/>
          <w:sz w:val="22"/>
          <w:szCs w:val="22"/>
        </w:rPr>
        <w:t>FFS: whether/how such a bitmap can be absent for specific codebook configuration parameters</w:t>
      </w:r>
    </w:p>
    <w:p w14:paraId="749E560E" w14:textId="77777777" w:rsidR="004F02E1" w:rsidRPr="000D24D8" w:rsidRDefault="004F02E1" w:rsidP="004F02E1">
      <w:pPr>
        <w:numPr>
          <w:ilvl w:val="0"/>
          <w:numId w:val="33"/>
        </w:numPr>
        <w:rPr>
          <w:rFonts w:ascii="Times New Roman" w:eastAsia="Times New Roman" w:hAnsi="Times New Roman"/>
          <w:sz w:val="22"/>
          <w:szCs w:val="22"/>
        </w:rPr>
      </w:pPr>
      <w:r w:rsidRPr="000D24D8">
        <w:rPr>
          <w:rFonts w:ascii="Times New Roman" w:eastAsia="Times New Roman" w:hAnsi="Times New Roman"/>
          <w:sz w:val="22"/>
          <w:szCs w:val="22"/>
        </w:rPr>
        <w:t>FFS: whether a bitmap is polarization-common or polarization-specific</w:t>
      </w:r>
    </w:p>
    <w:p w14:paraId="7958405B" w14:textId="77777777" w:rsidR="004F02E1" w:rsidRPr="004F02E1" w:rsidRDefault="004F02E1" w:rsidP="004F02E1">
      <w:pPr>
        <w:numPr>
          <w:ilvl w:val="0"/>
          <w:numId w:val="33"/>
        </w:numPr>
        <w:rPr>
          <w:rFonts w:ascii="Times New Roman" w:eastAsia="Times New Roman" w:hAnsi="Times New Roman"/>
          <w:sz w:val="22"/>
          <w:szCs w:val="22"/>
        </w:rPr>
      </w:pPr>
      <w:r w:rsidRPr="000D24D8">
        <w:rPr>
          <w:rFonts w:ascii="Times New Roman" w:eastAsia="Times New Roman" w:hAnsi="Times New Roman"/>
          <w:sz w:val="22"/>
          <w:szCs w:val="22"/>
        </w:rPr>
        <w:t>FFS: possible parameter combinations/dependence for beta with other PS CB parameters.</w:t>
      </w:r>
    </w:p>
    <w:p w14:paraId="1D03FB1E" w14:textId="77777777" w:rsidR="004F02E1" w:rsidRPr="004F02E1" w:rsidRDefault="004F02E1" w:rsidP="004F02E1">
      <w:pPr>
        <w:pStyle w:val="NormalWeb"/>
        <w:spacing w:before="0" w:beforeAutospacing="0" w:after="0" w:afterAutospacing="0"/>
        <w:rPr>
          <w:sz w:val="22"/>
          <w:szCs w:val="22"/>
        </w:rPr>
      </w:pPr>
      <w:r w:rsidRPr="004F02E1">
        <w:rPr>
          <w:sz w:val="22"/>
          <w:szCs w:val="22"/>
        </w:rPr>
        <w:t>Support: CATT, Spreadtrum, DC</w:t>
      </w:r>
    </w:p>
    <w:p w14:paraId="1079BBAE" w14:textId="77777777" w:rsidR="004F02E1" w:rsidRPr="004F02E1" w:rsidRDefault="004F02E1" w:rsidP="004F02E1">
      <w:pPr>
        <w:rPr>
          <w:rFonts w:ascii="Times New Roman" w:eastAsia="Times New Roman" w:hAnsi="Times New Roman"/>
          <w:b/>
          <w:bCs/>
          <w:sz w:val="22"/>
          <w:szCs w:val="22"/>
        </w:rPr>
      </w:pPr>
    </w:p>
    <w:p w14:paraId="49A9EB34" w14:textId="77777777" w:rsidR="004F02E1" w:rsidRPr="000D24D8" w:rsidRDefault="004F02E1" w:rsidP="004F02E1">
      <w:pPr>
        <w:rPr>
          <w:rFonts w:ascii="Times New Roman" w:eastAsia="Times New Roman" w:hAnsi="Times New Roman"/>
          <w:sz w:val="22"/>
          <w:szCs w:val="22"/>
        </w:rPr>
      </w:pPr>
      <w:r w:rsidRPr="004F02E1">
        <w:rPr>
          <w:rFonts w:ascii="Times New Roman" w:eastAsia="Times New Roman" w:hAnsi="Times New Roman"/>
          <w:b/>
          <w:bCs/>
          <w:sz w:val="22"/>
          <w:szCs w:val="22"/>
        </w:rPr>
        <w:t xml:space="preserve">Proposal 8-2: </w:t>
      </w:r>
      <w:r w:rsidRPr="000D24D8">
        <w:rPr>
          <w:rFonts w:ascii="Times New Roman" w:eastAsia="Times New Roman" w:hAnsi="Times New Roman"/>
          <w:sz w:val="22"/>
          <w:szCs w:val="22"/>
        </w:rPr>
        <w:t>A bitmap for indication non-zero coefficients should be supported for W</w:t>
      </w:r>
      <w:r w:rsidRPr="00CD638C">
        <w:rPr>
          <w:rFonts w:ascii="Times New Roman" w:eastAsia="Times New Roman" w:hAnsi="Times New Roman"/>
          <w:sz w:val="22"/>
          <w:szCs w:val="22"/>
          <w:vertAlign w:val="subscript"/>
        </w:rPr>
        <w:t>2</w:t>
      </w:r>
      <w:r w:rsidRPr="000D24D8">
        <w:rPr>
          <w:rFonts w:ascii="Times New Roman" w:eastAsia="Times New Roman" w:hAnsi="Times New Roman"/>
          <w:sz w:val="22"/>
          <w:szCs w:val="22"/>
        </w:rPr>
        <w:t xml:space="preserve"> with a compression coefficient beta&lt;=1 whereas</w:t>
      </w:r>
    </w:p>
    <w:p w14:paraId="16B10562" w14:textId="77777777" w:rsidR="004F02E1" w:rsidRPr="000D24D8" w:rsidRDefault="004F02E1" w:rsidP="004F02E1">
      <w:pPr>
        <w:numPr>
          <w:ilvl w:val="0"/>
          <w:numId w:val="34"/>
        </w:numPr>
        <w:rPr>
          <w:rFonts w:ascii="Times New Roman" w:eastAsia="Times New Roman" w:hAnsi="Times New Roman"/>
          <w:color w:val="FF0000"/>
          <w:sz w:val="22"/>
          <w:szCs w:val="22"/>
        </w:rPr>
      </w:pPr>
      <w:r w:rsidRPr="00DD1FDC">
        <w:rPr>
          <w:rFonts w:ascii="Times New Roman" w:eastAsia="Times New Roman" w:hAnsi="Times New Roman"/>
          <w:bCs/>
          <w:color w:val="FF0000"/>
          <w:sz w:val="22"/>
          <w:szCs w:val="22"/>
        </w:rPr>
        <w:t>FFS values of beta, e.g. 1/8, 1/4, 1/2, 3/4, 1</w:t>
      </w:r>
    </w:p>
    <w:p w14:paraId="20282BC3" w14:textId="77777777" w:rsidR="004F02E1" w:rsidRPr="000D24D8" w:rsidRDefault="004F02E1" w:rsidP="004F02E1">
      <w:pPr>
        <w:numPr>
          <w:ilvl w:val="0"/>
          <w:numId w:val="34"/>
        </w:numPr>
        <w:rPr>
          <w:rFonts w:ascii="Times New Roman" w:eastAsia="Times New Roman" w:hAnsi="Times New Roman"/>
          <w:sz w:val="22"/>
          <w:szCs w:val="22"/>
        </w:rPr>
      </w:pPr>
      <w:r w:rsidRPr="000D24D8">
        <w:rPr>
          <w:rFonts w:ascii="Times New Roman" w:eastAsia="Times New Roman" w:hAnsi="Times New Roman"/>
          <w:sz w:val="22"/>
          <w:szCs w:val="22"/>
        </w:rPr>
        <w:t>FFS: whether/how such a bitmap can be absent for specific codebook configuration parameters</w:t>
      </w:r>
    </w:p>
    <w:p w14:paraId="4023A34B" w14:textId="77777777" w:rsidR="004F02E1" w:rsidRPr="000D24D8" w:rsidRDefault="004F02E1" w:rsidP="004F02E1">
      <w:pPr>
        <w:numPr>
          <w:ilvl w:val="0"/>
          <w:numId w:val="34"/>
        </w:numPr>
        <w:rPr>
          <w:rFonts w:ascii="Times New Roman" w:eastAsia="Times New Roman" w:hAnsi="Times New Roman"/>
          <w:sz w:val="22"/>
          <w:szCs w:val="22"/>
        </w:rPr>
      </w:pPr>
      <w:r w:rsidRPr="000D24D8">
        <w:rPr>
          <w:rFonts w:ascii="Times New Roman" w:eastAsia="Times New Roman" w:hAnsi="Times New Roman"/>
          <w:sz w:val="22"/>
          <w:szCs w:val="22"/>
        </w:rPr>
        <w:t>FFS: whether a bitmap is polarization-common or polarization-specific</w:t>
      </w:r>
    </w:p>
    <w:p w14:paraId="323C4AB7" w14:textId="77777777" w:rsidR="004F02E1" w:rsidRPr="004F02E1" w:rsidRDefault="004F02E1" w:rsidP="004F02E1">
      <w:pPr>
        <w:numPr>
          <w:ilvl w:val="0"/>
          <w:numId w:val="34"/>
        </w:numPr>
        <w:rPr>
          <w:rFonts w:ascii="Times New Roman" w:eastAsia="Times New Roman" w:hAnsi="Times New Roman"/>
          <w:sz w:val="22"/>
          <w:szCs w:val="22"/>
        </w:rPr>
      </w:pPr>
      <w:r w:rsidRPr="000D24D8">
        <w:rPr>
          <w:rFonts w:ascii="Times New Roman" w:eastAsia="Times New Roman" w:hAnsi="Times New Roman"/>
          <w:sz w:val="22"/>
          <w:szCs w:val="22"/>
        </w:rPr>
        <w:t>FFS: possible parameter combinations/dependence for beta with other PS CB parameters.</w:t>
      </w:r>
    </w:p>
    <w:p w14:paraId="40A44869" w14:textId="75DCD272" w:rsidR="004F02E1" w:rsidRPr="004F02E1" w:rsidRDefault="004F02E1" w:rsidP="004F02E1">
      <w:pPr>
        <w:pStyle w:val="NormalWeb"/>
        <w:spacing w:before="0" w:beforeAutospacing="0" w:after="0" w:afterAutospacing="0"/>
        <w:rPr>
          <w:sz w:val="22"/>
          <w:szCs w:val="22"/>
        </w:rPr>
      </w:pPr>
      <w:r w:rsidRPr="004F02E1">
        <w:rPr>
          <w:sz w:val="22"/>
          <w:szCs w:val="22"/>
        </w:rPr>
        <w:t>Support: Samsung, MTK, Sony</w:t>
      </w:r>
    </w:p>
    <w:p w14:paraId="3CC5766E" w14:textId="7E5D2D34" w:rsidR="004F02E1" w:rsidRPr="000D24D8" w:rsidRDefault="004F02E1" w:rsidP="004F02E1">
      <w:pPr>
        <w:rPr>
          <w:rFonts w:ascii="Times New Roman" w:eastAsia="Times New Roman" w:hAnsi="Times New Roman"/>
          <w:sz w:val="22"/>
          <w:szCs w:val="22"/>
        </w:rPr>
      </w:pPr>
    </w:p>
    <w:p w14:paraId="4E0B197C" w14:textId="77777777" w:rsidR="004F02E1" w:rsidRPr="004F02E1" w:rsidRDefault="004F02E1" w:rsidP="004F02E1">
      <w:pPr>
        <w:rPr>
          <w:sz w:val="22"/>
          <w:szCs w:val="22"/>
        </w:rPr>
      </w:pPr>
    </w:p>
    <w:p w14:paraId="1ADD7D12" w14:textId="768F6583" w:rsidR="004F02E1" w:rsidRPr="004F02E1" w:rsidRDefault="004F02E1" w:rsidP="004F02E1">
      <w:pPr>
        <w:shd w:val="clear" w:color="auto" w:fill="FFFFFF"/>
        <w:rPr>
          <w:rStyle w:val="Strong"/>
          <w:b w:val="0"/>
          <w:sz w:val="22"/>
          <w:szCs w:val="22"/>
        </w:rPr>
      </w:pPr>
      <w:r w:rsidRPr="004F02E1">
        <w:rPr>
          <w:rStyle w:val="Strong"/>
          <w:sz w:val="22"/>
          <w:szCs w:val="22"/>
        </w:rPr>
        <w:lastRenderedPageBreak/>
        <w:t xml:space="preserve">Proposal 3-1: </w:t>
      </w:r>
      <w:r w:rsidRPr="004F02E1">
        <w:rPr>
          <w:rStyle w:val="Strong"/>
          <w:b w:val="0"/>
          <w:color w:val="FF0000"/>
          <w:sz w:val="22"/>
          <w:szCs w:val="22"/>
        </w:rPr>
        <w:t>At least for rank 1,</w:t>
      </w:r>
      <w:r w:rsidRPr="004F02E1">
        <w:rPr>
          <w:rStyle w:val="Strong"/>
          <w:b w:val="0"/>
          <w:sz w:val="22"/>
          <w:szCs w:val="22"/>
        </w:rPr>
        <w:t xml:space="preserve"> regarding the value(s) of K</w:t>
      </w:r>
      <w:r w:rsidRPr="004F02E1">
        <w:rPr>
          <w:rStyle w:val="Strong"/>
          <w:b w:val="0"/>
          <w:sz w:val="22"/>
          <w:szCs w:val="22"/>
          <w:vertAlign w:val="subscript"/>
        </w:rPr>
        <w:t>1</w:t>
      </w:r>
      <w:r w:rsidRPr="004F02E1">
        <w:rPr>
          <w:rStyle w:val="Strong"/>
          <w:b w:val="0"/>
          <w:sz w:val="22"/>
          <w:szCs w:val="22"/>
        </w:rPr>
        <w:t xml:space="preserve"> for port selection matrix W</w:t>
      </w:r>
      <w:r w:rsidRPr="004F02E1">
        <w:rPr>
          <w:rStyle w:val="Strong"/>
          <w:b w:val="0"/>
          <w:sz w:val="22"/>
          <w:szCs w:val="22"/>
          <w:vertAlign w:val="subscript"/>
        </w:rPr>
        <w:t>1</w:t>
      </w:r>
      <w:r w:rsidRPr="004F02E1">
        <w:rPr>
          <w:rStyle w:val="Strong"/>
          <w:b w:val="0"/>
          <w:sz w:val="22"/>
          <w:szCs w:val="22"/>
        </w:rPr>
        <w:t xml:space="preserve"> in N</w:t>
      </w:r>
      <w:r w:rsidRPr="004F02E1">
        <w:rPr>
          <w:rStyle w:val="Strong"/>
          <w:b w:val="0"/>
          <w:sz w:val="22"/>
          <w:szCs w:val="22"/>
          <w:vertAlign w:val="superscript"/>
        </w:rPr>
        <w:t>P*K1</w:t>
      </w:r>
      <w:r w:rsidRPr="004F02E1">
        <w:rPr>
          <w:rStyle w:val="Strong"/>
          <w:b w:val="0"/>
          <w:sz w:val="22"/>
          <w:szCs w:val="22"/>
        </w:rPr>
        <w:t>, study and down-select from the following candidate values of K</w:t>
      </w:r>
      <w:r w:rsidRPr="004F02E1">
        <w:rPr>
          <w:rStyle w:val="Strong"/>
          <w:b w:val="0"/>
          <w:sz w:val="22"/>
          <w:szCs w:val="22"/>
          <w:vertAlign w:val="subscript"/>
        </w:rPr>
        <w:t>1</w:t>
      </w:r>
      <w:r w:rsidRPr="004F02E1">
        <w:rPr>
          <w:rStyle w:val="Strong"/>
          <w:b w:val="0"/>
          <w:sz w:val="22"/>
          <w:szCs w:val="22"/>
        </w:rPr>
        <w:t xml:space="preserve"> and the maximal value of P in RAN1 105e</w:t>
      </w:r>
    </w:p>
    <w:p w14:paraId="3E13D8E8"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K</w:t>
      </w:r>
      <w:r w:rsidRPr="004F02E1">
        <w:rPr>
          <w:rStyle w:val="Strong"/>
          <w:b w:val="0"/>
          <w:sz w:val="22"/>
          <w:szCs w:val="22"/>
          <w:vertAlign w:val="subscript"/>
        </w:rPr>
        <w:t>1</w:t>
      </w:r>
      <w:r w:rsidRPr="004F02E1">
        <w:rPr>
          <w:rStyle w:val="Strong"/>
          <w:b w:val="0"/>
          <w:sz w:val="22"/>
          <w:szCs w:val="22"/>
        </w:rPr>
        <w:t xml:space="preserve"> in {2, 4,8,12,16,24,32} with K</w:t>
      </w:r>
      <w:r w:rsidRPr="004F02E1">
        <w:rPr>
          <w:rStyle w:val="Strong"/>
          <w:b w:val="0"/>
          <w:sz w:val="22"/>
          <w:szCs w:val="22"/>
          <w:vertAlign w:val="subscript"/>
        </w:rPr>
        <w:t>1</w:t>
      </w:r>
      <w:r w:rsidRPr="004F02E1">
        <w:rPr>
          <w:rStyle w:val="Strong"/>
          <w:b w:val="0"/>
          <w:sz w:val="22"/>
          <w:szCs w:val="22"/>
        </w:rPr>
        <w:t xml:space="preserve"> &lt;= P</w:t>
      </w:r>
    </w:p>
    <w:p w14:paraId="1A750D0E"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The maximal value of P as P</w:t>
      </w:r>
      <w:r w:rsidRPr="004F02E1">
        <w:rPr>
          <w:rStyle w:val="Strong"/>
          <w:b w:val="0"/>
          <w:sz w:val="22"/>
          <w:szCs w:val="22"/>
          <w:vertAlign w:val="subscript"/>
        </w:rPr>
        <w:t>max</w:t>
      </w:r>
      <w:r w:rsidRPr="004F02E1">
        <w:rPr>
          <w:rStyle w:val="Strong"/>
          <w:b w:val="0"/>
          <w:sz w:val="22"/>
          <w:szCs w:val="22"/>
        </w:rPr>
        <w:t>, e.g.  32</w:t>
      </w:r>
    </w:p>
    <w:p w14:paraId="1782A496"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FFS: possible parameter combinations/dependence for K</w:t>
      </w:r>
      <w:r w:rsidRPr="004F02E1">
        <w:rPr>
          <w:rStyle w:val="Strong"/>
          <w:b w:val="0"/>
          <w:sz w:val="22"/>
          <w:szCs w:val="22"/>
          <w:vertAlign w:val="subscript"/>
        </w:rPr>
        <w:t>1</w:t>
      </w:r>
      <w:r w:rsidRPr="004F02E1">
        <w:rPr>
          <w:rStyle w:val="Strong"/>
          <w:b w:val="0"/>
          <w:sz w:val="22"/>
          <w:szCs w:val="22"/>
        </w:rPr>
        <w:t xml:space="preserve"> with other PS CB parameters, </w:t>
      </w:r>
      <w:r w:rsidRPr="004F02E1">
        <w:rPr>
          <w:rStyle w:val="Strong"/>
          <w:b w:val="0"/>
          <w:color w:val="FF0000"/>
          <w:sz w:val="22"/>
          <w:szCs w:val="22"/>
        </w:rPr>
        <w:t>e.g. whether candidate values of K</w:t>
      </w:r>
      <w:r w:rsidRPr="004F02E1">
        <w:rPr>
          <w:rStyle w:val="Strong"/>
          <w:b w:val="0"/>
          <w:color w:val="FF0000"/>
          <w:sz w:val="22"/>
          <w:szCs w:val="22"/>
          <w:vertAlign w:val="subscript"/>
        </w:rPr>
        <w:t>1</w:t>
      </w:r>
      <w:r w:rsidRPr="004F02E1">
        <w:rPr>
          <w:rStyle w:val="Strong"/>
          <w:b w:val="0"/>
          <w:color w:val="FF0000"/>
          <w:sz w:val="22"/>
          <w:szCs w:val="22"/>
        </w:rPr>
        <w:t xml:space="preserve"> can be different for different ranks</w:t>
      </w:r>
      <w:r w:rsidRPr="004F02E1">
        <w:rPr>
          <w:rStyle w:val="Strong"/>
          <w:b w:val="0"/>
          <w:sz w:val="22"/>
          <w:szCs w:val="22"/>
        </w:rPr>
        <w:t xml:space="preserve">. </w:t>
      </w:r>
    </w:p>
    <w:p w14:paraId="09F0C172" w14:textId="77777777" w:rsidR="004F02E1" w:rsidRPr="004F02E1" w:rsidRDefault="004F02E1" w:rsidP="004F02E1">
      <w:pPr>
        <w:shd w:val="clear" w:color="auto" w:fill="FFFFFF"/>
        <w:rPr>
          <w:rStyle w:val="Strong"/>
          <w:b w:val="0"/>
          <w:sz w:val="22"/>
          <w:szCs w:val="22"/>
        </w:rPr>
      </w:pPr>
      <w:r w:rsidRPr="004F02E1">
        <w:rPr>
          <w:rStyle w:val="Strong"/>
          <w:b w:val="0"/>
          <w:sz w:val="22"/>
          <w:szCs w:val="22"/>
        </w:rPr>
        <w:t xml:space="preserve">Note: for Polarization-common based free-selection, it means to </w:t>
      </w:r>
      <w:r w:rsidRPr="004F02E1">
        <w:rPr>
          <w:rStyle w:val="Strong"/>
          <w:b w:val="0"/>
          <w:color w:val="FF0000"/>
          <w:sz w:val="22"/>
          <w:szCs w:val="22"/>
        </w:rPr>
        <w:t>the same</w:t>
      </w:r>
      <w:r w:rsidRPr="004F02E1">
        <w:rPr>
          <w:rStyle w:val="Strong"/>
          <w:b w:val="0"/>
          <w:sz w:val="22"/>
          <w:szCs w:val="22"/>
        </w:rPr>
        <w:t xml:space="preserve"> select L=K</w:t>
      </w:r>
      <w:r w:rsidRPr="004F02E1">
        <w:rPr>
          <w:rStyle w:val="Strong"/>
          <w:b w:val="0"/>
          <w:sz w:val="22"/>
          <w:szCs w:val="22"/>
          <w:vertAlign w:val="subscript"/>
        </w:rPr>
        <w:t>1</w:t>
      </w:r>
      <w:r w:rsidRPr="004F02E1">
        <w:rPr>
          <w:rStyle w:val="Strong"/>
          <w:b w:val="0"/>
          <w:sz w:val="22"/>
          <w:szCs w:val="22"/>
        </w:rPr>
        <w:t xml:space="preserve">/2 ports out of P/2 ports </w:t>
      </w:r>
      <w:r w:rsidRPr="004F02E1">
        <w:rPr>
          <w:rStyle w:val="Strong"/>
          <w:b w:val="0"/>
          <w:color w:val="FF0000"/>
          <w:sz w:val="22"/>
          <w:szCs w:val="22"/>
        </w:rPr>
        <w:t>for both polarizations</w:t>
      </w:r>
      <w:r w:rsidRPr="004F02E1">
        <w:rPr>
          <w:rStyle w:val="Strong"/>
          <w:b w:val="0"/>
          <w:sz w:val="22"/>
          <w:szCs w:val="22"/>
        </w:rPr>
        <w:t>.</w:t>
      </w:r>
    </w:p>
    <w:p w14:paraId="7439F9AB" w14:textId="77777777" w:rsidR="004F02E1" w:rsidRPr="004F02E1" w:rsidRDefault="004F02E1" w:rsidP="004F02E1">
      <w:pPr>
        <w:shd w:val="clear" w:color="auto" w:fill="FFFFFF"/>
        <w:rPr>
          <w:rStyle w:val="Strong"/>
          <w:b w:val="0"/>
          <w:sz w:val="22"/>
          <w:szCs w:val="22"/>
        </w:rPr>
      </w:pPr>
      <w:r w:rsidRPr="004F02E1">
        <w:rPr>
          <w:rStyle w:val="Strong"/>
          <w:b w:val="0"/>
          <w:sz w:val="22"/>
          <w:szCs w:val="22"/>
        </w:rPr>
        <w:t>Note: for polarization-specific based free-selection, it means select K</w:t>
      </w:r>
      <w:r w:rsidRPr="004F02E1">
        <w:rPr>
          <w:rStyle w:val="Strong"/>
          <w:b w:val="0"/>
          <w:sz w:val="22"/>
          <w:szCs w:val="22"/>
          <w:vertAlign w:val="subscript"/>
        </w:rPr>
        <w:t>1</w:t>
      </w:r>
      <w:r w:rsidRPr="004F02E1">
        <w:rPr>
          <w:rStyle w:val="Strong"/>
          <w:b w:val="0"/>
          <w:sz w:val="22"/>
          <w:szCs w:val="22"/>
        </w:rPr>
        <w:t xml:space="preserve"> ports out of P ports</w:t>
      </w:r>
    </w:p>
    <w:p w14:paraId="6F2C0B5B" w14:textId="77777777" w:rsidR="004F02E1" w:rsidRPr="004F02E1" w:rsidRDefault="004F02E1" w:rsidP="004F02E1">
      <w:pPr>
        <w:shd w:val="clear" w:color="auto" w:fill="FFFFFF"/>
        <w:rPr>
          <w:rStyle w:val="Strong"/>
          <w:b w:val="0"/>
          <w:sz w:val="22"/>
          <w:szCs w:val="22"/>
        </w:rPr>
      </w:pPr>
      <w:r w:rsidRPr="004F02E1">
        <w:rPr>
          <w:rStyle w:val="Strong"/>
          <w:b w:val="0"/>
          <w:sz w:val="22"/>
          <w:szCs w:val="22"/>
        </w:rPr>
        <w:t>Note: P is the number of CSI-RS ports for port selection (whose value depends on the outcome of the CSI-RS related study)</w:t>
      </w:r>
    </w:p>
    <w:p w14:paraId="07BC942E" w14:textId="77777777" w:rsidR="004F02E1" w:rsidRPr="004F02E1" w:rsidRDefault="004F02E1" w:rsidP="004F02E1">
      <w:pPr>
        <w:shd w:val="clear" w:color="auto" w:fill="FFFFFF"/>
        <w:rPr>
          <w:rFonts w:ascii="Segoe UI" w:eastAsia="SimSun" w:hAnsi="Segoe UI" w:cs="Segoe UI"/>
          <w:b/>
          <w:bCs/>
          <w:color w:val="354052"/>
          <w:sz w:val="22"/>
          <w:szCs w:val="22"/>
        </w:rPr>
      </w:pPr>
    </w:p>
    <w:p w14:paraId="688D4E66" w14:textId="77777777" w:rsidR="004F02E1" w:rsidRPr="004F02E1" w:rsidRDefault="004F02E1" w:rsidP="004F02E1">
      <w:pPr>
        <w:shd w:val="clear" w:color="auto" w:fill="FFFFFF"/>
        <w:rPr>
          <w:rFonts w:ascii="Segoe UI" w:eastAsia="SimSun" w:hAnsi="Segoe UI" w:cs="Segoe UI"/>
          <w:b/>
          <w:bCs/>
          <w:color w:val="354052"/>
          <w:sz w:val="22"/>
          <w:szCs w:val="22"/>
        </w:rPr>
      </w:pPr>
    </w:p>
    <w:p w14:paraId="100586E9" w14:textId="77777777" w:rsidR="004F02E1" w:rsidRPr="004F02E1" w:rsidRDefault="004F02E1" w:rsidP="004F02E1">
      <w:pPr>
        <w:shd w:val="clear" w:color="auto" w:fill="FFFFFF"/>
        <w:rPr>
          <w:rStyle w:val="Strong"/>
          <w:b w:val="0"/>
          <w:sz w:val="22"/>
          <w:szCs w:val="22"/>
        </w:rPr>
      </w:pPr>
      <w:r w:rsidRPr="004F02E1">
        <w:rPr>
          <w:rStyle w:val="Strong"/>
          <w:sz w:val="22"/>
          <w:szCs w:val="22"/>
        </w:rPr>
        <w:t xml:space="preserve">Proposal 5-1: </w:t>
      </w:r>
      <w:r w:rsidRPr="004F02E1">
        <w:rPr>
          <w:rStyle w:val="Strong"/>
          <w:b w:val="0"/>
          <w:color w:val="FF0000"/>
          <w:sz w:val="22"/>
          <w:szCs w:val="22"/>
        </w:rPr>
        <w:t xml:space="preserve">At least for rank 1, </w:t>
      </w:r>
      <w:r w:rsidRPr="004F02E1">
        <w:rPr>
          <w:rStyle w:val="Strong"/>
          <w:b w:val="0"/>
          <w:sz w:val="22"/>
          <w:szCs w:val="22"/>
        </w:rPr>
        <w:t>The FD bases used for W</w:t>
      </w:r>
      <w:r w:rsidRPr="004F02E1">
        <w:rPr>
          <w:rStyle w:val="Strong"/>
          <w:b w:val="0"/>
          <w:sz w:val="22"/>
          <w:szCs w:val="22"/>
          <w:vertAlign w:val="subscript"/>
        </w:rPr>
        <w:t>f</w:t>
      </w:r>
      <w:r w:rsidRPr="004F02E1">
        <w:rPr>
          <w:rStyle w:val="Strong"/>
          <w:b w:val="0"/>
          <w:sz w:val="22"/>
          <w:szCs w:val="22"/>
        </w:rPr>
        <w:t xml:space="preserve"> quantitation are limited within a single window/set with size N </w:t>
      </w:r>
      <w:r w:rsidRPr="004F02E1">
        <w:rPr>
          <w:rStyle w:val="Strong"/>
          <w:b w:val="0"/>
          <w:color w:val="FF0000"/>
          <w:sz w:val="22"/>
          <w:szCs w:val="22"/>
        </w:rPr>
        <w:t>fixed</w:t>
      </w:r>
      <w:r w:rsidRPr="004F02E1">
        <w:rPr>
          <w:rStyle w:val="Strong"/>
          <w:b w:val="0"/>
          <w:sz w:val="22"/>
          <w:szCs w:val="22"/>
        </w:rPr>
        <w:t>/configured to the UE, study and down-select one Alternative in RAN1 105e:</w:t>
      </w:r>
    </w:p>
    <w:p w14:paraId="3F1542AE" w14:textId="77777777" w:rsidR="004F02E1" w:rsidRPr="004F02E1" w:rsidRDefault="004F02E1" w:rsidP="004F02E1">
      <w:pPr>
        <w:numPr>
          <w:ilvl w:val="0"/>
          <w:numId w:val="30"/>
        </w:numPr>
        <w:shd w:val="clear" w:color="auto" w:fill="FFFFFF"/>
        <w:rPr>
          <w:rStyle w:val="Strong"/>
          <w:b w:val="0"/>
          <w:sz w:val="22"/>
          <w:szCs w:val="22"/>
        </w:rPr>
      </w:pPr>
      <w:r w:rsidRPr="004F02E1">
        <w:rPr>
          <w:rStyle w:val="Strong"/>
          <w:b w:val="0"/>
          <w:sz w:val="22"/>
          <w:szCs w:val="22"/>
        </w:rPr>
        <w:t>Alt 1: FD bases in the window must be consecutive from an orthogonal DFT matrix</w:t>
      </w:r>
    </w:p>
    <w:p w14:paraId="2DABE33B" w14:textId="77777777" w:rsidR="004F02E1" w:rsidRPr="004F02E1" w:rsidRDefault="004F02E1" w:rsidP="004F02E1">
      <w:pPr>
        <w:numPr>
          <w:ilvl w:val="0"/>
          <w:numId w:val="31"/>
        </w:numPr>
        <w:shd w:val="clear" w:color="auto" w:fill="FFFFFF"/>
        <w:rPr>
          <w:rStyle w:val="Strong"/>
          <w:b w:val="0"/>
          <w:sz w:val="22"/>
          <w:szCs w:val="22"/>
        </w:rPr>
      </w:pPr>
      <w:r w:rsidRPr="004F02E1">
        <w:rPr>
          <w:rStyle w:val="Strong"/>
          <w:b w:val="0"/>
          <w:sz w:val="22"/>
          <w:szCs w:val="22"/>
        </w:rPr>
        <w:t>Alt 2: FD bases in the set can be consecutive/non-consecutive, and are selected freely by gNB from an orthogonal DFT matrix</w:t>
      </w:r>
    </w:p>
    <w:p w14:paraId="363915FE" w14:textId="77777777" w:rsidR="004F02E1" w:rsidRPr="004F02E1" w:rsidRDefault="004F02E1" w:rsidP="004F02E1">
      <w:pPr>
        <w:shd w:val="clear" w:color="auto" w:fill="FFFFFF"/>
        <w:ind w:left="0" w:firstLine="0"/>
        <w:rPr>
          <w:rStyle w:val="Strong"/>
          <w:b w:val="0"/>
          <w:color w:val="FF0000"/>
          <w:sz w:val="22"/>
          <w:szCs w:val="22"/>
        </w:rPr>
      </w:pPr>
      <w:r w:rsidRPr="004F02E1">
        <w:rPr>
          <w:rStyle w:val="Strong"/>
          <w:b w:val="0"/>
          <w:color w:val="FF0000"/>
          <w:sz w:val="22"/>
          <w:szCs w:val="22"/>
        </w:rPr>
        <w:t xml:space="preserve">Note that “at least for rank 1” does not imply for the support of rank 1 only in Rel-17 or restrictions of supporting/ not supporting additional alternatives for higher rank. </w:t>
      </w:r>
    </w:p>
    <w:p w14:paraId="470D76A8" w14:textId="77777777" w:rsidR="004F02E1" w:rsidRPr="004F02E1" w:rsidRDefault="004F02E1" w:rsidP="004F02E1">
      <w:pPr>
        <w:shd w:val="clear" w:color="auto" w:fill="FFFFFF"/>
        <w:rPr>
          <w:rFonts w:ascii="Segoe UI" w:eastAsia="SimSun" w:hAnsi="Segoe UI" w:cs="Segoe UI"/>
          <w:b/>
          <w:bCs/>
          <w:color w:val="354052"/>
          <w:sz w:val="22"/>
          <w:szCs w:val="22"/>
        </w:rPr>
      </w:pPr>
      <w:r w:rsidRPr="004F02E1">
        <w:rPr>
          <w:rFonts w:ascii="Segoe UI" w:eastAsia="SimSun" w:hAnsi="Segoe UI" w:cs="Segoe UI"/>
          <w:b/>
          <w:bCs/>
          <w:color w:val="354052"/>
          <w:sz w:val="22"/>
          <w:szCs w:val="22"/>
        </w:rPr>
        <w:t> </w:t>
      </w:r>
    </w:p>
    <w:p w14:paraId="6A8DEC83" w14:textId="77777777" w:rsidR="004F02E1" w:rsidRPr="004F02E1" w:rsidRDefault="004F02E1" w:rsidP="004F02E1">
      <w:pPr>
        <w:shd w:val="clear" w:color="auto" w:fill="FFFFFF"/>
        <w:rPr>
          <w:rStyle w:val="Strong"/>
          <w:b w:val="0"/>
          <w:bCs w:val="0"/>
          <w:sz w:val="22"/>
          <w:szCs w:val="22"/>
        </w:rPr>
      </w:pPr>
      <w:r w:rsidRPr="004F02E1">
        <w:rPr>
          <w:rStyle w:val="Strong"/>
          <w:sz w:val="22"/>
          <w:szCs w:val="22"/>
        </w:rPr>
        <w:t xml:space="preserve">Proposal 6: </w:t>
      </w:r>
      <w:r w:rsidRPr="004F02E1">
        <w:rPr>
          <w:rStyle w:val="Strong"/>
          <w:b w:val="0"/>
          <w:color w:val="FF0000"/>
          <w:sz w:val="22"/>
          <w:szCs w:val="22"/>
        </w:rPr>
        <w:t xml:space="preserve">At least for rank 1, </w:t>
      </w:r>
      <w:r w:rsidRPr="004F02E1">
        <w:rPr>
          <w:rStyle w:val="Strong"/>
          <w:b w:val="0"/>
          <w:sz w:val="22"/>
          <w:szCs w:val="22"/>
        </w:rPr>
        <w:t>for relationship between N and Mv, study and down-select one Alternative from following in RAN1 105e</w:t>
      </w:r>
    </w:p>
    <w:p w14:paraId="61B7437E"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1: N= Mv always</w:t>
      </w:r>
    </w:p>
    <w:p w14:paraId="4EA513D0"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2: N &gt;= Mv and N=2, 4</w:t>
      </w:r>
    </w:p>
    <w:p w14:paraId="2DF5E0A4" w14:textId="77777777" w:rsidR="004F02E1" w:rsidRPr="004F02E1" w:rsidRDefault="004F02E1" w:rsidP="004F02E1">
      <w:pPr>
        <w:shd w:val="clear" w:color="auto" w:fill="FFFFFF"/>
        <w:ind w:left="0" w:firstLine="0"/>
        <w:rPr>
          <w:rStyle w:val="Strong"/>
          <w:b w:val="0"/>
          <w:color w:val="FF0000"/>
          <w:sz w:val="22"/>
          <w:szCs w:val="22"/>
        </w:rPr>
      </w:pPr>
      <w:r w:rsidRPr="004F02E1">
        <w:rPr>
          <w:rStyle w:val="Strong"/>
          <w:b w:val="0"/>
          <w:color w:val="FF0000"/>
          <w:sz w:val="22"/>
          <w:szCs w:val="22"/>
        </w:rPr>
        <w:t xml:space="preserve">Note that “at least for rank 1” does not imply for the support of rank 1 only in Rel-17 or restrictions of supporting/ not supporting additional alternatives for higher rank. </w:t>
      </w:r>
    </w:p>
    <w:p w14:paraId="4CB7B165" w14:textId="77777777" w:rsidR="004F02E1" w:rsidRPr="004F02E1" w:rsidRDefault="004F02E1" w:rsidP="004F02E1">
      <w:pPr>
        <w:shd w:val="clear" w:color="auto" w:fill="FFFFFF"/>
        <w:rPr>
          <w:rStyle w:val="Strong"/>
          <w:sz w:val="22"/>
          <w:szCs w:val="22"/>
        </w:rPr>
      </w:pPr>
    </w:p>
    <w:p w14:paraId="3E1D43E9" w14:textId="77777777" w:rsidR="004F02E1" w:rsidRPr="004F02E1" w:rsidRDefault="004F02E1" w:rsidP="004F02E1">
      <w:pPr>
        <w:shd w:val="clear" w:color="auto" w:fill="FFFFFF"/>
        <w:rPr>
          <w:rStyle w:val="Strong"/>
          <w:b w:val="0"/>
          <w:sz w:val="22"/>
          <w:szCs w:val="22"/>
        </w:rPr>
      </w:pPr>
      <w:r w:rsidRPr="004F02E1">
        <w:rPr>
          <w:rStyle w:val="Strong"/>
          <w:sz w:val="22"/>
          <w:szCs w:val="22"/>
        </w:rPr>
        <w:t>Proposal 7:</w:t>
      </w:r>
      <w:r w:rsidRPr="004F02E1">
        <w:rPr>
          <w:rStyle w:val="Strong"/>
          <w:color w:val="FF0000"/>
          <w:sz w:val="22"/>
          <w:szCs w:val="22"/>
        </w:rPr>
        <w:t xml:space="preserve"> </w:t>
      </w:r>
      <w:r w:rsidRPr="004F02E1">
        <w:rPr>
          <w:rStyle w:val="Strong"/>
          <w:b w:val="0"/>
          <w:color w:val="FF0000"/>
          <w:sz w:val="22"/>
          <w:szCs w:val="22"/>
        </w:rPr>
        <w:t xml:space="preserve">At least for rank 1, </w:t>
      </w:r>
      <w:r w:rsidRPr="004F02E1">
        <w:rPr>
          <w:rStyle w:val="Strong"/>
          <w:b w:val="0"/>
          <w:sz w:val="22"/>
          <w:szCs w:val="22"/>
        </w:rPr>
        <w:t>regarding the value(s) of R for Rel-17 PS codebook enhancement, study and down-select one or more than one Alternative (or a subset of corresponding values) in RAN1 105e:  </w:t>
      </w:r>
    </w:p>
    <w:p w14:paraId="03C321C8"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0:  R &lt; 1 (e.g. 1/4, 1/2)</w:t>
      </w:r>
    </w:p>
    <w:p w14:paraId="6FF3AADA"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1: R=1</w:t>
      </w:r>
    </w:p>
    <w:p w14:paraId="71EE6C0C"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2: R=1 and 2</w:t>
      </w:r>
    </w:p>
    <w:p w14:paraId="62B3F621"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3: R=1,2, 4, and 8</w:t>
      </w:r>
    </w:p>
    <w:p w14:paraId="2CF62DE0" w14:textId="77777777" w:rsidR="004F02E1" w:rsidRPr="004F02E1" w:rsidRDefault="004F02E1" w:rsidP="004F02E1">
      <w:pPr>
        <w:numPr>
          <w:ilvl w:val="0"/>
          <w:numId w:val="29"/>
        </w:numPr>
        <w:shd w:val="clear" w:color="auto" w:fill="FFFFFF"/>
        <w:rPr>
          <w:rStyle w:val="Strong"/>
          <w:b w:val="0"/>
          <w:sz w:val="22"/>
          <w:szCs w:val="22"/>
        </w:rPr>
      </w:pPr>
      <w:r w:rsidRPr="004F02E1">
        <w:rPr>
          <w:rStyle w:val="Strong"/>
          <w:b w:val="0"/>
          <w:sz w:val="22"/>
          <w:szCs w:val="22"/>
        </w:rPr>
        <w:t>Alt 4: R= {1,2,…, D*NPRBSB} whereas D is the density of CSI-RS in frequency domain</w:t>
      </w:r>
    </w:p>
    <w:p w14:paraId="7B4AB4B3" w14:textId="77777777" w:rsidR="004F02E1" w:rsidRPr="004F02E1" w:rsidRDefault="004F02E1" w:rsidP="004F02E1">
      <w:pPr>
        <w:shd w:val="clear" w:color="auto" w:fill="FFFFFF"/>
        <w:ind w:left="0" w:firstLine="0"/>
        <w:rPr>
          <w:rStyle w:val="Strong"/>
          <w:b w:val="0"/>
          <w:color w:val="FF0000"/>
          <w:sz w:val="22"/>
          <w:szCs w:val="22"/>
        </w:rPr>
      </w:pPr>
      <w:r w:rsidRPr="004F02E1">
        <w:rPr>
          <w:rStyle w:val="Strong"/>
          <w:b w:val="0"/>
          <w:color w:val="FF0000"/>
          <w:sz w:val="22"/>
          <w:szCs w:val="22"/>
        </w:rPr>
        <w:t xml:space="preserve">Note that “at least for rank 1” does not imply for the support of rank 1 only in Rel-17 or restrictions of supporting/not supporting additional alternatives for higher rank. </w:t>
      </w:r>
    </w:p>
    <w:p w14:paraId="7C033E6B" w14:textId="77777777" w:rsidR="004F02E1" w:rsidRPr="004F02E1" w:rsidRDefault="004F02E1" w:rsidP="004F02E1">
      <w:pPr>
        <w:shd w:val="clear" w:color="auto" w:fill="FFFFFF"/>
        <w:rPr>
          <w:rFonts w:ascii="Segoe UI" w:eastAsia="SimSun" w:hAnsi="Segoe UI" w:cs="Segoe UI"/>
          <w:b/>
          <w:bCs/>
          <w:color w:val="354052"/>
          <w:sz w:val="22"/>
          <w:szCs w:val="22"/>
        </w:rPr>
      </w:pPr>
    </w:p>
    <w:p w14:paraId="237E97C4" w14:textId="77777777" w:rsidR="004F02E1" w:rsidRPr="004F02E1" w:rsidRDefault="004F02E1" w:rsidP="004F02E1">
      <w:pPr>
        <w:shd w:val="clear" w:color="auto" w:fill="FFFFFF"/>
        <w:rPr>
          <w:sz w:val="22"/>
          <w:szCs w:val="22"/>
        </w:rPr>
      </w:pPr>
      <w:r w:rsidRPr="004F02E1">
        <w:rPr>
          <w:b/>
          <w:bCs/>
          <w:sz w:val="22"/>
          <w:szCs w:val="22"/>
        </w:rPr>
        <w:t xml:space="preserve">Proposal 9:  </w:t>
      </w:r>
      <w:r w:rsidRPr="004F02E1">
        <w:rPr>
          <w:sz w:val="22"/>
          <w:szCs w:val="22"/>
        </w:rPr>
        <w:t xml:space="preserve">For the quantization of W2 coefficient, study following Alternatives </w:t>
      </w:r>
      <w:r w:rsidRPr="004F02E1">
        <w:rPr>
          <w:bCs/>
          <w:sz w:val="22"/>
          <w:szCs w:val="22"/>
        </w:rPr>
        <w:t>with Alt 1 as the baseline</w:t>
      </w:r>
      <w:r w:rsidRPr="004F02E1">
        <w:rPr>
          <w:sz w:val="22"/>
          <w:szCs w:val="22"/>
        </w:rPr>
        <w:t>:</w:t>
      </w:r>
    </w:p>
    <w:p w14:paraId="4A910EA6" w14:textId="77777777" w:rsidR="004F02E1" w:rsidRPr="004F02E1" w:rsidRDefault="004F02E1" w:rsidP="004F02E1">
      <w:pPr>
        <w:numPr>
          <w:ilvl w:val="0"/>
          <w:numId w:val="32"/>
        </w:numPr>
        <w:shd w:val="clear" w:color="auto" w:fill="FFFFFF"/>
        <w:rPr>
          <w:sz w:val="22"/>
          <w:szCs w:val="22"/>
        </w:rPr>
      </w:pPr>
      <w:r w:rsidRPr="004F02E1">
        <w:rPr>
          <w:sz w:val="22"/>
          <w:szCs w:val="22"/>
        </w:rPr>
        <w:t>Alt1: Reusing Rel-16 quantization mechanism for Rank 1 at least, which can be summarized as following:</w:t>
      </w:r>
    </w:p>
    <w:p w14:paraId="39EBC4FB" w14:textId="77777777" w:rsidR="004F02E1" w:rsidRPr="004F02E1" w:rsidRDefault="004F02E1" w:rsidP="004F02E1">
      <w:pPr>
        <w:numPr>
          <w:ilvl w:val="1"/>
          <w:numId w:val="32"/>
        </w:numPr>
        <w:shd w:val="clear" w:color="auto" w:fill="FFFFFF"/>
        <w:rPr>
          <w:sz w:val="22"/>
          <w:szCs w:val="22"/>
        </w:rPr>
      </w:pPr>
      <w:r w:rsidRPr="004F02E1">
        <w:rPr>
          <w:sz w:val="22"/>
          <w:szCs w:val="22"/>
        </w:rPr>
        <w:t>An indicator for the strongest coefficient</w:t>
      </w:r>
    </w:p>
    <w:p w14:paraId="24F0A063" w14:textId="77777777" w:rsidR="004F02E1" w:rsidRPr="004F02E1" w:rsidRDefault="004F02E1" w:rsidP="004F02E1">
      <w:pPr>
        <w:numPr>
          <w:ilvl w:val="1"/>
          <w:numId w:val="32"/>
        </w:numPr>
        <w:shd w:val="clear" w:color="auto" w:fill="FFFFFF"/>
        <w:rPr>
          <w:sz w:val="22"/>
          <w:szCs w:val="22"/>
        </w:rPr>
      </w:pPr>
      <w:r w:rsidRPr="004F02E1">
        <w:rPr>
          <w:sz w:val="22"/>
          <w:szCs w:val="22"/>
        </w:rPr>
        <w:t>Two polarization-specific reference amplitudes:</w:t>
      </w:r>
    </w:p>
    <w:p w14:paraId="3E45A937" w14:textId="77777777" w:rsidR="004F02E1" w:rsidRPr="004F02E1" w:rsidRDefault="004F02E1" w:rsidP="004F02E1">
      <w:pPr>
        <w:numPr>
          <w:ilvl w:val="2"/>
          <w:numId w:val="32"/>
        </w:numPr>
        <w:shd w:val="clear" w:color="auto" w:fill="FFFFFF"/>
        <w:rPr>
          <w:sz w:val="22"/>
          <w:szCs w:val="22"/>
        </w:rPr>
      </w:pPr>
      <w:r w:rsidRPr="004F02E1">
        <w:rPr>
          <w:sz w:val="22"/>
          <w:szCs w:val="22"/>
        </w:rPr>
        <w:t>for the polarization associated with the strongest coefficient, the reference amplitude is not reported</w:t>
      </w:r>
    </w:p>
    <w:p w14:paraId="1179861D" w14:textId="77777777" w:rsidR="004F02E1" w:rsidRPr="004F02E1" w:rsidRDefault="004F02E1" w:rsidP="004F02E1">
      <w:pPr>
        <w:numPr>
          <w:ilvl w:val="2"/>
          <w:numId w:val="32"/>
        </w:numPr>
        <w:shd w:val="clear" w:color="auto" w:fill="FFFFFF"/>
        <w:rPr>
          <w:sz w:val="22"/>
          <w:szCs w:val="22"/>
        </w:rPr>
      </w:pPr>
      <w:r w:rsidRPr="004F02E1">
        <w:rPr>
          <w:sz w:val="22"/>
          <w:szCs w:val="22"/>
        </w:rPr>
        <w:t>for the other polarization, reference amplitude is quantized to 4 bits</w:t>
      </w:r>
    </w:p>
    <w:p w14:paraId="7E1AC5EC" w14:textId="77777777" w:rsidR="004F02E1" w:rsidRPr="004F02E1" w:rsidRDefault="004F02E1" w:rsidP="004F02E1">
      <w:pPr>
        <w:numPr>
          <w:ilvl w:val="1"/>
          <w:numId w:val="32"/>
        </w:numPr>
        <w:shd w:val="clear" w:color="auto" w:fill="FFFFFF"/>
        <w:rPr>
          <w:sz w:val="22"/>
          <w:szCs w:val="22"/>
        </w:rPr>
      </w:pPr>
      <w:r w:rsidRPr="004F02E1">
        <w:rPr>
          <w:sz w:val="22"/>
          <w:szCs w:val="22"/>
        </w:rPr>
        <w:t>For coefficients other than the strongest coefficient</w:t>
      </w:r>
    </w:p>
    <w:p w14:paraId="6427E232" w14:textId="77777777" w:rsidR="004F02E1" w:rsidRPr="004F02E1" w:rsidRDefault="004F02E1" w:rsidP="004F02E1">
      <w:pPr>
        <w:numPr>
          <w:ilvl w:val="2"/>
          <w:numId w:val="32"/>
        </w:numPr>
        <w:shd w:val="clear" w:color="auto" w:fill="FFFFFF"/>
        <w:rPr>
          <w:sz w:val="22"/>
          <w:szCs w:val="22"/>
        </w:rPr>
      </w:pPr>
      <w:r w:rsidRPr="004F02E1">
        <w:rPr>
          <w:sz w:val="22"/>
          <w:szCs w:val="22"/>
        </w:rPr>
        <w:t>differential amplitude is calculated relative to the associated polarization-specific reference amplitude and quantized to 3 bits</w:t>
      </w:r>
    </w:p>
    <w:p w14:paraId="691D94EB" w14:textId="77777777" w:rsidR="004F02E1" w:rsidRPr="004F02E1" w:rsidRDefault="004F02E1" w:rsidP="004F02E1">
      <w:pPr>
        <w:numPr>
          <w:ilvl w:val="2"/>
          <w:numId w:val="32"/>
        </w:numPr>
        <w:shd w:val="clear" w:color="auto" w:fill="FFFFFF"/>
        <w:rPr>
          <w:sz w:val="22"/>
          <w:szCs w:val="22"/>
        </w:rPr>
      </w:pPr>
      <w:r w:rsidRPr="004F02E1">
        <w:rPr>
          <w:sz w:val="22"/>
          <w:szCs w:val="22"/>
        </w:rPr>
        <w:t>phase is quantized to 16PSK</w:t>
      </w:r>
    </w:p>
    <w:p w14:paraId="2EE6E5C5" w14:textId="77777777" w:rsidR="004F02E1" w:rsidRPr="004F02E1" w:rsidRDefault="004F02E1" w:rsidP="004F02E1">
      <w:pPr>
        <w:numPr>
          <w:ilvl w:val="0"/>
          <w:numId w:val="32"/>
        </w:numPr>
        <w:shd w:val="clear" w:color="auto" w:fill="FFFFFF"/>
        <w:rPr>
          <w:sz w:val="22"/>
          <w:szCs w:val="22"/>
        </w:rPr>
      </w:pPr>
      <w:r w:rsidRPr="004F02E1">
        <w:rPr>
          <w:sz w:val="22"/>
          <w:szCs w:val="22"/>
        </w:rPr>
        <w:lastRenderedPageBreak/>
        <w:t>Alt1-1: the ref amplitude = 0 reserved in R16 can be replaced with a new value.</w:t>
      </w:r>
    </w:p>
    <w:p w14:paraId="6B098DB5" w14:textId="77777777" w:rsidR="004F02E1" w:rsidRPr="004F02E1" w:rsidRDefault="004F02E1" w:rsidP="004F02E1">
      <w:pPr>
        <w:numPr>
          <w:ilvl w:val="0"/>
          <w:numId w:val="32"/>
        </w:numPr>
        <w:shd w:val="clear" w:color="auto" w:fill="FFFFFF"/>
        <w:rPr>
          <w:sz w:val="22"/>
          <w:szCs w:val="22"/>
        </w:rPr>
      </w:pPr>
      <w:r w:rsidRPr="004F02E1">
        <w:rPr>
          <w:sz w:val="22"/>
          <w:szCs w:val="22"/>
        </w:rPr>
        <w:t>Alt2: Individual amplitude (e.g. 3 bits) and phase (e.g. 16PSK) quantization for each non-zero coefficient</w:t>
      </w:r>
    </w:p>
    <w:p w14:paraId="688E3C1B" w14:textId="77777777" w:rsidR="004F02E1" w:rsidRPr="004F02E1" w:rsidRDefault="004F02E1" w:rsidP="004F02E1">
      <w:pPr>
        <w:numPr>
          <w:ilvl w:val="1"/>
          <w:numId w:val="32"/>
        </w:numPr>
        <w:shd w:val="clear" w:color="auto" w:fill="FFFFFF"/>
        <w:rPr>
          <w:sz w:val="22"/>
          <w:szCs w:val="22"/>
        </w:rPr>
      </w:pPr>
      <w:r w:rsidRPr="004F02E1">
        <w:rPr>
          <w:sz w:val="22"/>
          <w:szCs w:val="22"/>
        </w:rPr>
        <w:t>FFS: amplitude codebook is uniform in db or linear scale</w:t>
      </w:r>
    </w:p>
    <w:p w14:paraId="33A4D29E" w14:textId="77777777" w:rsidR="004F02E1" w:rsidRPr="004F02E1" w:rsidRDefault="004F02E1" w:rsidP="004F02E1">
      <w:pPr>
        <w:numPr>
          <w:ilvl w:val="0"/>
          <w:numId w:val="32"/>
        </w:numPr>
        <w:shd w:val="clear" w:color="auto" w:fill="FFFFFF"/>
        <w:rPr>
          <w:color w:val="FF0000"/>
          <w:sz w:val="22"/>
          <w:szCs w:val="22"/>
        </w:rPr>
      </w:pPr>
      <w:r w:rsidRPr="004F02E1">
        <w:rPr>
          <w:color w:val="FF0000"/>
          <w:sz w:val="22"/>
          <w:szCs w:val="22"/>
        </w:rPr>
        <w:t>Alt2-1: ref amp (e.g. 4 bits), Individual amplitude (e.g. 3 bits) and phase (e.g. 16PSK) quantization for each non-zero coefficient</w:t>
      </w:r>
    </w:p>
    <w:p w14:paraId="5530C612" w14:textId="77777777" w:rsidR="004F02E1" w:rsidRPr="004F02E1" w:rsidRDefault="004F02E1" w:rsidP="004F02E1">
      <w:pPr>
        <w:numPr>
          <w:ilvl w:val="1"/>
          <w:numId w:val="32"/>
        </w:numPr>
        <w:shd w:val="clear" w:color="auto" w:fill="FFFFFF"/>
        <w:rPr>
          <w:color w:val="FF0000"/>
          <w:sz w:val="22"/>
          <w:szCs w:val="22"/>
        </w:rPr>
      </w:pPr>
      <w:r w:rsidRPr="004F02E1">
        <w:rPr>
          <w:color w:val="FF0000"/>
          <w:sz w:val="22"/>
          <w:szCs w:val="22"/>
        </w:rPr>
        <w:t>FFS: amplitude codebook is uniform in db or linear scale</w:t>
      </w:r>
    </w:p>
    <w:p w14:paraId="4B2B961A" w14:textId="77777777" w:rsidR="004F02E1" w:rsidRPr="004F02E1" w:rsidRDefault="004F02E1" w:rsidP="004F02E1">
      <w:pPr>
        <w:numPr>
          <w:ilvl w:val="1"/>
          <w:numId w:val="32"/>
        </w:numPr>
        <w:shd w:val="clear" w:color="auto" w:fill="FFFFFF"/>
        <w:rPr>
          <w:color w:val="FF0000"/>
          <w:sz w:val="22"/>
          <w:szCs w:val="22"/>
        </w:rPr>
      </w:pPr>
      <w:r w:rsidRPr="004F02E1">
        <w:rPr>
          <w:color w:val="FF0000"/>
          <w:sz w:val="22"/>
          <w:szCs w:val="22"/>
        </w:rPr>
        <w:t>FFS: reference amplitude is polarization specific or polarization common, and corresponding codebook</w:t>
      </w:r>
    </w:p>
    <w:p w14:paraId="622A3D0F" w14:textId="77777777" w:rsidR="004F02E1" w:rsidRPr="004F02E1" w:rsidRDefault="004F02E1" w:rsidP="004F02E1">
      <w:pPr>
        <w:numPr>
          <w:ilvl w:val="0"/>
          <w:numId w:val="32"/>
        </w:numPr>
        <w:shd w:val="clear" w:color="auto" w:fill="FFFFFF"/>
        <w:rPr>
          <w:sz w:val="22"/>
          <w:szCs w:val="22"/>
        </w:rPr>
      </w:pPr>
      <w:r w:rsidRPr="004F02E1">
        <w:rPr>
          <w:sz w:val="22"/>
          <w:szCs w:val="22"/>
        </w:rPr>
        <w:t>Note: Other quantization schemes or enhancement on top of Alt 1 or Alt 2 are not precluded.</w:t>
      </w:r>
    </w:p>
    <w:p w14:paraId="09754B95" w14:textId="77777777" w:rsidR="004F02E1" w:rsidRPr="004F02E1" w:rsidRDefault="004F02E1" w:rsidP="004F02E1">
      <w:pPr>
        <w:shd w:val="clear" w:color="auto" w:fill="FFFFFF"/>
        <w:rPr>
          <w:rFonts w:ascii="Segoe UI" w:eastAsia="SimSun" w:hAnsi="Segoe UI" w:cs="Segoe UI"/>
          <w:b/>
          <w:bCs/>
          <w:i/>
          <w:iCs/>
          <w:color w:val="354052"/>
          <w:sz w:val="22"/>
          <w:szCs w:val="22"/>
        </w:rPr>
      </w:pPr>
    </w:p>
    <w:p w14:paraId="73E15284" w14:textId="77777777" w:rsidR="004F02E1" w:rsidRPr="00380FBA" w:rsidRDefault="004F02E1" w:rsidP="004F02E1">
      <w:pPr>
        <w:shd w:val="clear" w:color="auto" w:fill="FFFFFF"/>
        <w:rPr>
          <w:bCs/>
          <w:sz w:val="22"/>
          <w:szCs w:val="22"/>
        </w:rPr>
      </w:pPr>
      <w:r w:rsidRPr="004F02E1">
        <w:rPr>
          <w:b/>
          <w:bCs/>
          <w:sz w:val="22"/>
          <w:szCs w:val="22"/>
        </w:rPr>
        <w:t xml:space="preserve">Proposal 10: </w:t>
      </w:r>
      <w:r w:rsidRPr="00380FBA">
        <w:rPr>
          <w:bCs/>
          <w:sz w:val="22"/>
          <w:szCs w:val="22"/>
        </w:rPr>
        <w:t>For PS codebook enhancements utilizing DL/UL reciprocity of angle and/or delay, down-select ONE option for CSI-RS configurations associated with Rel-17 PS codebook, from Option 0 (No further enhancement), Option 1 (i.e. lower CSI-RS density) and Option 3 (i.e. configuring multiple CSI-RS resources)</w:t>
      </w:r>
    </w:p>
    <w:p w14:paraId="2627856B" w14:textId="77777777" w:rsidR="004F02E1" w:rsidRPr="00380FBA" w:rsidRDefault="004F02E1" w:rsidP="004F02E1">
      <w:pPr>
        <w:numPr>
          <w:ilvl w:val="0"/>
          <w:numId w:val="32"/>
        </w:numPr>
        <w:shd w:val="clear" w:color="auto" w:fill="FFFFFF"/>
      </w:pPr>
      <w:r w:rsidRPr="00380FBA">
        <w:rPr>
          <w:sz w:val="22"/>
          <w:szCs w:val="22"/>
        </w:rPr>
        <w:t>If there is no consensus in RAN1 105e, Option 0 is by default.</w:t>
      </w:r>
    </w:p>
    <w:p w14:paraId="4D679961" w14:textId="77777777" w:rsidR="004F02E1" w:rsidRPr="00D67CE4" w:rsidRDefault="004F02E1" w:rsidP="000D6371">
      <w:pPr>
        <w:jc w:val="both"/>
        <w:rPr>
          <w:rFonts w:ascii="Times New Roman" w:hAnsi="Times New Roman"/>
          <w:b/>
          <w:i/>
          <w:sz w:val="22"/>
          <w:szCs w:val="22"/>
        </w:rPr>
      </w:pPr>
    </w:p>
    <w:sectPr w:rsidR="004F02E1" w:rsidRPr="00D67C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4E57E" w14:textId="77777777" w:rsidR="005C4F68" w:rsidRDefault="005C4F68" w:rsidP="004C69A4">
      <w:r>
        <w:separator/>
      </w:r>
    </w:p>
  </w:endnote>
  <w:endnote w:type="continuationSeparator" w:id="0">
    <w:p w14:paraId="73702B5A" w14:textId="77777777" w:rsidR="005C4F68" w:rsidRDefault="005C4F68" w:rsidP="004C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E7373" w14:textId="77777777" w:rsidR="005C4F68" w:rsidRDefault="005C4F68" w:rsidP="004C69A4">
      <w:r>
        <w:separator/>
      </w:r>
    </w:p>
  </w:footnote>
  <w:footnote w:type="continuationSeparator" w:id="0">
    <w:p w14:paraId="65F1F5D2" w14:textId="77777777" w:rsidR="005C4F68" w:rsidRDefault="005C4F68" w:rsidP="004C6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EBE"/>
    <w:multiLevelType w:val="hybridMultilevel"/>
    <w:tmpl w:val="56C8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0F3A"/>
    <w:multiLevelType w:val="multilevel"/>
    <w:tmpl w:val="A4B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7368A"/>
    <w:multiLevelType w:val="multilevel"/>
    <w:tmpl w:val="10B0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168"/>
    <w:multiLevelType w:val="hybridMultilevel"/>
    <w:tmpl w:val="862C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D6224"/>
    <w:multiLevelType w:val="hybridMultilevel"/>
    <w:tmpl w:val="FA32E8AC"/>
    <w:lvl w:ilvl="0" w:tplc="6ED6851C">
      <w:start w:val="5"/>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4282F"/>
    <w:multiLevelType w:val="hybridMultilevel"/>
    <w:tmpl w:val="1758F8B6"/>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AF37A6"/>
    <w:multiLevelType w:val="multilevel"/>
    <w:tmpl w:val="404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F03C8"/>
    <w:multiLevelType w:val="multilevel"/>
    <w:tmpl w:val="6194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B27B9"/>
    <w:multiLevelType w:val="hybridMultilevel"/>
    <w:tmpl w:val="387C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A3B28"/>
    <w:multiLevelType w:val="multilevel"/>
    <w:tmpl w:val="436E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B7749"/>
    <w:multiLevelType w:val="hybridMultilevel"/>
    <w:tmpl w:val="F0C8D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3045D"/>
    <w:multiLevelType w:val="hybridMultilevel"/>
    <w:tmpl w:val="360AAEF2"/>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2ACF7CA1"/>
    <w:multiLevelType w:val="hybridMultilevel"/>
    <w:tmpl w:val="EBC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130A6"/>
    <w:multiLevelType w:val="hybridMultilevel"/>
    <w:tmpl w:val="FC12FD68"/>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2084ECA4">
      <w:numFmt w:val="bullet"/>
      <w:lvlText w:val="•"/>
      <w:lvlJc w:val="left"/>
      <w:pPr>
        <w:ind w:left="1980" w:hanging="420"/>
      </w:pPr>
      <w:rPr>
        <w:rFonts w:ascii="Times New Roman" w:eastAsia="SimSun" w:hAnsi="Times New Roman" w:cs="Times New Roman"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46B7A"/>
    <w:multiLevelType w:val="multilevel"/>
    <w:tmpl w:val="F456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94BA0"/>
    <w:multiLevelType w:val="hybridMultilevel"/>
    <w:tmpl w:val="7C8C9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4CC0EA0"/>
    <w:multiLevelType w:val="hybridMultilevel"/>
    <w:tmpl w:val="89888AB0"/>
    <w:lvl w:ilvl="0" w:tplc="04090001">
      <w:start w:val="1"/>
      <w:numFmt w:val="bullet"/>
      <w:lvlText w:val=""/>
      <w:lvlJc w:val="left"/>
      <w:pPr>
        <w:ind w:left="1140" w:hanging="420"/>
      </w:pPr>
      <w:rPr>
        <w:rFonts w:ascii="Symbol" w:hAnsi="Symbol" w:hint="default"/>
      </w:rPr>
    </w:lvl>
    <w:lvl w:ilvl="1" w:tplc="08090003">
      <w:start w:val="1"/>
      <w:numFmt w:val="bullet"/>
      <w:lvlText w:val="o"/>
      <w:lvlJc w:val="left"/>
      <w:pPr>
        <w:ind w:left="1560" w:hanging="420"/>
      </w:pPr>
      <w:rPr>
        <w:rFonts w:ascii="Courier New" w:hAnsi="Courier New" w:cs="Courier New"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492E1ECA"/>
    <w:multiLevelType w:val="multilevel"/>
    <w:tmpl w:val="B06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E0CF1"/>
    <w:multiLevelType w:val="multilevel"/>
    <w:tmpl w:val="639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762E3"/>
    <w:multiLevelType w:val="hybridMultilevel"/>
    <w:tmpl w:val="1A9A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B5FB5"/>
    <w:multiLevelType w:val="multilevel"/>
    <w:tmpl w:val="D77E8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75A3F"/>
    <w:multiLevelType w:val="multilevel"/>
    <w:tmpl w:val="F28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02545"/>
    <w:multiLevelType w:val="hybridMultilevel"/>
    <w:tmpl w:val="5FA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C13E0"/>
    <w:multiLevelType w:val="multilevel"/>
    <w:tmpl w:val="41A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F3FDA"/>
    <w:multiLevelType w:val="multilevel"/>
    <w:tmpl w:val="8640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74F65"/>
    <w:multiLevelType w:val="hybridMultilevel"/>
    <w:tmpl w:val="3816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B3C74"/>
    <w:multiLevelType w:val="multilevel"/>
    <w:tmpl w:val="F70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07E88"/>
    <w:multiLevelType w:val="multilevel"/>
    <w:tmpl w:val="FA5AE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64AAA"/>
    <w:multiLevelType w:val="multilevel"/>
    <w:tmpl w:val="39E6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1"/>
  </w:num>
  <w:num w:numId="3">
    <w:abstractNumId w:val="11"/>
  </w:num>
  <w:num w:numId="4">
    <w:abstractNumId w:val="12"/>
  </w:num>
  <w:num w:numId="5">
    <w:abstractNumId w:val="16"/>
  </w:num>
  <w:num w:numId="6">
    <w:abstractNumId w:val="13"/>
  </w:num>
  <w:num w:numId="7">
    <w:abstractNumId w:val="15"/>
  </w:num>
  <w:num w:numId="8">
    <w:abstractNumId w:val="24"/>
  </w:num>
  <w:num w:numId="9">
    <w:abstractNumId w:val="3"/>
  </w:num>
  <w:num w:numId="10">
    <w:abstractNumId w:val="20"/>
  </w:num>
  <w:num w:numId="11">
    <w:abstractNumId w:val="5"/>
  </w:num>
  <w:num w:numId="12">
    <w:abstractNumId w:val="2"/>
  </w:num>
  <w:num w:numId="13">
    <w:abstractNumId w:val="33"/>
  </w:num>
  <w:num w:numId="14">
    <w:abstractNumId w:val="10"/>
  </w:num>
  <w:num w:numId="15">
    <w:abstractNumId w:val="6"/>
  </w:num>
  <w:num w:numId="16">
    <w:abstractNumId w:val="21"/>
  </w:num>
  <w:num w:numId="17">
    <w:abstractNumId w:val="14"/>
  </w:num>
  <w:num w:numId="18">
    <w:abstractNumId w:val="27"/>
  </w:num>
  <w:num w:numId="19">
    <w:abstractNumId w:val="29"/>
  </w:num>
  <w:num w:numId="20">
    <w:abstractNumId w:val="7"/>
  </w:num>
  <w:num w:numId="21">
    <w:abstractNumId w:val="30"/>
  </w:num>
  <w:num w:numId="22">
    <w:abstractNumId w:val="19"/>
  </w:num>
  <w:num w:numId="23">
    <w:abstractNumId w:val="1"/>
  </w:num>
  <w:num w:numId="24">
    <w:abstractNumId w:val="23"/>
  </w:num>
  <w:num w:numId="25">
    <w:abstractNumId w:val="32"/>
  </w:num>
  <w:num w:numId="26">
    <w:abstractNumId w:val="34"/>
  </w:num>
  <w:num w:numId="27">
    <w:abstractNumId w:val="0"/>
  </w:num>
  <w:num w:numId="28">
    <w:abstractNumId w:val="8"/>
  </w:num>
  <w:num w:numId="29">
    <w:abstractNumId w:val="17"/>
  </w:num>
  <w:num w:numId="30">
    <w:abstractNumId w:val="26"/>
  </w:num>
  <w:num w:numId="31">
    <w:abstractNumId w:val="28"/>
  </w:num>
  <w:num w:numId="32">
    <w:abstractNumId w:val="25"/>
  </w:num>
  <w:num w:numId="33">
    <w:abstractNumId w:val="22"/>
  </w:num>
  <w:num w:numId="34">
    <w:abstractNumId w:val="18"/>
  </w:num>
  <w:num w:numId="35">
    <w:abstractNumId w:val="9"/>
  </w:num>
  <w:num w:numId="36">
    <w:abstractNumId w:val="27"/>
    <w:lvlOverride w:ilvl="0"/>
    <w:lvlOverride w:ilvl="1"/>
    <w:lvlOverride w:ilvl="2"/>
    <w:lvlOverride w:ilvl="3"/>
    <w:lvlOverride w:ilvl="4"/>
    <w:lvlOverride w:ilvl="5"/>
    <w:lvlOverride w:ilvl="6"/>
    <w:lvlOverride w:ilvl="7"/>
    <w:lvlOverride w:ilvl="8"/>
  </w:num>
  <w:num w:numId="37">
    <w:abstractNumId w:val="16"/>
    <w:lvlOverride w:ilvl="0"/>
    <w:lvlOverride w:ilvl="1"/>
    <w:lvlOverride w:ilvl="2"/>
    <w:lvlOverride w:ilvl="3"/>
    <w:lvlOverride w:ilvl="4"/>
    <w:lvlOverride w:ilvl="5"/>
    <w:lvlOverride w:ilvl="6"/>
    <w:lvlOverride w:ilvl="7"/>
    <w:lvlOverride w:ilvl="8"/>
  </w:num>
  <w:num w:numId="38">
    <w:abstractNumId w:val="29"/>
    <w:lvlOverride w:ilvl="0"/>
    <w:lvlOverride w:ilvl="1"/>
    <w:lvlOverride w:ilvl="2"/>
    <w:lvlOverride w:ilvl="3"/>
    <w:lvlOverride w:ilvl="4"/>
    <w:lvlOverride w:ilvl="5"/>
    <w:lvlOverride w:ilvl="6"/>
    <w:lvlOverride w:ilvl="7"/>
    <w:lvlOverride w:ilvl="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17"/>
    <w:rsid w:val="0000010D"/>
    <w:rsid w:val="000015CF"/>
    <w:rsid w:val="000031F7"/>
    <w:rsid w:val="0000664D"/>
    <w:rsid w:val="00014976"/>
    <w:rsid w:val="00016BF2"/>
    <w:rsid w:val="00024C7B"/>
    <w:rsid w:val="00026EF8"/>
    <w:rsid w:val="000271AB"/>
    <w:rsid w:val="0003601D"/>
    <w:rsid w:val="00036F5F"/>
    <w:rsid w:val="00040679"/>
    <w:rsid w:val="0004447B"/>
    <w:rsid w:val="00045DBA"/>
    <w:rsid w:val="000479B2"/>
    <w:rsid w:val="00050CE0"/>
    <w:rsid w:val="0005199B"/>
    <w:rsid w:val="00053048"/>
    <w:rsid w:val="0005388A"/>
    <w:rsid w:val="00053F9C"/>
    <w:rsid w:val="00056134"/>
    <w:rsid w:val="000721C8"/>
    <w:rsid w:val="00076545"/>
    <w:rsid w:val="00081516"/>
    <w:rsid w:val="000822BA"/>
    <w:rsid w:val="00082FB0"/>
    <w:rsid w:val="00086ED0"/>
    <w:rsid w:val="000960F5"/>
    <w:rsid w:val="00097C4E"/>
    <w:rsid w:val="000A08E8"/>
    <w:rsid w:val="000A4031"/>
    <w:rsid w:val="000A7442"/>
    <w:rsid w:val="000B3543"/>
    <w:rsid w:val="000B40CB"/>
    <w:rsid w:val="000B5659"/>
    <w:rsid w:val="000B5812"/>
    <w:rsid w:val="000C440B"/>
    <w:rsid w:val="000C54BD"/>
    <w:rsid w:val="000D3416"/>
    <w:rsid w:val="000D4F11"/>
    <w:rsid w:val="000D6371"/>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244C"/>
    <w:rsid w:val="0013567C"/>
    <w:rsid w:val="00142346"/>
    <w:rsid w:val="001430A6"/>
    <w:rsid w:val="00144C13"/>
    <w:rsid w:val="00146135"/>
    <w:rsid w:val="00150546"/>
    <w:rsid w:val="00153072"/>
    <w:rsid w:val="0015732B"/>
    <w:rsid w:val="0015765E"/>
    <w:rsid w:val="0016000B"/>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D3D9C"/>
    <w:rsid w:val="001D7FD7"/>
    <w:rsid w:val="001E1167"/>
    <w:rsid w:val="001E2120"/>
    <w:rsid w:val="001E345F"/>
    <w:rsid w:val="001E3A3D"/>
    <w:rsid w:val="001F118D"/>
    <w:rsid w:val="001F37AD"/>
    <w:rsid w:val="0020246A"/>
    <w:rsid w:val="00210619"/>
    <w:rsid w:val="00211AE9"/>
    <w:rsid w:val="00213615"/>
    <w:rsid w:val="002142D0"/>
    <w:rsid w:val="00214B46"/>
    <w:rsid w:val="002170AE"/>
    <w:rsid w:val="00220CFA"/>
    <w:rsid w:val="00221DF1"/>
    <w:rsid w:val="00225604"/>
    <w:rsid w:val="002260A3"/>
    <w:rsid w:val="002263C4"/>
    <w:rsid w:val="00226843"/>
    <w:rsid w:val="00232444"/>
    <w:rsid w:val="00232D97"/>
    <w:rsid w:val="00233880"/>
    <w:rsid w:val="00240BD9"/>
    <w:rsid w:val="00245957"/>
    <w:rsid w:val="00245C31"/>
    <w:rsid w:val="00246CE7"/>
    <w:rsid w:val="0024704D"/>
    <w:rsid w:val="00247273"/>
    <w:rsid w:val="00250EF6"/>
    <w:rsid w:val="00252B87"/>
    <w:rsid w:val="002559CC"/>
    <w:rsid w:val="0025765E"/>
    <w:rsid w:val="00260FB5"/>
    <w:rsid w:val="00261005"/>
    <w:rsid w:val="002618FD"/>
    <w:rsid w:val="00264D43"/>
    <w:rsid w:val="00270390"/>
    <w:rsid w:val="00270E9B"/>
    <w:rsid w:val="002727FE"/>
    <w:rsid w:val="002749F8"/>
    <w:rsid w:val="00276587"/>
    <w:rsid w:val="00283098"/>
    <w:rsid w:val="00284136"/>
    <w:rsid w:val="002A0F2D"/>
    <w:rsid w:val="002A280E"/>
    <w:rsid w:val="002A2B3C"/>
    <w:rsid w:val="002A5544"/>
    <w:rsid w:val="002A6CDE"/>
    <w:rsid w:val="002A7098"/>
    <w:rsid w:val="002B175B"/>
    <w:rsid w:val="002B38B6"/>
    <w:rsid w:val="002B66B0"/>
    <w:rsid w:val="002B6FCE"/>
    <w:rsid w:val="002C0FE2"/>
    <w:rsid w:val="002D2628"/>
    <w:rsid w:val="002D281F"/>
    <w:rsid w:val="002D2C18"/>
    <w:rsid w:val="002D3DF5"/>
    <w:rsid w:val="002D7842"/>
    <w:rsid w:val="002E0B53"/>
    <w:rsid w:val="002E30CC"/>
    <w:rsid w:val="002E4BFA"/>
    <w:rsid w:val="002E7DD4"/>
    <w:rsid w:val="002F25CB"/>
    <w:rsid w:val="002F3AE0"/>
    <w:rsid w:val="002F3F8A"/>
    <w:rsid w:val="002F4F31"/>
    <w:rsid w:val="002F76A4"/>
    <w:rsid w:val="00302DD3"/>
    <w:rsid w:val="00303DDC"/>
    <w:rsid w:val="003058A7"/>
    <w:rsid w:val="003059A1"/>
    <w:rsid w:val="00306B5D"/>
    <w:rsid w:val="003127D7"/>
    <w:rsid w:val="00315D62"/>
    <w:rsid w:val="0031725E"/>
    <w:rsid w:val="00317B25"/>
    <w:rsid w:val="00320662"/>
    <w:rsid w:val="003235D3"/>
    <w:rsid w:val="003244ED"/>
    <w:rsid w:val="003301B8"/>
    <w:rsid w:val="00331CDA"/>
    <w:rsid w:val="003321AF"/>
    <w:rsid w:val="00333399"/>
    <w:rsid w:val="00334418"/>
    <w:rsid w:val="00335851"/>
    <w:rsid w:val="003434AE"/>
    <w:rsid w:val="00345B2B"/>
    <w:rsid w:val="0034686B"/>
    <w:rsid w:val="00346C56"/>
    <w:rsid w:val="00347BEF"/>
    <w:rsid w:val="00350EC7"/>
    <w:rsid w:val="0035109B"/>
    <w:rsid w:val="003552D3"/>
    <w:rsid w:val="00356E24"/>
    <w:rsid w:val="00361E73"/>
    <w:rsid w:val="00367746"/>
    <w:rsid w:val="003718BF"/>
    <w:rsid w:val="00374E86"/>
    <w:rsid w:val="003767B9"/>
    <w:rsid w:val="00380FBA"/>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26D"/>
    <w:rsid w:val="003F1384"/>
    <w:rsid w:val="003F55C6"/>
    <w:rsid w:val="003F5FD7"/>
    <w:rsid w:val="0040147D"/>
    <w:rsid w:val="00403E57"/>
    <w:rsid w:val="00405E47"/>
    <w:rsid w:val="00406E43"/>
    <w:rsid w:val="00410433"/>
    <w:rsid w:val="0041083E"/>
    <w:rsid w:val="00411B99"/>
    <w:rsid w:val="00417E4E"/>
    <w:rsid w:val="00426040"/>
    <w:rsid w:val="00427EAA"/>
    <w:rsid w:val="00430965"/>
    <w:rsid w:val="00432004"/>
    <w:rsid w:val="00432A21"/>
    <w:rsid w:val="00435974"/>
    <w:rsid w:val="00437EA3"/>
    <w:rsid w:val="004453CF"/>
    <w:rsid w:val="004472A3"/>
    <w:rsid w:val="00451F79"/>
    <w:rsid w:val="00452DE8"/>
    <w:rsid w:val="004536C6"/>
    <w:rsid w:val="00455614"/>
    <w:rsid w:val="0046283D"/>
    <w:rsid w:val="00462CBC"/>
    <w:rsid w:val="0046304B"/>
    <w:rsid w:val="0046450E"/>
    <w:rsid w:val="0046531D"/>
    <w:rsid w:val="00466583"/>
    <w:rsid w:val="004667AF"/>
    <w:rsid w:val="004723C3"/>
    <w:rsid w:val="004733B6"/>
    <w:rsid w:val="00474AC5"/>
    <w:rsid w:val="0047612C"/>
    <w:rsid w:val="00477B7F"/>
    <w:rsid w:val="00477C87"/>
    <w:rsid w:val="004856E9"/>
    <w:rsid w:val="004857F3"/>
    <w:rsid w:val="004868BB"/>
    <w:rsid w:val="00487C5E"/>
    <w:rsid w:val="00487D7A"/>
    <w:rsid w:val="004904AE"/>
    <w:rsid w:val="00490F74"/>
    <w:rsid w:val="004916F8"/>
    <w:rsid w:val="00493B9C"/>
    <w:rsid w:val="00495533"/>
    <w:rsid w:val="0049564B"/>
    <w:rsid w:val="00497302"/>
    <w:rsid w:val="004A0034"/>
    <w:rsid w:val="004A1C88"/>
    <w:rsid w:val="004A33DC"/>
    <w:rsid w:val="004A5201"/>
    <w:rsid w:val="004B01F9"/>
    <w:rsid w:val="004B4E33"/>
    <w:rsid w:val="004B5924"/>
    <w:rsid w:val="004B6D7D"/>
    <w:rsid w:val="004C69A4"/>
    <w:rsid w:val="004C7C33"/>
    <w:rsid w:val="004C7E66"/>
    <w:rsid w:val="004D42F8"/>
    <w:rsid w:val="004D7669"/>
    <w:rsid w:val="004E6170"/>
    <w:rsid w:val="004F02E1"/>
    <w:rsid w:val="004F3541"/>
    <w:rsid w:val="004F3EDE"/>
    <w:rsid w:val="004F4B9B"/>
    <w:rsid w:val="004F56E8"/>
    <w:rsid w:val="004F5EEB"/>
    <w:rsid w:val="004F5EF2"/>
    <w:rsid w:val="004F5F4A"/>
    <w:rsid w:val="004F6BFD"/>
    <w:rsid w:val="004F754A"/>
    <w:rsid w:val="004F7C0A"/>
    <w:rsid w:val="005007AA"/>
    <w:rsid w:val="00502DE2"/>
    <w:rsid w:val="0050576C"/>
    <w:rsid w:val="00506DEF"/>
    <w:rsid w:val="005111CF"/>
    <w:rsid w:val="005124EB"/>
    <w:rsid w:val="005126FD"/>
    <w:rsid w:val="00514983"/>
    <w:rsid w:val="00520712"/>
    <w:rsid w:val="0052118E"/>
    <w:rsid w:val="00536BD1"/>
    <w:rsid w:val="005536D2"/>
    <w:rsid w:val="00554148"/>
    <w:rsid w:val="00554D24"/>
    <w:rsid w:val="005609CF"/>
    <w:rsid w:val="0056671F"/>
    <w:rsid w:val="00567247"/>
    <w:rsid w:val="005701FA"/>
    <w:rsid w:val="00571003"/>
    <w:rsid w:val="00577946"/>
    <w:rsid w:val="00580ABA"/>
    <w:rsid w:val="00581BBB"/>
    <w:rsid w:val="00591EDD"/>
    <w:rsid w:val="00597197"/>
    <w:rsid w:val="005A275F"/>
    <w:rsid w:val="005A534B"/>
    <w:rsid w:val="005A55A4"/>
    <w:rsid w:val="005A570B"/>
    <w:rsid w:val="005A63F4"/>
    <w:rsid w:val="005B3CBF"/>
    <w:rsid w:val="005B5636"/>
    <w:rsid w:val="005C044A"/>
    <w:rsid w:val="005C0CB9"/>
    <w:rsid w:val="005C44E9"/>
    <w:rsid w:val="005C4F68"/>
    <w:rsid w:val="005C5CF5"/>
    <w:rsid w:val="005C5E77"/>
    <w:rsid w:val="005D10DB"/>
    <w:rsid w:val="005D1AF7"/>
    <w:rsid w:val="005D5299"/>
    <w:rsid w:val="005D5D10"/>
    <w:rsid w:val="005E3272"/>
    <w:rsid w:val="005F2066"/>
    <w:rsid w:val="005F29D8"/>
    <w:rsid w:val="005F491D"/>
    <w:rsid w:val="005F7258"/>
    <w:rsid w:val="00605317"/>
    <w:rsid w:val="00606AD0"/>
    <w:rsid w:val="006205A6"/>
    <w:rsid w:val="006213B8"/>
    <w:rsid w:val="00626AF7"/>
    <w:rsid w:val="00627D50"/>
    <w:rsid w:val="0063041E"/>
    <w:rsid w:val="00633EAF"/>
    <w:rsid w:val="00637F85"/>
    <w:rsid w:val="00644572"/>
    <w:rsid w:val="0064717B"/>
    <w:rsid w:val="0064768E"/>
    <w:rsid w:val="00651F89"/>
    <w:rsid w:val="0066100E"/>
    <w:rsid w:val="00666F6F"/>
    <w:rsid w:val="006729EC"/>
    <w:rsid w:val="006768B4"/>
    <w:rsid w:val="00684F24"/>
    <w:rsid w:val="006877CF"/>
    <w:rsid w:val="00690BA6"/>
    <w:rsid w:val="00693F61"/>
    <w:rsid w:val="00695B61"/>
    <w:rsid w:val="00696D71"/>
    <w:rsid w:val="006A0D5C"/>
    <w:rsid w:val="006A253F"/>
    <w:rsid w:val="006A4DBF"/>
    <w:rsid w:val="006A7529"/>
    <w:rsid w:val="006B0882"/>
    <w:rsid w:val="006B54FD"/>
    <w:rsid w:val="006B551D"/>
    <w:rsid w:val="006B5B43"/>
    <w:rsid w:val="006C0E38"/>
    <w:rsid w:val="006C3D3C"/>
    <w:rsid w:val="006C5CDF"/>
    <w:rsid w:val="006C729E"/>
    <w:rsid w:val="006C7BFD"/>
    <w:rsid w:val="006D0151"/>
    <w:rsid w:val="006D1839"/>
    <w:rsid w:val="006D33CA"/>
    <w:rsid w:val="006D3E25"/>
    <w:rsid w:val="006D6647"/>
    <w:rsid w:val="006D6885"/>
    <w:rsid w:val="006E166E"/>
    <w:rsid w:val="006E37FE"/>
    <w:rsid w:val="006E38F3"/>
    <w:rsid w:val="006F398D"/>
    <w:rsid w:val="006F78D1"/>
    <w:rsid w:val="00700900"/>
    <w:rsid w:val="00700F32"/>
    <w:rsid w:val="00701AE7"/>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087B"/>
    <w:rsid w:val="007522CA"/>
    <w:rsid w:val="0075628D"/>
    <w:rsid w:val="00763BEF"/>
    <w:rsid w:val="0078297E"/>
    <w:rsid w:val="007903BB"/>
    <w:rsid w:val="00790A86"/>
    <w:rsid w:val="00795A87"/>
    <w:rsid w:val="007967E5"/>
    <w:rsid w:val="007A1049"/>
    <w:rsid w:val="007A17EF"/>
    <w:rsid w:val="007A4049"/>
    <w:rsid w:val="007A6EC8"/>
    <w:rsid w:val="007A77C2"/>
    <w:rsid w:val="007B6F28"/>
    <w:rsid w:val="007B7141"/>
    <w:rsid w:val="007C2ACB"/>
    <w:rsid w:val="007C43F6"/>
    <w:rsid w:val="007C7426"/>
    <w:rsid w:val="007D0E8A"/>
    <w:rsid w:val="007D3196"/>
    <w:rsid w:val="007D4A70"/>
    <w:rsid w:val="007D4D20"/>
    <w:rsid w:val="007D7567"/>
    <w:rsid w:val="007E5989"/>
    <w:rsid w:val="007E6E5E"/>
    <w:rsid w:val="007F1D51"/>
    <w:rsid w:val="007F4173"/>
    <w:rsid w:val="007F4786"/>
    <w:rsid w:val="007F5C66"/>
    <w:rsid w:val="007F71A0"/>
    <w:rsid w:val="00800354"/>
    <w:rsid w:val="008018F6"/>
    <w:rsid w:val="00804309"/>
    <w:rsid w:val="008051CC"/>
    <w:rsid w:val="008055E9"/>
    <w:rsid w:val="00805D1F"/>
    <w:rsid w:val="00810853"/>
    <w:rsid w:val="008136FD"/>
    <w:rsid w:val="00814DB4"/>
    <w:rsid w:val="00814EF8"/>
    <w:rsid w:val="00822BF6"/>
    <w:rsid w:val="00831FE8"/>
    <w:rsid w:val="008407F3"/>
    <w:rsid w:val="008441C9"/>
    <w:rsid w:val="008461B9"/>
    <w:rsid w:val="008468C7"/>
    <w:rsid w:val="00852686"/>
    <w:rsid w:val="00852DFF"/>
    <w:rsid w:val="00855561"/>
    <w:rsid w:val="00870D88"/>
    <w:rsid w:val="00870FD1"/>
    <w:rsid w:val="00872312"/>
    <w:rsid w:val="0087470E"/>
    <w:rsid w:val="00877BB3"/>
    <w:rsid w:val="0088097C"/>
    <w:rsid w:val="008844E0"/>
    <w:rsid w:val="008A6FDD"/>
    <w:rsid w:val="008B13D8"/>
    <w:rsid w:val="008B3D51"/>
    <w:rsid w:val="008B4AE3"/>
    <w:rsid w:val="008C0A65"/>
    <w:rsid w:val="008C400C"/>
    <w:rsid w:val="008C614B"/>
    <w:rsid w:val="008D00F0"/>
    <w:rsid w:val="008D0279"/>
    <w:rsid w:val="008D271C"/>
    <w:rsid w:val="008D34B0"/>
    <w:rsid w:val="008D5A64"/>
    <w:rsid w:val="008D72E6"/>
    <w:rsid w:val="008E0BF1"/>
    <w:rsid w:val="008E1A70"/>
    <w:rsid w:val="008F2F45"/>
    <w:rsid w:val="008F33EC"/>
    <w:rsid w:val="00901DA5"/>
    <w:rsid w:val="00903745"/>
    <w:rsid w:val="00905D81"/>
    <w:rsid w:val="009104EE"/>
    <w:rsid w:val="00910CAD"/>
    <w:rsid w:val="009129A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815A5"/>
    <w:rsid w:val="0098307C"/>
    <w:rsid w:val="00983558"/>
    <w:rsid w:val="00983A9F"/>
    <w:rsid w:val="00987A87"/>
    <w:rsid w:val="00992FAF"/>
    <w:rsid w:val="009961FD"/>
    <w:rsid w:val="00996207"/>
    <w:rsid w:val="009A2237"/>
    <w:rsid w:val="009A23AB"/>
    <w:rsid w:val="009A4F7D"/>
    <w:rsid w:val="009A7A1B"/>
    <w:rsid w:val="009B0874"/>
    <w:rsid w:val="009B2343"/>
    <w:rsid w:val="009B45B5"/>
    <w:rsid w:val="009B4D52"/>
    <w:rsid w:val="009B5AFE"/>
    <w:rsid w:val="009B625C"/>
    <w:rsid w:val="009C17A5"/>
    <w:rsid w:val="009C618F"/>
    <w:rsid w:val="009D0F05"/>
    <w:rsid w:val="009D1880"/>
    <w:rsid w:val="009D2F34"/>
    <w:rsid w:val="009E0C69"/>
    <w:rsid w:val="009E6D84"/>
    <w:rsid w:val="009F3F8C"/>
    <w:rsid w:val="009F5A45"/>
    <w:rsid w:val="009F70AD"/>
    <w:rsid w:val="00A060F5"/>
    <w:rsid w:val="00A067BE"/>
    <w:rsid w:val="00A11D17"/>
    <w:rsid w:val="00A12BED"/>
    <w:rsid w:val="00A13BF6"/>
    <w:rsid w:val="00A14ECB"/>
    <w:rsid w:val="00A17E02"/>
    <w:rsid w:val="00A22825"/>
    <w:rsid w:val="00A31B9B"/>
    <w:rsid w:val="00A36FCB"/>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82CF2"/>
    <w:rsid w:val="00A874EB"/>
    <w:rsid w:val="00A87F17"/>
    <w:rsid w:val="00A922CA"/>
    <w:rsid w:val="00A96F27"/>
    <w:rsid w:val="00AA045B"/>
    <w:rsid w:val="00AA502C"/>
    <w:rsid w:val="00AA7DDA"/>
    <w:rsid w:val="00AB1B39"/>
    <w:rsid w:val="00AB32E3"/>
    <w:rsid w:val="00AB7FAE"/>
    <w:rsid w:val="00AC13ED"/>
    <w:rsid w:val="00AC1D0B"/>
    <w:rsid w:val="00AC4D73"/>
    <w:rsid w:val="00AD36AC"/>
    <w:rsid w:val="00AE02F6"/>
    <w:rsid w:val="00AE06AE"/>
    <w:rsid w:val="00AE06B2"/>
    <w:rsid w:val="00AE12C9"/>
    <w:rsid w:val="00AE6C34"/>
    <w:rsid w:val="00AF0FDE"/>
    <w:rsid w:val="00AF1607"/>
    <w:rsid w:val="00AF6ED8"/>
    <w:rsid w:val="00AF71D5"/>
    <w:rsid w:val="00B01BFB"/>
    <w:rsid w:val="00B0237C"/>
    <w:rsid w:val="00B16F0B"/>
    <w:rsid w:val="00B2037D"/>
    <w:rsid w:val="00B22B47"/>
    <w:rsid w:val="00B26536"/>
    <w:rsid w:val="00B2729C"/>
    <w:rsid w:val="00B321C4"/>
    <w:rsid w:val="00B32AD3"/>
    <w:rsid w:val="00B33A30"/>
    <w:rsid w:val="00B34701"/>
    <w:rsid w:val="00B409E4"/>
    <w:rsid w:val="00B41DBD"/>
    <w:rsid w:val="00B42817"/>
    <w:rsid w:val="00B45002"/>
    <w:rsid w:val="00B451C8"/>
    <w:rsid w:val="00B4561D"/>
    <w:rsid w:val="00B45D66"/>
    <w:rsid w:val="00B47191"/>
    <w:rsid w:val="00B5555A"/>
    <w:rsid w:val="00B60BD6"/>
    <w:rsid w:val="00B61A46"/>
    <w:rsid w:val="00B6236B"/>
    <w:rsid w:val="00B65AFE"/>
    <w:rsid w:val="00B71AFB"/>
    <w:rsid w:val="00B7495F"/>
    <w:rsid w:val="00B869BE"/>
    <w:rsid w:val="00B939B0"/>
    <w:rsid w:val="00BA4601"/>
    <w:rsid w:val="00BA4830"/>
    <w:rsid w:val="00BA4EF3"/>
    <w:rsid w:val="00BB0314"/>
    <w:rsid w:val="00BB0D29"/>
    <w:rsid w:val="00BB3026"/>
    <w:rsid w:val="00BB4200"/>
    <w:rsid w:val="00BB5B37"/>
    <w:rsid w:val="00BB7259"/>
    <w:rsid w:val="00BC5DEF"/>
    <w:rsid w:val="00BC603C"/>
    <w:rsid w:val="00BC6266"/>
    <w:rsid w:val="00BD0D54"/>
    <w:rsid w:val="00BD0EF5"/>
    <w:rsid w:val="00BD361F"/>
    <w:rsid w:val="00BD7D3F"/>
    <w:rsid w:val="00BE38EE"/>
    <w:rsid w:val="00BE75DC"/>
    <w:rsid w:val="00BE7826"/>
    <w:rsid w:val="00BF09FF"/>
    <w:rsid w:val="00BF3527"/>
    <w:rsid w:val="00BF5983"/>
    <w:rsid w:val="00BF6126"/>
    <w:rsid w:val="00BF7C42"/>
    <w:rsid w:val="00C01301"/>
    <w:rsid w:val="00C023C6"/>
    <w:rsid w:val="00C03C78"/>
    <w:rsid w:val="00C05706"/>
    <w:rsid w:val="00C0587E"/>
    <w:rsid w:val="00C07B5A"/>
    <w:rsid w:val="00C15BB4"/>
    <w:rsid w:val="00C17840"/>
    <w:rsid w:val="00C23B6F"/>
    <w:rsid w:val="00C32ACC"/>
    <w:rsid w:val="00C34503"/>
    <w:rsid w:val="00C35C0C"/>
    <w:rsid w:val="00C365B6"/>
    <w:rsid w:val="00C409EE"/>
    <w:rsid w:val="00C43EBF"/>
    <w:rsid w:val="00C44236"/>
    <w:rsid w:val="00C460E8"/>
    <w:rsid w:val="00C46F82"/>
    <w:rsid w:val="00C50109"/>
    <w:rsid w:val="00C526E1"/>
    <w:rsid w:val="00C529F6"/>
    <w:rsid w:val="00C543BD"/>
    <w:rsid w:val="00C57C45"/>
    <w:rsid w:val="00C60287"/>
    <w:rsid w:val="00C730D9"/>
    <w:rsid w:val="00C73151"/>
    <w:rsid w:val="00C82904"/>
    <w:rsid w:val="00C852B4"/>
    <w:rsid w:val="00C85842"/>
    <w:rsid w:val="00C86DC2"/>
    <w:rsid w:val="00C90095"/>
    <w:rsid w:val="00C90139"/>
    <w:rsid w:val="00C96B5A"/>
    <w:rsid w:val="00CA1720"/>
    <w:rsid w:val="00CA21AF"/>
    <w:rsid w:val="00CA674B"/>
    <w:rsid w:val="00CA6A14"/>
    <w:rsid w:val="00CC054C"/>
    <w:rsid w:val="00CC3449"/>
    <w:rsid w:val="00CC38C9"/>
    <w:rsid w:val="00CD1281"/>
    <w:rsid w:val="00CD270C"/>
    <w:rsid w:val="00CD413F"/>
    <w:rsid w:val="00CD4B89"/>
    <w:rsid w:val="00CD59D2"/>
    <w:rsid w:val="00CD6251"/>
    <w:rsid w:val="00CD638C"/>
    <w:rsid w:val="00CE0243"/>
    <w:rsid w:val="00CE3779"/>
    <w:rsid w:val="00CF54F8"/>
    <w:rsid w:val="00CF757D"/>
    <w:rsid w:val="00D00077"/>
    <w:rsid w:val="00D06722"/>
    <w:rsid w:val="00D0713F"/>
    <w:rsid w:val="00D10B5E"/>
    <w:rsid w:val="00D11D38"/>
    <w:rsid w:val="00D12D4E"/>
    <w:rsid w:val="00D1423F"/>
    <w:rsid w:val="00D15453"/>
    <w:rsid w:val="00D154B6"/>
    <w:rsid w:val="00D157FA"/>
    <w:rsid w:val="00D1773A"/>
    <w:rsid w:val="00D22B32"/>
    <w:rsid w:val="00D23EF2"/>
    <w:rsid w:val="00D24A71"/>
    <w:rsid w:val="00D30026"/>
    <w:rsid w:val="00D34734"/>
    <w:rsid w:val="00D3784F"/>
    <w:rsid w:val="00D37D8D"/>
    <w:rsid w:val="00D421D1"/>
    <w:rsid w:val="00D43FC3"/>
    <w:rsid w:val="00D5273D"/>
    <w:rsid w:val="00D567E8"/>
    <w:rsid w:val="00D646C4"/>
    <w:rsid w:val="00D67CE4"/>
    <w:rsid w:val="00D73BE5"/>
    <w:rsid w:val="00D752E2"/>
    <w:rsid w:val="00D80D22"/>
    <w:rsid w:val="00D81366"/>
    <w:rsid w:val="00D81A61"/>
    <w:rsid w:val="00D8653D"/>
    <w:rsid w:val="00D90887"/>
    <w:rsid w:val="00D91251"/>
    <w:rsid w:val="00DA1238"/>
    <w:rsid w:val="00DA3201"/>
    <w:rsid w:val="00DA6A3D"/>
    <w:rsid w:val="00DC0584"/>
    <w:rsid w:val="00DC35EC"/>
    <w:rsid w:val="00DC3779"/>
    <w:rsid w:val="00DC4688"/>
    <w:rsid w:val="00DD1FDC"/>
    <w:rsid w:val="00DD680C"/>
    <w:rsid w:val="00DE224A"/>
    <w:rsid w:val="00DE3DDD"/>
    <w:rsid w:val="00DE4D85"/>
    <w:rsid w:val="00DE6AD2"/>
    <w:rsid w:val="00DE7C0B"/>
    <w:rsid w:val="00E01D1C"/>
    <w:rsid w:val="00E042FC"/>
    <w:rsid w:val="00E20C62"/>
    <w:rsid w:val="00E222D7"/>
    <w:rsid w:val="00E25F65"/>
    <w:rsid w:val="00E26C3B"/>
    <w:rsid w:val="00E310C4"/>
    <w:rsid w:val="00E33396"/>
    <w:rsid w:val="00E406EA"/>
    <w:rsid w:val="00E44075"/>
    <w:rsid w:val="00E50DA1"/>
    <w:rsid w:val="00E55711"/>
    <w:rsid w:val="00E57F9D"/>
    <w:rsid w:val="00E63832"/>
    <w:rsid w:val="00E63E8C"/>
    <w:rsid w:val="00E651EB"/>
    <w:rsid w:val="00E655D7"/>
    <w:rsid w:val="00E70AA6"/>
    <w:rsid w:val="00E71E34"/>
    <w:rsid w:val="00E743C8"/>
    <w:rsid w:val="00E8036A"/>
    <w:rsid w:val="00E84379"/>
    <w:rsid w:val="00E93261"/>
    <w:rsid w:val="00E94807"/>
    <w:rsid w:val="00E96B3F"/>
    <w:rsid w:val="00EA1342"/>
    <w:rsid w:val="00EA33EE"/>
    <w:rsid w:val="00EA3AB2"/>
    <w:rsid w:val="00EA5332"/>
    <w:rsid w:val="00EA6698"/>
    <w:rsid w:val="00EB23AE"/>
    <w:rsid w:val="00EC0BDF"/>
    <w:rsid w:val="00EC223D"/>
    <w:rsid w:val="00EC321A"/>
    <w:rsid w:val="00EC3695"/>
    <w:rsid w:val="00ED02C3"/>
    <w:rsid w:val="00ED22F7"/>
    <w:rsid w:val="00ED27F3"/>
    <w:rsid w:val="00EE06EC"/>
    <w:rsid w:val="00EE24CD"/>
    <w:rsid w:val="00EE3489"/>
    <w:rsid w:val="00EE5CB8"/>
    <w:rsid w:val="00EE609D"/>
    <w:rsid w:val="00EF0DF9"/>
    <w:rsid w:val="00F068C9"/>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76080"/>
  <w15:chartTrackingRefBased/>
  <w15:docId w15:val="{AECD6393-AAB8-49EE-813D-39894BF7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D17"/>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7D4D20"/>
    <w:pPr>
      <w:widowControl w:val="0"/>
      <w:numPr>
        <w:numId w:val="10"/>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7D4D20"/>
    <w:pPr>
      <w:keepNext/>
      <w:widowControl w:val="0"/>
      <w:numPr>
        <w:ilvl w:val="1"/>
        <w:numId w:val="10"/>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7D4D20"/>
    <w:pPr>
      <w:keepNext/>
      <w:numPr>
        <w:ilvl w:val="2"/>
        <w:numId w:val="10"/>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7D4D20"/>
    <w:pPr>
      <w:numPr>
        <w:ilvl w:val="3"/>
      </w:numPr>
      <w:outlineLvl w:val="3"/>
    </w:pPr>
    <w:rPr>
      <w:i/>
    </w:rPr>
  </w:style>
  <w:style w:type="paragraph" w:styleId="Heading5">
    <w:name w:val="heading 5"/>
    <w:basedOn w:val="Heading4"/>
    <w:next w:val="Normal"/>
    <w:link w:val="Heading5Char"/>
    <w:uiPriority w:val="9"/>
    <w:qFormat/>
    <w:rsid w:val="007D4D20"/>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7D4D20"/>
    <w:pPr>
      <w:numPr>
        <w:ilvl w:val="5"/>
        <w:numId w:val="10"/>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7D4D20"/>
    <w:pPr>
      <w:numPr>
        <w:ilvl w:val="6"/>
        <w:numId w:val="10"/>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7D4D20"/>
    <w:pPr>
      <w:numPr>
        <w:ilvl w:val="7"/>
        <w:numId w:val="10"/>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7D4D20"/>
    <w:pPr>
      <w:numPr>
        <w:ilvl w:val="8"/>
        <w:numId w:val="10"/>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uiPriority w:val="39"/>
    <w:qFormat/>
    <w:rsid w:val="00A11D17"/>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表段落,列"/>
    <w:basedOn w:val="Normal"/>
    <w:link w:val="ListParagraphChar"/>
    <w:uiPriority w:val="34"/>
    <w:qFormat/>
    <w:rsid w:val="00A11D17"/>
    <w:pPr>
      <w:ind w:leftChars="400" w:left="840"/>
    </w:pPr>
    <w:rPr>
      <w:lang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rsid w:val="00A11D17"/>
    <w:rPr>
      <w:rFonts w:ascii="Times" w:eastAsia="Batang" w:hAnsi="Times" w:cs="Times New Roman"/>
      <w:sz w:val="20"/>
      <w:szCs w:val="24"/>
      <w:lang w:eastAsia="x-none"/>
    </w:rPr>
  </w:style>
  <w:style w:type="paragraph" w:styleId="NormalWeb">
    <w:name w:val="Normal (Web)"/>
    <w:basedOn w:val="Normal"/>
    <w:uiPriority w:val="99"/>
    <w:unhideWhenUsed/>
    <w:rsid w:val="002B38B6"/>
    <w:pPr>
      <w:spacing w:before="100" w:beforeAutospacing="1" w:after="100" w:afterAutospacing="1"/>
      <w:ind w:left="0" w:firstLine="0"/>
    </w:pPr>
    <w:rPr>
      <w:rFonts w:ascii="Times New Roman" w:eastAsia="Times New Roman" w:hAnsi="Times New Roman"/>
      <w:sz w:val="24"/>
      <w:lang w:eastAsia="zh-CN"/>
    </w:rPr>
  </w:style>
  <w:style w:type="character" w:styleId="Emphasis">
    <w:name w:val="Emphasis"/>
    <w:basedOn w:val="DefaultParagraphFont"/>
    <w:uiPriority w:val="20"/>
    <w:qFormat/>
    <w:rsid w:val="002B38B6"/>
    <w:rPr>
      <w:i/>
      <w:iCs/>
    </w:rPr>
  </w:style>
  <w:style w:type="character" w:customStyle="1" w:styleId="Heading1Char">
    <w:name w:val="Heading 1 Char"/>
    <w:basedOn w:val="DefaultParagraphFont"/>
    <w:uiPriority w:val="9"/>
    <w:rsid w:val="007D4D20"/>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7D4D20"/>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7D4D20"/>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7D4D20"/>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7D4D20"/>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7D4D20"/>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7D4D20"/>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7D4D20"/>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7D4D20"/>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7D4D20"/>
    <w:rPr>
      <w:rFonts w:ascii="Arial" w:eastAsia="Batang" w:hAnsi="Arial" w:cs="Times New Roman"/>
      <w:b/>
      <w:bCs/>
      <w:kern w:val="32"/>
      <w:sz w:val="32"/>
      <w:szCs w:val="32"/>
      <w:lang w:eastAsia="x-none"/>
    </w:rPr>
  </w:style>
  <w:style w:type="paragraph" w:styleId="Header">
    <w:name w:val="header"/>
    <w:basedOn w:val="Normal"/>
    <w:link w:val="HeaderChar"/>
    <w:uiPriority w:val="99"/>
    <w:unhideWhenUsed/>
    <w:rsid w:val="004C69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C69A4"/>
    <w:rPr>
      <w:rFonts w:ascii="Times" w:eastAsia="Batang" w:hAnsi="Times" w:cs="Times New Roman"/>
      <w:sz w:val="18"/>
      <w:szCs w:val="18"/>
      <w:lang w:eastAsia="en-US"/>
    </w:rPr>
  </w:style>
  <w:style w:type="paragraph" w:styleId="Footer">
    <w:name w:val="footer"/>
    <w:basedOn w:val="Normal"/>
    <w:link w:val="FooterChar"/>
    <w:uiPriority w:val="99"/>
    <w:unhideWhenUsed/>
    <w:rsid w:val="004C69A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C69A4"/>
    <w:rPr>
      <w:rFonts w:ascii="Times" w:eastAsia="Batang" w:hAnsi="Times" w:cs="Times New Roman"/>
      <w:sz w:val="18"/>
      <w:szCs w:val="18"/>
      <w:lang w:eastAsia="en-US"/>
    </w:rPr>
  </w:style>
  <w:style w:type="character" w:styleId="CommentReference">
    <w:name w:val="annotation reference"/>
    <w:basedOn w:val="DefaultParagraphFont"/>
    <w:uiPriority w:val="99"/>
    <w:semiHidden/>
    <w:unhideWhenUsed/>
    <w:rsid w:val="004C69A4"/>
    <w:rPr>
      <w:sz w:val="21"/>
      <w:szCs w:val="21"/>
    </w:rPr>
  </w:style>
  <w:style w:type="paragraph" w:styleId="CommentText">
    <w:name w:val="annotation text"/>
    <w:basedOn w:val="Normal"/>
    <w:link w:val="CommentTextChar"/>
    <w:uiPriority w:val="99"/>
    <w:semiHidden/>
    <w:unhideWhenUsed/>
    <w:rsid w:val="004C69A4"/>
  </w:style>
  <w:style w:type="character" w:customStyle="1" w:styleId="CommentTextChar">
    <w:name w:val="Comment Text Char"/>
    <w:basedOn w:val="DefaultParagraphFont"/>
    <w:link w:val="CommentText"/>
    <w:uiPriority w:val="99"/>
    <w:semiHidden/>
    <w:rsid w:val="004C69A4"/>
    <w:rPr>
      <w:rFonts w:ascii="Times" w:eastAsia="Batang" w:hAnsi="Times" w:cs="Times New Roman"/>
      <w:sz w:val="20"/>
      <w:szCs w:val="24"/>
      <w:lang w:eastAsia="en-US"/>
    </w:rPr>
  </w:style>
  <w:style w:type="paragraph" w:styleId="CommentSubject">
    <w:name w:val="annotation subject"/>
    <w:basedOn w:val="CommentText"/>
    <w:next w:val="CommentText"/>
    <w:link w:val="CommentSubjectChar"/>
    <w:uiPriority w:val="99"/>
    <w:semiHidden/>
    <w:unhideWhenUsed/>
    <w:rsid w:val="004C69A4"/>
    <w:rPr>
      <w:b/>
      <w:bCs/>
    </w:rPr>
  </w:style>
  <w:style w:type="character" w:customStyle="1" w:styleId="CommentSubjectChar">
    <w:name w:val="Comment Subject Char"/>
    <w:basedOn w:val="CommentTextChar"/>
    <w:link w:val="CommentSubject"/>
    <w:uiPriority w:val="99"/>
    <w:semiHidden/>
    <w:rsid w:val="004C69A4"/>
    <w:rPr>
      <w:rFonts w:ascii="Times" w:eastAsia="Batang" w:hAnsi="Times" w:cs="Times New Roman"/>
      <w:b/>
      <w:bCs/>
      <w:sz w:val="20"/>
      <w:szCs w:val="24"/>
      <w:lang w:eastAsia="en-US"/>
    </w:rPr>
  </w:style>
  <w:style w:type="paragraph" w:styleId="BalloonText">
    <w:name w:val="Balloon Text"/>
    <w:basedOn w:val="Normal"/>
    <w:link w:val="BalloonTextChar"/>
    <w:uiPriority w:val="99"/>
    <w:semiHidden/>
    <w:unhideWhenUsed/>
    <w:rsid w:val="004C69A4"/>
    <w:rPr>
      <w:sz w:val="18"/>
      <w:szCs w:val="18"/>
    </w:rPr>
  </w:style>
  <w:style w:type="character" w:customStyle="1" w:styleId="BalloonTextChar">
    <w:name w:val="Balloon Text Char"/>
    <w:basedOn w:val="DefaultParagraphFont"/>
    <w:link w:val="BalloonText"/>
    <w:uiPriority w:val="99"/>
    <w:semiHidden/>
    <w:rsid w:val="004C69A4"/>
    <w:rPr>
      <w:rFonts w:ascii="Times" w:eastAsia="Batang" w:hAnsi="Times" w:cs="Times New Roman"/>
      <w:sz w:val="18"/>
      <w:szCs w:val="18"/>
      <w:lang w:eastAsia="en-US"/>
    </w:rPr>
  </w:style>
  <w:style w:type="character" w:styleId="Strong">
    <w:name w:val="Strong"/>
    <w:basedOn w:val="DefaultParagraphFont"/>
    <w:uiPriority w:val="22"/>
    <w:qFormat/>
    <w:rsid w:val="0021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407">
      <w:bodyDiv w:val="1"/>
      <w:marLeft w:val="0"/>
      <w:marRight w:val="0"/>
      <w:marTop w:val="0"/>
      <w:marBottom w:val="0"/>
      <w:divBdr>
        <w:top w:val="none" w:sz="0" w:space="0" w:color="auto"/>
        <w:left w:val="none" w:sz="0" w:space="0" w:color="auto"/>
        <w:bottom w:val="none" w:sz="0" w:space="0" w:color="auto"/>
        <w:right w:val="none" w:sz="0" w:space="0" w:color="auto"/>
      </w:divBdr>
    </w:div>
    <w:div w:id="96758737">
      <w:bodyDiv w:val="1"/>
      <w:marLeft w:val="0"/>
      <w:marRight w:val="0"/>
      <w:marTop w:val="0"/>
      <w:marBottom w:val="0"/>
      <w:divBdr>
        <w:top w:val="none" w:sz="0" w:space="0" w:color="auto"/>
        <w:left w:val="none" w:sz="0" w:space="0" w:color="auto"/>
        <w:bottom w:val="none" w:sz="0" w:space="0" w:color="auto"/>
        <w:right w:val="none" w:sz="0" w:space="0" w:color="auto"/>
      </w:divBdr>
      <w:divsChild>
        <w:div w:id="1214584207">
          <w:marLeft w:val="0"/>
          <w:marRight w:val="0"/>
          <w:marTop w:val="0"/>
          <w:marBottom w:val="0"/>
          <w:divBdr>
            <w:top w:val="none" w:sz="0" w:space="0" w:color="auto"/>
            <w:left w:val="none" w:sz="0" w:space="0" w:color="auto"/>
            <w:bottom w:val="none" w:sz="0" w:space="0" w:color="auto"/>
            <w:right w:val="none" w:sz="0" w:space="0" w:color="auto"/>
          </w:divBdr>
          <w:divsChild>
            <w:div w:id="1343432261">
              <w:marLeft w:val="0"/>
              <w:marRight w:val="0"/>
              <w:marTop w:val="0"/>
              <w:marBottom w:val="0"/>
              <w:divBdr>
                <w:top w:val="none" w:sz="0" w:space="0" w:color="auto"/>
                <w:left w:val="none" w:sz="0" w:space="0" w:color="auto"/>
                <w:bottom w:val="none" w:sz="0" w:space="0" w:color="auto"/>
                <w:right w:val="none" w:sz="0" w:space="0" w:color="auto"/>
              </w:divBdr>
            </w:div>
          </w:divsChild>
        </w:div>
        <w:div w:id="691999268">
          <w:marLeft w:val="0"/>
          <w:marRight w:val="0"/>
          <w:marTop w:val="0"/>
          <w:marBottom w:val="0"/>
          <w:divBdr>
            <w:top w:val="none" w:sz="0" w:space="0" w:color="auto"/>
            <w:left w:val="none" w:sz="0" w:space="0" w:color="auto"/>
            <w:bottom w:val="none" w:sz="0" w:space="0" w:color="auto"/>
            <w:right w:val="none" w:sz="0" w:space="0" w:color="auto"/>
          </w:divBdr>
          <w:divsChild>
            <w:div w:id="7544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6304">
      <w:bodyDiv w:val="1"/>
      <w:marLeft w:val="0"/>
      <w:marRight w:val="0"/>
      <w:marTop w:val="0"/>
      <w:marBottom w:val="0"/>
      <w:divBdr>
        <w:top w:val="none" w:sz="0" w:space="0" w:color="auto"/>
        <w:left w:val="none" w:sz="0" w:space="0" w:color="auto"/>
        <w:bottom w:val="none" w:sz="0" w:space="0" w:color="auto"/>
        <w:right w:val="none" w:sz="0" w:space="0" w:color="auto"/>
      </w:divBdr>
    </w:div>
    <w:div w:id="230433760">
      <w:bodyDiv w:val="1"/>
      <w:marLeft w:val="0"/>
      <w:marRight w:val="0"/>
      <w:marTop w:val="0"/>
      <w:marBottom w:val="0"/>
      <w:divBdr>
        <w:top w:val="none" w:sz="0" w:space="0" w:color="auto"/>
        <w:left w:val="none" w:sz="0" w:space="0" w:color="auto"/>
        <w:bottom w:val="none" w:sz="0" w:space="0" w:color="auto"/>
        <w:right w:val="none" w:sz="0" w:space="0" w:color="auto"/>
      </w:divBdr>
      <w:divsChild>
        <w:div w:id="1998341425">
          <w:marLeft w:val="0"/>
          <w:marRight w:val="0"/>
          <w:marTop w:val="0"/>
          <w:marBottom w:val="0"/>
          <w:divBdr>
            <w:top w:val="none" w:sz="0" w:space="0" w:color="auto"/>
            <w:left w:val="none" w:sz="0" w:space="0" w:color="auto"/>
            <w:bottom w:val="none" w:sz="0" w:space="0" w:color="auto"/>
            <w:right w:val="none" w:sz="0" w:space="0" w:color="auto"/>
          </w:divBdr>
          <w:divsChild>
            <w:div w:id="904947412">
              <w:marLeft w:val="0"/>
              <w:marRight w:val="0"/>
              <w:marTop w:val="0"/>
              <w:marBottom w:val="0"/>
              <w:divBdr>
                <w:top w:val="none" w:sz="0" w:space="0" w:color="auto"/>
                <w:left w:val="none" w:sz="0" w:space="0" w:color="auto"/>
                <w:bottom w:val="none" w:sz="0" w:space="0" w:color="auto"/>
                <w:right w:val="none" w:sz="0" w:space="0" w:color="auto"/>
              </w:divBdr>
            </w:div>
          </w:divsChild>
        </w:div>
        <w:div w:id="873159191">
          <w:marLeft w:val="0"/>
          <w:marRight w:val="0"/>
          <w:marTop w:val="0"/>
          <w:marBottom w:val="0"/>
          <w:divBdr>
            <w:top w:val="none" w:sz="0" w:space="0" w:color="auto"/>
            <w:left w:val="none" w:sz="0" w:space="0" w:color="auto"/>
            <w:bottom w:val="none" w:sz="0" w:space="0" w:color="auto"/>
            <w:right w:val="none" w:sz="0" w:space="0" w:color="auto"/>
          </w:divBdr>
          <w:divsChild>
            <w:div w:id="106892260">
              <w:marLeft w:val="0"/>
              <w:marRight w:val="0"/>
              <w:marTop w:val="0"/>
              <w:marBottom w:val="0"/>
              <w:divBdr>
                <w:top w:val="none" w:sz="0" w:space="0" w:color="auto"/>
                <w:left w:val="none" w:sz="0" w:space="0" w:color="auto"/>
                <w:bottom w:val="none" w:sz="0" w:space="0" w:color="auto"/>
                <w:right w:val="none" w:sz="0" w:space="0" w:color="auto"/>
              </w:divBdr>
            </w:div>
          </w:divsChild>
        </w:div>
        <w:div w:id="180240227">
          <w:marLeft w:val="0"/>
          <w:marRight w:val="0"/>
          <w:marTop w:val="0"/>
          <w:marBottom w:val="0"/>
          <w:divBdr>
            <w:top w:val="none" w:sz="0" w:space="0" w:color="auto"/>
            <w:left w:val="none" w:sz="0" w:space="0" w:color="auto"/>
            <w:bottom w:val="none" w:sz="0" w:space="0" w:color="auto"/>
            <w:right w:val="none" w:sz="0" w:space="0" w:color="auto"/>
          </w:divBdr>
          <w:divsChild>
            <w:div w:id="1395932945">
              <w:marLeft w:val="0"/>
              <w:marRight w:val="0"/>
              <w:marTop w:val="0"/>
              <w:marBottom w:val="0"/>
              <w:divBdr>
                <w:top w:val="none" w:sz="0" w:space="0" w:color="auto"/>
                <w:left w:val="none" w:sz="0" w:space="0" w:color="auto"/>
                <w:bottom w:val="none" w:sz="0" w:space="0" w:color="auto"/>
                <w:right w:val="none" w:sz="0" w:space="0" w:color="auto"/>
              </w:divBdr>
            </w:div>
          </w:divsChild>
        </w:div>
        <w:div w:id="726537997">
          <w:marLeft w:val="0"/>
          <w:marRight w:val="0"/>
          <w:marTop w:val="0"/>
          <w:marBottom w:val="0"/>
          <w:divBdr>
            <w:top w:val="none" w:sz="0" w:space="0" w:color="auto"/>
            <w:left w:val="none" w:sz="0" w:space="0" w:color="auto"/>
            <w:bottom w:val="none" w:sz="0" w:space="0" w:color="auto"/>
            <w:right w:val="none" w:sz="0" w:space="0" w:color="auto"/>
          </w:divBdr>
          <w:divsChild>
            <w:div w:id="1481920699">
              <w:marLeft w:val="0"/>
              <w:marRight w:val="0"/>
              <w:marTop w:val="0"/>
              <w:marBottom w:val="0"/>
              <w:divBdr>
                <w:top w:val="none" w:sz="0" w:space="0" w:color="auto"/>
                <w:left w:val="none" w:sz="0" w:space="0" w:color="auto"/>
                <w:bottom w:val="none" w:sz="0" w:space="0" w:color="auto"/>
                <w:right w:val="none" w:sz="0" w:space="0" w:color="auto"/>
              </w:divBdr>
            </w:div>
          </w:divsChild>
        </w:div>
        <w:div w:id="253898155">
          <w:marLeft w:val="0"/>
          <w:marRight w:val="0"/>
          <w:marTop w:val="0"/>
          <w:marBottom w:val="0"/>
          <w:divBdr>
            <w:top w:val="none" w:sz="0" w:space="0" w:color="auto"/>
            <w:left w:val="none" w:sz="0" w:space="0" w:color="auto"/>
            <w:bottom w:val="none" w:sz="0" w:space="0" w:color="auto"/>
            <w:right w:val="none" w:sz="0" w:space="0" w:color="auto"/>
          </w:divBdr>
          <w:divsChild>
            <w:div w:id="14041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7515">
      <w:bodyDiv w:val="1"/>
      <w:marLeft w:val="0"/>
      <w:marRight w:val="0"/>
      <w:marTop w:val="0"/>
      <w:marBottom w:val="0"/>
      <w:divBdr>
        <w:top w:val="none" w:sz="0" w:space="0" w:color="auto"/>
        <w:left w:val="none" w:sz="0" w:space="0" w:color="auto"/>
        <w:bottom w:val="none" w:sz="0" w:space="0" w:color="auto"/>
        <w:right w:val="none" w:sz="0" w:space="0" w:color="auto"/>
      </w:divBdr>
    </w:div>
    <w:div w:id="333802107">
      <w:bodyDiv w:val="1"/>
      <w:marLeft w:val="0"/>
      <w:marRight w:val="0"/>
      <w:marTop w:val="0"/>
      <w:marBottom w:val="0"/>
      <w:divBdr>
        <w:top w:val="none" w:sz="0" w:space="0" w:color="auto"/>
        <w:left w:val="none" w:sz="0" w:space="0" w:color="auto"/>
        <w:bottom w:val="none" w:sz="0" w:space="0" w:color="auto"/>
        <w:right w:val="none" w:sz="0" w:space="0" w:color="auto"/>
      </w:divBdr>
    </w:div>
    <w:div w:id="574509879">
      <w:bodyDiv w:val="1"/>
      <w:marLeft w:val="0"/>
      <w:marRight w:val="0"/>
      <w:marTop w:val="0"/>
      <w:marBottom w:val="0"/>
      <w:divBdr>
        <w:top w:val="none" w:sz="0" w:space="0" w:color="auto"/>
        <w:left w:val="none" w:sz="0" w:space="0" w:color="auto"/>
        <w:bottom w:val="none" w:sz="0" w:space="0" w:color="auto"/>
        <w:right w:val="none" w:sz="0" w:space="0" w:color="auto"/>
      </w:divBdr>
    </w:div>
    <w:div w:id="575088829">
      <w:bodyDiv w:val="1"/>
      <w:marLeft w:val="0"/>
      <w:marRight w:val="0"/>
      <w:marTop w:val="0"/>
      <w:marBottom w:val="0"/>
      <w:divBdr>
        <w:top w:val="none" w:sz="0" w:space="0" w:color="auto"/>
        <w:left w:val="none" w:sz="0" w:space="0" w:color="auto"/>
        <w:bottom w:val="none" w:sz="0" w:space="0" w:color="auto"/>
        <w:right w:val="none" w:sz="0" w:space="0" w:color="auto"/>
      </w:divBdr>
    </w:div>
    <w:div w:id="638462901">
      <w:bodyDiv w:val="1"/>
      <w:marLeft w:val="0"/>
      <w:marRight w:val="0"/>
      <w:marTop w:val="0"/>
      <w:marBottom w:val="0"/>
      <w:divBdr>
        <w:top w:val="none" w:sz="0" w:space="0" w:color="auto"/>
        <w:left w:val="none" w:sz="0" w:space="0" w:color="auto"/>
        <w:bottom w:val="none" w:sz="0" w:space="0" w:color="auto"/>
        <w:right w:val="none" w:sz="0" w:space="0" w:color="auto"/>
      </w:divBdr>
    </w:div>
    <w:div w:id="690305145">
      <w:bodyDiv w:val="1"/>
      <w:marLeft w:val="0"/>
      <w:marRight w:val="0"/>
      <w:marTop w:val="0"/>
      <w:marBottom w:val="0"/>
      <w:divBdr>
        <w:top w:val="none" w:sz="0" w:space="0" w:color="auto"/>
        <w:left w:val="none" w:sz="0" w:space="0" w:color="auto"/>
        <w:bottom w:val="none" w:sz="0" w:space="0" w:color="auto"/>
        <w:right w:val="none" w:sz="0" w:space="0" w:color="auto"/>
      </w:divBdr>
    </w:div>
    <w:div w:id="877663225">
      <w:bodyDiv w:val="1"/>
      <w:marLeft w:val="0"/>
      <w:marRight w:val="0"/>
      <w:marTop w:val="0"/>
      <w:marBottom w:val="0"/>
      <w:divBdr>
        <w:top w:val="none" w:sz="0" w:space="0" w:color="auto"/>
        <w:left w:val="none" w:sz="0" w:space="0" w:color="auto"/>
        <w:bottom w:val="none" w:sz="0" w:space="0" w:color="auto"/>
        <w:right w:val="none" w:sz="0" w:space="0" w:color="auto"/>
      </w:divBdr>
      <w:divsChild>
        <w:div w:id="121114093">
          <w:marLeft w:val="0"/>
          <w:marRight w:val="0"/>
          <w:marTop w:val="0"/>
          <w:marBottom w:val="0"/>
          <w:divBdr>
            <w:top w:val="none" w:sz="0" w:space="0" w:color="auto"/>
            <w:left w:val="none" w:sz="0" w:space="0" w:color="auto"/>
            <w:bottom w:val="none" w:sz="0" w:space="0" w:color="auto"/>
            <w:right w:val="none" w:sz="0" w:space="0" w:color="auto"/>
          </w:divBdr>
          <w:divsChild>
            <w:div w:id="943070217">
              <w:marLeft w:val="0"/>
              <w:marRight w:val="0"/>
              <w:marTop w:val="0"/>
              <w:marBottom w:val="0"/>
              <w:divBdr>
                <w:top w:val="none" w:sz="0" w:space="0" w:color="auto"/>
                <w:left w:val="none" w:sz="0" w:space="0" w:color="auto"/>
                <w:bottom w:val="none" w:sz="0" w:space="0" w:color="auto"/>
                <w:right w:val="none" w:sz="0" w:space="0" w:color="auto"/>
              </w:divBdr>
            </w:div>
          </w:divsChild>
        </w:div>
        <w:div w:id="1918052971">
          <w:marLeft w:val="0"/>
          <w:marRight w:val="0"/>
          <w:marTop w:val="0"/>
          <w:marBottom w:val="0"/>
          <w:divBdr>
            <w:top w:val="none" w:sz="0" w:space="0" w:color="auto"/>
            <w:left w:val="none" w:sz="0" w:space="0" w:color="auto"/>
            <w:bottom w:val="none" w:sz="0" w:space="0" w:color="auto"/>
            <w:right w:val="none" w:sz="0" w:space="0" w:color="auto"/>
          </w:divBdr>
          <w:divsChild>
            <w:div w:id="1446581416">
              <w:marLeft w:val="0"/>
              <w:marRight w:val="0"/>
              <w:marTop w:val="0"/>
              <w:marBottom w:val="0"/>
              <w:divBdr>
                <w:top w:val="none" w:sz="0" w:space="0" w:color="auto"/>
                <w:left w:val="none" w:sz="0" w:space="0" w:color="auto"/>
                <w:bottom w:val="none" w:sz="0" w:space="0" w:color="auto"/>
                <w:right w:val="none" w:sz="0" w:space="0" w:color="auto"/>
              </w:divBdr>
            </w:div>
          </w:divsChild>
        </w:div>
        <w:div w:id="1615332567">
          <w:marLeft w:val="0"/>
          <w:marRight w:val="0"/>
          <w:marTop w:val="0"/>
          <w:marBottom w:val="0"/>
          <w:divBdr>
            <w:top w:val="none" w:sz="0" w:space="0" w:color="auto"/>
            <w:left w:val="none" w:sz="0" w:space="0" w:color="auto"/>
            <w:bottom w:val="none" w:sz="0" w:space="0" w:color="auto"/>
            <w:right w:val="none" w:sz="0" w:space="0" w:color="auto"/>
          </w:divBdr>
          <w:divsChild>
            <w:div w:id="1826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8355">
      <w:bodyDiv w:val="1"/>
      <w:marLeft w:val="0"/>
      <w:marRight w:val="0"/>
      <w:marTop w:val="0"/>
      <w:marBottom w:val="0"/>
      <w:divBdr>
        <w:top w:val="none" w:sz="0" w:space="0" w:color="auto"/>
        <w:left w:val="none" w:sz="0" w:space="0" w:color="auto"/>
        <w:bottom w:val="none" w:sz="0" w:space="0" w:color="auto"/>
        <w:right w:val="none" w:sz="0" w:space="0" w:color="auto"/>
      </w:divBdr>
    </w:div>
    <w:div w:id="943152203">
      <w:bodyDiv w:val="1"/>
      <w:marLeft w:val="0"/>
      <w:marRight w:val="0"/>
      <w:marTop w:val="0"/>
      <w:marBottom w:val="0"/>
      <w:divBdr>
        <w:top w:val="none" w:sz="0" w:space="0" w:color="auto"/>
        <w:left w:val="none" w:sz="0" w:space="0" w:color="auto"/>
        <w:bottom w:val="none" w:sz="0" w:space="0" w:color="auto"/>
        <w:right w:val="none" w:sz="0" w:space="0" w:color="auto"/>
      </w:divBdr>
      <w:divsChild>
        <w:div w:id="632559884">
          <w:marLeft w:val="0"/>
          <w:marRight w:val="0"/>
          <w:marTop w:val="0"/>
          <w:marBottom w:val="0"/>
          <w:divBdr>
            <w:top w:val="none" w:sz="0" w:space="0" w:color="auto"/>
            <w:left w:val="none" w:sz="0" w:space="0" w:color="auto"/>
            <w:bottom w:val="none" w:sz="0" w:space="0" w:color="auto"/>
            <w:right w:val="none" w:sz="0" w:space="0" w:color="auto"/>
          </w:divBdr>
          <w:divsChild>
            <w:div w:id="176041257">
              <w:marLeft w:val="0"/>
              <w:marRight w:val="0"/>
              <w:marTop w:val="0"/>
              <w:marBottom w:val="0"/>
              <w:divBdr>
                <w:top w:val="none" w:sz="0" w:space="0" w:color="auto"/>
                <w:left w:val="none" w:sz="0" w:space="0" w:color="auto"/>
                <w:bottom w:val="none" w:sz="0" w:space="0" w:color="auto"/>
                <w:right w:val="none" w:sz="0" w:space="0" w:color="auto"/>
              </w:divBdr>
            </w:div>
          </w:divsChild>
        </w:div>
        <w:div w:id="158349457">
          <w:marLeft w:val="0"/>
          <w:marRight w:val="0"/>
          <w:marTop w:val="0"/>
          <w:marBottom w:val="0"/>
          <w:divBdr>
            <w:top w:val="none" w:sz="0" w:space="0" w:color="auto"/>
            <w:left w:val="none" w:sz="0" w:space="0" w:color="auto"/>
            <w:bottom w:val="none" w:sz="0" w:space="0" w:color="auto"/>
            <w:right w:val="none" w:sz="0" w:space="0" w:color="auto"/>
          </w:divBdr>
          <w:divsChild>
            <w:div w:id="1849171920">
              <w:marLeft w:val="0"/>
              <w:marRight w:val="0"/>
              <w:marTop w:val="0"/>
              <w:marBottom w:val="0"/>
              <w:divBdr>
                <w:top w:val="none" w:sz="0" w:space="0" w:color="auto"/>
                <w:left w:val="none" w:sz="0" w:space="0" w:color="auto"/>
                <w:bottom w:val="none" w:sz="0" w:space="0" w:color="auto"/>
                <w:right w:val="none" w:sz="0" w:space="0" w:color="auto"/>
              </w:divBdr>
            </w:div>
          </w:divsChild>
        </w:div>
        <w:div w:id="1274286517">
          <w:marLeft w:val="0"/>
          <w:marRight w:val="0"/>
          <w:marTop w:val="0"/>
          <w:marBottom w:val="0"/>
          <w:divBdr>
            <w:top w:val="none" w:sz="0" w:space="0" w:color="auto"/>
            <w:left w:val="none" w:sz="0" w:space="0" w:color="auto"/>
            <w:bottom w:val="none" w:sz="0" w:space="0" w:color="auto"/>
            <w:right w:val="none" w:sz="0" w:space="0" w:color="auto"/>
          </w:divBdr>
          <w:divsChild>
            <w:div w:id="812525796">
              <w:marLeft w:val="0"/>
              <w:marRight w:val="0"/>
              <w:marTop w:val="0"/>
              <w:marBottom w:val="0"/>
              <w:divBdr>
                <w:top w:val="none" w:sz="0" w:space="0" w:color="auto"/>
                <w:left w:val="none" w:sz="0" w:space="0" w:color="auto"/>
                <w:bottom w:val="none" w:sz="0" w:space="0" w:color="auto"/>
                <w:right w:val="none" w:sz="0" w:space="0" w:color="auto"/>
              </w:divBdr>
            </w:div>
          </w:divsChild>
        </w:div>
        <w:div w:id="2125147064">
          <w:marLeft w:val="0"/>
          <w:marRight w:val="0"/>
          <w:marTop w:val="0"/>
          <w:marBottom w:val="0"/>
          <w:divBdr>
            <w:top w:val="none" w:sz="0" w:space="0" w:color="auto"/>
            <w:left w:val="none" w:sz="0" w:space="0" w:color="auto"/>
            <w:bottom w:val="none" w:sz="0" w:space="0" w:color="auto"/>
            <w:right w:val="none" w:sz="0" w:space="0" w:color="auto"/>
          </w:divBdr>
          <w:divsChild>
            <w:div w:id="15955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3081">
      <w:bodyDiv w:val="1"/>
      <w:marLeft w:val="0"/>
      <w:marRight w:val="0"/>
      <w:marTop w:val="0"/>
      <w:marBottom w:val="0"/>
      <w:divBdr>
        <w:top w:val="none" w:sz="0" w:space="0" w:color="auto"/>
        <w:left w:val="none" w:sz="0" w:space="0" w:color="auto"/>
        <w:bottom w:val="none" w:sz="0" w:space="0" w:color="auto"/>
        <w:right w:val="none" w:sz="0" w:space="0" w:color="auto"/>
      </w:divBdr>
    </w:div>
    <w:div w:id="999118122">
      <w:bodyDiv w:val="1"/>
      <w:marLeft w:val="0"/>
      <w:marRight w:val="0"/>
      <w:marTop w:val="0"/>
      <w:marBottom w:val="0"/>
      <w:divBdr>
        <w:top w:val="none" w:sz="0" w:space="0" w:color="auto"/>
        <w:left w:val="none" w:sz="0" w:space="0" w:color="auto"/>
        <w:bottom w:val="none" w:sz="0" w:space="0" w:color="auto"/>
        <w:right w:val="none" w:sz="0" w:space="0" w:color="auto"/>
      </w:divBdr>
      <w:divsChild>
        <w:div w:id="1334793501">
          <w:marLeft w:val="0"/>
          <w:marRight w:val="0"/>
          <w:marTop w:val="0"/>
          <w:marBottom w:val="0"/>
          <w:divBdr>
            <w:top w:val="none" w:sz="0" w:space="0" w:color="auto"/>
            <w:left w:val="none" w:sz="0" w:space="0" w:color="auto"/>
            <w:bottom w:val="none" w:sz="0" w:space="0" w:color="auto"/>
            <w:right w:val="none" w:sz="0" w:space="0" w:color="auto"/>
          </w:divBdr>
          <w:divsChild>
            <w:div w:id="1863007245">
              <w:marLeft w:val="0"/>
              <w:marRight w:val="0"/>
              <w:marTop w:val="0"/>
              <w:marBottom w:val="0"/>
              <w:divBdr>
                <w:top w:val="none" w:sz="0" w:space="0" w:color="auto"/>
                <w:left w:val="none" w:sz="0" w:space="0" w:color="auto"/>
                <w:bottom w:val="none" w:sz="0" w:space="0" w:color="auto"/>
                <w:right w:val="none" w:sz="0" w:space="0" w:color="auto"/>
              </w:divBdr>
            </w:div>
          </w:divsChild>
        </w:div>
        <w:div w:id="2047023187">
          <w:marLeft w:val="0"/>
          <w:marRight w:val="0"/>
          <w:marTop w:val="0"/>
          <w:marBottom w:val="0"/>
          <w:divBdr>
            <w:top w:val="none" w:sz="0" w:space="0" w:color="auto"/>
            <w:left w:val="none" w:sz="0" w:space="0" w:color="auto"/>
            <w:bottom w:val="none" w:sz="0" w:space="0" w:color="auto"/>
            <w:right w:val="none" w:sz="0" w:space="0" w:color="auto"/>
          </w:divBdr>
          <w:divsChild>
            <w:div w:id="13938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6835">
      <w:bodyDiv w:val="1"/>
      <w:marLeft w:val="0"/>
      <w:marRight w:val="0"/>
      <w:marTop w:val="0"/>
      <w:marBottom w:val="0"/>
      <w:divBdr>
        <w:top w:val="none" w:sz="0" w:space="0" w:color="auto"/>
        <w:left w:val="none" w:sz="0" w:space="0" w:color="auto"/>
        <w:bottom w:val="none" w:sz="0" w:space="0" w:color="auto"/>
        <w:right w:val="none" w:sz="0" w:space="0" w:color="auto"/>
      </w:divBdr>
    </w:div>
    <w:div w:id="1126120687">
      <w:bodyDiv w:val="1"/>
      <w:marLeft w:val="0"/>
      <w:marRight w:val="0"/>
      <w:marTop w:val="0"/>
      <w:marBottom w:val="0"/>
      <w:divBdr>
        <w:top w:val="none" w:sz="0" w:space="0" w:color="auto"/>
        <w:left w:val="none" w:sz="0" w:space="0" w:color="auto"/>
        <w:bottom w:val="none" w:sz="0" w:space="0" w:color="auto"/>
        <w:right w:val="none" w:sz="0" w:space="0" w:color="auto"/>
      </w:divBdr>
    </w:div>
    <w:div w:id="1128010667">
      <w:bodyDiv w:val="1"/>
      <w:marLeft w:val="0"/>
      <w:marRight w:val="0"/>
      <w:marTop w:val="0"/>
      <w:marBottom w:val="0"/>
      <w:divBdr>
        <w:top w:val="none" w:sz="0" w:space="0" w:color="auto"/>
        <w:left w:val="none" w:sz="0" w:space="0" w:color="auto"/>
        <w:bottom w:val="none" w:sz="0" w:space="0" w:color="auto"/>
        <w:right w:val="none" w:sz="0" w:space="0" w:color="auto"/>
      </w:divBdr>
    </w:div>
    <w:div w:id="1132678362">
      <w:bodyDiv w:val="1"/>
      <w:marLeft w:val="0"/>
      <w:marRight w:val="0"/>
      <w:marTop w:val="0"/>
      <w:marBottom w:val="0"/>
      <w:divBdr>
        <w:top w:val="none" w:sz="0" w:space="0" w:color="auto"/>
        <w:left w:val="none" w:sz="0" w:space="0" w:color="auto"/>
        <w:bottom w:val="none" w:sz="0" w:space="0" w:color="auto"/>
        <w:right w:val="none" w:sz="0" w:space="0" w:color="auto"/>
      </w:divBdr>
    </w:div>
    <w:div w:id="1170094992">
      <w:bodyDiv w:val="1"/>
      <w:marLeft w:val="0"/>
      <w:marRight w:val="0"/>
      <w:marTop w:val="0"/>
      <w:marBottom w:val="0"/>
      <w:divBdr>
        <w:top w:val="none" w:sz="0" w:space="0" w:color="auto"/>
        <w:left w:val="none" w:sz="0" w:space="0" w:color="auto"/>
        <w:bottom w:val="none" w:sz="0" w:space="0" w:color="auto"/>
        <w:right w:val="none" w:sz="0" w:space="0" w:color="auto"/>
      </w:divBdr>
      <w:divsChild>
        <w:div w:id="1676692362">
          <w:marLeft w:val="0"/>
          <w:marRight w:val="0"/>
          <w:marTop w:val="0"/>
          <w:marBottom w:val="0"/>
          <w:divBdr>
            <w:top w:val="none" w:sz="0" w:space="0" w:color="auto"/>
            <w:left w:val="none" w:sz="0" w:space="0" w:color="auto"/>
            <w:bottom w:val="none" w:sz="0" w:space="0" w:color="auto"/>
            <w:right w:val="none" w:sz="0" w:space="0" w:color="auto"/>
          </w:divBdr>
          <w:divsChild>
            <w:div w:id="68814381">
              <w:marLeft w:val="0"/>
              <w:marRight w:val="0"/>
              <w:marTop w:val="0"/>
              <w:marBottom w:val="0"/>
              <w:divBdr>
                <w:top w:val="none" w:sz="0" w:space="0" w:color="auto"/>
                <w:left w:val="none" w:sz="0" w:space="0" w:color="auto"/>
                <w:bottom w:val="none" w:sz="0" w:space="0" w:color="auto"/>
                <w:right w:val="none" w:sz="0" w:space="0" w:color="auto"/>
              </w:divBdr>
            </w:div>
          </w:divsChild>
        </w:div>
        <w:div w:id="1517621900">
          <w:marLeft w:val="0"/>
          <w:marRight w:val="0"/>
          <w:marTop w:val="0"/>
          <w:marBottom w:val="0"/>
          <w:divBdr>
            <w:top w:val="none" w:sz="0" w:space="0" w:color="auto"/>
            <w:left w:val="none" w:sz="0" w:space="0" w:color="auto"/>
            <w:bottom w:val="none" w:sz="0" w:space="0" w:color="auto"/>
            <w:right w:val="none" w:sz="0" w:space="0" w:color="auto"/>
          </w:divBdr>
          <w:divsChild>
            <w:div w:id="2101565358">
              <w:marLeft w:val="0"/>
              <w:marRight w:val="0"/>
              <w:marTop w:val="0"/>
              <w:marBottom w:val="0"/>
              <w:divBdr>
                <w:top w:val="none" w:sz="0" w:space="0" w:color="auto"/>
                <w:left w:val="none" w:sz="0" w:space="0" w:color="auto"/>
                <w:bottom w:val="none" w:sz="0" w:space="0" w:color="auto"/>
                <w:right w:val="none" w:sz="0" w:space="0" w:color="auto"/>
              </w:divBdr>
            </w:div>
          </w:divsChild>
        </w:div>
        <w:div w:id="193622301">
          <w:marLeft w:val="0"/>
          <w:marRight w:val="0"/>
          <w:marTop w:val="0"/>
          <w:marBottom w:val="0"/>
          <w:divBdr>
            <w:top w:val="none" w:sz="0" w:space="0" w:color="auto"/>
            <w:left w:val="none" w:sz="0" w:space="0" w:color="auto"/>
            <w:bottom w:val="none" w:sz="0" w:space="0" w:color="auto"/>
            <w:right w:val="none" w:sz="0" w:space="0" w:color="auto"/>
          </w:divBdr>
          <w:divsChild>
            <w:div w:id="559438471">
              <w:marLeft w:val="0"/>
              <w:marRight w:val="0"/>
              <w:marTop w:val="0"/>
              <w:marBottom w:val="0"/>
              <w:divBdr>
                <w:top w:val="none" w:sz="0" w:space="0" w:color="auto"/>
                <w:left w:val="none" w:sz="0" w:space="0" w:color="auto"/>
                <w:bottom w:val="none" w:sz="0" w:space="0" w:color="auto"/>
                <w:right w:val="none" w:sz="0" w:space="0" w:color="auto"/>
              </w:divBdr>
            </w:div>
          </w:divsChild>
        </w:div>
        <w:div w:id="1962373360">
          <w:marLeft w:val="0"/>
          <w:marRight w:val="0"/>
          <w:marTop w:val="0"/>
          <w:marBottom w:val="0"/>
          <w:divBdr>
            <w:top w:val="none" w:sz="0" w:space="0" w:color="auto"/>
            <w:left w:val="none" w:sz="0" w:space="0" w:color="auto"/>
            <w:bottom w:val="none" w:sz="0" w:space="0" w:color="auto"/>
            <w:right w:val="none" w:sz="0" w:space="0" w:color="auto"/>
          </w:divBdr>
          <w:divsChild>
            <w:div w:id="2120878791">
              <w:marLeft w:val="0"/>
              <w:marRight w:val="0"/>
              <w:marTop w:val="0"/>
              <w:marBottom w:val="0"/>
              <w:divBdr>
                <w:top w:val="none" w:sz="0" w:space="0" w:color="auto"/>
                <w:left w:val="none" w:sz="0" w:space="0" w:color="auto"/>
                <w:bottom w:val="none" w:sz="0" w:space="0" w:color="auto"/>
                <w:right w:val="none" w:sz="0" w:space="0" w:color="auto"/>
              </w:divBdr>
            </w:div>
          </w:divsChild>
        </w:div>
        <w:div w:id="1311909753">
          <w:marLeft w:val="0"/>
          <w:marRight w:val="0"/>
          <w:marTop w:val="0"/>
          <w:marBottom w:val="0"/>
          <w:divBdr>
            <w:top w:val="none" w:sz="0" w:space="0" w:color="auto"/>
            <w:left w:val="none" w:sz="0" w:space="0" w:color="auto"/>
            <w:bottom w:val="none" w:sz="0" w:space="0" w:color="auto"/>
            <w:right w:val="none" w:sz="0" w:space="0" w:color="auto"/>
          </w:divBdr>
          <w:divsChild>
            <w:div w:id="1389649672">
              <w:marLeft w:val="0"/>
              <w:marRight w:val="0"/>
              <w:marTop w:val="0"/>
              <w:marBottom w:val="0"/>
              <w:divBdr>
                <w:top w:val="none" w:sz="0" w:space="0" w:color="auto"/>
                <w:left w:val="none" w:sz="0" w:space="0" w:color="auto"/>
                <w:bottom w:val="none" w:sz="0" w:space="0" w:color="auto"/>
                <w:right w:val="none" w:sz="0" w:space="0" w:color="auto"/>
              </w:divBdr>
            </w:div>
          </w:divsChild>
        </w:div>
        <w:div w:id="2141680021">
          <w:marLeft w:val="0"/>
          <w:marRight w:val="0"/>
          <w:marTop w:val="0"/>
          <w:marBottom w:val="0"/>
          <w:divBdr>
            <w:top w:val="none" w:sz="0" w:space="0" w:color="auto"/>
            <w:left w:val="none" w:sz="0" w:space="0" w:color="auto"/>
            <w:bottom w:val="none" w:sz="0" w:space="0" w:color="auto"/>
            <w:right w:val="none" w:sz="0" w:space="0" w:color="auto"/>
          </w:divBdr>
          <w:divsChild>
            <w:div w:id="1413815088">
              <w:marLeft w:val="0"/>
              <w:marRight w:val="0"/>
              <w:marTop w:val="0"/>
              <w:marBottom w:val="0"/>
              <w:divBdr>
                <w:top w:val="none" w:sz="0" w:space="0" w:color="auto"/>
                <w:left w:val="none" w:sz="0" w:space="0" w:color="auto"/>
                <w:bottom w:val="none" w:sz="0" w:space="0" w:color="auto"/>
                <w:right w:val="none" w:sz="0" w:space="0" w:color="auto"/>
              </w:divBdr>
            </w:div>
          </w:divsChild>
        </w:div>
        <w:div w:id="1416512635">
          <w:marLeft w:val="0"/>
          <w:marRight w:val="0"/>
          <w:marTop w:val="0"/>
          <w:marBottom w:val="0"/>
          <w:divBdr>
            <w:top w:val="none" w:sz="0" w:space="0" w:color="auto"/>
            <w:left w:val="none" w:sz="0" w:space="0" w:color="auto"/>
            <w:bottom w:val="none" w:sz="0" w:space="0" w:color="auto"/>
            <w:right w:val="none" w:sz="0" w:space="0" w:color="auto"/>
          </w:divBdr>
          <w:divsChild>
            <w:div w:id="3619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01149">
      <w:bodyDiv w:val="1"/>
      <w:marLeft w:val="0"/>
      <w:marRight w:val="0"/>
      <w:marTop w:val="0"/>
      <w:marBottom w:val="0"/>
      <w:divBdr>
        <w:top w:val="none" w:sz="0" w:space="0" w:color="auto"/>
        <w:left w:val="none" w:sz="0" w:space="0" w:color="auto"/>
        <w:bottom w:val="none" w:sz="0" w:space="0" w:color="auto"/>
        <w:right w:val="none" w:sz="0" w:space="0" w:color="auto"/>
      </w:divBdr>
    </w:div>
    <w:div w:id="1245214629">
      <w:bodyDiv w:val="1"/>
      <w:marLeft w:val="0"/>
      <w:marRight w:val="0"/>
      <w:marTop w:val="0"/>
      <w:marBottom w:val="0"/>
      <w:divBdr>
        <w:top w:val="none" w:sz="0" w:space="0" w:color="auto"/>
        <w:left w:val="none" w:sz="0" w:space="0" w:color="auto"/>
        <w:bottom w:val="none" w:sz="0" w:space="0" w:color="auto"/>
        <w:right w:val="none" w:sz="0" w:space="0" w:color="auto"/>
      </w:divBdr>
    </w:div>
    <w:div w:id="1283532076">
      <w:bodyDiv w:val="1"/>
      <w:marLeft w:val="0"/>
      <w:marRight w:val="0"/>
      <w:marTop w:val="0"/>
      <w:marBottom w:val="0"/>
      <w:divBdr>
        <w:top w:val="none" w:sz="0" w:space="0" w:color="auto"/>
        <w:left w:val="none" w:sz="0" w:space="0" w:color="auto"/>
        <w:bottom w:val="none" w:sz="0" w:space="0" w:color="auto"/>
        <w:right w:val="none" w:sz="0" w:space="0" w:color="auto"/>
      </w:divBdr>
    </w:div>
    <w:div w:id="1330668829">
      <w:bodyDiv w:val="1"/>
      <w:marLeft w:val="0"/>
      <w:marRight w:val="0"/>
      <w:marTop w:val="0"/>
      <w:marBottom w:val="0"/>
      <w:divBdr>
        <w:top w:val="none" w:sz="0" w:space="0" w:color="auto"/>
        <w:left w:val="none" w:sz="0" w:space="0" w:color="auto"/>
        <w:bottom w:val="none" w:sz="0" w:space="0" w:color="auto"/>
        <w:right w:val="none" w:sz="0" w:space="0" w:color="auto"/>
      </w:divBdr>
    </w:div>
    <w:div w:id="1454520396">
      <w:bodyDiv w:val="1"/>
      <w:marLeft w:val="0"/>
      <w:marRight w:val="0"/>
      <w:marTop w:val="0"/>
      <w:marBottom w:val="0"/>
      <w:divBdr>
        <w:top w:val="none" w:sz="0" w:space="0" w:color="auto"/>
        <w:left w:val="none" w:sz="0" w:space="0" w:color="auto"/>
        <w:bottom w:val="none" w:sz="0" w:space="0" w:color="auto"/>
        <w:right w:val="none" w:sz="0" w:space="0" w:color="auto"/>
      </w:divBdr>
    </w:div>
    <w:div w:id="1479348283">
      <w:bodyDiv w:val="1"/>
      <w:marLeft w:val="0"/>
      <w:marRight w:val="0"/>
      <w:marTop w:val="0"/>
      <w:marBottom w:val="0"/>
      <w:divBdr>
        <w:top w:val="none" w:sz="0" w:space="0" w:color="auto"/>
        <w:left w:val="none" w:sz="0" w:space="0" w:color="auto"/>
        <w:bottom w:val="none" w:sz="0" w:space="0" w:color="auto"/>
        <w:right w:val="none" w:sz="0" w:space="0" w:color="auto"/>
      </w:divBdr>
      <w:divsChild>
        <w:div w:id="1834685969">
          <w:marLeft w:val="0"/>
          <w:marRight w:val="0"/>
          <w:marTop w:val="0"/>
          <w:marBottom w:val="0"/>
          <w:divBdr>
            <w:top w:val="none" w:sz="0" w:space="0" w:color="auto"/>
            <w:left w:val="none" w:sz="0" w:space="0" w:color="auto"/>
            <w:bottom w:val="none" w:sz="0" w:space="0" w:color="auto"/>
            <w:right w:val="none" w:sz="0" w:space="0" w:color="auto"/>
          </w:divBdr>
          <w:divsChild>
            <w:div w:id="1531918336">
              <w:marLeft w:val="0"/>
              <w:marRight w:val="0"/>
              <w:marTop w:val="0"/>
              <w:marBottom w:val="0"/>
              <w:divBdr>
                <w:top w:val="none" w:sz="0" w:space="0" w:color="auto"/>
                <w:left w:val="none" w:sz="0" w:space="0" w:color="auto"/>
                <w:bottom w:val="none" w:sz="0" w:space="0" w:color="auto"/>
                <w:right w:val="none" w:sz="0" w:space="0" w:color="auto"/>
              </w:divBdr>
            </w:div>
          </w:divsChild>
        </w:div>
        <w:div w:id="463087212">
          <w:marLeft w:val="0"/>
          <w:marRight w:val="0"/>
          <w:marTop w:val="0"/>
          <w:marBottom w:val="0"/>
          <w:divBdr>
            <w:top w:val="none" w:sz="0" w:space="0" w:color="auto"/>
            <w:left w:val="none" w:sz="0" w:space="0" w:color="auto"/>
            <w:bottom w:val="none" w:sz="0" w:space="0" w:color="auto"/>
            <w:right w:val="none" w:sz="0" w:space="0" w:color="auto"/>
          </w:divBdr>
          <w:divsChild>
            <w:div w:id="725296068">
              <w:marLeft w:val="0"/>
              <w:marRight w:val="0"/>
              <w:marTop w:val="0"/>
              <w:marBottom w:val="0"/>
              <w:divBdr>
                <w:top w:val="none" w:sz="0" w:space="0" w:color="auto"/>
                <w:left w:val="none" w:sz="0" w:space="0" w:color="auto"/>
                <w:bottom w:val="none" w:sz="0" w:space="0" w:color="auto"/>
                <w:right w:val="none" w:sz="0" w:space="0" w:color="auto"/>
              </w:divBdr>
            </w:div>
          </w:divsChild>
        </w:div>
        <w:div w:id="963998106">
          <w:marLeft w:val="0"/>
          <w:marRight w:val="0"/>
          <w:marTop w:val="0"/>
          <w:marBottom w:val="0"/>
          <w:divBdr>
            <w:top w:val="none" w:sz="0" w:space="0" w:color="auto"/>
            <w:left w:val="none" w:sz="0" w:space="0" w:color="auto"/>
            <w:bottom w:val="none" w:sz="0" w:space="0" w:color="auto"/>
            <w:right w:val="none" w:sz="0" w:space="0" w:color="auto"/>
          </w:divBdr>
          <w:divsChild>
            <w:div w:id="5593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3910">
      <w:bodyDiv w:val="1"/>
      <w:marLeft w:val="0"/>
      <w:marRight w:val="0"/>
      <w:marTop w:val="0"/>
      <w:marBottom w:val="0"/>
      <w:divBdr>
        <w:top w:val="none" w:sz="0" w:space="0" w:color="auto"/>
        <w:left w:val="none" w:sz="0" w:space="0" w:color="auto"/>
        <w:bottom w:val="none" w:sz="0" w:space="0" w:color="auto"/>
        <w:right w:val="none" w:sz="0" w:space="0" w:color="auto"/>
      </w:divBdr>
    </w:div>
    <w:div w:id="1700088306">
      <w:bodyDiv w:val="1"/>
      <w:marLeft w:val="0"/>
      <w:marRight w:val="0"/>
      <w:marTop w:val="0"/>
      <w:marBottom w:val="0"/>
      <w:divBdr>
        <w:top w:val="none" w:sz="0" w:space="0" w:color="auto"/>
        <w:left w:val="none" w:sz="0" w:space="0" w:color="auto"/>
        <w:bottom w:val="none" w:sz="0" w:space="0" w:color="auto"/>
        <w:right w:val="none" w:sz="0" w:space="0" w:color="auto"/>
      </w:divBdr>
    </w:div>
    <w:div w:id="1723943761">
      <w:bodyDiv w:val="1"/>
      <w:marLeft w:val="0"/>
      <w:marRight w:val="0"/>
      <w:marTop w:val="0"/>
      <w:marBottom w:val="0"/>
      <w:divBdr>
        <w:top w:val="none" w:sz="0" w:space="0" w:color="auto"/>
        <w:left w:val="none" w:sz="0" w:space="0" w:color="auto"/>
        <w:bottom w:val="none" w:sz="0" w:space="0" w:color="auto"/>
        <w:right w:val="none" w:sz="0" w:space="0" w:color="auto"/>
      </w:divBdr>
    </w:div>
    <w:div w:id="1739405333">
      <w:bodyDiv w:val="1"/>
      <w:marLeft w:val="0"/>
      <w:marRight w:val="0"/>
      <w:marTop w:val="0"/>
      <w:marBottom w:val="0"/>
      <w:divBdr>
        <w:top w:val="none" w:sz="0" w:space="0" w:color="auto"/>
        <w:left w:val="none" w:sz="0" w:space="0" w:color="auto"/>
        <w:bottom w:val="none" w:sz="0" w:space="0" w:color="auto"/>
        <w:right w:val="none" w:sz="0" w:space="0" w:color="auto"/>
      </w:divBdr>
    </w:div>
    <w:div w:id="1771193923">
      <w:bodyDiv w:val="1"/>
      <w:marLeft w:val="0"/>
      <w:marRight w:val="0"/>
      <w:marTop w:val="0"/>
      <w:marBottom w:val="0"/>
      <w:divBdr>
        <w:top w:val="none" w:sz="0" w:space="0" w:color="auto"/>
        <w:left w:val="none" w:sz="0" w:space="0" w:color="auto"/>
        <w:bottom w:val="none" w:sz="0" w:space="0" w:color="auto"/>
        <w:right w:val="none" w:sz="0" w:space="0" w:color="auto"/>
      </w:divBdr>
      <w:divsChild>
        <w:div w:id="488984801">
          <w:marLeft w:val="0"/>
          <w:marRight w:val="0"/>
          <w:marTop w:val="0"/>
          <w:marBottom w:val="0"/>
          <w:divBdr>
            <w:top w:val="none" w:sz="0" w:space="0" w:color="auto"/>
            <w:left w:val="none" w:sz="0" w:space="0" w:color="auto"/>
            <w:bottom w:val="none" w:sz="0" w:space="0" w:color="auto"/>
            <w:right w:val="none" w:sz="0" w:space="0" w:color="auto"/>
          </w:divBdr>
          <w:divsChild>
            <w:div w:id="495656973">
              <w:marLeft w:val="0"/>
              <w:marRight w:val="0"/>
              <w:marTop w:val="0"/>
              <w:marBottom w:val="0"/>
              <w:divBdr>
                <w:top w:val="none" w:sz="0" w:space="0" w:color="auto"/>
                <w:left w:val="none" w:sz="0" w:space="0" w:color="auto"/>
                <w:bottom w:val="none" w:sz="0" w:space="0" w:color="auto"/>
                <w:right w:val="none" w:sz="0" w:space="0" w:color="auto"/>
              </w:divBdr>
            </w:div>
          </w:divsChild>
        </w:div>
        <w:div w:id="1956979167">
          <w:marLeft w:val="0"/>
          <w:marRight w:val="0"/>
          <w:marTop w:val="0"/>
          <w:marBottom w:val="0"/>
          <w:divBdr>
            <w:top w:val="none" w:sz="0" w:space="0" w:color="auto"/>
            <w:left w:val="none" w:sz="0" w:space="0" w:color="auto"/>
            <w:bottom w:val="none" w:sz="0" w:space="0" w:color="auto"/>
            <w:right w:val="none" w:sz="0" w:space="0" w:color="auto"/>
          </w:divBdr>
          <w:divsChild>
            <w:div w:id="1527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640">
      <w:bodyDiv w:val="1"/>
      <w:marLeft w:val="0"/>
      <w:marRight w:val="0"/>
      <w:marTop w:val="0"/>
      <w:marBottom w:val="0"/>
      <w:divBdr>
        <w:top w:val="none" w:sz="0" w:space="0" w:color="auto"/>
        <w:left w:val="none" w:sz="0" w:space="0" w:color="auto"/>
        <w:bottom w:val="none" w:sz="0" w:space="0" w:color="auto"/>
        <w:right w:val="none" w:sz="0" w:space="0" w:color="auto"/>
      </w:divBdr>
      <w:divsChild>
        <w:div w:id="451289092">
          <w:marLeft w:val="0"/>
          <w:marRight w:val="0"/>
          <w:marTop w:val="0"/>
          <w:marBottom w:val="0"/>
          <w:divBdr>
            <w:top w:val="none" w:sz="0" w:space="0" w:color="auto"/>
            <w:left w:val="none" w:sz="0" w:space="0" w:color="auto"/>
            <w:bottom w:val="none" w:sz="0" w:space="0" w:color="auto"/>
            <w:right w:val="none" w:sz="0" w:space="0" w:color="auto"/>
          </w:divBdr>
          <w:divsChild>
            <w:div w:id="1195463583">
              <w:marLeft w:val="0"/>
              <w:marRight w:val="0"/>
              <w:marTop w:val="0"/>
              <w:marBottom w:val="0"/>
              <w:divBdr>
                <w:top w:val="none" w:sz="0" w:space="0" w:color="auto"/>
                <w:left w:val="none" w:sz="0" w:space="0" w:color="auto"/>
                <w:bottom w:val="none" w:sz="0" w:space="0" w:color="auto"/>
                <w:right w:val="none" w:sz="0" w:space="0" w:color="auto"/>
              </w:divBdr>
            </w:div>
          </w:divsChild>
        </w:div>
        <w:div w:id="1894535343">
          <w:marLeft w:val="0"/>
          <w:marRight w:val="0"/>
          <w:marTop w:val="0"/>
          <w:marBottom w:val="0"/>
          <w:divBdr>
            <w:top w:val="none" w:sz="0" w:space="0" w:color="auto"/>
            <w:left w:val="none" w:sz="0" w:space="0" w:color="auto"/>
            <w:bottom w:val="none" w:sz="0" w:space="0" w:color="auto"/>
            <w:right w:val="none" w:sz="0" w:space="0" w:color="auto"/>
          </w:divBdr>
          <w:divsChild>
            <w:div w:id="1182012387">
              <w:marLeft w:val="0"/>
              <w:marRight w:val="0"/>
              <w:marTop w:val="0"/>
              <w:marBottom w:val="0"/>
              <w:divBdr>
                <w:top w:val="none" w:sz="0" w:space="0" w:color="auto"/>
                <w:left w:val="none" w:sz="0" w:space="0" w:color="auto"/>
                <w:bottom w:val="none" w:sz="0" w:space="0" w:color="auto"/>
                <w:right w:val="none" w:sz="0" w:space="0" w:color="auto"/>
              </w:divBdr>
            </w:div>
          </w:divsChild>
        </w:div>
        <w:div w:id="1547178061">
          <w:marLeft w:val="0"/>
          <w:marRight w:val="0"/>
          <w:marTop w:val="0"/>
          <w:marBottom w:val="0"/>
          <w:divBdr>
            <w:top w:val="none" w:sz="0" w:space="0" w:color="auto"/>
            <w:left w:val="none" w:sz="0" w:space="0" w:color="auto"/>
            <w:bottom w:val="none" w:sz="0" w:space="0" w:color="auto"/>
            <w:right w:val="none" w:sz="0" w:space="0" w:color="auto"/>
          </w:divBdr>
          <w:divsChild>
            <w:div w:id="1765303859">
              <w:marLeft w:val="0"/>
              <w:marRight w:val="0"/>
              <w:marTop w:val="0"/>
              <w:marBottom w:val="0"/>
              <w:divBdr>
                <w:top w:val="none" w:sz="0" w:space="0" w:color="auto"/>
                <w:left w:val="none" w:sz="0" w:space="0" w:color="auto"/>
                <w:bottom w:val="none" w:sz="0" w:space="0" w:color="auto"/>
                <w:right w:val="none" w:sz="0" w:space="0" w:color="auto"/>
              </w:divBdr>
            </w:div>
          </w:divsChild>
        </w:div>
        <w:div w:id="576136863">
          <w:marLeft w:val="0"/>
          <w:marRight w:val="0"/>
          <w:marTop w:val="0"/>
          <w:marBottom w:val="0"/>
          <w:divBdr>
            <w:top w:val="none" w:sz="0" w:space="0" w:color="auto"/>
            <w:left w:val="none" w:sz="0" w:space="0" w:color="auto"/>
            <w:bottom w:val="none" w:sz="0" w:space="0" w:color="auto"/>
            <w:right w:val="none" w:sz="0" w:space="0" w:color="auto"/>
          </w:divBdr>
          <w:divsChild>
            <w:div w:id="1430462911">
              <w:marLeft w:val="0"/>
              <w:marRight w:val="0"/>
              <w:marTop w:val="0"/>
              <w:marBottom w:val="0"/>
              <w:divBdr>
                <w:top w:val="none" w:sz="0" w:space="0" w:color="auto"/>
                <w:left w:val="none" w:sz="0" w:space="0" w:color="auto"/>
                <w:bottom w:val="none" w:sz="0" w:space="0" w:color="auto"/>
                <w:right w:val="none" w:sz="0" w:space="0" w:color="auto"/>
              </w:divBdr>
            </w:div>
          </w:divsChild>
        </w:div>
        <w:div w:id="780994249">
          <w:marLeft w:val="0"/>
          <w:marRight w:val="0"/>
          <w:marTop w:val="0"/>
          <w:marBottom w:val="0"/>
          <w:divBdr>
            <w:top w:val="none" w:sz="0" w:space="0" w:color="auto"/>
            <w:left w:val="none" w:sz="0" w:space="0" w:color="auto"/>
            <w:bottom w:val="none" w:sz="0" w:space="0" w:color="auto"/>
            <w:right w:val="none" w:sz="0" w:space="0" w:color="auto"/>
          </w:divBdr>
          <w:divsChild>
            <w:div w:id="805006855">
              <w:marLeft w:val="0"/>
              <w:marRight w:val="0"/>
              <w:marTop w:val="0"/>
              <w:marBottom w:val="0"/>
              <w:divBdr>
                <w:top w:val="none" w:sz="0" w:space="0" w:color="auto"/>
                <w:left w:val="none" w:sz="0" w:space="0" w:color="auto"/>
                <w:bottom w:val="none" w:sz="0" w:space="0" w:color="auto"/>
                <w:right w:val="none" w:sz="0" w:space="0" w:color="auto"/>
              </w:divBdr>
            </w:div>
          </w:divsChild>
        </w:div>
        <w:div w:id="389812752">
          <w:marLeft w:val="0"/>
          <w:marRight w:val="0"/>
          <w:marTop w:val="0"/>
          <w:marBottom w:val="0"/>
          <w:divBdr>
            <w:top w:val="none" w:sz="0" w:space="0" w:color="auto"/>
            <w:left w:val="none" w:sz="0" w:space="0" w:color="auto"/>
            <w:bottom w:val="none" w:sz="0" w:space="0" w:color="auto"/>
            <w:right w:val="none" w:sz="0" w:space="0" w:color="auto"/>
          </w:divBdr>
          <w:divsChild>
            <w:div w:id="1356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2305">
      <w:bodyDiv w:val="1"/>
      <w:marLeft w:val="0"/>
      <w:marRight w:val="0"/>
      <w:marTop w:val="0"/>
      <w:marBottom w:val="0"/>
      <w:divBdr>
        <w:top w:val="none" w:sz="0" w:space="0" w:color="auto"/>
        <w:left w:val="none" w:sz="0" w:space="0" w:color="auto"/>
        <w:bottom w:val="none" w:sz="0" w:space="0" w:color="auto"/>
        <w:right w:val="none" w:sz="0" w:space="0" w:color="auto"/>
      </w:divBdr>
    </w:div>
    <w:div w:id="2057007181">
      <w:bodyDiv w:val="1"/>
      <w:marLeft w:val="0"/>
      <w:marRight w:val="0"/>
      <w:marTop w:val="0"/>
      <w:marBottom w:val="0"/>
      <w:divBdr>
        <w:top w:val="none" w:sz="0" w:space="0" w:color="auto"/>
        <w:left w:val="none" w:sz="0" w:space="0" w:color="auto"/>
        <w:bottom w:val="none" w:sz="0" w:space="0" w:color="auto"/>
        <w:right w:val="none" w:sz="0" w:space="0" w:color="auto"/>
      </w:divBdr>
      <w:divsChild>
        <w:div w:id="1468546498">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sChild>
        </w:div>
        <w:div w:id="1339691423">
          <w:marLeft w:val="0"/>
          <w:marRight w:val="0"/>
          <w:marTop w:val="0"/>
          <w:marBottom w:val="0"/>
          <w:divBdr>
            <w:top w:val="none" w:sz="0" w:space="0" w:color="auto"/>
            <w:left w:val="none" w:sz="0" w:space="0" w:color="auto"/>
            <w:bottom w:val="none" w:sz="0" w:space="0" w:color="auto"/>
            <w:right w:val="none" w:sz="0" w:space="0" w:color="auto"/>
          </w:divBdr>
          <w:divsChild>
            <w:div w:id="1647586843">
              <w:marLeft w:val="0"/>
              <w:marRight w:val="0"/>
              <w:marTop w:val="0"/>
              <w:marBottom w:val="0"/>
              <w:divBdr>
                <w:top w:val="none" w:sz="0" w:space="0" w:color="auto"/>
                <w:left w:val="none" w:sz="0" w:space="0" w:color="auto"/>
                <w:bottom w:val="none" w:sz="0" w:space="0" w:color="auto"/>
                <w:right w:val="none" w:sz="0" w:space="0" w:color="auto"/>
              </w:divBdr>
            </w:div>
          </w:divsChild>
        </w:div>
        <w:div w:id="7682242">
          <w:marLeft w:val="0"/>
          <w:marRight w:val="0"/>
          <w:marTop w:val="0"/>
          <w:marBottom w:val="0"/>
          <w:divBdr>
            <w:top w:val="none" w:sz="0" w:space="0" w:color="auto"/>
            <w:left w:val="none" w:sz="0" w:space="0" w:color="auto"/>
            <w:bottom w:val="none" w:sz="0" w:space="0" w:color="auto"/>
            <w:right w:val="none" w:sz="0" w:space="0" w:color="auto"/>
          </w:divBdr>
          <w:divsChild>
            <w:div w:id="4380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1F8D0-1041-4009-8A67-9318F868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6</cp:revision>
  <dcterms:created xsi:type="dcterms:W3CDTF">2021-04-19T12:04:00Z</dcterms:created>
  <dcterms:modified xsi:type="dcterms:W3CDTF">2021-04-19T12:16:00Z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(2)CHrmx95rhSJ/P+7x4OmsvQm+erxv7OJr8S1XNbnD0vJPOjUUjVxK0UVNiHI3Yaq/dJUKkVTJ
TrgJA++Yr7j9UGx1PL9lqrV/eLh7ulSXDIEBHE79C9X9lks0cBch3QQyxK8LjabYwZgjgGo4
LZ4yfjdrEcZL0FXQ58nLTBfbwvkh93z3iKAYNEvJRsUiBYqrN56QiY+7svcNBQZ0injGXuDS
cCD9Lej+ndWFkU5IWT</vt:lpwstr>
  </property>
  <property fmtid="{D5CDD505-2E9C-101B-9397-08002B2CF9AE}" pid="3" name="_2015_ms_pID_7253431">
    <vt:lpwstr>PWJjjNz5tmabjqjGxD/KZcCWZGSm9c0sOVub6dBestKJph2/Rat6Qq
QknTZGd9/xZoVfheuLVPgj5E4efZuvV3D1rftC+iswDycP1MMX04O6olawH33BDq7dvXFghx
qp5dOA2mpJPdNKJ2VDzikvLXRYszVZ05KorTf9WyeKEzd7djj3XgYDmZuLkVFtrGn0xZYmii
pT3SXs2ONTiZ12Ab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1618829796</vt:lpwstr>
  </property>
</Properties>
</file>