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DE2246">
        <w:trPr>
          <w:trHeight w:val="53"/>
        </w:trPr>
        <w:tc>
          <w:tcPr>
            <w:tcW w:w="723" w:type="dxa"/>
            <w:shd w:val="clear" w:color="auto" w:fill="BFBFBF" w:themeFill="background1" w:themeFillShade="BF"/>
          </w:tcPr>
          <w:p w14:paraId="3DCB4D61" w14:textId="77777777" w:rsidR="00246713" w:rsidRPr="00C11015" w:rsidRDefault="00246713" w:rsidP="00DE2246">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DE2246">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DE2246">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DE2246">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DE2246">
            <w:pPr>
              <w:snapToGrid w:val="0"/>
              <w:jc w:val="both"/>
              <w:rPr>
                <w:b/>
                <w:sz w:val="18"/>
                <w:szCs w:val="18"/>
              </w:rPr>
            </w:pPr>
            <w:r w:rsidRPr="00C11015">
              <w:rPr>
                <w:b/>
                <w:sz w:val="18"/>
                <w:szCs w:val="18"/>
              </w:rPr>
              <w:t>Company inputs (if any)</w:t>
            </w:r>
          </w:p>
        </w:tc>
      </w:tr>
      <w:tr w:rsidR="00F00E98" w14:paraId="73EF855F" w14:textId="77777777" w:rsidTr="00DE2246">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7A42E8F2" w14:textId="528EA70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03D4D692" w14:textId="77777777" w:rsidTr="00DE2246">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3"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05CC25DA" w14:textId="45AA91AF"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E4914FF" w14:textId="77777777" w:rsidTr="00DE2246">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321D6F71" w14:textId="3BA3ADC2"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tc>
      </w:tr>
      <w:tr w:rsidR="00F00E98" w14:paraId="2F2ED744" w14:textId="77777777" w:rsidTr="00DE2246">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466F196A" w14:textId="114DB463"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tc>
      </w:tr>
      <w:tr w:rsidR="00F00E98" w14:paraId="2EBB6F80" w14:textId="77777777" w:rsidTr="00DE2246">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42B82DA2" w14:textId="6D0DE353"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tc>
      </w:tr>
      <w:tr w:rsidR="00F00E98" w14:paraId="626EA8B1" w14:textId="77777777" w:rsidTr="00DE2246">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77777777" w:rsidR="00F00E98" w:rsidRDefault="00F00E98" w:rsidP="00F00E98">
            <w:pPr>
              <w:snapToGrid w:val="0"/>
              <w:rPr>
                <w:sz w:val="18"/>
                <w:szCs w:val="18"/>
              </w:rPr>
            </w:pPr>
            <w:r>
              <w:rPr>
                <w:rFonts w:hint="eastAsia"/>
                <w:sz w:val="18"/>
                <w:szCs w:val="18"/>
              </w:rPr>
              <w:lastRenderedPageBreak/>
              <w:t>Apple</w:t>
            </w:r>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9C98136" w14:textId="3EB98BF9"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tc>
      </w:tr>
      <w:tr w:rsidR="00F00E98" w:rsidRPr="00875005" w14:paraId="7E55D3B1" w14:textId="77777777" w:rsidTr="00DE2246">
        <w:tc>
          <w:tcPr>
            <w:tcW w:w="723" w:type="dxa"/>
          </w:tcPr>
          <w:p w14:paraId="4A4A715B" w14:textId="77777777" w:rsidR="00F00E98" w:rsidRPr="00875005" w:rsidRDefault="00F00E98" w:rsidP="00F00E98">
            <w:pPr>
              <w:snapToGrid w:val="0"/>
              <w:jc w:val="both"/>
              <w:rPr>
                <w:sz w:val="18"/>
                <w:szCs w:val="18"/>
              </w:rPr>
            </w:pPr>
            <w:r w:rsidRPr="00875005">
              <w:rPr>
                <w:sz w:val="18"/>
                <w:szCs w:val="18"/>
              </w:rPr>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 xml:space="preserve">amsung: We agree that some clarification would be needed. </w:t>
            </w:r>
            <w:r>
              <w:rPr>
                <w:sz w:val="18"/>
                <w:szCs w:val="18"/>
              </w:rPr>
              <w:t>However, i</w:t>
            </w:r>
            <w:r>
              <w:rPr>
                <w:sz w:val="18"/>
                <w:szCs w:val="18"/>
              </w:rPr>
              <w:t>f we adopt this CR, the TP has impacts on Rel-15 PCell BFR. Hence if we agree with discussion for this issue, the right place would be Rel-15 maintenance.</w:t>
            </w:r>
          </w:p>
          <w:p w14:paraId="5CC14A8C" w14:textId="7792B7A9" w:rsidR="00F00E98" w:rsidRPr="00875005" w:rsidRDefault="00F00E98" w:rsidP="00F00E98">
            <w:pPr>
              <w:snapToGrid w:val="0"/>
              <w:jc w:val="both"/>
              <w:rPr>
                <w:sz w:val="18"/>
                <w:szCs w:val="18"/>
              </w:rPr>
            </w:pPr>
          </w:p>
        </w:tc>
      </w:tr>
      <w:tr w:rsidR="00F00E98" w:rsidRPr="00875005" w14:paraId="4CA1A2DF" w14:textId="77777777" w:rsidTr="00DE2246">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t>ZTE</w:t>
            </w:r>
            <w:ins w:id="5"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6"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B6F01B7" w14:textId="59B887FF" w:rsidR="00F00E98" w:rsidRPr="00875005"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tc>
      </w:tr>
      <w:tr w:rsidR="00F00E98" w:rsidRPr="00875005" w14:paraId="4EBE2A45" w14:textId="77777777" w:rsidTr="00DE2246">
        <w:tc>
          <w:tcPr>
            <w:tcW w:w="723" w:type="dxa"/>
          </w:tcPr>
          <w:p w14:paraId="6FF2133C" w14:textId="77777777" w:rsidR="00F00E98" w:rsidRPr="00875005" w:rsidRDefault="00F00E98" w:rsidP="00F00E98">
            <w:pPr>
              <w:snapToGrid w:val="0"/>
              <w:jc w:val="both"/>
              <w:rPr>
                <w:sz w:val="18"/>
                <w:szCs w:val="18"/>
              </w:rPr>
            </w:pPr>
            <w:r w:rsidRPr="00875005">
              <w:rPr>
                <w:sz w:val="18"/>
                <w:szCs w:val="18"/>
              </w:rPr>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128D3886" w14:textId="57ADF6F5" w:rsidR="00F00E98" w:rsidRPr="00875005" w:rsidRDefault="00F00E98" w:rsidP="00F00E98">
            <w:pPr>
              <w:snapToGrid w:val="0"/>
              <w:jc w:val="both"/>
              <w:rPr>
                <w:sz w:val="18"/>
                <w:szCs w:val="18"/>
              </w:rPr>
            </w:pPr>
          </w:p>
        </w:tc>
      </w:tr>
      <w:tr w:rsidR="00F00E98" w:rsidRPr="00875005" w14:paraId="41846AE5" w14:textId="77777777" w:rsidTr="00DE2246">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8" w:author="Yuki Matsumura" w:date="2021-04-08T15:51:00Z"/>
                <w:rFonts w:eastAsia="Yu Mincho"/>
                <w:sz w:val="18"/>
                <w:szCs w:val="18"/>
                <w:lang w:eastAsia="ja-JP"/>
              </w:rPr>
            </w:pPr>
            <w:ins w:id="9"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rsidP="00F00E98">
            <w:pPr>
              <w:pStyle w:val="a5"/>
              <w:numPr>
                <w:ilvl w:val="0"/>
                <w:numId w:val="47"/>
              </w:numPr>
              <w:snapToGrid w:val="0"/>
              <w:jc w:val="both"/>
              <w:rPr>
                <w:ins w:id="10" w:author="Yuki Matsumura" w:date="2021-04-08T15:51:00Z"/>
                <w:sz w:val="18"/>
                <w:szCs w:val="18"/>
                <w:rPrChange w:id="11" w:author="Yuki Matsumura" w:date="2021-04-08T15:51:00Z">
                  <w:rPr>
                    <w:ins w:id="12" w:author="Yuki Matsumura" w:date="2021-04-08T15:51:00Z"/>
                    <w:rFonts w:eastAsia="Yu Mincho"/>
                    <w:sz w:val="18"/>
                    <w:szCs w:val="18"/>
                    <w:lang w:eastAsia="ja-JP"/>
                  </w:rPr>
                </w:rPrChange>
              </w:rPr>
              <w:pPrChange w:id="13" w:author="Yuki Matsumura" w:date="2021-04-08T15:51:00Z">
                <w:pPr>
                  <w:snapToGrid w:val="0"/>
                  <w:jc w:val="both"/>
                </w:pPr>
              </w:pPrChange>
            </w:pPr>
            <w:ins w:id="14"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rsidP="00F00E98">
            <w:pPr>
              <w:pStyle w:val="a5"/>
              <w:numPr>
                <w:ilvl w:val="0"/>
                <w:numId w:val="47"/>
              </w:numPr>
              <w:snapToGrid w:val="0"/>
              <w:jc w:val="both"/>
              <w:rPr>
                <w:sz w:val="18"/>
                <w:szCs w:val="18"/>
              </w:rPr>
              <w:pPrChange w:id="15" w:author="Yuki Matsumura" w:date="2021-04-08T15:51:00Z">
                <w:pPr>
                  <w:snapToGrid w:val="0"/>
                  <w:jc w:val="both"/>
                </w:pPr>
              </w:pPrChange>
            </w:pPr>
            <w:ins w:id="16" w:author="Yuki Matsumura" w:date="2021-04-08T15:51:00Z">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ins>
          </w:p>
          <w:p w14:paraId="043C71E2"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DE2246">
        <w:tc>
          <w:tcPr>
            <w:tcW w:w="723" w:type="dxa"/>
          </w:tcPr>
          <w:p w14:paraId="1005A983" w14:textId="77777777" w:rsidR="00F00E98" w:rsidRPr="00875005" w:rsidRDefault="00F00E98" w:rsidP="00F00E98">
            <w:pPr>
              <w:snapToGrid w:val="0"/>
              <w:jc w:val="both"/>
              <w:rPr>
                <w:sz w:val="18"/>
                <w:szCs w:val="18"/>
              </w:rPr>
            </w:pPr>
            <w:r w:rsidRPr="00875005">
              <w:rPr>
                <w:sz w:val="18"/>
                <w:szCs w:val="18"/>
              </w:rPr>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17"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18"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2B0D3FE3" w14:textId="720E9996" w:rsidR="00C41881" w:rsidRPr="00875005"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54391F77" w14:textId="77777777" w:rsidTr="00DE2246">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148883E8" w14:textId="3527159D" w:rsidR="00F00E98" w:rsidRPr="00875005"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3031F29B" w14:textId="77777777" w:rsidTr="00DE2246">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DE2246">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 xml:space="preserve">R1-2102596 suggested that the title description of Table 5.1.2.1-2 is not proper for URLLC scheme 4 since scheme 4 uses </w:t>
            </w:r>
            <w:r>
              <w:rPr>
                <w:sz w:val="18"/>
                <w:szCs w:val="18"/>
              </w:rPr>
              <w:lastRenderedPageBreak/>
              <w:t>“</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lastRenderedPageBreak/>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230BC6EF" w14:textId="37750745" w:rsidR="00F00E98" w:rsidRPr="00875005"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5CDD647A" w14:textId="77777777" w:rsidTr="00DE2246">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649FADDA" w14:textId="1FA4B6BD" w:rsidR="00F00E98" w:rsidRPr="00875005"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7819743C" w14:textId="77777777" w:rsidTr="00DE2246">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611B8711" w14:textId="03D88925" w:rsidR="00F00E98" w:rsidRPr="00875005"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tc>
      </w:tr>
      <w:tr w:rsidR="00F00E98" w:rsidRPr="00875005" w14:paraId="380C4B7F" w14:textId="77777777" w:rsidTr="00DE2246">
        <w:tc>
          <w:tcPr>
            <w:tcW w:w="723" w:type="dxa"/>
          </w:tcPr>
          <w:p w14:paraId="038D1291" w14:textId="77777777" w:rsidR="00F00E98" w:rsidRPr="00875005" w:rsidRDefault="00F00E98" w:rsidP="00F00E98">
            <w:pPr>
              <w:snapToGrid w:val="0"/>
              <w:jc w:val="both"/>
              <w:rPr>
                <w:sz w:val="18"/>
                <w:szCs w:val="18"/>
              </w:rPr>
            </w:pPr>
            <w:r>
              <w:rPr>
                <w:sz w:val="18"/>
                <w:szCs w:val="18"/>
              </w:rPr>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1306022A" w:rsidR="00F00E98" w:rsidRPr="00875005" w:rsidRDefault="00F00E98" w:rsidP="00F00E98">
            <w:pPr>
              <w:snapToGrid w:val="0"/>
              <w:rPr>
                <w:sz w:val="18"/>
                <w:szCs w:val="18"/>
              </w:rPr>
            </w:pPr>
            <w:r>
              <w:rPr>
                <w:sz w:val="18"/>
                <w:szCs w:val="18"/>
              </w:rPr>
              <w:t>OPPO</w:t>
            </w:r>
            <w:ins w:id="19" w:author="Yuki Matsumura" w:date="2021-04-08T15:52:00Z">
              <w:r>
                <w:rPr>
                  <w:sz w:val="18"/>
                  <w:szCs w:val="18"/>
                </w:rPr>
                <w:t>, Docomo</w:t>
              </w:r>
            </w:ins>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20"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77777777" w:rsidR="00C41881" w:rsidRDefault="00C41881"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06384719" w14:textId="1361D945" w:rsidR="00C41881" w:rsidRPr="00875005" w:rsidRDefault="00C41881" w:rsidP="00F00E98">
            <w:pPr>
              <w:snapToGrid w:val="0"/>
              <w:jc w:val="both"/>
              <w:rPr>
                <w:sz w:val="18"/>
                <w:szCs w:val="18"/>
              </w:rPr>
            </w:pPr>
          </w:p>
        </w:tc>
      </w:tr>
      <w:tr w:rsidR="00F00E98" w:rsidRPr="00875005" w14:paraId="6EA1A5C8" w14:textId="77777777" w:rsidTr="00DE2246">
        <w:tc>
          <w:tcPr>
            <w:tcW w:w="723" w:type="dxa"/>
          </w:tcPr>
          <w:p w14:paraId="4AB91091" w14:textId="77777777" w:rsidR="00F00E98" w:rsidRPr="00875005" w:rsidRDefault="00F00E98" w:rsidP="00F00E98">
            <w:pPr>
              <w:snapToGrid w:val="0"/>
              <w:jc w:val="both"/>
              <w:rPr>
                <w:sz w:val="18"/>
                <w:szCs w:val="18"/>
              </w:rPr>
            </w:pPr>
            <w:r>
              <w:rPr>
                <w:sz w:val="18"/>
                <w:szCs w:val="18"/>
              </w:rPr>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xml:space="preserve">, and the deactivated cells (without active DL </w:t>
            </w:r>
            <w:r w:rsidRPr="000C23B8">
              <w:rPr>
                <w:rFonts w:eastAsia="SimSun" w:hint="eastAsia"/>
                <w:sz w:val="18"/>
                <w:szCs w:val="18"/>
                <w:lang w:eastAsia="zh-CN"/>
              </w:rPr>
              <w:lastRenderedPageBreak/>
              <w:t>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lastRenderedPageBreak/>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71D40A72" w14:textId="34DCA676" w:rsidR="00F00E98" w:rsidRPr="00875005"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tc>
      </w:tr>
      <w:tr w:rsidR="00F00E98" w:rsidRPr="00875005" w14:paraId="0FADA831" w14:textId="77777777" w:rsidTr="00DE2246">
        <w:tc>
          <w:tcPr>
            <w:tcW w:w="723" w:type="dxa"/>
          </w:tcPr>
          <w:p w14:paraId="4A61D8ED" w14:textId="77777777" w:rsidR="00F00E98" w:rsidRDefault="00F00E98" w:rsidP="00F00E98">
            <w:pPr>
              <w:snapToGrid w:val="0"/>
              <w:jc w:val="both"/>
              <w:rPr>
                <w:sz w:val="18"/>
                <w:szCs w:val="18"/>
              </w:rPr>
            </w:pPr>
            <w:r>
              <w:rPr>
                <w:sz w:val="18"/>
                <w:szCs w:val="18"/>
              </w:rPr>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77777" w:rsidR="00F00E98" w:rsidRDefault="00F00E98" w:rsidP="00F00E98">
            <w:pPr>
              <w:snapToGrid w:val="0"/>
              <w:rPr>
                <w:sz w:val="18"/>
                <w:szCs w:val="18"/>
              </w:rPr>
            </w:pPr>
            <w:r>
              <w:rPr>
                <w:sz w:val="18"/>
                <w:szCs w:val="18"/>
              </w:rPr>
              <w:t>vivo</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2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5B0CA89E" w14:textId="37B623B9" w:rsidR="00C41881" w:rsidRPr="00875005"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tc>
      </w:tr>
      <w:tr w:rsidR="00F00E98" w:rsidRPr="00875005" w14:paraId="1B193C78" w14:textId="77777777" w:rsidTr="00DE2246">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22"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3944AFCE" w14:textId="5D713506" w:rsidR="00C41881" w:rsidRPr="00875005"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tc>
      </w:tr>
      <w:tr w:rsidR="00F00E98" w:rsidRPr="00875005" w14:paraId="62DA8F4A" w14:textId="77777777" w:rsidTr="00DE2246">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a5"/>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23"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24"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14DDB15" w14:textId="7F4A0F02" w:rsidR="00C41881" w:rsidRPr="00875005"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tc>
      </w:tr>
      <w:tr w:rsidR="00F00E98" w:rsidRPr="00875005" w14:paraId="7F7CFA41" w14:textId="77777777" w:rsidTr="00DE2246">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E67643B" w14:textId="5CE19B22" w:rsidR="00F00E98" w:rsidRPr="00875005"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1BE07DFE" w14:textId="77777777" w:rsidTr="00DE2246">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lastRenderedPageBreak/>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71DBE4AC" w14:textId="560941F0" w:rsidR="00F00E98" w:rsidRPr="00D543EA"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1D04C08C" w14:textId="77777777" w:rsidTr="00DE2246">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2EA5784C" w14:textId="67A7EB95" w:rsidR="00F00E98" w:rsidRPr="00875005" w:rsidRDefault="00C41881" w:rsidP="00F00E98">
            <w:pPr>
              <w:snapToGrid w:val="0"/>
              <w:jc w:val="both"/>
              <w:rPr>
                <w:sz w:val="18"/>
                <w:szCs w:val="18"/>
              </w:rPr>
            </w:pPr>
            <w:r>
              <w:rPr>
                <w:rFonts w:hint="eastAsia"/>
                <w:sz w:val="18"/>
                <w:szCs w:val="18"/>
              </w:rPr>
              <w:t>S</w:t>
            </w:r>
            <w:r>
              <w:rPr>
                <w:sz w:val="18"/>
                <w:szCs w:val="18"/>
              </w:rPr>
              <w:t>amsung: It seems not essential issue.</w:t>
            </w:r>
          </w:p>
        </w:tc>
      </w:tr>
      <w:tr w:rsidR="00F00E98" w:rsidRPr="00875005" w14:paraId="4CEB3AFC" w14:textId="77777777" w:rsidTr="00DE2246">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a5"/>
              <w:rPr>
                <w:rFonts w:ascii="Times New Roman" w:hAnsi="Times New Roman" w:cs="Times New Roman"/>
                <w:sz w:val="18"/>
                <w:szCs w:val="18"/>
              </w:rPr>
            </w:pPr>
          </w:p>
          <w:p w14:paraId="5592B198" w14:textId="77777777" w:rsidR="00F00E98" w:rsidRPr="008764E9" w:rsidRDefault="00F00E98" w:rsidP="00F00E98">
            <w:pPr>
              <w:pStyle w:val="a5"/>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43D7E7FA" w14:textId="77777777" w:rsidR="00F00E98" w:rsidRPr="00C41881" w:rsidRDefault="00F00E98" w:rsidP="00F00E98">
            <w:pPr>
              <w:snapToGrid w:val="0"/>
              <w:jc w:val="both"/>
              <w:rPr>
                <w:sz w:val="18"/>
                <w:szCs w:val="18"/>
              </w:rPr>
            </w:pPr>
          </w:p>
        </w:tc>
      </w:tr>
      <w:tr w:rsidR="00F00E98" w:rsidRPr="00875005" w14:paraId="1015376C" w14:textId="77777777" w:rsidTr="00DE2246">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29B04D6" w14:textId="65881638" w:rsidR="00F00E98" w:rsidRPr="00875005"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tc>
      </w:tr>
      <w:tr w:rsidR="00F00E98" w:rsidRPr="00875005" w14:paraId="245A0935" w14:textId="77777777" w:rsidTr="00DE2246">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2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2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5F964ECD" w14:textId="1A24DD51" w:rsidR="00C41881" w:rsidRPr="00875005" w:rsidRDefault="00C41881" w:rsidP="00F00E98">
            <w:pPr>
              <w:snapToGrid w:val="0"/>
              <w:jc w:val="both"/>
              <w:rPr>
                <w:sz w:val="18"/>
                <w:szCs w:val="18"/>
              </w:rPr>
            </w:pPr>
            <w:r>
              <w:rPr>
                <w:rFonts w:hint="eastAsia"/>
                <w:sz w:val="18"/>
                <w:szCs w:val="18"/>
              </w:rPr>
              <w:t>S</w:t>
            </w:r>
            <w:r>
              <w:rPr>
                <w:sz w:val="18"/>
                <w:szCs w:val="18"/>
              </w:rPr>
              <w:t>amsung: We agree with the FL’s assessment.</w:t>
            </w:r>
          </w:p>
        </w:tc>
      </w:tr>
      <w:tr w:rsidR="00F00E98" w:rsidRPr="00875005" w14:paraId="2F2F0141" w14:textId="77777777" w:rsidTr="00DE2246">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DE2246">
        <w:tc>
          <w:tcPr>
            <w:tcW w:w="723" w:type="dxa"/>
          </w:tcPr>
          <w:p w14:paraId="394FEDDC" w14:textId="77777777" w:rsidR="00F00E98" w:rsidRPr="00875005" w:rsidRDefault="00F00E98" w:rsidP="00F00E98">
            <w:pPr>
              <w:snapToGrid w:val="0"/>
              <w:jc w:val="both"/>
              <w:rPr>
                <w:sz w:val="18"/>
                <w:szCs w:val="18"/>
              </w:rPr>
            </w:pPr>
            <w:r w:rsidRPr="00875005">
              <w:rPr>
                <w:sz w:val="18"/>
                <w:szCs w:val="18"/>
              </w:rPr>
              <w:lastRenderedPageBreak/>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5138050B" w14:textId="5F36AE36" w:rsidR="00F00E98" w:rsidRPr="00875005" w:rsidRDefault="00C41881" w:rsidP="00CD0907">
            <w:pPr>
              <w:snapToGrid w:val="0"/>
              <w:jc w:val="both"/>
              <w:rPr>
                <w:rFonts w:eastAsia="DengXian"/>
                <w:sz w:val="18"/>
                <w:szCs w:val="18"/>
                <w:lang w:eastAsia="zh-CN"/>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bookmarkStart w:id="27" w:name="_GoBack"/>
            <w:bookmarkEnd w:id="27"/>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lastRenderedPageBreak/>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024E45" w:rsidP="005E7C4B">
            <w:pPr>
              <w:snapToGrid w:val="0"/>
              <w:rPr>
                <w:rFonts w:eastAsia="Times New Roman"/>
                <w:bCs/>
                <w:sz w:val="20"/>
                <w:szCs w:val="18"/>
              </w:rPr>
            </w:pPr>
            <w:hyperlink r:id="rId11"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024E45" w:rsidP="005E7C4B">
            <w:pPr>
              <w:snapToGrid w:val="0"/>
              <w:rPr>
                <w:rFonts w:eastAsia="Times New Roman"/>
                <w:bCs/>
                <w:sz w:val="20"/>
                <w:szCs w:val="18"/>
              </w:rPr>
            </w:pPr>
            <w:hyperlink r:id="rId12"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024E45" w:rsidP="005E7C4B">
            <w:pPr>
              <w:snapToGrid w:val="0"/>
              <w:rPr>
                <w:rFonts w:eastAsia="Times New Roman"/>
                <w:bCs/>
                <w:sz w:val="20"/>
                <w:szCs w:val="18"/>
              </w:rPr>
            </w:pPr>
            <w:hyperlink r:id="rId13"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024E45" w:rsidP="005E7C4B">
            <w:pPr>
              <w:snapToGrid w:val="0"/>
              <w:rPr>
                <w:rFonts w:eastAsia="Times New Roman"/>
                <w:bCs/>
                <w:sz w:val="20"/>
                <w:szCs w:val="18"/>
              </w:rPr>
            </w:pPr>
            <w:hyperlink r:id="rId14"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024E45" w:rsidP="005E7C4B">
            <w:pPr>
              <w:snapToGrid w:val="0"/>
              <w:rPr>
                <w:rFonts w:eastAsia="Times New Roman"/>
                <w:bCs/>
                <w:sz w:val="20"/>
                <w:szCs w:val="18"/>
              </w:rPr>
            </w:pPr>
            <w:hyperlink r:id="rId15"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024E45" w:rsidP="005E7C4B">
            <w:pPr>
              <w:snapToGrid w:val="0"/>
              <w:rPr>
                <w:rFonts w:eastAsia="Times New Roman"/>
                <w:bCs/>
                <w:sz w:val="20"/>
                <w:szCs w:val="18"/>
              </w:rPr>
            </w:pPr>
            <w:hyperlink r:id="rId16"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024E45" w:rsidP="005E7C4B">
            <w:pPr>
              <w:snapToGrid w:val="0"/>
              <w:rPr>
                <w:rFonts w:eastAsia="Times New Roman"/>
                <w:bCs/>
                <w:sz w:val="20"/>
                <w:szCs w:val="18"/>
              </w:rPr>
            </w:pPr>
            <w:hyperlink r:id="rId17"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024E45" w:rsidP="005E7C4B">
            <w:pPr>
              <w:snapToGrid w:val="0"/>
              <w:rPr>
                <w:rFonts w:eastAsia="Times New Roman"/>
                <w:bCs/>
                <w:sz w:val="20"/>
                <w:szCs w:val="18"/>
              </w:rPr>
            </w:pPr>
            <w:hyperlink r:id="rId18"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024E45" w:rsidP="005E7C4B">
            <w:pPr>
              <w:snapToGrid w:val="0"/>
              <w:rPr>
                <w:rFonts w:eastAsia="Times New Roman"/>
                <w:bCs/>
                <w:sz w:val="20"/>
                <w:szCs w:val="18"/>
              </w:rPr>
            </w:pPr>
            <w:hyperlink r:id="rId19"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024E45" w:rsidP="005E7C4B">
            <w:pPr>
              <w:snapToGrid w:val="0"/>
              <w:rPr>
                <w:rFonts w:eastAsia="Times New Roman"/>
                <w:bCs/>
                <w:sz w:val="20"/>
                <w:szCs w:val="18"/>
              </w:rPr>
            </w:pPr>
            <w:hyperlink r:id="rId20"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E62EB" w14:textId="77777777" w:rsidR="00024E45" w:rsidRDefault="00024E45" w:rsidP="00FE429F">
      <w:r>
        <w:separator/>
      </w:r>
    </w:p>
  </w:endnote>
  <w:endnote w:type="continuationSeparator" w:id="0">
    <w:p w14:paraId="789850D2" w14:textId="77777777" w:rsidR="00024E45" w:rsidRDefault="00024E4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634C7" w14:textId="77777777" w:rsidR="00024E45" w:rsidRDefault="00024E45" w:rsidP="00FE429F">
      <w:r>
        <w:separator/>
      </w:r>
    </w:p>
  </w:footnote>
  <w:footnote w:type="continuationSeparator" w:id="0">
    <w:p w14:paraId="68F17E7A" w14:textId="77777777" w:rsidR="00024E45" w:rsidRDefault="00024E4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바탕"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6"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36"/>
  </w:num>
  <w:num w:numId="4">
    <w:abstractNumId w:val="19"/>
  </w:num>
  <w:num w:numId="5">
    <w:abstractNumId w:val="45"/>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7"/>
  </w:num>
  <w:num w:numId="11">
    <w:abstractNumId w:val="25"/>
  </w:num>
  <w:num w:numId="12">
    <w:abstractNumId w:val="13"/>
  </w:num>
  <w:num w:numId="13">
    <w:abstractNumId w:val="8"/>
  </w:num>
  <w:num w:numId="14">
    <w:abstractNumId w:val="28"/>
  </w:num>
  <w:num w:numId="15">
    <w:abstractNumId w:val="27"/>
  </w:num>
  <w:num w:numId="16">
    <w:abstractNumId w:val="9"/>
  </w:num>
  <w:num w:numId="17">
    <w:abstractNumId w:val="42"/>
  </w:num>
  <w:num w:numId="18">
    <w:abstractNumId w:val="29"/>
  </w:num>
  <w:num w:numId="19">
    <w:abstractNumId w:val="6"/>
  </w:num>
  <w:num w:numId="20">
    <w:abstractNumId w:val="4"/>
  </w:num>
  <w:num w:numId="21">
    <w:abstractNumId w:val="34"/>
  </w:num>
  <w:num w:numId="22">
    <w:abstractNumId w:val="31"/>
  </w:num>
  <w:num w:numId="23">
    <w:abstractNumId w:val="40"/>
  </w:num>
  <w:num w:numId="24">
    <w:abstractNumId w:val="18"/>
  </w:num>
  <w:num w:numId="25">
    <w:abstractNumId w:val="0"/>
  </w:num>
  <w:num w:numId="26">
    <w:abstractNumId w:val="30"/>
  </w:num>
  <w:num w:numId="27">
    <w:abstractNumId w:val="43"/>
  </w:num>
  <w:num w:numId="28">
    <w:abstractNumId w:val="21"/>
  </w:num>
  <w:num w:numId="29">
    <w:abstractNumId w:val="26"/>
  </w:num>
  <w:num w:numId="30">
    <w:abstractNumId w:val="23"/>
  </w:num>
  <w:num w:numId="31">
    <w:abstractNumId w:val="22"/>
  </w:num>
  <w:num w:numId="32">
    <w:abstractNumId w:val="17"/>
  </w:num>
  <w:num w:numId="33">
    <w:abstractNumId w:val="5"/>
  </w:num>
  <w:num w:numId="34">
    <w:abstractNumId w:val="44"/>
  </w:num>
  <w:num w:numId="35">
    <w:abstractNumId w:val="38"/>
  </w:num>
  <w:num w:numId="36">
    <w:abstractNumId w:val="11"/>
  </w:num>
  <w:num w:numId="37">
    <w:abstractNumId w:val="46"/>
  </w:num>
  <w:num w:numId="38">
    <w:abstractNumId w:val="20"/>
  </w:num>
  <w:num w:numId="39">
    <w:abstractNumId w:val="39"/>
  </w:num>
  <w:num w:numId="40">
    <w:abstractNumId w:val="16"/>
  </w:num>
  <w:num w:numId="41">
    <w:abstractNumId w:val="35"/>
  </w:num>
  <w:num w:numId="42">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7"/>
  </w:num>
  <w:num w:numId="45">
    <w:abstractNumId w:val="15"/>
  </w:num>
  <w:num w:numId="46">
    <w:abstractNumId w:val="32"/>
  </w:num>
  <w:num w:numId="47">
    <w:abstractNumId w:val="1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5F6E"/>
    <w:rsid w:val="000E75D3"/>
    <w:rsid w:val="000F0126"/>
    <w:rsid w:val="000F141A"/>
    <w:rsid w:val="000F176C"/>
    <w:rsid w:val="000F29D1"/>
    <w:rsid w:val="000F448A"/>
    <w:rsid w:val="000F6723"/>
    <w:rsid w:val="000F6AE3"/>
    <w:rsid w:val="000F74CC"/>
    <w:rsid w:val="000F77F5"/>
    <w:rsid w:val="00101953"/>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34EB"/>
    <w:rsid w:val="00264B42"/>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20E42"/>
    <w:rsid w:val="0042132E"/>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7C4B"/>
    <w:rsid w:val="005F0150"/>
    <w:rsid w:val="005F0FA6"/>
    <w:rsid w:val="005F142C"/>
    <w:rsid w:val="005F1D5E"/>
    <w:rsid w:val="005F7693"/>
    <w:rsid w:val="005F7A15"/>
    <w:rsid w:val="005F7AA3"/>
    <w:rsid w:val="005F7EA1"/>
    <w:rsid w:val="00602101"/>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182B"/>
    <w:rsid w:val="009246F6"/>
    <w:rsid w:val="009261D6"/>
    <w:rsid w:val="00927E5B"/>
    <w:rsid w:val="009330D9"/>
    <w:rsid w:val="00936916"/>
    <w:rsid w:val="0094032A"/>
    <w:rsid w:val="00941A7F"/>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B70D2"/>
    <w:rsid w:val="009C0092"/>
    <w:rsid w:val="009C1055"/>
    <w:rsid w:val="009C1D5A"/>
    <w:rsid w:val="009C2AC9"/>
    <w:rsid w:val="009C3402"/>
    <w:rsid w:val="009C57DF"/>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09A7"/>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867"/>
    <w:rsid w:val="00B54CB0"/>
    <w:rsid w:val="00B557E2"/>
    <w:rsid w:val="00B55875"/>
    <w:rsid w:val="00B55F29"/>
    <w:rsid w:val="00B6042C"/>
    <w:rsid w:val="00B60777"/>
    <w:rsid w:val="00B63453"/>
    <w:rsid w:val="00B66526"/>
    <w:rsid w:val="00B67A83"/>
    <w:rsid w:val="00B70635"/>
    <w:rsid w:val="00B712CD"/>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2333"/>
    <w:rsid w:val="00BA4E1E"/>
    <w:rsid w:val="00BA5535"/>
    <w:rsid w:val="00BA69AC"/>
    <w:rsid w:val="00BB0C75"/>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795"/>
    <w:rsid w:val="00C33FE0"/>
    <w:rsid w:val="00C3486E"/>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41971"/>
    <w:rsid w:val="00D43A60"/>
    <w:rsid w:val="00D43EF1"/>
    <w:rsid w:val="00D44058"/>
    <w:rsid w:val="00D44F52"/>
    <w:rsid w:val="00D45D8B"/>
    <w:rsid w:val="00D466C6"/>
    <w:rsid w:val="00D473C8"/>
    <w:rsid w:val="00D47B5F"/>
    <w:rsid w:val="00D503AA"/>
    <w:rsid w:val="00D522BC"/>
    <w:rsid w:val="00D543EA"/>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5552"/>
    <w:rsid w:val="00DC60AB"/>
    <w:rsid w:val="00DC7F64"/>
    <w:rsid w:val="00DD319A"/>
    <w:rsid w:val="00DD4CC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209A"/>
    <w:rsid w:val="00EB2C14"/>
    <w:rsid w:val="00EB6669"/>
    <w:rsid w:val="00EB67A6"/>
    <w:rsid w:val="00EB6CB0"/>
    <w:rsid w:val="00EC1D81"/>
    <w:rsid w:val="00EC2532"/>
    <w:rsid w:val="00EC3AE7"/>
    <w:rsid w:val="00EC42E2"/>
    <w:rsid w:val="00EC491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F32"/>
    <w:rsid w:val="00FC19B4"/>
    <w:rsid w:val="00FC1ED0"/>
    <w:rsid w:val="00FC278E"/>
    <w:rsid w:val="00FC30EF"/>
    <w:rsid w:val="00FC4AFC"/>
    <w:rsid w:val="00FC4F40"/>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바탕"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맑은 고딕"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SimSun" w:hAnsiTheme="minorHAnsi" w:cstheme="minorBidi"/>
      <w:sz w:val="20"/>
      <w:szCs w:val="20"/>
      <w:lang w:eastAsia="en-US"/>
    </w:rPr>
  </w:style>
  <w:style w:type="character" w:customStyle="1" w:styleId="Char0">
    <w:name w:val="메모 텍스트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메모 주제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SimSun" w:hAnsi="Segoe UI" w:cs="Segoe UI"/>
      <w:sz w:val="18"/>
      <w:szCs w:val="18"/>
      <w:lang w:eastAsia="en-US"/>
    </w:rPr>
  </w:style>
  <w:style w:type="character" w:customStyle="1" w:styleId="Char2">
    <w:name w:val="풍선 도움말 텍스트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Char4">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Char5">
    <w:name w:val="바닥글 Char"/>
    <w:basedOn w:val="a2"/>
    <w:link w:val="ae"/>
    <w:uiPriority w:val="99"/>
    <w:rsid w:val="00FE429F"/>
    <w:rPr>
      <w:sz w:val="18"/>
      <w:szCs w:val="18"/>
    </w:r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맑은 고딕"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맑은 고딕" w:cs="바탕"/>
      <w:sz w:val="20"/>
      <w:szCs w:val="20"/>
      <w:lang w:val="en-GB" w:eastAsia="en-US"/>
    </w:rPr>
  </w:style>
  <w:style w:type="character" w:customStyle="1" w:styleId="0MaintextChar">
    <w:name w:val="0 Main text Char"/>
    <w:basedOn w:val="a2"/>
    <w:link w:val="0Maintext"/>
    <w:qFormat/>
    <w:rsid w:val="00E13119"/>
    <w:rPr>
      <w:rFonts w:ascii="Times New Roman" w:eastAsia="맑은 고딕" w:hAnsi="Times New Roman" w:cs="바탕"/>
      <w:sz w:val="20"/>
      <w:szCs w:val="20"/>
      <w:lang w:val="en-GB"/>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맑은 고딕" w:cs="바탕"/>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맑은 고딕" w:hAnsi="Times New Roman" w:cs="바탕"/>
      <w:szCs w:val="20"/>
      <w:lang w:val="en-GB"/>
    </w:rPr>
  </w:style>
  <w:style w:type="character" w:customStyle="1" w:styleId="Char3">
    <w:name w:val="캡션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제목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제목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맑은 고딕" w:hAnsi="Times New Roman" w:cs="Times New Roman"/>
      <w:sz w:val="32"/>
      <w:szCs w:val="32"/>
      <w:lang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맑은 고딕" w:hAnsi="Times New Roman" w:cs="Times New Roman"/>
      <w:sz w:val="28"/>
      <w:szCs w:val="28"/>
      <w:lang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맑은 고딕" w:hAnsi="Times New Roman" w:cs="Times New Roman"/>
      <w:sz w:val="24"/>
      <w:szCs w:val="24"/>
      <w:lang w:eastAsia="zh-CN"/>
    </w:rPr>
  </w:style>
  <w:style w:type="character" w:customStyle="1" w:styleId="6Char">
    <w:name w:val="제목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제목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제목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제목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LGTdocChar">
    <w:name w:val="LGTdoc_본문 Char"/>
    <w:link w:val="LGTdoc"/>
    <w:qFormat/>
    <w:rsid w:val="00B66526"/>
    <w:rPr>
      <w:rFonts w:ascii="Times New Roman" w:eastAsia="바탕"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a1"/>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SimSun"/>
      <w:sz w:val="20"/>
      <w:szCs w:val="20"/>
      <w:lang w:val="x-none" w:eastAsia="en-US"/>
    </w:rPr>
  </w:style>
  <w:style w:type="paragraph" w:customStyle="1" w:styleId="B4">
    <w:name w:val="B4"/>
    <w:basedOn w:val="a1"/>
    <w:link w:val="B4Char"/>
    <w:qFormat/>
    <w:rsid w:val="00061DFD"/>
    <w:pPr>
      <w:spacing w:after="180"/>
      <w:ind w:left="1418" w:hanging="284"/>
    </w:pPr>
    <w:rPr>
      <w:rFonts w:eastAsia="SimSun"/>
      <w:sz w:val="20"/>
      <w:szCs w:val="20"/>
      <w:lang w:val="en-GB" w:eastAsia="en-US"/>
    </w:rPr>
  </w:style>
  <w:style w:type="paragraph" w:customStyle="1" w:styleId="B5">
    <w:name w:val="B5"/>
    <w:basedOn w:val="a1"/>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a1"/>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각주 텍스트 Char"/>
    <w:aliases w:val="footnote text1 Char,footnote text2 Char,footnote text3 Char,footnote text4 Char,footnote text5 Char,footnote text6 Char,footnote text7 Char,footnote text11 Char,footnote text21 Char,footnote text31 Char,footnote text41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Char6">
    <w:name w:val="목록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33">
    <w:name w:val="List Bullet 3"/>
    <w:basedOn w:val="25"/>
    <w:rsid w:val="00061DFD"/>
    <w:pPr>
      <w:ind w:left="1135"/>
    </w:pPr>
  </w:style>
  <w:style w:type="character" w:customStyle="1" w:styleId="2Char0">
    <w:name w:val="목록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3Char0">
    <w:name w:val="목록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Char9">
    <w:name w:val="문서 구조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글자만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1">
    <w:name w:val="글자만 Char1"/>
    <w:basedOn w:val="a2"/>
    <w:uiPriority w:val="99"/>
    <w:semiHidden/>
    <w:rsid w:val="00061DFD"/>
    <w:rPr>
      <w:rFonts w:ascii="바탕" w:eastAsia="바탕"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본문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본문 들여쓰기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본문 들여쓰기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날짜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바탕"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SimSun"/>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SimSun"/>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바탕" w:hAnsi="Times"/>
      <w:sz w:val="20"/>
      <w:lang w:val="x-none" w:eastAsia="x-none"/>
    </w:rPr>
  </w:style>
  <w:style w:type="character" w:customStyle="1" w:styleId="RAN1bullet1Char">
    <w:name w:val="RAN1 bullet1 Char"/>
    <w:link w:val="RAN1bullet1"/>
    <w:rsid w:val="00061DFD"/>
    <w:rPr>
      <w:rFonts w:ascii="Times" w:eastAsia="바탕"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바탕" w:hAnsi="Times"/>
      <w:sz w:val="20"/>
      <w:szCs w:val="20"/>
      <w:lang w:eastAsia="en-US"/>
    </w:rPr>
  </w:style>
  <w:style w:type="character" w:customStyle="1" w:styleId="RAN1bullet2Char">
    <w:name w:val="RAN1 bullet2 Char"/>
    <w:link w:val="RAN1bullet2"/>
    <w:qFormat/>
    <w:rsid w:val="00061DFD"/>
    <w:rPr>
      <w:rFonts w:ascii="Times" w:eastAsia="바탕"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바탕"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바탕" w:hAnsi="Times"/>
      <w:sz w:val="20"/>
      <w:szCs w:val="24"/>
      <w:lang w:val="x-none" w:eastAsia="en-US"/>
    </w:rPr>
  </w:style>
  <w:style w:type="paragraph" w:customStyle="1" w:styleId="tdoc">
    <w:name w:val="tdoc"/>
    <w:basedOn w:val="a1"/>
    <w:link w:val="tdocChar"/>
    <w:qFormat/>
    <w:rsid w:val="00061DFD"/>
    <w:pPr>
      <w:ind w:left="1440" w:hanging="1440"/>
    </w:pPr>
    <w:rPr>
      <w:rFonts w:ascii="Times" w:eastAsia="바탕" w:hAnsi="Times"/>
      <w:sz w:val="20"/>
      <w:lang w:val="x-none" w:eastAsia="en-US"/>
    </w:rPr>
  </w:style>
  <w:style w:type="character" w:customStyle="1" w:styleId="tdocChar">
    <w:name w:val="tdoc Char"/>
    <w:link w:val="tdoc"/>
    <w:rsid w:val="00061DFD"/>
    <w:rPr>
      <w:rFonts w:ascii="Times" w:eastAsia="바탕" w:hAnsi="Times" w:cs="Times New Roman"/>
      <w:sz w:val="20"/>
      <w:szCs w:val="24"/>
      <w:lang w:val="x-none"/>
    </w:rPr>
  </w:style>
  <w:style w:type="character" w:customStyle="1" w:styleId="bullet3Char">
    <w:name w:val="bullet3 Char"/>
    <w:link w:val="bullet3"/>
    <w:rsid w:val="00061DFD"/>
    <w:rPr>
      <w:rFonts w:ascii="Times" w:eastAsia="바탕" w:hAnsi="Times" w:cs="Times New Roman"/>
      <w:sz w:val="20"/>
      <w:szCs w:val="24"/>
      <w:lang w:val="x-none"/>
    </w:rPr>
  </w:style>
  <w:style w:type="character" w:customStyle="1" w:styleId="bullet4Char">
    <w:name w:val="bullet4 Char"/>
    <w:link w:val="bullet4"/>
    <w:rsid w:val="00061DFD"/>
    <w:rPr>
      <w:rFonts w:ascii="Times" w:eastAsia="바탕"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맑은 고딕"/>
      <w:sz w:val="20"/>
      <w:szCs w:val="20"/>
      <w:lang w:val="en-GB" w:eastAsia="en-US"/>
    </w:rPr>
  </w:style>
  <w:style w:type="paragraph" w:customStyle="1" w:styleId="ListParagraph1">
    <w:name w:val="List Paragraph1"/>
    <w:basedOn w:val="a1"/>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바탕" w:hAnsi="Times"/>
      <w:b/>
      <w:color w:val="0000FF"/>
      <w:sz w:val="20"/>
      <w:u w:val="single" w:color="0000FF"/>
      <w:lang w:val="en-GB" w:eastAsia="x-none"/>
    </w:rPr>
  </w:style>
  <w:style w:type="character" w:customStyle="1" w:styleId="RAN1tdocChar">
    <w:name w:val="RAN1 tdoc Char"/>
    <w:link w:val="RAN1tdoc"/>
    <w:rsid w:val="00061DFD"/>
    <w:rPr>
      <w:rFonts w:ascii="Times" w:eastAsia="바탕"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바탕"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SimSun"/>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맑은 고딕"/>
      <w:sz w:val="20"/>
      <w:szCs w:val="20"/>
      <w:lang w:val="en-GB"/>
    </w:rPr>
  </w:style>
  <w:style w:type="character" w:customStyle="1" w:styleId="maintextChar">
    <w:name w:val="main text Char"/>
    <w:link w:val="maintext"/>
    <w:qFormat/>
    <w:rsid w:val="00061DFD"/>
    <w:rPr>
      <w:rFonts w:ascii="Times New Roman" w:eastAsia="맑은 고딕"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SimSun"/>
      <w:kern w:val="2"/>
      <w:sz w:val="21"/>
      <w:szCs w:val="20"/>
      <w:lang w:eastAsia="zh-CN"/>
    </w:rPr>
  </w:style>
  <w:style w:type="paragraph" w:customStyle="1" w:styleId="aff0">
    <w:name w:val="表格文字居左"/>
    <w:basedOn w:val="a1"/>
    <w:next w:val="a1"/>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Char">
    <w:name w:val="z-양식의 맨 위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Char0">
    <w:name w:val="z-양식의 맨 아래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Charc">
    <w:name w:val="부제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d"/>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d">
    <w:name w:val="제목 Char"/>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SimSun"/>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e"/>
    <w:uiPriority w:val="99"/>
    <w:rsid w:val="00061DFD"/>
    <w:pPr>
      <w:spacing w:after="120"/>
      <w:ind w:left="283"/>
    </w:pPr>
    <w:rPr>
      <w:rFonts w:eastAsia="SimSun"/>
      <w:sz w:val="20"/>
      <w:szCs w:val="20"/>
      <w:lang w:val="en-GB" w:eastAsia="en-US"/>
    </w:rPr>
  </w:style>
  <w:style w:type="character" w:customStyle="1" w:styleId="Chare">
    <w:name w:val="본문 들여쓰기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본문 첫 줄 들여쓰기 2 Char"/>
    <w:basedOn w:val="Chare"/>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SimSun" w:hAnsi="Arial"/>
      <w:sz w:val="22"/>
      <w:lang w:eastAsia="en-US"/>
    </w:rPr>
  </w:style>
  <w:style w:type="paragraph" w:customStyle="1" w:styleId="aff7">
    <w:name w:val="样式 正文"/>
    <w:basedOn w:val="a1"/>
    <w:link w:val="Charf"/>
    <w:rsid w:val="00061DFD"/>
    <w:pPr>
      <w:widowControl w:val="0"/>
      <w:ind w:firstLineChars="200" w:firstLine="420"/>
      <w:jc w:val="both"/>
    </w:pPr>
    <w:rPr>
      <w:rFonts w:eastAsia="SimSun" w:cs="SimSun"/>
      <w:kern w:val="2"/>
      <w:sz w:val="21"/>
      <w:szCs w:val="20"/>
      <w:lang w:eastAsia="zh-CN"/>
    </w:rPr>
  </w:style>
  <w:style w:type="character" w:customStyle="1" w:styleId="Charf">
    <w:name w:val="样式 正文 Char"/>
    <w:basedOn w:val="a2"/>
    <w:link w:val="aff7"/>
    <w:rsid w:val="00061DFD"/>
    <w:rPr>
      <w:rFonts w:ascii="Times New Roman" w:hAnsi="Times New Roman" w:cs="SimSun"/>
      <w:kern w:val="2"/>
      <w:sz w:val="21"/>
      <w:szCs w:val="20"/>
      <w:lang w:eastAsia="zh-CN"/>
    </w:rPr>
  </w:style>
  <w:style w:type="paragraph" w:customStyle="1" w:styleId="aff8">
    <w:name w:val="公式"/>
    <w:basedOn w:val="a1"/>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바탕" w:hAnsi="Courier New" w:cs="Courier New"/>
      <w:sz w:val="20"/>
      <w:szCs w:val="20"/>
    </w:rPr>
  </w:style>
  <w:style w:type="character" w:customStyle="1" w:styleId="HTMLChar">
    <w:name w:val="미리 서식이 지정된 HTML Char"/>
    <w:basedOn w:val="a2"/>
    <w:link w:val="HTML0"/>
    <w:rsid w:val="00061DFD"/>
    <w:rPr>
      <w:rFonts w:ascii="Courier New" w:eastAsia="바탕" w:hAnsi="Courier New" w:cs="Courier New"/>
      <w:sz w:val="20"/>
      <w:szCs w:val="20"/>
      <w:lang w:eastAsia="ko-KR"/>
    </w:rPr>
  </w:style>
  <w:style w:type="paragraph" w:customStyle="1" w:styleId="Bullet0">
    <w:name w:val="Bullet"/>
    <w:basedOn w:val="a1"/>
    <w:rsid w:val="00061DFD"/>
    <w:pPr>
      <w:numPr>
        <w:numId w:val="28"/>
      </w:numPr>
    </w:pPr>
    <w:rPr>
      <w:rFonts w:eastAsia="SimSun"/>
      <w:lang w:eastAsia="en-US"/>
    </w:rPr>
  </w:style>
  <w:style w:type="paragraph" w:customStyle="1" w:styleId="FigureCentered">
    <w:name w:val="FigureCentered"/>
    <w:basedOn w:val="a1"/>
    <w:next w:val="a1"/>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SimSun"/>
      <w:sz w:val="16"/>
      <w:lang w:eastAsia="en-US"/>
    </w:rPr>
  </w:style>
  <w:style w:type="character" w:styleId="aff9">
    <w:name w:val="line number"/>
    <w:rsid w:val="00061DFD"/>
    <w:rPr>
      <w:rFonts w:ascii="Arial" w:eastAsia="SimSun"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맑은 고딕"/>
      <w:sz w:val="20"/>
      <w:szCs w:val="20"/>
      <w:lang w:val="en-GB" w:eastAsia="zh-CN"/>
    </w:rPr>
  </w:style>
  <w:style w:type="character" w:customStyle="1" w:styleId="NormalwithindentChar">
    <w:name w:val="Normal with indent Char"/>
    <w:link w:val="Normalwithindent"/>
    <w:rsid w:val="00061DFD"/>
    <w:rPr>
      <w:rFonts w:ascii="Times New Roman" w:eastAsia="맑은 고딕"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본문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SimSun" w:eastAsia="SimSun" w:hAnsi="SimSun" w:cs="SimSun"/>
      <w:lang w:eastAsia="zh-CN"/>
    </w:rPr>
  </w:style>
  <w:style w:type="paragraph" w:customStyle="1" w:styleId="font5">
    <w:name w:val="font5"/>
    <w:basedOn w:val="a1"/>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a1"/>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맑은 고딕" w:eastAsia="맑은 고딕" w:hAnsi="맑은 고딕" w:cs="Calibri"/>
      <w:sz w:val="20"/>
      <w:szCs w:val="20"/>
      <w:lang w:val="sv-SE" w:eastAsia="sv-SE"/>
    </w:rPr>
  </w:style>
  <w:style w:type="paragraph" w:customStyle="1" w:styleId="gmail-b2">
    <w:name w:val="gmail-b2"/>
    <w:basedOn w:val="a1"/>
    <w:uiPriority w:val="99"/>
    <w:semiHidden/>
    <w:rsid w:val="00061DFD"/>
    <w:pPr>
      <w:spacing w:before="75" w:after="75"/>
    </w:pPr>
    <w:rPr>
      <w:rFonts w:ascii="맑은 고딕" w:eastAsia="맑은 고딕" w:hAnsi="맑은 고딕"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SimSun"/>
      <w:lang w:val="sv-SE" w:eastAsia="sv-SE"/>
    </w:rPr>
  </w:style>
  <w:style w:type="paragraph" w:customStyle="1" w:styleId="onecomwebmail-tah">
    <w:name w:val="onecomwebmail-tah"/>
    <w:basedOn w:val="a1"/>
    <w:rsid w:val="00061DFD"/>
    <w:pPr>
      <w:spacing w:before="100" w:beforeAutospacing="1" w:after="100" w:afterAutospacing="1"/>
    </w:pPr>
    <w:rPr>
      <w:rFonts w:eastAsia="SimSun"/>
      <w:lang w:val="sv-SE" w:eastAsia="sv-SE"/>
    </w:rPr>
  </w:style>
  <w:style w:type="paragraph" w:customStyle="1" w:styleId="onecomwebmail-tac">
    <w:name w:val="onecomwebmail-tac"/>
    <w:basedOn w:val="a1"/>
    <w:rsid w:val="00061DFD"/>
    <w:pPr>
      <w:spacing w:before="100" w:beforeAutospacing="1" w:after="100" w:afterAutospacing="1"/>
    </w:pPr>
    <w:rPr>
      <w:rFonts w:eastAsia="SimSun"/>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맑은 고딕"/>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바탕"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바탕" w:hAnsi="Arial" w:cs="Times New Roman"/>
      <w:b/>
      <w:sz w:val="20"/>
      <w:szCs w:val="20"/>
      <w:lang w:val="en-GB"/>
    </w:rPr>
  </w:style>
  <w:style w:type="paragraph" w:customStyle="1" w:styleId="TdocHeading2">
    <w:name w:val="Tdoc_Heading_2"/>
    <w:basedOn w:val="a1"/>
    <w:rsid w:val="00061DFD"/>
    <w:pPr>
      <w:ind w:left="720" w:hanging="720"/>
    </w:pPr>
    <w:rPr>
      <w:rFonts w:ascii="Times" w:eastAsia="바탕"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SimSun"/>
      <w:sz w:val="20"/>
      <w:lang w:eastAsia="en-US"/>
    </w:rPr>
  </w:style>
  <w:style w:type="paragraph" w:customStyle="1" w:styleId="Statement">
    <w:name w:val="Statement"/>
    <w:basedOn w:val="a1"/>
    <w:rsid w:val="00061DFD"/>
    <w:pPr>
      <w:keepNext/>
      <w:ind w:left="601" w:hanging="601"/>
    </w:pPr>
    <w:rPr>
      <w:rFonts w:eastAsia="바탕"/>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a1"/>
    <w:qFormat/>
    <w:rsid w:val="00061DFD"/>
    <w:pPr>
      <w:ind w:left="720"/>
      <w:contextualSpacing/>
    </w:pPr>
    <w:rPr>
      <w:rFonts w:eastAsia="SimSun"/>
      <w:lang w:eastAsia="zh-CN"/>
    </w:rPr>
  </w:style>
  <w:style w:type="paragraph" w:customStyle="1" w:styleId="ListParagraph2">
    <w:name w:val="List Paragraph2"/>
    <w:basedOn w:val="a1"/>
    <w:qFormat/>
    <w:rsid w:val="00061DFD"/>
    <w:pPr>
      <w:ind w:left="720"/>
      <w:contextualSpacing/>
    </w:pPr>
    <w:rPr>
      <w:rFonts w:eastAsia="SimSun"/>
      <w:lang w:eastAsia="zh-CN"/>
    </w:rPr>
  </w:style>
  <w:style w:type="paragraph" w:customStyle="1" w:styleId="ListParagraph5">
    <w:name w:val="List Paragraph5"/>
    <w:basedOn w:val="a1"/>
    <w:qFormat/>
    <w:rsid w:val="00061DFD"/>
    <w:pPr>
      <w:ind w:left="720"/>
      <w:contextualSpacing/>
    </w:pPr>
    <w:rPr>
      <w:rFonts w:eastAsia="SimSun"/>
      <w:lang w:eastAsia="zh-CN"/>
    </w:rPr>
  </w:style>
  <w:style w:type="paragraph" w:customStyle="1" w:styleId="ListParagraph4">
    <w:name w:val="List Paragraph4"/>
    <w:basedOn w:val="a1"/>
    <w:qFormat/>
    <w:rsid w:val="00061DFD"/>
    <w:pPr>
      <w:ind w:left="720"/>
      <w:contextualSpacing/>
    </w:pPr>
    <w:rPr>
      <w:rFonts w:eastAsia="SimSun"/>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SimSun"/>
      <w:lang w:eastAsia="zh-CN"/>
    </w:rPr>
  </w:style>
  <w:style w:type="paragraph" w:customStyle="1" w:styleId="ListParagraph6">
    <w:name w:val="List Paragraph6"/>
    <w:basedOn w:val="a1"/>
    <w:qFormat/>
    <w:rsid w:val="00061DFD"/>
    <w:pPr>
      <w:ind w:left="720"/>
      <w:contextualSpacing/>
    </w:pPr>
    <w:rPr>
      <w:rFonts w:eastAsia="SimSun"/>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바탕"/>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맑은 고딕"/>
      <w:i/>
      <w:kern w:val="2"/>
      <w:sz w:val="22"/>
      <w:szCs w:val="22"/>
    </w:rPr>
  </w:style>
  <w:style w:type="character" w:customStyle="1" w:styleId="rProposalChar">
    <w:name w:val="rProposal Char"/>
    <w:link w:val="rProposal"/>
    <w:locked/>
    <w:rsid w:val="00061DFD"/>
    <w:rPr>
      <w:rFonts w:ascii="Times New Roman" w:eastAsia="맑은 고딕"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맑은 고딕"/>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맑은 고딕"/>
      <w:kern w:val="2"/>
      <w:sz w:val="20"/>
      <w:szCs w:val="22"/>
    </w:rPr>
  </w:style>
  <w:style w:type="character" w:customStyle="1" w:styleId="rProposalsubChar">
    <w:name w:val="rProposal_sub Char"/>
    <w:link w:val="rProposalsub"/>
    <w:locked/>
    <w:rsid w:val="00061DFD"/>
    <w:rPr>
      <w:rFonts w:ascii="Times New Roman" w:eastAsia="맑은 고딕"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0">
    <w:name w:val="标题 Char"/>
    <w:basedOn w:val="a2"/>
    <w:uiPriority w:val="10"/>
    <w:rsid w:val="00061DFD"/>
    <w:rPr>
      <w:rFonts w:ascii="Calibri Light" w:eastAsia="SimSun"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바탕"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SimSun"/>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SimSun"/>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3">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바탕"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바탕"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바탕"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맑은 고딕" w:cs="바탕"/>
      <w:sz w:val="20"/>
      <w:szCs w:val="20"/>
      <w:lang w:val="en-GB" w:eastAsia="en-US"/>
    </w:rPr>
  </w:style>
  <w:style w:type="character" w:customStyle="1" w:styleId="Style1Char">
    <w:name w:val="Style1 Char"/>
    <w:link w:val="Style1"/>
    <w:qFormat/>
    <w:rsid w:val="00061DFD"/>
    <w:rPr>
      <w:rFonts w:ascii="Times New Roman" w:eastAsia="맑은 고딕" w:hAnsi="Times New Roman" w:cs="바탕"/>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946.zip" TargetMode="External"/><Relationship Id="rId18" Type="http://schemas.openxmlformats.org/officeDocument/2006/relationships/hyperlink" Target="https://www.3gpp.org/ftp/TSG_RAN/WG1_RL1/TSGR1_104b-e/Docs/R1-2103395.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b-e/Docs/R1-2102658.zip" TargetMode="External"/><Relationship Id="rId17" Type="http://schemas.openxmlformats.org/officeDocument/2006/relationships/hyperlink" Target="https://www.3gpp.org/ftp/TSG_RAN/WG1_RL1/TSGR1_104b-e/Docs/R1-21032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3085.zip" TargetMode="External"/><Relationship Id="rId20" Type="http://schemas.openxmlformats.org/officeDocument/2006/relationships/hyperlink" Target="https://www.3gpp.org/ftp/TSG_RAN/WG1_RL1/TSGR1_104b-e/Docs/R1-21034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b-e/Docs/R1-2102657.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3084.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4b-e/Docs/R1-21034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94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BD25A16-0F4F-485F-A1FA-73AB210F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2824</Words>
  <Characters>16098</Characters>
  <Application>Microsoft Office Word</Application>
  <DocSecurity>0</DocSecurity>
  <Lines>134</Lines>
  <Paragraphs>37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Samsung</cp:lastModifiedBy>
  <cp:revision>18</cp:revision>
  <dcterms:created xsi:type="dcterms:W3CDTF">2021-04-08T08:13:00Z</dcterms:created>
  <dcterms:modified xsi:type="dcterms:W3CDTF">2021-04-08T08:22:00Z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