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TW"/>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TW"/>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2F7095B8" w:rsidR="002C1E66" w:rsidRDefault="00724079" w:rsidP="0026369F">
            <w:r>
              <w:t>Samsung</w:t>
            </w:r>
          </w:p>
        </w:tc>
        <w:tc>
          <w:tcPr>
            <w:tcW w:w="12176" w:type="dxa"/>
          </w:tcPr>
          <w:p w14:paraId="406E0A3A" w14:textId="0605BA21" w:rsidR="002C1E66" w:rsidRDefault="00724079" w:rsidP="0026369F">
            <w:pPr>
              <w:rPr>
                <w:lang w:eastAsia="zh-CN"/>
              </w:rPr>
            </w:pPr>
            <w:r>
              <w:rPr>
                <w:lang w:eastAsia="zh-CN"/>
              </w:rPr>
              <w:t xml:space="preserve">We are fine with the proposal. </w:t>
            </w:r>
          </w:p>
        </w:tc>
      </w:tr>
      <w:tr w:rsidR="0000192F" w:rsidRPr="0000192F" w14:paraId="037C338E" w14:textId="77777777" w:rsidTr="0026369F">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26369F">
        <w:tc>
          <w:tcPr>
            <w:tcW w:w="2405" w:type="dxa"/>
          </w:tcPr>
          <w:p w14:paraId="09259761" w14:textId="11C287E5" w:rsidR="002D7C9B" w:rsidRDefault="002D7C9B" w:rsidP="002D7C9B">
            <w:proofErr w:type="spellStart"/>
            <w:r>
              <w:t>MediaTek</w:t>
            </w:r>
            <w:proofErr w:type="spellEnd"/>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lastRenderedPageBreak/>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xml:space="preserve">) can be the baseline to define the new capability. Proper minimum separation between two MOs may be discussed first, for example 4 slots for 480kHz and 8 slots for 960kHz. Then, it may be further discussed </w:t>
            </w:r>
            <w:r>
              <w:lastRenderedPageBreak/>
              <w:t>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lastRenderedPageBreak/>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 xml:space="preserve">Y: minimum number of OFDM symbols between the start of different PDCCH </w:t>
            </w:r>
            <w:proofErr w:type="spellStart"/>
            <w:r>
              <w:t>Mos</w:t>
            </w:r>
            <w:proofErr w:type="spellEnd"/>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lastRenderedPageBreak/>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For MOs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lastRenderedPageBreak/>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TW"/>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TW"/>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w:t>
            </w:r>
            <w:r>
              <w:rPr>
                <w:lang w:eastAsia="zh-CN"/>
              </w:rPr>
              <w:lastRenderedPageBreak/>
              <w:t xml:space="preserve">span.  </w:t>
            </w:r>
          </w:p>
        </w:tc>
      </w:tr>
      <w:tr w:rsidR="00CA72AE" w14:paraId="37F4A3A3" w14:textId="77777777">
        <w:tc>
          <w:tcPr>
            <w:tcW w:w="2405" w:type="dxa"/>
          </w:tcPr>
          <w:p w14:paraId="36F3F29F" w14:textId="77777777" w:rsidR="00CA72AE" w:rsidRDefault="005E0AF7">
            <w:pPr>
              <w:rPr>
                <w:lang w:eastAsia="zh-CN"/>
              </w:rPr>
            </w:pPr>
            <w:r>
              <w:rPr>
                <w:lang w:eastAsia="zh-CN"/>
              </w:rPr>
              <w:lastRenderedPageBreak/>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TW"/>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 xml:space="preserve">Ideally, we would like a framework that allows the definition of a multi-slot span with MSM-1-1 within the first N consecutive slots, MSM-102 within the same N consecutive slots (any up to N) and MSM-2, the other case. Discussions can start with MSM-1-1 and </w:t>
            </w:r>
            <w:r>
              <w:rPr>
                <w:rFonts w:eastAsia="Yu Gothic"/>
                <w:lang w:eastAsia="ja-JP"/>
              </w:rPr>
              <w:lastRenderedPageBreak/>
              <w:t>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N consecutive slots in the monitoring </w:t>
            </w:r>
            <w:r>
              <w:rPr>
                <w:rFonts w:ascii="Times New Roman" w:hAnsi="Times New Roman" w:cs="Times New Roman"/>
                <w:sz w:val="20"/>
                <w:szCs w:val="20"/>
              </w:rPr>
              <w:lastRenderedPageBreak/>
              <w:t>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lastRenderedPageBreak/>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77777777" w:rsidR="00CA72AE" w:rsidRDefault="005E0AF7">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lastRenderedPageBreak/>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lastRenderedPageBreak/>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lastRenderedPageBreak/>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w:t>
            </w:r>
            <w:r>
              <w:rPr>
                <w:lang w:eastAsia="zh-CN"/>
              </w:rPr>
              <w:lastRenderedPageBreak/>
              <w:t xml:space="preserve">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lastRenderedPageBreak/>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lastRenderedPageBreak/>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w:t>
            </w:r>
            <w:r>
              <w:rPr>
                <w:lang w:eastAsia="zh-CN"/>
              </w:rPr>
              <w:lastRenderedPageBreak/>
              <w:t xml:space="preserve">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lastRenderedPageBreak/>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lastRenderedPageBreak/>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lastRenderedPageBreak/>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1CBAFBBD" w:rsidR="002C1E66" w:rsidRDefault="00724079" w:rsidP="0026369F">
            <w:r>
              <w:t>Samsung</w:t>
            </w:r>
          </w:p>
        </w:tc>
        <w:tc>
          <w:tcPr>
            <w:tcW w:w="12176" w:type="dxa"/>
          </w:tcPr>
          <w:p w14:paraId="10683F35" w14:textId="356E148E" w:rsidR="002C1E66" w:rsidRDefault="00724079" w:rsidP="0026369F">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26369F">
            <w:pPr>
              <w:rPr>
                <w:lang w:eastAsia="zh-CN"/>
              </w:rPr>
            </w:pPr>
          </w:p>
        </w:tc>
      </w:tr>
      <w:tr w:rsidR="0000192F" w:rsidRPr="0000192F" w14:paraId="376D52E0" w14:textId="77777777" w:rsidTr="0026369F">
        <w:tc>
          <w:tcPr>
            <w:tcW w:w="2405" w:type="dxa"/>
          </w:tcPr>
          <w:p w14:paraId="0C851E6B" w14:textId="3AD66EE6" w:rsidR="0000192F" w:rsidRPr="0000192F" w:rsidRDefault="0000192F" w:rsidP="0000192F">
            <w:pPr>
              <w:rPr>
                <w:sz w:val="20"/>
              </w:rPr>
            </w:pPr>
            <w:r>
              <w:t>Ericsson</w:t>
            </w:r>
          </w:p>
        </w:tc>
        <w:tc>
          <w:tcPr>
            <w:tcW w:w="12176" w:type="dxa"/>
          </w:tcPr>
          <w:p w14:paraId="47F283B3" w14:textId="77777777" w:rsidR="0000192F" w:rsidRDefault="0000192F" w:rsidP="0000192F">
            <w:pPr>
              <w:rPr>
                <w:lang w:eastAsia="zh-CN"/>
              </w:rPr>
            </w:pPr>
            <w:r>
              <w:rPr>
                <w:lang w:eastAsia="zh-CN"/>
              </w:rPr>
              <w:t>Similar comment as I made for FL Proposal A1-1 about the word "span." Samsung proposes a fix above, and I agree that this would work at least for Alt-1/3.</w:t>
            </w:r>
          </w:p>
          <w:p w14:paraId="69ECAB1C" w14:textId="5E3B8DA6" w:rsidR="0000192F" w:rsidRPr="0000192F" w:rsidRDefault="0000192F" w:rsidP="0000192F">
            <w:pPr>
              <w:rPr>
                <w:lang w:eastAsia="zh-CN"/>
              </w:rPr>
            </w:pPr>
            <w:r>
              <w:rPr>
                <w:lang w:eastAsia="zh-CN"/>
              </w:rPr>
              <w:t>But if there is not common understanding on this, maybe it's better not to rush to a conclusion.</w:t>
            </w:r>
          </w:p>
        </w:tc>
      </w:tr>
      <w:tr w:rsidR="002D7C9B" w:rsidRPr="0000192F" w14:paraId="0C7DE5B0" w14:textId="77777777" w:rsidTr="0026369F">
        <w:tc>
          <w:tcPr>
            <w:tcW w:w="2405" w:type="dxa"/>
          </w:tcPr>
          <w:p w14:paraId="63EF0E3A" w14:textId="54E14BAE" w:rsidR="002D7C9B" w:rsidRDefault="002D7C9B" w:rsidP="0000192F">
            <w:proofErr w:type="spellStart"/>
            <w:r>
              <w:t>MediaTek</w:t>
            </w:r>
            <w:proofErr w:type="spellEnd"/>
          </w:p>
        </w:tc>
        <w:tc>
          <w:tcPr>
            <w:tcW w:w="12176" w:type="dxa"/>
          </w:tcPr>
          <w:p w14:paraId="6501AE05" w14:textId="6856A353" w:rsidR="002D7C9B" w:rsidRDefault="002D7C9B" w:rsidP="002D7C9B">
            <w:pPr>
              <w:rPr>
                <w:lang w:eastAsia="zh-CN"/>
              </w:rPr>
            </w:pPr>
            <w:r>
              <w:rPr>
                <w:lang w:eastAsia="zh-CN"/>
              </w:rPr>
              <w:t>We are ok with the proposal</w:t>
            </w:r>
            <w:r>
              <w:rPr>
                <w:lang w:eastAsia="zh-CN"/>
              </w:rPr>
              <w:t>. We are also ok with the updated proposal if the modified proposal 1-3 is agreed. Otherwise, there is no X defined in Alt1 and 3 in the current agreement.</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59891"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w:t>
            </w:r>
            <w:r>
              <w:lastRenderedPageBreak/>
              <w:t xml:space="preserve">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TW"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TW"/>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w:t>
      </w:r>
      <w:proofErr w:type="gramStart"/>
      <w:r>
        <w:t>,Y</w:t>
      </w:r>
      <w:proofErr w:type="gramEnd"/>
      <w:r>
        <w:t xml:space="preserve">)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lastRenderedPageBreak/>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lastRenderedPageBreak/>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lastRenderedPageBreak/>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 xml:space="preserve">If a MO is included in multiple sliding windows (of different offsets), overbooking and dropping would be complicated. For example, in a sliding window containing MO_0 and MO_1, MO1 may be dropped due to BD/CCE limit, but in another sliding window containing MO_1 and MO_2, MO_2 may be </w:t>
            </w:r>
            <w:proofErr w:type="spellStart"/>
            <w:r>
              <w:rPr>
                <w:rFonts w:ascii="Times New Roman" w:hAnsi="Times New Roman"/>
                <w:lang w:eastAsia="zh-CN"/>
              </w:rPr>
              <w:t>dopped</w:t>
            </w:r>
            <w:proofErr w:type="spellEnd"/>
            <w:r>
              <w:rPr>
                <w:rFonts w:ascii="Times New Roman" w:hAnsi="Times New Roman"/>
                <w:lang w:eastAsia="zh-CN"/>
              </w:rPr>
              <w:t>.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lastRenderedPageBreak/>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 xml:space="preserve">The separation between consecutive spans within and across slots may be unequal but the same (X, Y) limit must be satisfied </w:t>
            </w:r>
            <w:r>
              <w:rPr>
                <w:rFonts w:eastAsia="MS Mincho"/>
                <w:color w:val="FF0000"/>
                <w:sz w:val="20"/>
                <w:lang w:val="en-GB" w:eastAsia="ja-JP"/>
              </w:rPr>
              <w:lastRenderedPageBreak/>
              <w:t>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 xml:space="preserve">As commented by </w:t>
            </w:r>
            <w:proofErr w:type="spellStart"/>
            <w:r>
              <w:rPr>
                <w:lang w:eastAsia="zh-CN"/>
              </w:rPr>
              <w:t>Hongbo</w:t>
            </w:r>
            <w:proofErr w:type="spellEnd"/>
            <w:r>
              <w:rPr>
                <w:lang w:eastAsia="zh-CN"/>
              </w:rPr>
              <w:t xml:space="preserve">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38D4D5D6" w:rsidR="002C1E66" w:rsidRDefault="00724079" w:rsidP="0026369F">
            <w:r>
              <w:t>Samsung</w:t>
            </w:r>
          </w:p>
        </w:tc>
        <w:tc>
          <w:tcPr>
            <w:tcW w:w="12176" w:type="dxa"/>
          </w:tcPr>
          <w:p w14:paraId="0670C125" w14:textId="15F7A97D" w:rsidR="002C1E66" w:rsidRDefault="00724079" w:rsidP="0026369F">
            <w:pPr>
              <w:rPr>
                <w:lang w:eastAsia="zh-CN"/>
              </w:rPr>
            </w:pPr>
            <w:r>
              <w:rPr>
                <w:lang w:eastAsia="zh-CN"/>
              </w:rPr>
              <w:t xml:space="preserve">We are ok with the proposal. </w:t>
            </w:r>
          </w:p>
        </w:tc>
      </w:tr>
      <w:tr w:rsidR="0000192F" w:rsidRPr="0000192F" w14:paraId="3BDADD73" w14:textId="77777777" w:rsidTr="0026369F">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420102F2" w14:textId="5DA58522" w:rsidR="0000192F" w:rsidRPr="0000192F" w:rsidRDefault="0000192F" w:rsidP="0000192F">
            <w:pPr>
              <w:rPr>
                <w:sz w:val="20"/>
                <w:lang w:eastAsia="zh-CN"/>
              </w:rPr>
            </w:pPr>
            <w:r>
              <w:rPr>
                <w:lang w:eastAsia="zh-CN"/>
              </w:rPr>
              <w:t xml:space="preserve">Additionally, I think it is necessary to keep the following bullet intact because it essentially describes what Alt-1 is. Without it then we might as well start from scratch. Furthermore, without it, the main bullet for Alt-1 doesn't provide enough information; the two need to </w:t>
            </w:r>
            <w:r>
              <w:rPr>
                <w:lang w:eastAsia="zh-CN"/>
              </w:rPr>
              <w:lastRenderedPageBreak/>
              <w:t>be read together.</w:t>
            </w:r>
          </w:p>
        </w:tc>
      </w:tr>
      <w:tr w:rsidR="002D7C9B" w:rsidRPr="0000192F" w14:paraId="21A194B9" w14:textId="77777777" w:rsidTr="0026369F">
        <w:tc>
          <w:tcPr>
            <w:tcW w:w="2405" w:type="dxa"/>
          </w:tcPr>
          <w:p w14:paraId="0FE75B5F" w14:textId="3A7728C0" w:rsidR="002D7C9B" w:rsidRDefault="002D7C9B" w:rsidP="002D7C9B">
            <w:proofErr w:type="spellStart"/>
            <w:r>
              <w:lastRenderedPageBreak/>
              <w:t>MediaTek</w:t>
            </w:r>
            <w:proofErr w:type="spellEnd"/>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 xml:space="preserve">uawei, </w:t>
            </w:r>
            <w:proofErr w:type="spellStart"/>
            <w:r>
              <w:t>HiSilicon</w:t>
            </w:r>
            <w:proofErr w:type="spellEnd"/>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lastRenderedPageBreak/>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bookmarkStart w:id="8" w:name="_GoBack"/>
      <w:bookmarkEnd w:id="8"/>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9A14699" w:rsidR="002C1E66" w:rsidRDefault="00724079" w:rsidP="0026369F">
            <w:r>
              <w:t>Samsung</w:t>
            </w:r>
          </w:p>
        </w:tc>
        <w:tc>
          <w:tcPr>
            <w:tcW w:w="12176" w:type="dxa"/>
          </w:tcPr>
          <w:p w14:paraId="05506208" w14:textId="6183A0CE" w:rsidR="002C1E66" w:rsidRDefault="00724079" w:rsidP="0026369F">
            <w:pPr>
              <w:rPr>
                <w:lang w:eastAsia="zh-CN"/>
              </w:rPr>
            </w:pPr>
            <w:r>
              <w:rPr>
                <w:lang w:eastAsia="zh-CN"/>
              </w:rPr>
              <w:t xml:space="preserve">We are fine with the proposal. </w:t>
            </w:r>
          </w:p>
        </w:tc>
      </w:tr>
      <w:tr w:rsidR="0000192F" w:rsidRPr="0000192F" w14:paraId="4C6F94BD" w14:textId="77777777" w:rsidTr="0026369F">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t>Futurewei</w:t>
            </w:r>
            <w:proofErr w:type="spellEnd"/>
          </w:p>
        </w:tc>
        <w:tc>
          <w:tcPr>
            <w:tcW w:w="12176" w:type="dxa"/>
          </w:tcPr>
          <w:p w14:paraId="288EC3C6" w14:textId="77777777" w:rsidR="00CA72AE" w:rsidRDefault="005E0AF7">
            <w:r>
              <w:t xml:space="preserve">We expect UL coverage limitation therefore we do not see a need to increase the DL coverage. Additional mechanisms such as </w:t>
            </w:r>
            <w:r>
              <w:lastRenderedPageBreak/>
              <w:t>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lastRenderedPageBreak/>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 xml:space="preserve">uawei, </w:t>
            </w:r>
            <w:proofErr w:type="spellStart"/>
            <w:r>
              <w:t>HiSilicon</w:t>
            </w:r>
            <w:proofErr w:type="spellEnd"/>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xml:space="preserve">: use a lower SCS, such as 120 kHz, for PDCCH. This is not allowed </w:t>
            </w:r>
            <w:r>
              <w:rPr>
                <w:rStyle w:val="normaltextrun"/>
                <w:sz w:val="20"/>
                <w:szCs w:val="20"/>
                <w:lang w:val="en-US"/>
              </w:rPr>
              <w:lastRenderedPageBreak/>
              <w:t>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lastRenderedPageBreak/>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lastRenderedPageBreak/>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 xml:space="preserve">uawei, </w:t>
            </w:r>
            <w:proofErr w:type="spellStart"/>
            <w:r>
              <w:t>HiSilicon</w:t>
            </w:r>
            <w:proofErr w:type="spellEnd"/>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lastRenderedPageBreak/>
              <w:t>Spreadtrum</w:t>
            </w:r>
            <w:proofErr w:type="spellEnd"/>
          </w:p>
        </w:tc>
        <w:tc>
          <w:tcPr>
            <w:tcW w:w="12176" w:type="dxa"/>
          </w:tcPr>
          <w:p w14:paraId="732C543D" w14:textId="77777777" w:rsidR="00CA72AE" w:rsidRDefault="005E0AF7">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lastRenderedPageBreak/>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 xml:space="preserve">uawei, </w:t>
            </w:r>
            <w:proofErr w:type="spellStart"/>
            <w:r>
              <w:t>HiSilicon</w:t>
            </w:r>
            <w:proofErr w:type="spellEnd"/>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lastRenderedPageBreak/>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 xml:space="preserve">uawei, </w:t>
            </w:r>
            <w:proofErr w:type="spellStart"/>
            <w:r>
              <w:t>HiSilicon</w:t>
            </w:r>
            <w:proofErr w:type="spellEnd"/>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w:t>
            </w:r>
            <w:r>
              <w:rPr>
                <w:rFonts w:hint="eastAsia"/>
                <w:lang w:eastAsia="zh-CN"/>
              </w:rPr>
              <w:lastRenderedPageBreak/>
              <w:t xml:space="preserve">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lastRenderedPageBreak/>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lastRenderedPageBreak/>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TW"/>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TW"/>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6.25pt;height:367.5pt" o:ole="">
                  <v:imagedata r:id="rId15" o:title=""/>
                </v:shape>
                <o:OLEObject Type="Embed" ProgID="Visio.Drawing.15" ShapeID="_x0000_i1026" DrawAspect="Content" ObjectID="_1673959892"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TW"/>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2D7C9B">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2D7C9B">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2D7C9B">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2D7C9B">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2D7C9B">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2D7C9B">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6.5pt;height:119.25pt" o:ole="">
                  <v:imagedata r:id="rId18" o:title=""/>
                </v:shape>
                <o:OLEObject Type="Embed" ProgID="Visio.Drawing.15" ShapeID="_x0000_i1027" DrawAspect="Content" ObjectID="_1673959893" r:id="rId19"/>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TW"/>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49.5pt;height:141.75pt" o:ole="">
                  <v:imagedata r:id="rId21" o:title=""/>
                </v:shape>
                <o:OLEObject Type="Embed" ProgID="Visio.Drawing.15" ShapeID="_x0000_i1028" DrawAspect="Content" ObjectID="_1673959894" r:id="rId22"/>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1.25pt;height:206.25pt" o:ole="">
                  <v:imagedata r:id="rId23" o:title=""/>
                </v:shape>
                <o:OLEObject Type="Embed" ProgID="Visio.Drawing.15" ShapeID="_x0000_i1029" DrawAspect="Content" ObjectID="_1673959895" r:id="rId24"/>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1.25pt;height:206.25pt" o:ole="">
                  <v:imagedata r:id="rId23" o:title=""/>
                </v:shape>
                <o:OLEObject Type="Embed" ProgID="Visio.Drawing.15" ShapeID="_x0000_i1030" DrawAspect="Content" ObjectID="_1673959896"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5pt;height:137.25pt" o:ole="">
                  <v:imagedata r:id="rId26" o:title=""/>
                </v:shape>
                <o:OLEObject Type="Embed" ProgID="Visio.Drawing.15" ShapeID="_x0000_i1031" DrawAspect="Content" ObjectID="_1673959897" r:id="rId27"/>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lastRenderedPageBreak/>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lastRenderedPageBreak/>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proofErr w:type="gramStart"/>
      <w:r>
        <w:rPr>
          <w:rFonts w:ascii="Times New Roman" w:hAnsi="Times New Roman"/>
          <w:lang w:eastAsia="zh-CN"/>
        </w:rPr>
        <w:t>?</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lastRenderedPageBreak/>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TW"/>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lastRenderedPageBreak/>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SimSun"/>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8">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2">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2"/>
  </w:num>
  <w:num w:numId="4">
    <w:abstractNumId w:val="45"/>
  </w:num>
  <w:num w:numId="5">
    <w:abstractNumId w:val="36"/>
  </w:num>
  <w:num w:numId="6">
    <w:abstractNumId w:val="26"/>
  </w:num>
  <w:num w:numId="7">
    <w:abstractNumId w:val="28"/>
  </w:num>
  <w:num w:numId="8">
    <w:abstractNumId w:val="53"/>
  </w:num>
  <w:num w:numId="9">
    <w:abstractNumId w:val="29"/>
  </w:num>
  <w:num w:numId="10">
    <w:abstractNumId w:val="49"/>
  </w:num>
  <w:num w:numId="11">
    <w:abstractNumId w:val="22"/>
  </w:num>
  <w:num w:numId="12">
    <w:abstractNumId w:val="14"/>
  </w:num>
  <w:num w:numId="13">
    <w:abstractNumId w:val="19"/>
  </w:num>
  <w:num w:numId="14">
    <w:abstractNumId w:val="51"/>
  </w:num>
  <w:num w:numId="15">
    <w:abstractNumId w:val="34"/>
  </w:num>
  <w:num w:numId="16">
    <w:abstractNumId w:val="5"/>
  </w:num>
  <w:num w:numId="17">
    <w:abstractNumId w:val="31"/>
  </w:num>
  <w:num w:numId="18">
    <w:abstractNumId w:val="37"/>
  </w:num>
  <w:num w:numId="19">
    <w:abstractNumId w:val="32"/>
  </w:num>
  <w:num w:numId="20">
    <w:abstractNumId w:val="44"/>
  </w:num>
  <w:num w:numId="21">
    <w:abstractNumId w:val="30"/>
  </w:num>
  <w:num w:numId="22">
    <w:abstractNumId w:val="43"/>
  </w:num>
  <w:num w:numId="23">
    <w:abstractNumId w:val="21"/>
  </w:num>
  <w:num w:numId="24">
    <w:abstractNumId w:val="35"/>
  </w:num>
  <w:num w:numId="25">
    <w:abstractNumId w:val="17"/>
  </w:num>
  <w:num w:numId="26">
    <w:abstractNumId w:val="12"/>
  </w:num>
  <w:num w:numId="27">
    <w:abstractNumId w:val="46"/>
  </w:num>
  <w:num w:numId="28">
    <w:abstractNumId w:val="41"/>
  </w:num>
  <w:num w:numId="29">
    <w:abstractNumId w:val="39"/>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8"/>
  </w:num>
  <w:num w:numId="43">
    <w:abstractNumId w:val="33"/>
  </w:num>
  <w:num w:numId="44">
    <w:abstractNumId w:val="1"/>
  </w:num>
  <w:num w:numId="45">
    <w:abstractNumId w:val="10"/>
  </w:num>
  <w:num w:numId="46">
    <w:abstractNumId w:val="40"/>
  </w:num>
  <w:num w:numId="47">
    <w:abstractNumId w:val="50"/>
  </w:num>
  <w:num w:numId="48">
    <w:abstractNumId w:val="48"/>
  </w:num>
  <w:num w:numId="49">
    <w:abstractNumId w:val="23"/>
  </w:num>
  <w:num w:numId="50">
    <w:abstractNumId w:val="42"/>
  </w:num>
  <w:num w:numId="51">
    <w:abstractNumId w:val="47"/>
  </w:num>
  <w:num w:numId="52">
    <w:abstractNumId w:val="6"/>
  </w:num>
  <w:num w:numId="53">
    <w:abstractNumId w:val="11"/>
  </w:num>
  <w:num w:numId="54">
    <w:abstractNumId w:val="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1.vsdx"/><Relationship Id="rId17" Type="http://schemas.openxmlformats.org/officeDocument/2006/relationships/image" Target="media/image10.png"/><Relationship Id="rId25" Type="http://schemas.openxmlformats.org/officeDocument/2006/relationships/package" Target="embeddings/Microsoft_Visio_Drawing56.vsdx"/><Relationship Id="rId2" Type="http://schemas.openxmlformats.org/officeDocument/2006/relationships/numbering" Target="numbering.xml"/><Relationship Id="rId16" Type="http://schemas.openxmlformats.org/officeDocument/2006/relationships/package" Target="embeddings/Microsoft_Visio_Drawing12.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5.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3.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4.vsdx"/><Relationship Id="rId27" Type="http://schemas.openxmlformats.org/officeDocument/2006/relationships/package" Target="embeddings/Microsoft_Visio_Drawing67.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104</Pages>
  <Words>33935</Words>
  <Characters>193436</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3</cp:revision>
  <cp:lastPrinted>2016-08-13T07:06:00Z</cp:lastPrinted>
  <dcterms:created xsi:type="dcterms:W3CDTF">2021-02-04T23:57:00Z</dcterms:created>
  <dcterms:modified xsi:type="dcterms:W3CDTF">2021-02-05T00:04:00Z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