
<file path=[Content_Types].xml><?xml version="1.0" encoding="utf-8"?>
<Types xmlns="http://schemas.openxmlformats.org/package/2006/content-types">
  <Default Extension="xml" ContentType="application/xml"/>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Microsoft_Visio___1.vsdx" ContentType="application/vnd.ms-visio.drawing"/>
  <Override PartName="/word/embeddings/Microsoft_Visio___2.vsdx" ContentType="application/vnd.ms-visio.drawing"/>
  <Override PartName="/word/embeddings/Microsoft_Visio___3.vsdx" ContentType="application/vnd.ms-visio.drawing"/>
  <Override PartName="/word/embeddings/Microsoft_Visio___4.vsdx" ContentType="application/vnd.ms-visio.drawing"/>
  <Override PartName="/word/embeddings/Microsoft_Visio___5.vsdx" ContentType="application/vnd.ms-visio.drawing"/>
  <Override PartName="/word/embeddings/Microsoft_Visio___6.vsdx" ContentType="application/vnd.ms-visio.drawing"/>
  <Override PartName="/word/embeddings/Microsoft_Visio___7.vsdx" ContentType="application/vnd.ms-visio.drawing"/>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8"/>
        <w:widowControl w:val="0"/>
        <w:rPr>
          <w:rFonts w:ascii="Arial" w:hAnsi="Arial" w:cs="Arial"/>
          <w:b/>
          <w:bCs/>
          <w:lang w:val="de-DE"/>
        </w:rPr>
      </w:pPr>
      <w:r>
        <w:rPr>
          <w:rFonts w:ascii="Arial" w:hAnsi="Arial" w:cs="Arial"/>
          <w:b/>
          <w:bCs/>
          <w:lang w:val="de-DE"/>
        </w:rPr>
        <w:t>3GPP TSG RAN WG1#104-e</w:t>
      </w:r>
      <w:r>
        <w:rPr>
          <w:rFonts w:ascii="Arial" w:hAnsi="Arial" w:cs="Arial"/>
          <w:b/>
          <w:bCs/>
          <w:lang w:val="de-DE"/>
        </w:rPr>
        <w:tab/>
      </w:r>
      <w:r>
        <w:rPr>
          <w:rFonts w:ascii="Arial" w:hAnsi="Arial" w:cs="Arial"/>
          <w:b/>
          <w:bCs/>
          <w:lang w:val="de-DE" w:eastAsia="zh-CN"/>
        </w:rPr>
        <w:tab/>
      </w:r>
      <w:r>
        <w:rPr>
          <w:rFonts w:ascii="Arial" w:hAnsi="Arial" w:cs="Arial"/>
          <w:b/>
          <w:bCs/>
          <w:lang w:val="de-DE"/>
        </w:rPr>
        <w:t>R1-2xxxxxx</w:t>
      </w:r>
    </w:p>
    <w:p>
      <w:pPr>
        <w:pStyle w:val="38"/>
        <w:widowControl w:val="0"/>
        <w:rPr>
          <w:rFonts w:ascii="Arial" w:hAnsi="Arial" w:cs="Arial"/>
          <w:b/>
          <w:bCs/>
          <w:lang w:val="en-GB"/>
        </w:rPr>
      </w:pPr>
      <w:r>
        <w:rPr>
          <w:rFonts w:ascii="Arial" w:hAnsi="Arial" w:cs="Arial"/>
          <w:b/>
          <w:bCs/>
          <w:lang w:val="en-GB"/>
        </w:rPr>
        <w:t>e-Meeting, January 25th – February 5th, 2021</w:t>
      </w:r>
    </w:p>
    <w:p>
      <w:pPr>
        <w:pBdr>
          <w:top w:val="single" w:color="auto" w:sz="4" w:space="2"/>
        </w:pBdr>
        <w:spacing w:after="0"/>
        <w:rPr>
          <w:rFonts w:ascii="Arial" w:hAnsi="Arial" w:cs="Arial"/>
          <w:b/>
          <w:kern w:val="2"/>
          <w:sz w:val="24"/>
          <w:highlight w:val="yellow"/>
          <w:lang w:val="en-GB" w:eastAsia="zh-CN"/>
        </w:rPr>
      </w:pPr>
    </w:p>
    <w:p>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Agenda Item:</w:t>
      </w:r>
      <w:r>
        <w:rPr>
          <w:rFonts w:ascii="Arial" w:hAnsi="Arial" w:cs="Arial"/>
          <w:b/>
          <w:bCs/>
          <w:szCs w:val="20"/>
          <w:lang w:val="en-GB" w:eastAsia="zh-CN"/>
        </w:rPr>
        <w:tab/>
      </w:r>
      <w:r>
        <w:rPr>
          <w:rFonts w:ascii="Arial" w:hAnsi="Arial" w:cs="Arial"/>
          <w:b/>
          <w:bCs/>
          <w:szCs w:val="20"/>
          <w:lang w:val="en-GB" w:eastAsia="zh-CN"/>
        </w:rPr>
        <w:t>8.2.2</w:t>
      </w:r>
    </w:p>
    <w:p>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Source:</w:t>
      </w:r>
      <w:r>
        <w:rPr>
          <w:rFonts w:ascii="Arial" w:hAnsi="Arial" w:cs="Arial"/>
          <w:b/>
          <w:bCs/>
          <w:szCs w:val="20"/>
          <w:lang w:val="en-GB" w:eastAsia="zh-CN"/>
        </w:rPr>
        <w:tab/>
      </w:r>
      <w:r>
        <w:rPr>
          <w:rFonts w:ascii="Arial" w:hAnsi="Arial" w:cs="Arial"/>
          <w:b/>
          <w:bCs/>
          <w:szCs w:val="20"/>
          <w:lang w:val="en-GB" w:eastAsia="zh-CN"/>
        </w:rPr>
        <w:t>Moderator (Lenovo)</w:t>
      </w:r>
    </w:p>
    <w:p>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Title:</w:t>
      </w:r>
      <w:r>
        <w:rPr>
          <w:rFonts w:ascii="Arial" w:hAnsi="Arial" w:cs="Arial"/>
          <w:b/>
          <w:bCs/>
          <w:szCs w:val="20"/>
          <w:lang w:val="en-GB" w:eastAsia="zh-CN"/>
        </w:rPr>
        <w:tab/>
      </w:r>
      <w:r>
        <w:rPr>
          <w:rFonts w:ascii="Arial" w:hAnsi="Arial" w:cs="Arial"/>
          <w:b/>
          <w:bCs/>
          <w:szCs w:val="20"/>
          <w:lang w:val="en-GB" w:eastAsia="zh-CN"/>
        </w:rPr>
        <w:t xml:space="preserve">[Draft] Feature lead summary for [104-e-NR-52-71GHz-02] Email discussion/approval on PDCCH monitoring enhancements </w:t>
      </w:r>
    </w:p>
    <w:p>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Document for:</w:t>
      </w:r>
      <w:r>
        <w:rPr>
          <w:rFonts w:ascii="Arial" w:hAnsi="Arial" w:cs="Arial"/>
          <w:b/>
          <w:bCs/>
          <w:szCs w:val="20"/>
          <w:lang w:val="en-GB" w:eastAsia="zh-CN"/>
        </w:rPr>
        <w:tab/>
      </w:r>
      <w:r>
        <w:rPr>
          <w:rFonts w:ascii="Arial" w:hAnsi="Arial" w:cs="Arial"/>
          <w:b/>
          <w:bCs/>
          <w:szCs w:val="20"/>
          <w:lang w:val="en-GB" w:eastAsia="zh-CN"/>
        </w:rPr>
        <w:t>Discussion, Decision</w:t>
      </w:r>
    </w:p>
    <w:p>
      <w:pPr>
        <w:pStyle w:val="2"/>
      </w:pPr>
      <w:r>
        <w:t>Introduction</w:t>
      </w:r>
    </w:p>
    <w:p>
      <w:pPr>
        <w:rPr>
          <w:lang w:val="en-GB" w:eastAsia="zh-CN"/>
        </w:rPr>
      </w:pPr>
      <w:r>
        <w:rPr>
          <w:lang w:val="en-GB" w:eastAsia="zh-CN"/>
        </w:rPr>
        <w:t>Among other items, the WID "Extending current NR operation to 71 GHz" includes the following RAN1 objective:</w:t>
      </w:r>
    </w:p>
    <w:tbl>
      <w:tblPr>
        <w:tblStyle w:val="52"/>
        <w:tblW w:w="145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1" w:type="dxa"/>
            <w:vAlign w:val="center"/>
          </w:tcPr>
          <w:p>
            <w:pPr>
              <w:pStyle w:val="94"/>
              <w:widowControl w:val="0"/>
              <w:spacing w:before="180"/>
              <w:ind w:left="284" w:firstLine="0"/>
              <w:rPr>
                <w:sz w:val="24"/>
                <w:szCs w:val="24"/>
                <w:lang w:eastAsia="zh-CN"/>
              </w:rPr>
            </w:pPr>
            <w:r>
              <w:rPr>
                <w:sz w:val="24"/>
                <w:szCs w:val="24"/>
                <w:lang w:eastAsia="zh-CN"/>
              </w:rPr>
              <w:t>Support enhancement to PDCCH monitoring, including blind detection/CCE budget, and multi-slot span monitoring, potential limitation to UE PDCCH configuration and capability related to PDCCH monitoring.</w:t>
            </w:r>
          </w:p>
        </w:tc>
      </w:tr>
    </w:tbl>
    <w:p>
      <w:pPr>
        <w:rPr>
          <w:lang w:val="en-GB" w:eastAsia="zh-CN"/>
        </w:rPr>
      </w:pPr>
    </w:p>
    <w:p>
      <w:pPr>
        <w:rPr>
          <w:lang w:val="en-GB" w:eastAsia="zh-CN"/>
        </w:rPr>
      </w:pPr>
      <w:r>
        <w:rPr>
          <w:lang w:val="en-GB" w:eastAsia="zh-CN"/>
        </w:rPr>
        <w:t>This document covers the following as announced by the chairman:</w:t>
      </w:r>
    </w:p>
    <w:p>
      <w:pPr>
        <w:rPr>
          <w:lang w:eastAsia="zh-CN"/>
        </w:rPr>
      </w:pPr>
      <w:bookmarkStart w:id="0" w:name="_Hlk62487761"/>
      <w:r>
        <w:rPr>
          <w:highlight w:val="cyan"/>
          <w:lang w:eastAsia="zh-CN"/>
        </w:rPr>
        <w:t>[104-e-NR-52-71GHz-02] Email discussion/approval on PDCCH monitoring enhancements</w:t>
      </w:r>
      <w:bookmarkEnd w:id="0"/>
      <w:r>
        <w:rPr>
          <w:highlight w:val="cyan"/>
          <w:lang w:eastAsia="zh-CN"/>
        </w:rPr>
        <w:t xml:space="preserve"> with checkpoints for agreements on </w:t>
      </w:r>
      <w:r>
        <w:rPr>
          <w:b/>
          <w:bCs/>
          <w:highlight w:val="cyan"/>
          <w:lang w:eastAsia="zh-CN"/>
        </w:rPr>
        <w:t>Jan-28, Feb-02, Feb-05</w:t>
      </w:r>
      <w:r>
        <w:rPr>
          <w:highlight w:val="cyan"/>
          <w:lang w:eastAsia="zh-CN"/>
        </w:rPr>
        <w:t xml:space="preserve"> – Alex (Lenovo)</w:t>
      </w:r>
    </w:p>
    <w:p>
      <w:pPr>
        <w:rPr>
          <w:lang w:eastAsia="zh-CN"/>
        </w:rPr>
      </w:pPr>
      <w:r>
        <w:rPr>
          <w:lang w:eastAsia="zh-CN"/>
        </w:rPr>
        <w:t>Depending on the progress, new questions or proposal may be added after the defined checkpoints.</w:t>
      </w:r>
    </w:p>
    <w:p>
      <w:pPr>
        <w:pStyle w:val="2"/>
      </w:pPr>
      <w:r>
        <w:t>Discussion</w:t>
      </w:r>
    </w:p>
    <w:p>
      <w:pPr>
        <w:rPr>
          <w:lang w:val="en-GB" w:eastAsia="zh-CN"/>
        </w:rPr>
      </w:pPr>
      <w:r>
        <w:rPr>
          <w:highlight w:val="cyan"/>
          <w:lang w:val="en-GB" w:eastAsia="zh-CN"/>
        </w:rPr>
        <w:t>FL NOTE: Please refer to the documents listed in Section 3 for individual questions for an identified topic.</w:t>
      </w:r>
    </w:p>
    <w:p>
      <w:pPr>
        <w:pStyle w:val="3"/>
      </w:pPr>
      <w:r>
        <w:t>Topic A1: Blind Decoding Capability, Multi-slot span monitoring</w:t>
      </w:r>
    </w:p>
    <w:p>
      <w:pPr>
        <w:pStyle w:val="4"/>
        <w:rPr>
          <w:lang w:val="en-GB" w:eastAsia="zh-CN"/>
        </w:rPr>
      </w:pPr>
      <w:r>
        <w:rPr>
          <w:lang w:val="en-GB" w:eastAsia="zh-CN"/>
        </w:rPr>
        <w:t>First Round (A1-1a)</w:t>
      </w:r>
    </w:p>
    <w:p>
      <w:pPr>
        <w:rPr>
          <w:b/>
          <w:u w:val="single"/>
        </w:rPr>
      </w:pPr>
      <w:r>
        <w:rPr>
          <w:b/>
          <w:u w:val="single"/>
        </w:rPr>
        <w:t>Question A1-1a: Do you see a need to support single-slot span monitoring for one or both new numerologies (480 kHz, 960 kHz)?</w:t>
      </w:r>
    </w:p>
    <w:p>
      <w:pPr>
        <w:rPr>
          <w:lang w:eastAsia="zh-CN"/>
        </w:rPr>
      </w:pPr>
    </w:p>
    <w:tbl>
      <w:tblPr>
        <w:tblStyle w:val="52"/>
        <w:tblW w:w="145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5"/>
        <w:gridCol w:w="121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shd w:val="clear" w:color="auto" w:fill="FFC000"/>
            <w:vAlign w:val="center"/>
          </w:tcPr>
          <w:p>
            <w:pPr>
              <w:widowControl w:val="0"/>
              <w:rPr>
                <w:b/>
                <w:bCs/>
              </w:rPr>
            </w:pPr>
            <w:r>
              <w:rPr>
                <w:b/>
                <w:bCs/>
              </w:rPr>
              <w:t>Company</w:t>
            </w:r>
          </w:p>
        </w:tc>
        <w:tc>
          <w:tcPr>
            <w:tcW w:w="12176" w:type="dxa"/>
            <w:shd w:val="clear" w:color="auto" w:fill="FFC000"/>
            <w:vAlign w:val="center"/>
          </w:tcPr>
          <w:p>
            <w:pPr>
              <w:widowControl w:val="0"/>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pPr>
            <w:r>
              <w:rPr>
                <w:rFonts w:hint="eastAsia"/>
                <w:lang w:eastAsia="zh-CN"/>
              </w:rPr>
              <w:t>Xiaomi</w:t>
            </w:r>
          </w:p>
        </w:tc>
        <w:tc>
          <w:tcPr>
            <w:tcW w:w="12176" w:type="dxa"/>
            <w:vAlign w:val="center"/>
          </w:tcPr>
          <w:p>
            <w:pPr>
              <w:widowControl w:val="0"/>
              <w:rPr>
                <w:lang w:eastAsia="zh-CN"/>
              </w:rPr>
            </w:pPr>
            <w:r>
              <w:rPr>
                <w:lang w:eastAsia="zh-CN"/>
              </w:rPr>
              <w:t xml:space="preserve">Currently, we see no need. For SCS120khz, the single slot capability is BD/CCE=(20/32). Start from this, </w:t>
            </w:r>
            <w:r>
              <w:rPr>
                <w:rFonts w:hint="eastAsia"/>
                <w:lang w:eastAsia="zh-CN"/>
              </w:rPr>
              <w:t>for</w:t>
            </w:r>
            <w:r>
              <w:rPr>
                <w:lang w:eastAsia="zh-CN"/>
              </w:rPr>
              <w:t xml:space="preserve"> SCS=480/960</w:t>
            </w:r>
            <w:r>
              <w:rPr>
                <w:rFonts w:hint="eastAsia"/>
                <w:lang w:eastAsia="zh-CN"/>
              </w:rPr>
              <w:t>khz</w:t>
            </w:r>
            <w:r>
              <w:rPr>
                <w:lang w:eastAsia="zh-CN"/>
              </w:rPr>
              <w:t xml:space="preserve">, BD/CCE </w:t>
            </w:r>
            <w:r>
              <w:rPr>
                <w:rFonts w:hint="eastAsia"/>
                <w:lang w:eastAsia="zh-CN"/>
              </w:rPr>
              <w:t>would</w:t>
            </w:r>
            <w:r>
              <w:rPr>
                <w:lang w:eastAsia="zh-CN"/>
              </w:rPr>
              <w:t xml:space="preserve"> be at the level of 10 </w:t>
            </w:r>
            <w:r>
              <w:rPr>
                <w:rFonts w:hint="eastAsia"/>
                <w:lang w:eastAsia="zh-CN"/>
              </w:rPr>
              <w:t>or</w:t>
            </w:r>
            <w:r>
              <w:rPr>
                <w:lang w:eastAsia="zh-CN"/>
              </w:rPr>
              <w:t xml:space="preserve"> </w:t>
            </w:r>
            <w:r>
              <w:rPr>
                <w:rFonts w:hint="eastAsia"/>
                <w:lang w:eastAsia="zh-CN"/>
              </w:rPr>
              <w:t>even</w:t>
            </w:r>
            <w:r>
              <w:rPr>
                <w:lang w:eastAsia="zh-CN"/>
              </w:rPr>
              <w:t xml:space="preserve"> </w:t>
            </w:r>
            <w:r>
              <w:rPr>
                <w:rFonts w:hint="eastAsia"/>
                <w:lang w:eastAsia="zh-CN"/>
              </w:rPr>
              <w:t>less.</w:t>
            </w:r>
            <w:r>
              <w:rPr>
                <w:lang w:eastAsia="zh-CN"/>
              </w:rPr>
              <w:t xml:space="preserve"> Such restriction would cause high blocking probability for </w:t>
            </w:r>
            <w:r>
              <w:rPr>
                <w:rFonts w:hint="eastAsia"/>
                <w:lang w:eastAsia="zh-CN"/>
              </w:rPr>
              <w:t>even</w:t>
            </w:r>
            <w:r>
              <w:rPr>
                <w:lang w:eastAsia="zh-CN"/>
              </w:rPr>
              <w:t xml:space="preserve"> just a few DCIs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t>Qualcomm</w:t>
            </w:r>
          </w:p>
        </w:tc>
        <w:tc>
          <w:tcPr>
            <w:tcW w:w="12176" w:type="dxa"/>
            <w:vAlign w:val="center"/>
          </w:tcPr>
          <w:p>
            <w:pPr>
              <w:widowControl w:val="0"/>
              <w:rPr>
                <w:lang w:eastAsia="zh-CN"/>
              </w:rPr>
            </w:pPr>
            <w:r>
              <w:t>For the new SCSs, we think single-slot based PDCCH monitoring should be supported, as well as a new multi-slot based PDCCH monitoring. Although the number of BD/CCE shall be strictly limited for single-slot monitoring, we see there are use cases that more frequent PDCCH monitoring is required, such as an extremely low-latency traffic or outside of a COT.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pPr>
            <w:r>
              <w:rPr>
                <w:lang w:eastAsia="zh-CN"/>
              </w:rPr>
              <w:t>Futurewei</w:t>
            </w:r>
          </w:p>
        </w:tc>
        <w:tc>
          <w:tcPr>
            <w:tcW w:w="12176" w:type="dxa"/>
            <w:vAlign w:val="center"/>
          </w:tcPr>
          <w:p>
            <w:pPr>
              <w:widowControl w:val="0"/>
            </w:pPr>
            <w:r>
              <w:t>We do not see a strong reason for single slot monitoring at higher numerologies.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rFonts w:hint="eastAsia"/>
                <w:lang w:eastAsia="zh-CN"/>
              </w:rPr>
              <w:t>OPPO</w:t>
            </w:r>
          </w:p>
        </w:tc>
        <w:tc>
          <w:tcPr>
            <w:tcW w:w="12176" w:type="dxa"/>
            <w:vAlign w:val="center"/>
          </w:tcPr>
          <w:p>
            <w:pPr>
              <w:widowControl w:val="0"/>
            </w:pPr>
            <w:r>
              <w:rPr>
                <w:rFonts w:hint="eastAsia"/>
                <w:lang w:eastAsia="zh-CN"/>
              </w:rPr>
              <w:t xml:space="preserve">Yes. </w:t>
            </w:r>
            <w:r>
              <w:rPr>
                <w:lang w:eastAsia="zh-CN"/>
              </w:rPr>
              <w:t>Single-slot span monitoring is beneficial for some latency-urgent services.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pPr>
            <w:r>
              <w:rPr>
                <w:rFonts w:hint="eastAsia"/>
              </w:rPr>
              <w:t>H</w:t>
            </w:r>
            <w:r>
              <w:t>uawei, HiSilicon</w:t>
            </w:r>
          </w:p>
        </w:tc>
        <w:tc>
          <w:tcPr>
            <w:tcW w:w="12176" w:type="dxa"/>
            <w:vAlign w:val="center"/>
          </w:tcPr>
          <w:p>
            <w:pPr>
              <w:widowControl w:val="0"/>
            </w:pPr>
            <w:r>
              <w:t xml:space="preserve">No. </w:t>
            </w:r>
            <w:r>
              <w:rPr>
                <w:rFonts w:hint="eastAsia"/>
              </w:rPr>
              <w:t xml:space="preserve">We do not see sufficient need to support single-slot span monitoring in addition to multi-slot span monitoring for the new SCS. </w:t>
            </w:r>
            <w:r>
              <w:t>Multi-slot span monitoring should still be able to schedule a single slot with enough flexibility in the value of k0, so that the single scheduled slot can be in any slot within the multi-slot span/period. On the other hand, supporting single-slot monitoring would offset the benefits of complexity reduction obtained by requiring UEs to only support multi-slot span monitoring with a span of multiple slots. In summary, the only benefit of supporting single-slot span monitoring would be to decrease the scheduling latency. We think the scheduling latency is already very low when using large SCS like 480 or 960 kHz SCS even based on multiple slots monitoring span.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pPr>
            <w:r>
              <w:rPr>
                <w:lang w:eastAsia="zh-CN"/>
              </w:rPr>
              <w:t>Apple</w:t>
            </w:r>
          </w:p>
        </w:tc>
        <w:tc>
          <w:tcPr>
            <w:tcW w:w="12176" w:type="dxa"/>
            <w:vAlign w:val="center"/>
          </w:tcPr>
          <w:p>
            <w:pPr>
              <w:widowControl w:val="0"/>
            </w:pPr>
            <w:r>
              <w:rPr>
                <w:lang w:eastAsia="zh-CN"/>
              </w:rPr>
              <w:t>If the question is asking whether we should support FG 3-5b type PDCCH monitoring  for a single slot, given the short duration of the slot, we do not see a need for this. If the question is asking whether we should support PDCCH monitoring per slot, also do not see a need as multi-slot monitoring is being proposed to limit UE complexity. Having single slot UE PDCCH monitoring defeats the purpose.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rFonts w:hint="eastAsia"/>
                <w:lang w:eastAsia="zh-CN"/>
              </w:rPr>
              <w:t>ZTE, Sanechips</w:t>
            </w:r>
          </w:p>
        </w:tc>
        <w:tc>
          <w:tcPr>
            <w:tcW w:w="12176" w:type="dxa"/>
            <w:vAlign w:val="center"/>
          </w:tcPr>
          <w:p>
            <w:pPr>
              <w:widowControl w:val="0"/>
              <w:rPr>
                <w:lang w:eastAsia="zh-CN"/>
              </w:rPr>
            </w:pPr>
            <w:r>
              <w:rPr>
                <w:rFonts w:hint="eastAsia"/>
                <w:lang w:eastAsia="zh-CN"/>
              </w:rPr>
              <w:t>Yes. We think that single-slot span monitoring can be considered as a special case of multi-slot span monitoring and it depends on the configuration of multi-slot span. So from this point of view, it seems that single-slot span should not be ruled out.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lang w:eastAsia="zh-CN"/>
              </w:rPr>
              <w:t>Samsung</w:t>
            </w:r>
          </w:p>
        </w:tc>
        <w:tc>
          <w:tcPr>
            <w:tcW w:w="12176" w:type="dxa"/>
            <w:vAlign w:val="center"/>
          </w:tcPr>
          <w:p>
            <w:pPr>
              <w:widowControl w:val="0"/>
              <w:rPr>
                <w:lang w:eastAsia="zh-CN"/>
              </w:rPr>
            </w:pPr>
            <w:r>
              <w:rPr>
                <w:lang w:eastAsia="zh-CN"/>
              </w:rPr>
              <w:t xml:space="preserve">First we would like to clarify the wording. “single-slot span” monitoring is confusing to us. If the intention is to discuss whether Rel-15 legacy per-slot based monitoring, then it’s better to use “per slot monitoring” to be aligned with 38.213.  </w:t>
            </w:r>
          </w:p>
          <w:p>
            <w:pPr>
              <w:widowControl w:val="0"/>
              <w:rPr>
                <w:lang w:eastAsia="zh-CN"/>
              </w:rPr>
            </w:pPr>
            <w:r>
              <w:rPr>
                <w:lang w:eastAsia="zh-CN"/>
              </w:rPr>
              <w:t xml:space="preserve">If understanding in such a way, we support the legacy behavior for 480 kHz and 960 kHz. The span based monitoring should be associated with UE capability, so slot based monitoring is still needed at least for case UE capability is not indicated.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t>Intel</w:t>
            </w:r>
          </w:p>
        </w:tc>
        <w:tc>
          <w:tcPr>
            <w:tcW w:w="12176" w:type="dxa"/>
            <w:vAlign w:val="center"/>
          </w:tcPr>
          <w:p>
            <w:pPr>
              <w:widowControl w:val="0"/>
            </w:pPr>
            <w:r>
              <w:t>By single slot span, our understanding is that UE capability on max BD/CCE are defined in single slot level. We have concerns on the max number of BD/CCEs per slot.</w:t>
            </w:r>
          </w:p>
          <w:p>
            <w:pPr>
              <w:widowControl w:val="0"/>
              <w:rPr>
                <w:lang w:eastAsia="zh-CN"/>
              </w:rPr>
            </w:pPr>
            <w:r>
              <w:t>In this case, the numbers of BD/CCE per slot for SCS 480, 960kHz will be a quite small, assuming the numbers of BD/CCE can be obtained by scaling down the corresponding numbers for low SCS. Otherwise, if scaling is not considered, the overall requirement on UE PDCCH monitoring is extremely high since UE needs to monitor PDCCH in every slot. Consequently, PDCCH AL 16 or 8 may not be supported if the number of CCEs is less than 16 or 8. This may indicate that larger ALs may not be supported for single slot span-based monitoring, which may not be desirable as it would pose restriction on PDCCH transmission.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pPr>
            <w:r>
              <w:rPr>
                <w:lang w:eastAsia="zh-CN"/>
              </w:rPr>
              <w:t>MediaTek</w:t>
            </w:r>
          </w:p>
        </w:tc>
        <w:tc>
          <w:tcPr>
            <w:tcW w:w="12176" w:type="dxa"/>
            <w:vAlign w:val="center"/>
          </w:tcPr>
          <w:p>
            <w:pPr>
              <w:widowControl w:val="0"/>
            </w:pPr>
            <w:r>
              <w:rPr>
                <w:lang w:eastAsia="zh-CN"/>
              </w:rPr>
              <w:t xml:space="preserve">Yes. We share the same view with Qualcomm and ZTE that single-slot monitoring is a special case of multi-slot monitoring and it is beneficial in some low latency cases. In addition, single-slot BD/CCE limit might be useful for the discussion of multi-slot BD/CCE limit. Regarding Apple’s comment, we also don’t see the need for FG 3-5b type monitoring but some basic monitoring, e.g., only monitoring first three symbol per slot, can be considered if single slot monitoring is supported.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lang w:eastAsia="zh-CN"/>
              </w:rPr>
              <w:t>InterDigital</w:t>
            </w:r>
          </w:p>
        </w:tc>
        <w:tc>
          <w:tcPr>
            <w:tcW w:w="12176" w:type="dxa"/>
            <w:vAlign w:val="center"/>
          </w:tcPr>
          <w:p>
            <w:pPr>
              <w:widowControl w:val="0"/>
              <w:rPr>
                <w:lang w:eastAsia="zh-CN"/>
              </w:rPr>
            </w:pPr>
            <w:r>
              <w:rPr>
                <w:lang w:eastAsia="zh-CN"/>
              </w:rPr>
              <w:t xml:space="preserve">We agree with Samsung that “single-slot span” monitoring is confusing, and it is better to use “per slot monitoring”. In addition, we think that “per slot monitoring” is beneficial especially for services which require low latency. In that sense, “per slot monitoring” should be supported as an optional feature.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rFonts w:hint="eastAsia"/>
                <w:lang w:eastAsia="zh-CN"/>
              </w:rPr>
              <w:t>v</w:t>
            </w:r>
            <w:r>
              <w:rPr>
                <w:lang w:eastAsia="zh-CN"/>
              </w:rPr>
              <w:t>ivo</w:t>
            </w:r>
          </w:p>
        </w:tc>
        <w:tc>
          <w:tcPr>
            <w:tcW w:w="12176" w:type="dxa"/>
            <w:vAlign w:val="center"/>
          </w:tcPr>
          <w:p>
            <w:pPr>
              <w:widowControl w:val="0"/>
              <w:rPr>
                <w:lang w:eastAsia="zh-CN"/>
              </w:rPr>
            </w:pPr>
            <w:r>
              <w:rPr>
                <w:rFonts w:hint="eastAsia"/>
                <w:lang w:eastAsia="zh-CN"/>
              </w:rPr>
              <w:t>Y</w:t>
            </w:r>
            <w:r>
              <w:rPr>
                <w:lang w:eastAsia="zh-CN"/>
              </w:rPr>
              <w:t>es, we think both single-slot based PDCCH monitoring and multi-slot based PDCCH monitoring can be supported in spec. Multi-slot based PDCCH monitoring capability could be the mandatory capability while single-slot based one is an optional one. UE needs to report whether to support single-slot based PDCCH monitoring or not.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rFonts w:hint="eastAsia" w:eastAsia="MS Mincho"/>
                <w:lang w:eastAsia="ja-JP"/>
              </w:rPr>
              <w:t>NTT DOCOMO</w:t>
            </w:r>
          </w:p>
        </w:tc>
        <w:tc>
          <w:tcPr>
            <w:tcW w:w="12176" w:type="dxa"/>
            <w:vAlign w:val="center"/>
          </w:tcPr>
          <w:p>
            <w:pPr>
              <w:widowControl w:val="0"/>
              <w:rPr>
                <w:lang w:eastAsia="zh-CN"/>
              </w:rPr>
            </w:pPr>
            <w:r>
              <w:rPr>
                <w:rFonts w:eastAsia="MS Mincho"/>
                <w:lang w:eastAsia="ja-JP"/>
              </w:rPr>
              <w:t>Yes. We think single-slot span monitoring can</w:t>
            </w:r>
            <w:r>
              <w:rPr>
                <w:rFonts w:hint="eastAsia" w:eastAsia="MS Mincho"/>
                <w:lang w:eastAsia="ja-JP"/>
              </w:rPr>
              <w:t xml:space="preserve"> </w:t>
            </w:r>
            <w:r>
              <w:rPr>
                <w:rFonts w:eastAsia="MS Mincho"/>
                <w:lang w:eastAsia="ja-JP"/>
              </w:rPr>
              <w:t xml:space="preserve">be supported as the optional for both 480 and 960 kHz SCS if it is possible.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rFonts w:eastAsia="MS Mincho"/>
                <w:lang w:eastAsia="ja-JP"/>
              </w:rPr>
            </w:pPr>
            <w:r>
              <w:rPr>
                <w:rFonts w:eastAsia="MS Mincho"/>
                <w:lang w:eastAsia="ja-JP"/>
              </w:rPr>
              <w:t>Sony</w:t>
            </w:r>
          </w:p>
        </w:tc>
        <w:tc>
          <w:tcPr>
            <w:tcW w:w="12176" w:type="dxa"/>
            <w:vAlign w:val="center"/>
          </w:tcPr>
          <w:p>
            <w:pPr>
              <w:widowControl w:val="0"/>
              <w:rPr>
                <w:rFonts w:eastAsia="MS Mincho"/>
                <w:lang w:eastAsia="ja-JP"/>
              </w:rPr>
            </w:pPr>
            <w:r>
              <w:t>If UE would be compulsory to support single slot span monitoring, the implementation complexity cannot be reduced for the high SCS. Therefore, it is preferred not to support the single slot span monitoring for new numerologies.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rFonts w:eastAsia="MS Mincho"/>
                <w:lang w:eastAsia="ja-JP"/>
              </w:rPr>
            </w:pPr>
            <w:r>
              <w:rPr>
                <w:lang w:eastAsia="zh-CN"/>
              </w:rPr>
              <w:t>Lenovo, Motorola Mobility</w:t>
            </w:r>
          </w:p>
        </w:tc>
        <w:tc>
          <w:tcPr>
            <w:tcW w:w="12176" w:type="dxa"/>
            <w:vAlign w:val="center"/>
          </w:tcPr>
          <w:p>
            <w:pPr>
              <w:widowControl w:val="0"/>
              <w:rPr>
                <w:lang w:eastAsia="zh-CN"/>
              </w:rPr>
            </w:pPr>
            <w:r>
              <w:rPr>
                <w:lang w:eastAsia="zh-CN"/>
              </w:rPr>
              <w:t xml:space="preserve">Support for single-slot span monitoring for 480kHz and 960kHz will be depending on the support for single DCI format for multiple PDSCH/PUSCH scheduling. In our view, if  single DCI format is supported to schedule only multiple PDSCH or multiple PUSCH, then single-slot span monitoring for 480kHz and 960kHz might be needed for the scenario when DL/UL traffic have similar pattern. </w:t>
            </w:r>
          </w:p>
          <w:p>
            <w:pPr>
              <w:widowControl w:val="0"/>
            </w:pPr>
            <w:r>
              <w:rPr>
                <w:lang w:eastAsia="zh-CN"/>
              </w:rPr>
              <w:t>However, if a single DCI scheduling both multiple PDSCH and multiple PUSCH is supported, then single-slot span monitoring is not needed for 480kHz and 960kHz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pPr>
            <w:r>
              <w:t>Nokia, NSB</w:t>
            </w:r>
          </w:p>
        </w:tc>
        <w:tc>
          <w:tcPr>
            <w:tcW w:w="12176" w:type="dxa"/>
            <w:vAlign w:val="center"/>
          </w:tcPr>
          <w:p>
            <w:pPr>
              <w:widowControl w:val="0"/>
            </w:pPr>
            <w:r>
              <w:t>Yes, in addition to multi-slot -based monitoring there is a need to support also slot-based monitoring.</w:t>
            </w:r>
          </w:p>
          <w:p>
            <w:pPr>
              <w:widowControl w:val="0"/>
            </w:pPr>
            <w:r>
              <w:t>Slot-based monitoring needs to be supported for both new numerologies.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lang w:val="en-GB" w:eastAsia="zh-CN"/>
              </w:rPr>
              <w:t>Spreadtrum</w:t>
            </w:r>
          </w:p>
        </w:tc>
        <w:tc>
          <w:tcPr>
            <w:tcW w:w="12176" w:type="dxa"/>
            <w:vAlign w:val="center"/>
          </w:tcPr>
          <w:p>
            <w:pPr>
              <w:widowControl w:val="0"/>
              <w:rPr>
                <w:lang w:eastAsia="zh-CN"/>
              </w:rPr>
            </w:pPr>
            <w:r>
              <w:rPr>
                <w:lang w:eastAsia="zh-CN"/>
              </w:rPr>
              <w:t xml:space="preserve">We </w:t>
            </w:r>
            <w:r>
              <w:rPr>
                <w:rFonts w:hint="eastAsia"/>
                <w:lang w:eastAsia="zh-CN"/>
              </w:rPr>
              <w:t>see</w:t>
            </w:r>
            <w:r>
              <w:rPr>
                <w:lang w:eastAsia="zh-CN"/>
              </w:rPr>
              <w:t xml:space="preserve"> no need.</w:t>
            </w:r>
            <w:r>
              <w:rPr>
                <w:rFonts w:eastAsia="宋体"/>
                <w:lang w:eastAsia="zh-CN"/>
              </w:rPr>
              <w:t xml:space="preserve"> </w:t>
            </w:r>
            <w:r>
              <w:rPr>
                <w:bCs/>
                <w:lang w:eastAsia="ja-JP"/>
              </w:rPr>
              <w:t>Due to the limitations of UE processing capability,</w:t>
            </w:r>
            <w:r>
              <w:rPr>
                <w:rFonts w:eastAsia="宋体"/>
                <w:lang w:val="en-GB" w:eastAsia="zh-CN"/>
              </w:rPr>
              <w:t xml:space="preserve"> the maximum number of BDs and CCEs may be reduced significantly for new numerologies (480 kHz, 960 kHz).</w:t>
            </w:r>
            <w:r>
              <w:t xml:space="preserve"> </w:t>
            </w:r>
            <w:r>
              <w:rPr>
                <w:rFonts w:eastAsia="宋体"/>
                <w:lang w:val="en-GB" w:eastAsia="zh-CN"/>
              </w:rPr>
              <w:t xml:space="preserve">This situation increases </w:t>
            </w:r>
            <w:r>
              <w:rPr>
                <w:iCs/>
                <w:lang w:eastAsia="ja-JP"/>
              </w:rPr>
              <w:t>the probability of PDCCH blocking.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rFonts w:eastAsia="Malgun Gothic"/>
                <w:lang w:eastAsia="ko-KR"/>
              </w:rPr>
            </w:pPr>
            <w:r>
              <w:rPr>
                <w:rFonts w:hint="eastAsia" w:eastAsia="Malgun Gothic"/>
                <w:lang w:eastAsia="ko-KR"/>
              </w:rPr>
              <w:t>L</w:t>
            </w:r>
            <w:r>
              <w:rPr>
                <w:rFonts w:eastAsia="Malgun Gothic"/>
                <w:lang w:eastAsia="ko-KR"/>
              </w:rPr>
              <w:t>G Electronics</w:t>
            </w:r>
          </w:p>
        </w:tc>
        <w:tc>
          <w:tcPr>
            <w:tcW w:w="12176" w:type="dxa"/>
            <w:vAlign w:val="center"/>
          </w:tcPr>
          <w:p>
            <w:pPr>
              <w:widowControl w:val="0"/>
              <w:rPr>
                <w:rFonts w:eastAsia="Malgun Gothic"/>
                <w:lang w:eastAsia="ko-KR"/>
              </w:rPr>
            </w:pPr>
            <w:r>
              <w:rPr>
                <w:rFonts w:hint="eastAsia" w:eastAsia="Malgun Gothic"/>
                <w:lang w:eastAsia="ko-KR"/>
              </w:rPr>
              <w:t xml:space="preserve">Yes. On top of </w:t>
            </w:r>
            <w:r>
              <w:rPr>
                <w:rFonts w:eastAsia="Malgun Gothic"/>
                <w:lang w:eastAsia="ko-KR"/>
              </w:rPr>
              <w:t xml:space="preserve">multi-slot monitoring support, single-slot monitoring might be needed to support UEs with different capabilities.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rFonts w:eastAsia="Malgun Gothic"/>
                <w:lang w:eastAsia="ko-KR"/>
              </w:rPr>
            </w:pPr>
            <w:r>
              <w:rPr>
                <w:rFonts w:eastAsia="Malgun Gothic"/>
                <w:lang w:eastAsia="ko-KR"/>
              </w:rPr>
              <w:t>CEWiT</w:t>
            </w:r>
          </w:p>
        </w:tc>
        <w:tc>
          <w:tcPr>
            <w:tcW w:w="12176" w:type="dxa"/>
            <w:vAlign w:val="center"/>
          </w:tcPr>
          <w:p>
            <w:pPr>
              <w:widowControl w:val="0"/>
              <w:rPr>
                <w:rFonts w:eastAsia="Malgun Gothic"/>
                <w:lang w:eastAsia="ko-KR"/>
              </w:rPr>
            </w:pPr>
            <w:r>
              <w:rPr>
                <w:lang w:eastAsia="zh-CN"/>
              </w:rPr>
              <w:t>Yes. We feel it is needed for latency critical cases. We feel both single-slot and multi-slot span monitoring are required.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rFonts w:eastAsia="Malgun Gothic"/>
                <w:sz w:val="20"/>
                <w:lang w:eastAsia="ko-KR"/>
              </w:rPr>
            </w:pPr>
            <w:r>
              <w:rPr>
                <w:rFonts w:eastAsia="Malgun Gothic"/>
                <w:lang w:eastAsia="ko-KR"/>
              </w:rPr>
              <w:t>Ericsson</w:t>
            </w:r>
          </w:p>
        </w:tc>
        <w:tc>
          <w:tcPr>
            <w:tcW w:w="12176" w:type="dxa"/>
            <w:vAlign w:val="center"/>
          </w:tcPr>
          <w:p>
            <w:pPr>
              <w:widowControl w:val="0"/>
              <w:rPr>
                <w:lang w:eastAsia="zh-CN"/>
              </w:rPr>
            </w:pPr>
            <w:r>
              <w:rPr>
                <w:lang w:eastAsia="zh-CN"/>
              </w:rPr>
              <w:t>We support multi-slot span with a "sliding window" as illustrated below.</w:t>
            </w:r>
          </w:p>
          <w:p>
            <w:pPr>
              <w:widowControl w:val="0"/>
              <w:rPr>
                <w:lang w:eastAsia="zh-CN"/>
              </w:rPr>
            </w:pPr>
            <w:r>
              <w:rPr>
                <w:lang w:eastAsia="zh-CN"/>
              </w:rPr>
              <w:t xml:space="preserve">We think the fundamental issue is, as stated in the TR, to “investigate on the maximum number of BDs/CCEs for PDCCH monitoring per time unit, e.g. slot as Rel-15, or new scheduling/monitoring unit.” The motivation is to limit the PDCCH processing loads on the UE over any sliding window of, say, B slots. The maximum BD/CCEs can be distributed by NW configuration to (1) all in one slot or (2) over several slots while respecting the maximum capability constraints over any sliding window of B slots. Such flexibility of distributing the PDCCH processing loads of a UE over the B slots is necessary from the NW’s point of view because the NW needs to distribute these constraints over the B slots for different UEs’ USS and CSS (illustrative examples are provided below). From a UE’s point view, SS can be configured with any existing </w:t>
            </w:r>
            <w:r>
              <w:rPr>
                <w:i/>
                <w:iCs/>
                <w:lang w:eastAsia="zh-CN"/>
              </w:rPr>
              <w:t>monitoringSlotPeriodicityAndOffset</w:t>
            </w:r>
            <w:r>
              <w:rPr>
                <w:lang w:eastAsia="zh-CN"/>
              </w:rPr>
              <w:t xml:space="preserve"> as long as the aggregated MOs respect the processing load constraint within the sliding window.</w:t>
            </w:r>
          </w:p>
          <w:p>
            <w:pPr>
              <w:widowControl w:val="0"/>
              <w:rPr>
                <w:lang w:eastAsia="zh-CN"/>
              </w:rPr>
            </w:pPr>
            <w:r>
              <w:rPr>
                <w:lang w:eastAsia="zh-CN"/>
              </w:rPr>
              <w:t>In the following examples we assume B = 4 in which case UEs support a multi-slot PDCCH processing capability of C</w:t>
            </w:r>
            <w:r>
              <w:rPr>
                <w:vertAlign w:val="superscript"/>
                <w:lang w:eastAsia="zh-CN"/>
              </w:rPr>
              <w:t>4-slot</w:t>
            </w:r>
            <w:r>
              <w:rPr>
                <w:lang w:eastAsia="zh-CN"/>
              </w:rPr>
              <w:t xml:space="preserve"> = M+N, which represents the total BD or CCE limit. Each UE is configured with CSS with periodicity of 4 slots and the required number of BD/CCEs in each MO for CSS is denoted by N. The height of an MO represents the required processing load.</w:t>
            </w:r>
          </w:p>
          <w:p>
            <w:pPr>
              <w:widowControl w:val="0"/>
              <w:rPr>
                <w:lang w:eastAsia="zh-CN"/>
              </w:rPr>
            </w:pPr>
            <w:r>
              <w:rPr>
                <w:lang w:eastAsia="zh-CN"/>
              </w:rPr>
              <w:t>In the first configuration example, each UE is configured with USS with periodicity of 4 slots and the required number of BD/CCEs in each MO for USS is denoted M. Different UEs USS are staggered over time which is important from a network flexibility point of view.</w:t>
            </w:r>
          </w:p>
          <w:p>
            <w:pPr>
              <w:widowControl w:val="0"/>
              <w:rPr>
                <w:lang w:eastAsia="zh-CN"/>
              </w:rPr>
            </w:pPr>
            <w:r>
              <w:rPr>
                <w:lang w:eastAsia="zh-CN"/>
              </w:rPr>
              <w:drawing>
                <wp:inline distT="0" distB="0" distL="0" distR="0">
                  <wp:extent cx="7400925" cy="4394835"/>
                  <wp:effectExtent l="0" t="0" r="0" b="571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7400925" cy="4395016"/>
                          </a:xfrm>
                          <a:prstGeom prst="rect">
                            <a:avLst/>
                          </a:prstGeom>
                        </pic:spPr>
                      </pic:pic>
                    </a:graphicData>
                  </a:graphic>
                </wp:inline>
              </w:drawing>
            </w:r>
          </w:p>
          <w:p>
            <w:pPr>
              <w:widowControl w:val="0"/>
              <w:rPr>
                <w:lang w:eastAsia="zh-CN"/>
              </w:rPr>
            </w:pPr>
          </w:p>
          <w:p>
            <w:pPr>
              <w:widowControl w:val="0"/>
              <w:rPr>
                <w:lang w:eastAsia="zh-CN"/>
              </w:rPr>
            </w:pPr>
            <w:r>
              <w:rPr>
                <w:lang w:eastAsia="zh-CN"/>
              </w:rPr>
              <w:t>In the second configuration example, each UE is configured with USS with periodicity of 2 slots and the required number of BD/CCEs in each MO for USS is M/2. This configuration is beneficial to reduce scheduling latency.</w:t>
            </w:r>
          </w:p>
          <w:p>
            <w:pPr>
              <w:widowControl w:val="0"/>
              <w:rPr>
                <w:lang w:eastAsia="zh-CN"/>
              </w:rPr>
            </w:pPr>
            <w:r>
              <w:rPr>
                <w:lang w:eastAsia="zh-CN"/>
              </w:rPr>
              <w:drawing>
                <wp:inline distT="0" distB="0" distL="0" distR="0">
                  <wp:extent cx="7372350" cy="172402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7372588" cy="1724025"/>
                          </a:xfrm>
                          <a:prstGeom prst="rect">
                            <a:avLst/>
                          </a:prstGeom>
                        </pic:spPr>
                      </pic:pic>
                    </a:graphicData>
                  </a:graphic>
                </wp:inline>
              </w:drawing>
            </w:r>
          </w:p>
          <w:p>
            <w:pPr>
              <w:widowControl w:val="0"/>
              <w:rPr>
                <w:sz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rFonts w:eastAsia="Malgun Gothic"/>
                <w:lang w:eastAsia="ko-KR"/>
              </w:rPr>
            </w:pPr>
            <w:r>
              <w:rPr>
                <w:lang w:eastAsia="zh-CN"/>
              </w:rPr>
              <w:t>CATT</w:t>
            </w:r>
          </w:p>
        </w:tc>
        <w:tc>
          <w:tcPr>
            <w:tcW w:w="12176" w:type="dxa"/>
            <w:vAlign w:val="center"/>
          </w:tcPr>
          <w:p>
            <w:pPr>
              <w:widowControl w:val="0"/>
              <w:rPr>
                <w:lang w:eastAsia="zh-CN"/>
              </w:rPr>
            </w:pPr>
            <w:r>
              <w:rPr>
                <w:lang w:eastAsia="zh-CN"/>
              </w:rPr>
              <w:t>Yes.  Single slot should be defined for gNB scheduling flexibility</w:t>
            </w:r>
          </w:p>
        </w:tc>
      </w:tr>
    </w:tbl>
    <w:p>
      <w:pPr>
        <w:rPr>
          <w:lang w:eastAsia="zh-CN"/>
        </w:rPr>
      </w:pPr>
    </w:p>
    <w:p>
      <w:pPr>
        <w:rPr>
          <w:lang w:eastAsia="zh-CN"/>
        </w:rPr>
      </w:pPr>
      <w:r>
        <w:rPr>
          <w:highlight w:val="cyan"/>
          <w:lang w:eastAsia="zh-CN"/>
        </w:rPr>
        <w:t>First Round FL Summary:</w:t>
      </w:r>
      <w:r>
        <w:rPr>
          <w:lang w:eastAsia="zh-CN"/>
        </w:rPr>
        <w:t xml:space="preserve"> 12 companies expressed clear support to standardize per-slot monitoring for 480/960 kHz, while 7 companies see no need to support per-slot monitoring for 480/960 kHz. It has been pointed out that from a design perspective, per-slot monitoring for 480/960 kHz could be seen as a special case in the multi-slot span monitoring with a single slot span.</w:t>
      </w:r>
    </w:p>
    <w:p>
      <w:pPr>
        <w:rPr>
          <w:lang w:eastAsia="zh-CN"/>
        </w:rPr>
      </w:pPr>
      <w:r>
        <w:rPr>
          <w:highlight w:val="yellow"/>
          <w:lang w:eastAsia="zh-CN"/>
        </w:rPr>
        <w:t>First Round FL Suggestion A1-1a.1:</w:t>
      </w:r>
    </w:p>
    <w:p>
      <w:pPr>
        <w:rPr>
          <w:lang w:eastAsia="zh-CN"/>
        </w:rPr>
      </w:pPr>
      <w:r>
        <w:rPr>
          <w:lang w:eastAsia="zh-CN"/>
        </w:rPr>
        <w:t>Continue discussion on multi-slot span monitoring including a potential case of a single slot span, which should fit in the multi-slot span framework.</w:t>
      </w:r>
    </w:p>
    <w:p>
      <w:pPr>
        <w:rPr>
          <w:lang w:eastAsia="zh-CN"/>
        </w:rPr>
      </w:pPr>
    </w:p>
    <w:p>
      <w:pPr>
        <w:pStyle w:val="4"/>
        <w:rPr>
          <w:lang w:val="en-GB" w:eastAsia="zh-CN"/>
        </w:rPr>
      </w:pPr>
      <w:r>
        <w:rPr>
          <w:lang w:val="en-GB" w:eastAsia="zh-CN"/>
        </w:rPr>
        <w:t>First Round (A1-1b)</w:t>
      </w:r>
    </w:p>
    <w:p>
      <w:pPr>
        <w:rPr>
          <w:b/>
        </w:rPr>
      </w:pPr>
      <w:r>
        <w:rPr>
          <w:b/>
        </w:rPr>
        <w:t>Question A1-1b: If yes for Question A1-1a, what are your thoughts on the maximum number of monitored PDCCH candidates and on the maximum number of non-overlapped CCEs for the new numerologies (480 kHz, 960 kHz)</w:t>
      </w:r>
      <w:r>
        <w:rPr>
          <w:b/>
          <w:u w:val="single"/>
        </w:rPr>
        <w:t xml:space="preserve"> in a single-slot span</w:t>
      </w:r>
      <w:r>
        <w:rPr>
          <w:b/>
        </w:rPr>
        <w:t>?</w:t>
      </w:r>
    </w:p>
    <w:p>
      <w:pPr>
        <w:rPr>
          <w:lang w:eastAsia="zh-CN"/>
        </w:rPr>
      </w:pPr>
    </w:p>
    <w:tbl>
      <w:tblPr>
        <w:tblStyle w:val="52"/>
        <w:tblW w:w="145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5"/>
        <w:gridCol w:w="121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shd w:val="clear" w:color="auto" w:fill="FFC000"/>
            <w:vAlign w:val="center"/>
          </w:tcPr>
          <w:p>
            <w:pPr>
              <w:widowControl w:val="0"/>
              <w:rPr>
                <w:b/>
                <w:bCs/>
              </w:rPr>
            </w:pPr>
            <w:r>
              <w:rPr>
                <w:b/>
                <w:bCs/>
              </w:rPr>
              <w:t>Company</w:t>
            </w:r>
          </w:p>
        </w:tc>
        <w:tc>
          <w:tcPr>
            <w:tcW w:w="12176" w:type="dxa"/>
            <w:shd w:val="clear" w:color="auto" w:fill="FFC000"/>
            <w:vAlign w:val="center"/>
          </w:tcPr>
          <w:p>
            <w:pPr>
              <w:widowControl w:val="0"/>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t>Qualcomm</w:t>
            </w:r>
          </w:p>
        </w:tc>
        <w:tc>
          <w:tcPr>
            <w:tcW w:w="12176" w:type="dxa"/>
            <w:vAlign w:val="center"/>
          </w:tcPr>
          <w:p>
            <w:pPr>
              <w:widowControl w:val="0"/>
              <w:rPr>
                <w:lang w:eastAsia="zh-CN"/>
              </w:rPr>
            </w:pPr>
            <w:r>
              <w:t xml:space="preserve">We think a simple projection (e.g., based on log-linear regression) could be the starting point. Since it is a complicated matter involving lots of implementation and performance aspects (e.g., processing complexity, support for high AL, etc.), further studies should be conducted before making a conclusion.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pPr>
            <w:r>
              <w:rPr>
                <w:rFonts w:hint="eastAsia"/>
              </w:rPr>
              <w:t>H</w:t>
            </w:r>
            <w:r>
              <w:t>uawei, HiSilicon</w:t>
            </w:r>
          </w:p>
        </w:tc>
        <w:tc>
          <w:tcPr>
            <w:tcW w:w="12176" w:type="dxa"/>
            <w:vAlign w:val="center"/>
          </w:tcPr>
          <w:p>
            <w:pPr>
              <w:widowControl w:val="0"/>
            </w:pPr>
            <w:r>
              <w:rPr>
                <w:rFonts w:hint="eastAsia"/>
              </w:rPr>
              <w:t xml:space="preserve">We think the </w:t>
            </w:r>
            <w:r>
              <w:t>maximum number of monitored PDCCH candidates and on the maximum number of non-overlapped CCEs for the new numerologies (480 kHz, 960 kHz) only need to be defined for multi-slot span PDCCH monitoring.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rFonts w:hint="eastAsia"/>
                <w:lang w:eastAsia="zh-CN"/>
              </w:rPr>
              <w:t>ZTE, Sanechips</w:t>
            </w:r>
          </w:p>
        </w:tc>
        <w:tc>
          <w:tcPr>
            <w:tcW w:w="12176" w:type="dxa"/>
            <w:vAlign w:val="center"/>
          </w:tcPr>
          <w:p>
            <w:pPr>
              <w:widowControl w:val="0"/>
              <w:rPr>
                <w:lang w:eastAsia="zh-CN"/>
              </w:rPr>
            </w:pPr>
            <w:r>
              <w:rPr>
                <w:rFonts w:hint="eastAsia"/>
                <w:lang w:eastAsia="zh-CN"/>
              </w:rPr>
              <w:t>We think that the values on the maximum number of monitored PDCCH candidates and non-overlapped CCEs provided by some companies can be used as a reference or starting point for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pPr>
            <w:r>
              <w:rPr>
                <w:lang w:eastAsia="zh-CN"/>
              </w:rPr>
              <w:t>Samsung</w:t>
            </w:r>
          </w:p>
        </w:tc>
        <w:tc>
          <w:tcPr>
            <w:tcW w:w="12176" w:type="dxa"/>
            <w:vAlign w:val="center"/>
          </w:tcPr>
          <w:p>
            <w:pPr>
              <w:widowControl w:val="0"/>
              <w:rPr>
                <w:lang w:eastAsia="zh-CN"/>
              </w:rPr>
            </w:pPr>
            <w:r>
              <w:rPr>
                <w:lang w:eastAsia="zh-CN"/>
              </w:rPr>
              <w:t>The maximum number of monitored PDCCH candidate and maximum number of CCEs in a slot can be estimated by extrapolating currently supported numbers for other SCSs. We have following numbers as reference for discussion, and whether to keep minimum maximum number of CCE as 16 in 960 kHz SCS can be further discussed.</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83"/>
              <w:gridCol w:w="3983"/>
              <w:gridCol w:w="3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83" w:type="dxa"/>
                  <w:vAlign w:val="center"/>
                </w:tcPr>
                <w:p>
                  <w:pPr>
                    <w:widowControl w:val="0"/>
                    <w:rPr>
                      <w:lang w:eastAsia="zh-CN"/>
                    </w:rPr>
                  </w:pPr>
                </w:p>
              </w:tc>
              <w:tc>
                <w:tcPr>
                  <w:tcW w:w="3983" w:type="dxa"/>
                  <w:vAlign w:val="center"/>
                </w:tcPr>
                <w:p>
                  <w:pPr>
                    <w:widowControl w:val="0"/>
                    <w:rPr>
                      <w:lang w:eastAsia="zh-CN"/>
                    </w:rPr>
                  </w:pPr>
                  <w:r>
                    <w:rPr>
                      <w:lang w:eastAsia="zh-CN"/>
                    </w:rPr>
                    <w:t>480 kHz</w:t>
                  </w:r>
                </w:p>
              </w:tc>
              <w:tc>
                <w:tcPr>
                  <w:tcW w:w="3984" w:type="dxa"/>
                  <w:vAlign w:val="center"/>
                </w:tcPr>
                <w:p>
                  <w:pPr>
                    <w:widowControl w:val="0"/>
                    <w:rPr>
                      <w:lang w:eastAsia="zh-CN"/>
                    </w:rPr>
                  </w:pPr>
                  <w:r>
                    <w:rPr>
                      <w:lang w:eastAsia="zh-CN"/>
                    </w:rPr>
                    <w:t>960 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83" w:type="dxa"/>
                  <w:vAlign w:val="center"/>
                </w:tcPr>
                <w:p>
                  <w:pPr>
                    <w:widowControl w:val="0"/>
                    <w:rPr>
                      <w:lang w:eastAsia="zh-CN"/>
                    </w:rPr>
                  </w:pPr>
                  <w:r>
                    <w:rPr>
                      <w:lang w:eastAsia="zh-CN"/>
                    </w:rPr>
                    <w:t>Maximum number of BD</w:t>
                  </w:r>
                </w:p>
              </w:tc>
              <w:tc>
                <w:tcPr>
                  <w:tcW w:w="3983" w:type="dxa"/>
                  <w:vAlign w:val="center"/>
                </w:tcPr>
                <w:p>
                  <w:pPr>
                    <w:widowControl w:val="0"/>
                    <w:rPr>
                      <w:lang w:eastAsia="zh-CN"/>
                    </w:rPr>
                  </w:pPr>
                  <w:r>
                    <w:rPr>
                      <w:lang w:eastAsia="zh-CN"/>
                    </w:rPr>
                    <w:t>[10-12]</w:t>
                  </w:r>
                </w:p>
              </w:tc>
              <w:tc>
                <w:tcPr>
                  <w:tcW w:w="3984" w:type="dxa"/>
                  <w:vAlign w:val="center"/>
                </w:tcPr>
                <w:p>
                  <w:pPr>
                    <w:widowControl w:val="0"/>
                    <w:rPr>
                      <w:lang w:eastAsia="zh-CN"/>
                    </w:rPr>
                  </w:pPr>
                  <w:r>
                    <w:rPr>
                      <w:lang w:eastAsia="zh-CN"/>
                    </w:rPr>
                    <w:t>[8-9]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83" w:type="dxa"/>
                  <w:vAlign w:val="center"/>
                </w:tcPr>
                <w:p>
                  <w:pPr>
                    <w:widowControl w:val="0"/>
                    <w:rPr>
                      <w:lang w:eastAsia="zh-CN"/>
                    </w:rPr>
                  </w:pPr>
                  <w:r>
                    <w:rPr>
                      <w:lang w:eastAsia="zh-CN"/>
                    </w:rPr>
                    <w:t>Maximum number of non-overlapped CCE</w:t>
                  </w:r>
                </w:p>
              </w:tc>
              <w:tc>
                <w:tcPr>
                  <w:tcW w:w="3983" w:type="dxa"/>
                  <w:vAlign w:val="center"/>
                </w:tcPr>
                <w:p>
                  <w:pPr>
                    <w:widowControl w:val="0"/>
                    <w:rPr>
                      <w:lang w:eastAsia="zh-CN"/>
                    </w:rPr>
                  </w:pPr>
                  <w:r>
                    <w:rPr>
                      <w:lang w:eastAsia="zh-CN"/>
                    </w:rPr>
                    <w:t>[18-20]</w:t>
                  </w:r>
                </w:p>
              </w:tc>
              <w:tc>
                <w:tcPr>
                  <w:tcW w:w="3984" w:type="dxa"/>
                  <w:vAlign w:val="center"/>
                </w:tcPr>
                <w:p>
                  <w:pPr>
                    <w:widowControl w:val="0"/>
                    <w:rPr>
                      <w:lang w:eastAsia="zh-CN"/>
                    </w:rPr>
                  </w:pPr>
                  <w:r>
                    <w:rPr>
                      <w:lang w:eastAsia="zh-CN"/>
                    </w:rPr>
                    <w:t>[14-16]</w:t>
                  </w:r>
                </w:p>
              </w:tc>
            </w:tr>
          </w:tbl>
          <w:p>
            <w:pPr>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lang w:eastAsia="zh-CN"/>
              </w:rPr>
              <w:t>InterDigital</w:t>
            </w:r>
          </w:p>
        </w:tc>
        <w:tc>
          <w:tcPr>
            <w:tcW w:w="12176" w:type="dxa"/>
            <w:vAlign w:val="center"/>
          </w:tcPr>
          <w:p>
            <w:pPr>
              <w:widowControl w:val="0"/>
              <w:rPr>
                <w:lang w:eastAsia="zh-CN"/>
              </w:rPr>
            </w:pPr>
            <w:r>
              <w:rPr>
                <w:lang w:eastAsia="zh-CN"/>
              </w:rPr>
              <w:t xml:space="preserve">We agree with Qualcomm that a simple projection could be the starting point.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rFonts w:hint="eastAsia"/>
                <w:lang w:eastAsia="zh-CN"/>
              </w:rPr>
              <w:t>v</w:t>
            </w:r>
            <w:r>
              <w:rPr>
                <w:lang w:eastAsia="zh-CN"/>
              </w:rPr>
              <w:t>ivo</w:t>
            </w:r>
          </w:p>
        </w:tc>
        <w:tc>
          <w:tcPr>
            <w:tcW w:w="12176" w:type="dxa"/>
            <w:vAlign w:val="center"/>
          </w:tcPr>
          <w:p>
            <w:pPr>
              <w:widowControl w:val="0"/>
              <w:rPr>
                <w:lang w:eastAsia="zh-CN"/>
              </w:rPr>
            </w:pPr>
            <w:r>
              <w:rPr>
                <w:lang w:eastAsia="zh-CN"/>
              </w:rPr>
              <w:t>Based on current BD/CCE table, we could first make a non-linear fitting to derive the candidate value for new SCS 480K and 960K as a starting point. Finally, considering the implementation complexity from Chipset, the value could be determined. Besides, the derived value here could also be used as a reference for determination of BD/CCE value for multi-slot span.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rFonts w:hint="eastAsia" w:eastAsia="MS Mincho"/>
                <w:lang w:eastAsia="ja-JP"/>
              </w:rPr>
              <w:t>NTT DOCOMO</w:t>
            </w:r>
          </w:p>
        </w:tc>
        <w:tc>
          <w:tcPr>
            <w:tcW w:w="12176" w:type="dxa"/>
            <w:vAlign w:val="center"/>
          </w:tcPr>
          <w:p>
            <w:pPr>
              <w:widowControl w:val="0"/>
              <w:rPr>
                <w:lang w:eastAsia="zh-CN"/>
              </w:rPr>
            </w:pPr>
            <w:r>
              <w:rPr>
                <w:rFonts w:eastAsia="MS Mincho"/>
                <w:lang w:eastAsia="ja-JP"/>
              </w:rPr>
              <w:t>W</w:t>
            </w:r>
            <w:r>
              <w:rPr>
                <w:rFonts w:hint="eastAsia" w:eastAsia="MS Mincho"/>
                <w:lang w:eastAsia="ja-JP"/>
              </w:rPr>
              <w:t xml:space="preserve">e </w:t>
            </w:r>
            <w:r>
              <w:rPr>
                <w:rFonts w:eastAsia="MS Mincho"/>
                <w:lang w:eastAsia="ja-JP"/>
              </w:rPr>
              <w:t>share the same view as 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rFonts w:eastAsia="MS Mincho"/>
                <w:lang w:eastAsia="ja-JP"/>
              </w:rPr>
            </w:pPr>
            <w:r>
              <w:rPr>
                <w:lang w:eastAsia="zh-CN"/>
              </w:rPr>
              <w:t>Lenovo, Motorola Mobility</w:t>
            </w:r>
          </w:p>
        </w:tc>
        <w:tc>
          <w:tcPr>
            <w:tcW w:w="12176" w:type="dxa"/>
            <w:vAlign w:val="center"/>
          </w:tcPr>
          <w:p>
            <w:pPr>
              <w:widowControl w:val="0"/>
              <w:rPr>
                <w:rFonts w:eastAsia="MS Mincho"/>
                <w:lang w:eastAsia="ja-JP"/>
              </w:rPr>
            </w:pPr>
            <w:r>
              <w:rPr>
                <w:lang w:eastAsia="zh-CN"/>
              </w:rPr>
              <w:t>In our view, this can be discussed once the agreement is made on whether single-slot span is supported or not for 480kHz and 960kHz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pPr>
            <w:r>
              <w:t>Nokia, NSB</w:t>
            </w:r>
          </w:p>
        </w:tc>
        <w:tc>
          <w:tcPr>
            <w:tcW w:w="12176" w:type="dxa"/>
            <w:vAlign w:val="center"/>
          </w:tcPr>
          <w:p>
            <w:pPr>
              <w:widowControl w:val="0"/>
            </w:pPr>
            <w:r>
              <w:t>Extrapolation based on BD/CCE limits defined for existing SCSs (slot -based operation) is one approach to consider.</w:t>
            </w:r>
          </w:p>
          <w:p>
            <w:pPr>
              <w:widowControl w:val="0"/>
            </w:pPr>
            <w:r>
              <w:t>All UEs should support at least 16 non-overlapped CCEs (in order to support AL 16).</w:t>
            </w:r>
          </w:p>
          <w:p>
            <w:pPr>
              <w:widowControl w:val="0"/>
            </w:pPr>
            <w:r>
              <w:t>How to determine BD/CCE limits for different cases of the multi-slot span (2, 4, 8 slots) could also be discussed. One approach is to take the BD/CCE limits defined for 120 kHz SCS as a starting point. Those values can be scaled according to the actual multi-slot span and/or according to BD/CCE limits (to be) defined for slot -based monitoring.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rFonts w:hint="eastAsia" w:eastAsia="Malgun Gothic"/>
                <w:lang w:eastAsia="ko-KR"/>
              </w:rPr>
              <w:t>L</w:t>
            </w:r>
            <w:r>
              <w:rPr>
                <w:rFonts w:eastAsia="Malgun Gothic"/>
                <w:lang w:eastAsia="ko-KR"/>
              </w:rPr>
              <w:t>G Electronics</w:t>
            </w:r>
          </w:p>
        </w:tc>
        <w:tc>
          <w:tcPr>
            <w:tcW w:w="12176" w:type="dxa"/>
            <w:vAlign w:val="center"/>
          </w:tcPr>
          <w:p>
            <w:pPr>
              <w:widowControl w:val="0"/>
              <w:rPr>
                <w:lang w:eastAsia="ko-KR"/>
              </w:rPr>
            </w:pPr>
            <w:r>
              <w:rPr>
                <w:rFonts w:eastAsia="Malgun Gothic"/>
                <w:lang w:eastAsia="ko-KR"/>
              </w:rPr>
              <w:t xml:space="preserve">We think that values less than or equal to the BD/CCE limit for 120kHz can be the starting point to discuss BD/CCE limit for the new numerologies in a single-slot span. Or, a value corresponding to 1/4 or 1/8 of BD/CCE limit for 120kHz can be considered as a starting point.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rFonts w:eastAsia="Malgun Gothic"/>
                <w:lang w:eastAsia="ko-KR"/>
              </w:rPr>
            </w:pPr>
            <w:r>
              <w:rPr>
                <w:rFonts w:eastAsia="Malgun Gothic"/>
                <w:lang w:eastAsia="ko-KR"/>
              </w:rPr>
              <w:t>CEWiT</w:t>
            </w:r>
          </w:p>
        </w:tc>
        <w:tc>
          <w:tcPr>
            <w:tcW w:w="12176" w:type="dxa"/>
            <w:vAlign w:val="center"/>
          </w:tcPr>
          <w:p>
            <w:pPr>
              <w:widowControl w:val="0"/>
              <w:rPr>
                <w:rFonts w:eastAsia="Malgun Gothic"/>
                <w:lang w:eastAsia="ko-KR"/>
              </w:rPr>
            </w:pPr>
            <w:r>
              <w:t>Reducing the BD/CCE limit might impact the scheduling flexibility for a UE. Hence, dynamic indication of parameters that impacts the number of BD/CCE a UE will perform in a slot should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rFonts w:eastAsia="Malgun Gothic"/>
                <w:sz w:val="20"/>
                <w:lang w:eastAsia="ko-KR"/>
              </w:rPr>
            </w:pPr>
            <w:r>
              <w:rPr>
                <w:rFonts w:eastAsia="Malgun Gothic"/>
                <w:lang w:eastAsia="ko-KR"/>
              </w:rPr>
              <w:t>Ericsson</w:t>
            </w:r>
          </w:p>
        </w:tc>
        <w:tc>
          <w:tcPr>
            <w:tcW w:w="12176" w:type="dxa"/>
            <w:vAlign w:val="center"/>
          </w:tcPr>
          <w:p>
            <w:pPr>
              <w:widowControl w:val="0"/>
              <w:rPr>
                <w:sz w:val="20"/>
              </w:rPr>
            </w:pPr>
            <w:r>
              <w:rPr>
                <w:szCs w:val="24"/>
                <w:lang w:eastAsia="zh-CN"/>
              </w:rPr>
              <w:t xml:space="preserve">Agree with Huawei, and as our answer to A1-1a shows, </w:t>
            </w:r>
            <w:r>
              <w:t>the BD/CCE budget need only be defined on a B-slot basis, e.g., B = 4/8 for 480/960 kHz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top"/>
          </w:tcPr>
          <w:p>
            <w:pPr>
              <w:widowControl w:val="0"/>
              <w:rPr>
                <w:rFonts w:eastAsia="Malgun Gothic"/>
                <w:lang w:eastAsia="ko-KR"/>
              </w:rPr>
            </w:pPr>
            <w:r>
              <w:t>CATT</w:t>
            </w:r>
          </w:p>
        </w:tc>
        <w:tc>
          <w:tcPr>
            <w:tcW w:w="12176" w:type="dxa"/>
            <w:vAlign w:val="top"/>
          </w:tcPr>
          <w:p>
            <w:pPr>
              <w:widowControl w:val="0"/>
              <w:rPr>
                <w:szCs w:val="24"/>
                <w:lang w:eastAsia="zh-CN"/>
              </w:rPr>
            </w:pPr>
            <w:r>
              <w:t>Our view of maximum monitored PDCCH candidates for 480 kHz and 960 kHz per slot is around 11 and 10 per slot respectively</w:t>
            </w:r>
          </w:p>
        </w:tc>
      </w:tr>
    </w:tbl>
    <w:p>
      <w:pPr>
        <w:rPr>
          <w:lang w:eastAsia="zh-CN"/>
        </w:rPr>
      </w:pPr>
    </w:p>
    <w:p>
      <w:pPr>
        <w:rPr>
          <w:lang w:eastAsia="zh-CN"/>
        </w:rPr>
      </w:pPr>
      <w:r>
        <w:rPr>
          <w:highlight w:val="cyan"/>
          <w:lang w:eastAsia="zh-CN"/>
        </w:rPr>
        <w:t>First Round FL Summary:</w:t>
      </w:r>
      <w:r>
        <w:rPr>
          <w:lang w:eastAsia="zh-CN"/>
        </w:rPr>
        <w:t xml:space="preserve"> Different starting points to arrive at the budget, but it as also been pointed out that the final outcome will depend on other design choices.</w:t>
      </w:r>
    </w:p>
    <w:p>
      <w:pPr>
        <w:rPr>
          <w:lang w:eastAsia="zh-CN"/>
        </w:rPr>
      </w:pPr>
      <w:r>
        <w:rPr>
          <w:highlight w:val="yellow"/>
          <w:lang w:eastAsia="zh-CN"/>
        </w:rPr>
        <w:t>First Round FL Suggestion A1-1b.1:</w:t>
      </w:r>
    </w:p>
    <w:p>
      <w:pPr>
        <w:rPr>
          <w:bCs/>
          <w:lang w:eastAsia="zh-CN"/>
        </w:rPr>
      </w:pPr>
      <w:r>
        <w:rPr>
          <w:bCs/>
        </w:rPr>
        <w:t>In case FL Suggestion A1-1a.1 is adopted, include the BD/CCE budget discussion for per-slot monitoring for 480/960 kHz in the framework of discussing multi-slot span monitoring and related limitations.</w:t>
      </w:r>
    </w:p>
    <w:p>
      <w:pPr>
        <w:rPr>
          <w:lang w:eastAsia="zh-CN"/>
        </w:rPr>
      </w:pPr>
    </w:p>
    <w:p>
      <w:pPr>
        <w:pStyle w:val="4"/>
        <w:rPr>
          <w:lang w:val="en-GB" w:eastAsia="zh-CN"/>
        </w:rPr>
      </w:pPr>
      <w:r>
        <w:rPr>
          <w:lang w:val="en-GB" w:eastAsia="zh-CN"/>
        </w:rPr>
        <w:t>First Round (A1-2a)</w:t>
      </w:r>
    </w:p>
    <w:p>
      <w:pPr>
        <w:rPr>
          <w:b/>
        </w:rPr>
      </w:pPr>
      <w:r>
        <w:rPr>
          <w:b/>
        </w:rPr>
        <w:t>Question A1-2a: Do you see a need to support new multi-slot span monitoring for the existing SCS of 120 kHz? Or can we conclude that for 120 kHz SCS, no PDCCH monitoring enhancement is needed?</w:t>
      </w:r>
    </w:p>
    <w:p>
      <w:pPr>
        <w:rPr>
          <w:lang w:eastAsia="zh-CN"/>
        </w:rPr>
      </w:pPr>
    </w:p>
    <w:tbl>
      <w:tblPr>
        <w:tblStyle w:val="52"/>
        <w:tblW w:w="145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5"/>
        <w:gridCol w:w="121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shd w:val="clear" w:color="auto" w:fill="FFC000"/>
            <w:vAlign w:val="center"/>
          </w:tcPr>
          <w:p>
            <w:pPr>
              <w:widowControl w:val="0"/>
              <w:rPr>
                <w:b/>
                <w:bCs/>
              </w:rPr>
            </w:pPr>
            <w:r>
              <w:rPr>
                <w:b/>
                <w:bCs/>
              </w:rPr>
              <w:t>Company</w:t>
            </w:r>
          </w:p>
        </w:tc>
        <w:tc>
          <w:tcPr>
            <w:tcW w:w="12176" w:type="dxa"/>
            <w:shd w:val="clear" w:color="auto" w:fill="FFC000"/>
            <w:vAlign w:val="center"/>
          </w:tcPr>
          <w:p>
            <w:pPr>
              <w:widowControl w:val="0"/>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pPr>
            <w:r>
              <w:rPr>
                <w:lang w:eastAsia="zh-CN"/>
              </w:rPr>
              <w:t>X</w:t>
            </w:r>
            <w:r>
              <w:rPr>
                <w:rFonts w:hint="eastAsia"/>
                <w:lang w:eastAsia="zh-CN"/>
              </w:rPr>
              <w:t>iaomi</w:t>
            </w:r>
          </w:p>
        </w:tc>
        <w:tc>
          <w:tcPr>
            <w:tcW w:w="12176" w:type="dxa"/>
            <w:vAlign w:val="center"/>
          </w:tcPr>
          <w:p>
            <w:pPr>
              <w:widowControl w:val="0"/>
              <w:rPr>
                <w:lang w:eastAsia="zh-CN"/>
              </w:rPr>
            </w:pPr>
            <w:r>
              <w:rPr>
                <w:lang w:eastAsia="zh-CN"/>
              </w:rPr>
              <w:t>Y</w:t>
            </w:r>
            <w:r>
              <w:rPr>
                <w:rFonts w:hint="eastAsia"/>
                <w:lang w:eastAsia="zh-CN"/>
              </w:rPr>
              <w:t>es.</w:t>
            </w:r>
            <w:r>
              <w:rPr>
                <w:lang w:eastAsia="zh-CN"/>
              </w:rPr>
              <w:t xml:space="preserve"> If time allows, it is better to define multi-slot span monitoring for 120kHz SCS, with the same framework as 480/960khz SCS. But multi-slot span monitoring discussion for 480/960khz SCS should be prioritized over 120kHz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t>Qualcomm</w:t>
            </w:r>
          </w:p>
        </w:tc>
        <w:tc>
          <w:tcPr>
            <w:tcW w:w="12176" w:type="dxa"/>
            <w:vAlign w:val="center"/>
          </w:tcPr>
          <w:p>
            <w:pPr>
              <w:widowControl w:val="0"/>
              <w:rPr>
                <w:lang w:eastAsia="zh-CN"/>
              </w:rPr>
            </w:pPr>
            <w:r>
              <w:t>We don’t see strong motivation for this. At least for PDCCH monitoring, we think the existing FR2 designs and capabilities can be reused.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pPr>
            <w:r>
              <w:rPr>
                <w:lang w:eastAsia="zh-CN"/>
              </w:rPr>
              <w:t>Futurewei</w:t>
            </w:r>
          </w:p>
        </w:tc>
        <w:tc>
          <w:tcPr>
            <w:tcW w:w="12176" w:type="dxa"/>
            <w:vAlign w:val="center"/>
          </w:tcPr>
          <w:p>
            <w:pPr>
              <w:widowControl w:val="0"/>
            </w:pPr>
            <w:r>
              <w:t>We prefer single slot monitoring for PDCCH @ 120 kHz SCS i.e. no PDCCH monitoring enhancement is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rFonts w:hint="eastAsia"/>
                <w:lang w:eastAsia="zh-CN"/>
              </w:rPr>
              <w:t>OPPO</w:t>
            </w:r>
          </w:p>
        </w:tc>
        <w:tc>
          <w:tcPr>
            <w:tcW w:w="12176" w:type="dxa"/>
            <w:vAlign w:val="center"/>
          </w:tcPr>
          <w:p>
            <w:pPr>
              <w:widowControl w:val="0"/>
            </w:pPr>
            <w:r>
              <w:rPr>
                <w:rFonts w:hint="eastAsia"/>
                <w:lang w:eastAsia="zh-CN"/>
              </w:rPr>
              <w:t xml:space="preserve">We </w:t>
            </w:r>
            <w:r>
              <w:rPr>
                <w:lang w:eastAsia="zh-CN"/>
              </w:rPr>
              <w:t>think new multi-slot span monitoring is not needed for 120 kHz.</w:t>
            </w:r>
            <w:r>
              <w:rPr>
                <w:rFonts w:hint="eastAsia"/>
                <w:lang w:eastAsia="zh-CN"/>
              </w:rPr>
              <w:t xml:space="preserve"> </w:t>
            </w:r>
            <w:r>
              <w:rPr>
                <w:lang w:eastAsia="zh-CN"/>
              </w:rPr>
              <w:t>But coverage enhancement for 120kHz SCS may be studied.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pPr>
            <w:r>
              <w:rPr>
                <w:rFonts w:hint="eastAsia"/>
              </w:rPr>
              <w:t>H</w:t>
            </w:r>
            <w:r>
              <w:t>uawei, HiSilicon</w:t>
            </w:r>
          </w:p>
        </w:tc>
        <w:tc>
          <w:tcPr>
            <w:tcW w:w="12176" w:type="dxa"/>
            <w:vAlign w:val="center"/>
          </w:tcPr>
          <w:p>
            <w:pPr>
              <w:widowControl w:val="0"/>
            </w:pPr>
            <w:r>
              <w:rPr>
                <w:rFonts w:hint="eastAsia"/>
              </w:rPr>
              <w:t xml:space="preserve">We do not see the need to </w:t>
            </w:r>
            <w:r>
              <w:t xml:space="preserve">support new multi-slot span monitoring for the existing SCS of 120 kHz, since implementations of single-slot monitoring span have already been proven feasible in commercial devices.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pPr>
            <w:r>
              <w:t>Apple</w:t>
            </w:r>
          </w:p>
        </w:tc>
        <w:tc>
          <w:tcPr>
            <w:tcW w:w="12176" w:type="dxa"/>
            <w:vAlign w:val="center"/>
          </w:tcPr>
          <w:p>
            <w:pPr>
              <w:widowControl w:val="0"/>
            </w:pPr>
            <w:r>
              <w:t>No. To maximize the re-use of existing hardware is one of the key objectives of this WI. Using the existing PDCCH monitoring design for 120 kHz supports this objective.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rFonts w:hint="eastAsia"/>
                <w:lang w:eastAsia="zh-CN"/>
              </w:rPr>
              <w:t>ZTE, Sanechips</w:t>
            </w:r>
          </w:p>
        </w:tc>
        <w:tc>
          <w:tcPr>
            <w:tcW w:w="12176" w:type="dxa"/>
            <w:vAlign w:val="center"/>
          </w:tcPr>
          <w:p>
            <w:pPr>
              <w:widowControl w:val="0"/>
              <w:rPr>
                <w:lang w:eastAsia="zh-CN"/>
              </w:rPr>
            </w:pPr>
            <w:r>
              <w:rPr>
                <w:rFonts w:hint="eastAsia"/>
                <w:lang w:eastAsia="zh-CN"/>
              </w:rPr>
              <w:t>In principle, we think that there is no need on PDCCH monitoring enhancements for 120kHz SCS, but in order to keep alignment with framework as 480/960kHz SCS, we tend to support multi-slot span monitoring for the existing 120kHz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lang w:eastAsia="zh-CN"/>
              </w:rPr>
              <w:t>Samsung</w:t>
            </w:r>
          </w:p>
        </w:tc>
        <w:tc>
          <w:tcPr>
            <w:tcW w:w="12176" w:type="dxa"/>
            <w:vAlign w:val="center"/>
          </w:tcPr>
          <w:p>
            <w:pPr>
              <w:widowControl w:val="0"/>
              <w:rPr>
                <w:lang w:eastAsia="zh-CN"/>
              </w:rPr>
            </w:pPr>
            <w:r>
              <w:rPr>
                <w:lang w:eastAsia="zh-CN"/>
              </w:rPr>
              <w:t xml:space="preserve">We didn’t see a critical need as for 480/960 kHz, so maybe it’s more proper to discuss this after 480/960 kHz discussion is finalized.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t>Intel</w:t>
            </w:r>
          </w:p>
        </w:tc>
        <w:tc>
          <w:tcPr>
            <w:tcW w:w="12176" w:type="dxa"/>
            <w:vAlign w:val="center"/>
          </w:tcPr>
          <w:p>
            <w:pPr>
              <w:widowControl w:val="0"/>
              <w:rPr>
                <w:lang w:eastAsia="zh-CN"/>
              </w:rPr>
            </w:pPr>
            <w:r>
              <w:t xml:space="preserve">Agree. We prefer to reuse existing PDCCH monitoring for SCS 120kHz to minimize specification impacts.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pPr>
            <w:r>
              <w:rPr>
                <w:lang w:eastAsia="zh-CN"/>
              </w:rPr>
              <w:t>MediaTek</w:t>
            </w:r>
          </w:p>
        </w:tc>
        <w:tc>
          <w:tcPr>
            <w:tcW w:w="12176" w:type="dxa"/>
            <w:vAlign w:val="center"/>
          </w:tcPr>
          <w:p>
            <w:pPr>
              <w:widowControl w:val="0"/>
            </w:pPr>
            <w:r>
              <w:rPr>
                <w:lang w:eastAsia="zh-CN"/>
              </w:rPr>
              <w:t xml:space="preserve">The motivation to have multi-slot monitoring is to reduce PDCCH monitoring power and improve scheduling flexibility if a slot duration is too short for SCS=480kHz and 960kHz. Both motivations are not valid for 120kHz configuration and we don’t see the need to discuss such enhancement for 120kHz configuration. On the other hand, multi-slot monitoring is already supported in Rel-15/16. The only thing missing is BD/CCE limit per multi-slot, which is not needed in our view.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lang w:eastAsia="zh-CN"/>
              </w:rPr>
              <w:t>InterDigital</w:t>
            </w:r>
          </w:p>
        </w:tc>
        <w:tc>
          <w:tcPr>
            <w:tcW w:w="12176" w:type="dxa"/>
            <w:vAlign w:val="center"/>
          </w:tcPr>
          <w:p>
            <w:pPr>
              <w:widowControl w:val="0"/>
              <w:rPr>
                <w:lang w:eastAsia="zh-CN"/>
              </w:rPr>
            </w:pPr>
            <w:r>
              <w:rPr>
                <w:lang w:eastAsia="zh-CN"/>
              </w:rPr>
              <w:t xml:space="preserve">In order to avoid confusion, definition of “multi-slot span” monitoring should be clarified. If it is span based monitoring capability based on a span with (X slots,Y slots), we think that it is too complicated as time durations in 480/960KHz are short. In that sense, in our view, extending current “per-slot” based capability to “multi-slot” based capability would be a better solution.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rFonts w:hint="eastAsia"/>
                <w:lang w:eastAsia="zh-CN"/>
              </w:rPr>
              <w:t>v</w:t>
            </w:r>
            <w:r>
              <w:rPr>
                <w:lang w:eastAsia="zh-CN"/>
              </w:rPr>
              <w:t>ivo</w:t>
            </w:r>
          </w:p>
        </w:tc>
        <w:tc>
          <w:tcPr>
            <w:tcW w:w="12176" w:type="dxa"/>
            <w:vAlign w:val="center"/>
          </w:tcPr>
          <w:p>
            <w:pPr>
              <w:widowControl w:val="0"/>
              <w:rPr>
                <w:lang w:eastAsia="zh-CN"/>
              </w:rPr>
            </w:pPr>
            <w:r>
              <w:rPr>
                <w:rFonts w:hint="eastAsia"/>
                <w:lang w:eastAsia="zh-CN"/>
              </w:rPr>
              <w:t>C</w:t>
            </w:r>
            <w:r>
              <w:rPr>
                <w:lang w:eastAsia="zh-CN"/>
              </w:rPr>
              <w:t>urrently, PDCCH monitoring capability for 120KHz could reuse that in FR2 as we proposed in our Tdoc. The design of multi-slot span monitoring is mainly targeting to 480/960K SCS. After it is designed, the discussion on whether to extend it to 120KHz or other SCS in some special case (e.g. Redcap UEs) could occur later.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rFonts w:hint="eastAsia" w:eastAsia="MS Mincho"/>
                <w:lang w:eastAsia="ja-JP"/>
              </w:rPr>
              <w:t>NTT DOCOMO</w:t>
            </w:r>
          </w:p>
        </w:tc>
        <w:tc>
          <w:tcPr>
            <w:tcW w:w="12176" w:type="dxa"/>
            <w:vAlign w:val="center"/>
          </w:tcPr>
          <w:p>
            <w:pPr>
              <w:widowControl w:val="0"/>
              <w:rPr>
                <w:lang w:eastAsia="zh-CN"/>
              </w:rPr>
            </w:pPr>
            <w:r>
              <w:rPr>
                <w:rFonts w:eastAsia="MS Mincho"/>
                <w:lang w:eastAsia="ja-JP"/>
              </w:rPr>
              <w:t xml:space="preserve">In our view, multi-slot span monitoring for 120 kHz SCS is not necessary. The motivation for supporting multi-slot span monitoring is to avoid excessive reduction of the values of PDCCH processing limits (max number of BDs/CCEs) with the time unit of slot for larger SCSs (i.e., 480 and 960 kHz). For 120 kHz SCS, we don’t see any issue for the exiting per-slot and per-span PDCCH monitoring capability.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rFonts w:eastAsia="MS Mincho"/>
                <w:lang w:eastAsia="ja-JP"/>
              </w:rPr>
            </w:pPr>
            <w:r>
              <w:rPr>
                <w:rFonts w:eastAsia="MS Mincho"/>
                <w:lang w:eastAsia="ja-JP"/>
              </w:rPr>
              <w:t>Sony</w:t>
            </w:r>
          </w:p>
        </w:tc>
        <w:tc>
          <w:tcPr>
            <w:tcW w:w="12176" w:type="dxa"/>
            <w:vAlign w:val="center"/>
          </w:tcPr>
          <w:p>
            <w:pPr>
              <w:widowControl w:val="0"/>
              <w:rPr>
                <w:rFonts w:eastAsia="MS Mincho"/>
                <w:lang w:eastAsia="ja-JP"/>
              </w:rPr>
            </w:pPr>
            <w:r>
              <w:rPr>
                <w:rFonts w:hint="eastAsia"/>
                <w:lang w:eastAsia="zh-CN"/>
              </w:rPr>
              <w:t>W</w:t>
            </w:r>
            <w:r>
              <w:rPr>
                <w:lang w:eastAsia="zh-CN"/>
              </w:rPr>
              <w:t xml:space="preserve">e think no PDCCH monitoring enhancement for SCS 120kHz (reusing SCS 120kHz at FR2) is with minimum standard impact.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rFonts w:eastAsia="MS Mincho"/>
                <w:lang w:eastAsia="ja-JP"/>
              </w:rPr>
            </w:pPr>
            <w:r>
              <w:rPr>
                <w:lang w:eastAsia="zh-CN"/>
              </w:rPr>
              <w:t>Lenovo, Motorola Mobility</w:t>
            </w:r>
          </w:p>
        </w:tc>
        <w:tc>
          <w:tcPr>
            <w:tcW w:w="12176" w:type="dxa"/>
            <w:vAlign w:val="center"/>
          </w:tcPr>
          <w:p>
            <w:pPr>
              <w:widowControl w:val="0"/>
              <w:rPr>
                <w:lang w:eastAsia="zh-CN"/>
              </w:rPr>
            </w:pPr>
            <w:r>
              <w:rPr>
                <w:lang w:eastAsia="zh-CN"/>
              </w:rPr>
              <w:t>In our view, we don’t see any need to enhance PDCCH monitoring including multi-slot span monitoring for 120kHz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pPr>
            <w:r>
              <w:t>Nokia, NSB</w:t>
            </w:r>
          </w:p>
        </w:tc>
        <w:tc>
          <w:tcPr>
            <w:tcW w:w="12176" w:type="dxa"/>
            <w:vAlign w:val="center"/>
          </w:tcPr>
          <w:p>
            <w:pPr>
              <w:widowControl w:val="0"/>
            </w:pPr>
            <w:r>
              <w:t>No, there is no need for PDCCH monitoring enhancements for 120 kHz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lang w:val="en-GB" w:eastAsia="zh-CN"/>
              </w:rPr>
              <w:t>Spreadtrum</w:t>
            </w:r>
          </w:p>
        </w:tc>
        <w:tc>
          <w:tcPr>
            <w:tcW w:w="12176" w:type="dxa"/>
            <w:vAlign w:val="center"/>
          </w:tcPr>
          <w:p>
            <w:pPr>
              <w:widowControl w:val="0"/>
              <w:rPr>
                <w:lang w:eastAsia="zh-CN"/>
              </w:rPr>
            </w:pPr>
            <w:r>
              <w:rPr>
                <w:lang w:eastAsia="zh-CN"/>
              </w:rPr>
              <w:t>We think multi-slot span monitoring is not needed for the existing SCS of 120 kHz</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rFonts w:hint="eastAsia" w:eastAsia="Malgun Gothic"/>
                <w:lang w:eastAsia="ko-KR"/>
              </w:rPr>
              <w:t>L</w:t>
            </w:r>
            <w:r>
              <w:rPr>
                <w:rFonts w:eastAsia="Malgun Gothic"/>
                <w:lang w:eastAsia="ko-KR"/>
              </w:rPr>
              <w:t>G Electronics</w:t>
            </w:r>
          </w:p>
        </w:tc>
        <w:tc>
          <w:tcPr>
            <w:tcW w:w="12176" w:type="dxa"/>
            <w:vAlign w:val="center"/>
          </w:tcPr>
          <w:p>
            <w:pPr>
              <w:widowControl w:val="0"/>
              <w:rPr>
                <w:lang w:eastAsia="zh-CN"/>
              </w:rPr>
            </w:pPr>
            <w:r>
              <w:rPr>
                <w:rFonts w:eastAsia="Malgun Gothic"/>
                <w:lang w:eastAsia="ko-KR"/>
              </w:rPr>
              <w:t>We don’t see any benefit for this now. But, we are open to discuss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rFonts w:eastAsia="Malgun Gothic"/>
                <w:sz w:val="20"/>
                <w:lang w:eastAsia="ko-KR"/>
              </w:rPr>
            </w:pPr>
            <w:r>
              <w:rPr>
                <w:rFonts w:eastAsia="Malgun Gothic"/>
                <w:lang w:eastAsia="ko-KR"/>
              </w:rPr>
              <w:t>Ericsson</w:t>
            </w:r>
          </w:p>
        </w:tc>
        <w:tc>
          <w:tcPr>
            <w:tcW w:w="12176" w:type="dxa"/>
            <w:vAlign w:val="center"/>
          </w:tcPr>
          <w:p>
            <w:pPr>
              <w:widowControl w:val="0"/>
              <w:rPr>
                <w:rFonts w:eastAsia="Malgun Gothic"/>
                <w:sz w:val="20"/>
                <w:lang w:eastAsia="ko-KR"/>
              </w:rPr>
            </w:pPr>
            <w:r>
              <w:rPr>
                <w:rFonts w:eastAsia="Malgun Gothic"/>
                <w:lang w:eastAsia="ko-KR"/>
              </w:rPr>
              <w:t>No PDCCH monitoring enhancement is needed for 120 kHz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rFonts w:eastAsia="Malgun Gothic"/>
                <w:lang w:eastAsia="ko-KR"/>
              </w:rPr>
            </w:pPr>
            <w:r>
              <w:rPr>
                <w:lang w:eastAsia="zh-CN"/>
              </w:rPr>
              <w:t>CATT</w:t>
            </w:r>
          </w:p>
        </w:tc>
        <w:tc>
          <w:tcPr>
            <w:tcW w:w="12176" w:type="dxa"/>
            <w:vAlign w:val="center"/>
          </w:tcPr>
          <w:p>
            <w:pPr>
              <w:widowControl w:val="0"/>
              <w:rPr>
                <w:rFonts w:eastAsia="Malgun Gothic"/>
                <w:lang w:eastAsia="ko-KR"/>
              </w:rPr>
            </w:pPr>
            <w:r>
              <w:rPr>
                <w:lang w:eastAsia="zh-CN"/>
              </w:rPr>
              <w:t>No.   The maximum monitored PDCCH candidate for 120 kHz SCS in Rel-15 should be reused.</w:t>
            </w:r>
          </w:p>
        </w:tc>
      </w:tr>
    </w:tbl>
    <w:p>
      <w:pPr>
        <w:rPr>
          <w:lang w:eastAsia="zh-CN"/>
        </w:rPr>
      </w:pPr>
    </w:p>
    <w:p>
      <w:pPr>
        <w:rPr>
          <w:lang w:eastAsia="zh-CN"/>
        </w:rPr>
      </w:pPr>
      <w:r>
        <w:rPr>
          <w:highlight w:val="cyan"/>
          <w:lang w:eastAsia="zh-CN"/>
        </w:rPr>
        <w:t>First Round FL Summary:</w:t>
      </w:r>
      <w:r>
        <w:rPr>
          <w:lang w:eastAsia="zh-CN"/>
        </w:rPr>
        <w:t xml:space="preserve"> A majority of companies see no need to support multi-slot monitoring for 120 kHz during this WI. One company doesn't identify a benefit now but is open to discuss it at a later point of time. Two companies suggested to continue discussion but with lower priority. One company sugested to support it for 120 kHz to be aligned with 480/960 kHz framework.</w:t>
      </w:r>
    </w:p>
    <w:p>
      <w:pPr>
        <w:rPr>
          <w:lang w:eastAsia="zh-CN"/>
        </w:rPr>
      </w:pPr>
      <w:r>
        <w:rPr>
          <w:highlight w:val="yellow"/>
          <w:lang w:eastAsia="zh-CN"/>
        </w:rPr>
        <w:t>First Round FL Suggestion A1-2a.1:</w:t>
      </w:r>
    </w:p>
    <w:p>
      <w:pPr>
        <w:rPr>
          <w:bCs/>
          <w:lang w:eastAsia="zh-CN"/>
        </w:rPr>
      </w:pPr>
      <w:r>
        <w:rPr>
          <w:bCs/>
        </w:rPr>
        <w:t>Conclude that for 120 kHz SCS, no multi-slot span monitoring for PDCCH is needed.</w:t>
      </w:r>
    </w:p>
    <w:p>
      <w:pPr>
        <w:rPr>
          <w:lang w:eastAsia="zh-CN"/>
        </w:rPr>
      </w:pPr>
    </w:p>
    <w:p>
      <w:pPr>
        <w:pStyle w:val="4"/>
        <w:rPr>
          <w:lang w:val="en-GB" w:eastAsia="zh-CN"/>
        </w:rPr>
      </w:pPr>
      <w:r>
        <w:rPr>
          <w:lang w:val="en-GB" w:eastAsia="zh-CN"/>
        </w:rPr>
        <w:t>First Round (A1-2b)</w:t>
      </w:r>
    </w:p>
    <w:p>
      <w:pPr>
        <w:rPr>
          <w:b/>
        </w:rPr>
      </w:pPr>
      <w:r>
        <w:rPr>
          <w:b/>
        </w:rPr>
        <w:t>Question A1-2b: In case of multi-slot monitoring, what are your views on monitoring periodicities and the corresponding number and location of OFDM symbols (for 120/480/960 kHz), including a potential duration of more than 3 OFDM symbols? If convenient, refer to or suggest modifications to the following cases:</w:t>
      </w:r>
    </w:p>
    <w:p>
      <w:pPr>
        <w:pStyle w:val="209"/>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1: PDCCH monitoring of all SS sets monitored in a slot occurs within 3 consecutive OFDM symbols that have fixed positions in each slot</w:t>
      </w:r>
    </w:p>
    <w:p>
      <w:pPr>
        <w:pStyle w:val="209"/>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1-1: PDCCH monitoring limited to within first three OFDM symbols of a slot</w:t>
      </w:r>
    </w:p>
    <w:p>
      <w:pPr>
        <w:pStyle w:val="209"/>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1-2: PDCCH monitoring on any span of up to 3 consecutive OFDM symbols of a slot</w:t>
      </w:r>
    </w:p>
    <w:p>
      <w:pPr>
        <w:pStyle w:val="209"/>
        <w:numPr>
          <w:ilvl w:val="2"/>
          <w:numId w:val="14"/>
        </w:numPr>
        <w:spacing w:after="120"/>
        <w:ind w:left="2088"/>
        <w:jc w:val="both"/>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3 consecutive OFDM symbols in the slot</w:t>
      </w:r>
    </w:p>
    <w:p>
      <w:pPr>
        <w:pStyle w:val="209"/>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2: PDCCH monitoring cases other than Case 1</w:t>
      </w:r>
    </w:p>
    <w:p>
      <w:pPr>
        <w:rPr>
          <w:lang w:eastAsia="zh-CN"/>
        </w:rPr>
      </w:pPr>
    </w:p>
    <w:tbl>
      <w:tblPr>
        <w:tblStyle w:val="52"/>
        <w:tblW w:w="145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5"/>
        <w:gridCol w:w="121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shd w:val="clear" w:color="auto" w:fill="FFC000"/>
            <w:vAlign w:val="center"/>
          </w:tcPr>
          <w:p>
            <w:pPr>
              <w:widowControl w:val="0"/>
              <w:rPr>
                <w:b/>
                <w:bCs/>
              </w:rPr>
            </w:pPr>
            <w:r>
              <w:rPr>
                <w:b/>
                <w:bCs/>
              </w:rPr>
              <w:t>Company</w:t>
            </w:r>
          </w:p>
        </w:tc>
        <w:tc>
          <w:tcPr>
            <w:tcW w:w="12176" w:type="dxa"/>
            <w:shd w:val="clear" w:color="auto" w:fill="FFC000"/>
            <w:vAlign w:val="center"/>
          </w:tcPr>
          <w:p>
            <w:pPr>
              <w:widowControl w:val="0"/>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lang w:eastAsia="zh-CN"/>
              </w:rPr>
              <w:t xml:space="preserve">Xiaomi </w:t>
            </w:r>
          </w:p>
        </w:tc>
        <w:tc>
          <w:tcPr>
            <w:tcW w:w="12176" w:type="dxa"/>
            <w:vAlign w:val="center"/>
          </w:tcPr>
          <w:p>
            <w:pPr>
              <w:widowControl w:val="0"/>
              <w:rPr>
                <w:lang w:eastAsia="zh-CN"/>
              </w:rPr>
            </w:pPr>
            <w:r>
              <w:rPr>
                <w:lang w:eastAsia="zh-CN"/>
              </w:rPr>
              <w:t>From our view, the first step is to define the monitoring cases within a span, then we go to monitoring cases within a slot. For example, the first step discussion can start from,</w:t>
            </w:r>
          </w:p>
          <w:p>
            <w:pPr>
              <w:pStyle w:val="209"/>
              <w:widowControl w:val="0"/>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1: PDCCH monitoring of all SS sets monitored in a span occurs within N consecutive slotsthat have fixed positions in each slot</w:t>
            </w:r>
          </w:p>
          <w:p>
            <w:pPr>
              <w:pStyle w:val="209"/>
              <w:widowControl w:val="0"/>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1-1: PDCCH monitoring limited to within first N slots of a monitoring span</w:t>
            </w:r>
          </w:p>
          <w:p>
            <w:pPr>
              <w:pStyle w:val="209"/>
              <w:widowControl w:val="0"/>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1-2: PDCCH monitoring on any span of up to N consecutive slots of a monitoring span</w:t>
            </w:r>
          </w:p>
          <w:p>
            <w:pPr>
              <w:pStyle w:val="209"/>
              <w:widowControl w:val="0"/>
              <w:numPr>
                <w:ilvl w:val="2"/>
                <w:numId w:val="14"/>
              </w:numPr>
              <w:spacing w:after="120"/>
              <w:ind w:left="2088"/>
              <w:jc w:val="both"/>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N consecutive slots in the monitoring span</w:t>
            </w:r>
          </w:p>
          <w:p>
            <w:pPr>
              <w:pStyle w:val="209"/>
              <w:widowControl w:val="0"/>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2: PDCCH monitoring cases other than Case 1</w:t>
            </w:r>
          </w:p>
          <w:p>
            <w:pPr>
              <w:pStyle w:val="209"/>
              <w:widowControl w:val="0"/>
              <w:spacing w:after="120"/>
              <w:ind w:left="0"/>
              <w:jc w:val="both"/>
              <w:rPr>
                <w:rFonts w:ascii="Times New Roman" w:hAnsi="Times New Roman" w:cs="Times New Roman"/>
                <w:lang w:eastAsia="zh-CN" w:bidi="ar-SA"/>
              </w:rPr>
            </w:pPr>
          </w:p>
          <w:p>
            <w:pPr>
              <w:pStyle w:val="209"/>
              <w:widowControl w:val="0"/>
              <w:spacing w:after="120"/>
              <w:ind w:left="0"/>
              <w:jc w:val="both"/>
              <w:rPr>
                <w:rFonts w:ascii="Times New Roman" w:hAnsi="Times New Roman" w:cs="Times New Roman"/>
                <w:lang w:eastAsia="zh-CN" w:bidi="ar-SA"/>
              </w:rPr>
            </w:pPr>
            <w:r>
              <w:rPr>
                <w:rFonts w:ascii="Times New Roman" w:hAnsi="Times New Roman" w:cs="Times New Roman"/>
                <w:lang w:eastAsia="zh-CN" w:bidi="ar-SA"/>
              </w:rPr>
              <w:t>the second step discussion can start from the original proposal,</w:t>
            </w:r>
          </w:p>
          <w:p>
            <w:pPr>
              <w:pStyle w:val="209"/>
              <w:widowControl w:val="0"/>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1: PDCCH monitoring of all SS sets monitored in a slot occurs within 3 consecutive OFDM symbols that have fixed positions in each slot</w:t>
            </w:r>
          </w:p>
          <w:p>
            <w:pPr>
              <w:pStyle w:val="209"/>
              <w:widowControl w:val="0"/>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1-1: PDCCH monitoring limited to within first three OFDM symbols of a slot</w:t>
            </w:r>
          </w:p>
          <w:p>
            <w:pPr>
              <w:pStyle w:val="209"/>
              <w:widowControl w:val="0"/>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1-2: PDCCH monitoring on any span of up to 3 consecutive OFDM symbols of a slot</w:t>
            </w:r>
          </w:p>
          <w:p>
            <w:pPr>
              <w:pStyle w:val="209"/>
              <w:widowControl w:val="0"/>
              <w:numPr>
                <w:ilvl w:val="2"/>
                <w:numId w:val="14"/>
              </w:numPr>
              <w:spacing w:after="120"/>
              <w:ind w:left="2088"/>
              <w:jc w:val="both"/>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3 consecutive OFDM symbols in the slot</w:t>
            </w:r>
          </w:p>
          <w:p>
            <w:pPr>
              <w:pStyle w:val="209"/>
              <w:widowControl w:val="0"/>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2: PDCCH monitoring cases other than Case 1</w:t>
            </w:r>
          </w:p>
          <w:p>
            <w:pPr>
              <w:pStyle w:val="209"/>
              <w:widowControl w:val="0"/>
              <w:spacing w:after="120"/>
              <w:ind w:left="0"/>
              <w:jc w:val="both"/>
              <w:rPr>
                <w:rFonts w:ascii="Times New Roman" w:hAnsi="Times New Roman" w:cs="Times New Roman"/>
                <w:sz w:val="20"/>
                <w:szCs w:val="20"/>
              </w:rPr>
            </w:pPr>
          </w:p>
          <w:p>
            <w:pPr>
              <w:widowControl w:val="0"/>
              <w:rPr>
                <w:lang w:eastAsia="zh-CN"/>
              </w:rPr>
            </w:pPr>
            <w:r>
              <w:rPr>
                <w:lang w:eastAsia="zh-CN"/>
              </w:rPr>
              <w:t xml:space="preserve">We are open to define a potential duration of more than 3 OFDM symbols, since with more symbols configured in a slot for PDCCH, </w:t>
            </w:r>
            <w:r>
              <w:rPr>
                <w:rFonts w:hint="eastAsia"/>
                <w:lang w:eastAsia="zh-CN"/>
              </w:rPr>
              <w:t>the</w:t>
            </w:r>
            <w:r>
              <w:rPr>
                <w:lang w:eastAsia="zh-CN"/>
              </w:rPr>
              <w:t xml:space="preserve"> </w:t>
            </w:r>
            <w:r>
              <w:rPr>
                <w:rFonts w:hint="eastAsia"/>
                <w:lang w:eastAsia="zh-CN"/>
              </w:rPr>
              <w:t>number</w:t>
            </w:r>
            <w:r>
              <w:rPr>
                <w:lang w:eastAsia="zh-CN"/>
              </w:rPr>
              <w:t xml:space="preserve"> of slots need to be monitored for PDCCH in a span is reduced. And it is potentially benefit for power saving since UE can stop monitoring after receiving all the PDCCH within a span.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t>Qualcomm</w:t>
            </w:r>
          </w:p>
        </w:tc>
        <w:tc>
          <w:tcPr>
            <w:tcW w:w="12176" w:type="dxa"/>
            <w:vAlign w:val="center"/>
          </w:tcPr>
          <w:p>
            <w:pPr>
              <w:widowControl w:val="0"/>
            </w:pPr>
            <w:r>
              <w:t xml:space="preserve">To support multi-slot based PDCCH monitoring for the new SCSs, we think the separation between two monitoring occasions is a more important factor than the position of PDCCH monitoring occasion within a slot. To provide enough processing time for a reasonable number of BD/CCEs, the separation should be large enough, e.g., multiple slots. Thus, none of Rel-15 and Rel-16 PDCCH monitoring capabilities, such as </w:t>
            </w:r>
            <w:r>
              <w:rPr>
                <w:i/>
                <w:iCs/>
              </w:rPr>
              <w:t>pdcch-MonitoringAnyOccasionsWithSpanGap</w:t>
            </w:r>
            <w:r>
              <w:t xml:space="preserve"> and</w:t>
            </w:r>
            <w:r>
              <w:rPr>
                <w:i/>
                <w:iCs/>
              </w:rPr>
              <w:t xml:space="preserve"> pdcch-Monitoring-r16</w:t>
            </w:r>
            <w:r>
              <w:t xml:space="preserve">, is provisioning enough separation between PDCCH monitoring spans and, therefore, a new capability may need to be introduced. </w:t>
            </w:r>
          </w:p>
          <w:p>
            <w:pPr>
              <w:widowControl w:val="0"/>
              <w:rPr>
                <w:lang w:eastAsia="zh-CN"/>
              </w:rPr>
            </w:pPr>
            <w:r>
              <w:t>In our view, the Rel-16 capability (</w:t>
            </w:r>
            <w:r>
              <w:rPr>
                <w:i/>
                <w:iCs/>
              </w:rPr>
              <w:t>pdcch-Monitoring-r16</w:t>
            </w:r>
            <w:r>
              <w:t>) can be the baseline to define the new capability. Proper minimum separation between two MOs may be discussed first, for example 4 slots for 480kHz and 8 slots for 960kHz. Then, it may be further discussed whether the distinction between a “fixed position” (Case 1) or “any position” (Case 2) of MO in the slot is necessary with the new capability.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pPr>
            <w:r>
              <w:rPr>
                <w:lang w:eastAsia="zh-CN"/>
              </w:rPr>
              <w:t>Futurewei</w:t>
            </w:r>
          </w:p>
        </w:tc>
        <w:tc>
          <w:tcPr>
            <w:tcW w:w="12176" w:type="dxa"/>
            <w:vAlign w:val="center"/>
          </w:tcPr>
          <w:p>
            <w:pPr>
              <w:widowControl w:val="0"/>
            </w:pPr>
            <w:r>
              <w:t>Support Case 1, Case 1-2 PDCCH monitoring of any span up to three consecutive OFDM symbols of a slot.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rFonts w:hint="eastAsia"/>
                <w:lang w:eastAsia="zh-CN"/>
              </w:rPr>
              <w:t>OPPO</w:t>
            </w:r>
          </w:p>
        </w:tc>
        <w:tc>
          <w:tcPr>
            <w:tcW w:w="12176" w:type="dxa"/>
            <w:vAlign w:val="center"/>
          </w:tcPr>
          <w:p>
            <w:pPr>
              <w:widowControl w:val="0"/>
              <w:rPr>
                <w:lang w:eastAsia="zh-CN"/>
              </w:rPr>
            </w:pPr>
            <w:r>
              <w:rPr>
                <w:rFonts w:hint="eastAsia"/>
                <w:lang w:eastAsia="zh-CN"/>
              </w:rPr>
              <w:t xml:space="preserve">We prefer PDCCH monitoring with a </w:t>
            </w:r>
            <w:r>
              <w:rPr>
                <w:lang w:eastAsia="zh-CN"/>
              </w:rPr>
              <w:t xml:space="preserve">maximum </w:t>
            </w:r>
            <w:r>
              <w:rPr>
                <w:rFonts w:hint="eastAsia"/>
                <w:lang w:eastAsia="zh-CN"/>
              </w:rPr>
              <w:t xml:space="preserve">duration of </w:t>
            </w:r>
            <w:r>
              <w:rPr>
                <w:lang w:eastAsia="zh-CN"/>
              </w:rPr>
              <w:t>more than 3 OFDM symbols per PDCCH monitoring occasion in order to carry more PDCCH candidates. Proposed modification on Case 2:</w:t>
            </w:r>
          </w:p>
          <w:p>
            <w:pPr>
              <w:pStyle w:val="209"/>
              <w:widowControl w:val="0"/>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2: PDCCH monitoring cases other than Case 1</w:t>
            </w:r>
          </w:p>
          <w:p>
            <w:pPr>
              <w:pStyle w:val="209"/>
              <w:widowControl w:val="0"/>
              <w:numPr>
                <w:ilvl w:val="1"/>
                <w:numId w:val="14"/>
              </w:numPr>
              <w:spacing w:after="120"/>
              <w:ind w:left="1368"/>
              <w:jc w:val="both"/>
              <w:rPr>
                <w:rFonts w:ascii="Times New Roman" w:hAnsi="Times New Roman" w:cs="Times New Roman"/>
                <w:color w:val="FF0000"/>
                <w:sz w:val="20"/>
                <w:szCs w:val="20"/>
              </w:rPr>
            </w:pPr>
            <w:r>
              <w:rPr>
                <w:rFonts w:ascii="Times New Roman" w:hAnsi="Times New Roman" w:cs="Times New Roman"/>
                <w:color w:val="FF0000"/>
                <w:sz w:val="20"/>
                <w:szCs w:val="20"/>
              </w:rPr>
              <w:t>Case 2-1: PDCCH monitoring up to X consecutive OFDM symbols, where X is more than 3</w:t>
            </w:r>
          </w:p>
          <w:p>
            <w:pPr>
              <w:pStyle w:val="209"/>
              <w:widowControl/>
              <w:numPr>
                <w:ilvl w:val="2"/>
                <w:numId w:val="14"/>
              </w:numPr>
              <w:spacing w:after="120"/>
              <w:ind w:left="2088"/>
              <w:jc w:val="both"/>
              <w:rPr>
                <w:rFonts w:ascii="Times New Roman" w:hAnsi="Times New Roman" w:cs="Times New Roman"/>
                <w:sz w:val="20"/>
                <w:szCs w:val="20"/>
              </w:rPr>
            </w:pPr>
            <w:r>
              <w:rPr>
                <w:rFonts w:hint="eastAsia" w:ascii="Times New Roman" w:hAnsi="Times New Roman" w:cs="Times New Roman"/>
                <w:color w:val="FF0000"/>
                <w:sz w:val="20"/>
                <w:szCs w:val="20"/>
                <w:lang w:eastAsia="zh-CN"/>
              </w:rPr>
              <w:t>FFS</w:t>
            </w:r>
            <w:r>
              <w:rPr>
                <w:rFonts w:ascii="Times New Roman" w:hAnsi="Times New Roman" w:cs="Times New Roman"/>
                <w:color w:val="FF0000"/>
                <w:sz w:val="20"/>
                <w:szCs w:val="20"/>
                <w:lang w:eastAsia="zh-CN"/>
              </w:rPr>
              <w:t>: the value of 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pPr>
            <w:r>
              <w:rPr>
                <w:rFonts w:hint="eastAsia"/>
              </w:rPr>
              <w:t>H</w:t>
            </w:r>
            <w:r>
              <w:t>uawei, HiSilicon</w:t>
            </w:r>
          </w:p>
        </w:tc>
        <w:tc>
          <w:tcPr>
            <w:tcW w:w="12176" w:type="dxa"/>
            <w:vAlign w:val="center"/>
          </w:tcPr>
          <w:p>
            <w:pPr>
              <w:widowControl w:val="0"/>
            </w:pPr>
            <w:r>
              <w:rPr>
                <w:rFonts w:hint="eastAsia"/>
              </w:rPr>
              <w:t>W</w:t>
            </w:r>
            <w:r>
              <w:t>e think Case 1-1 should be supported, where the first three OFDM symbols occur in a slot with a periodicity of N slots, where N might be defined with a different value for 480 and 960 kHz SCS (see response to question A1-2c). So what needs to be defined is where “a slot” occurs in case of multi-slot span monitoring.</w:t>
            </w:r>
          </w:p>
          <w:p>
            <w:pPr>
              <w:widowControl w:val="0"/>
            </w:pPr>
            <w:r>
              <w:t>Case 1-2 can also be supported, within the same slot as case 1-1, i.e. not in every slot but in one slot every N slots. This allows balancing the PDCCH load in more than 3 symbols within the first slot of each multi-slot span/period. Again what needs to be defined is where “a slot” occurs in case of multi-slot span monitoring.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pPr>
            <w:r>
              <w:rPr>
                <w:lang w:eastAsia="zh-CN"/>
              </w:rPr>
              <w:t>Apple</w:t>
            </w:r>
          </w:p>
        </w:tc>
        <w:tc>
          <w:tcPr>
            <w:tcW w:w="12176" w:type="dxa"/>
            <w:vAlign w:val="center"/>
          </w:tcPr>
          <w:p>
            <w:pPr>
              <w:widowControl w:val="0"/>
              <w:tabs>
                <w:tab w:val="left" w:pos="640"/>
              </w:tabs>
              <w:jc w:val="both"/>
            </w:pPr>
            <w:r>
              <w:rPr>
                <w:b/>
                <w:bCs/>
              </w:rPr>
              <w:t xml:space="preserve">From our proposal, </w:t>
            </w:r>
            <w:r>
              <w:t>RAN1 should define the PDCCH Monitoring Occasions per slot group. The MO could be defined as follows:</w:t>
            </w:r>
          </w:p>
          <w:p>
            <w:pPr>
              <w:pStyle w:val="73"/>
              <w:widowControl w:val="0"/>
              <w:numPr>
                <w:ilvl w:val="0"/>
                <w:numId w:val="15"/>
              </w:numPr>
              <w:snapToGrid/>
              <w:jc w:val="both"/>
            </w:pPr>
            <w:r>
              <w:t>Type 1: For all the slots  in the slot group, PDCCH monitoring occurs within the first X symbols of the multiple slots. This mirrors case 1-1.</w:t>
            </w:r>
          </w:p>
          <w:p>
            <w:pPr>
              <w:pStyle w:val="73"/>
              <w:widowControl w:val="0"/>
              <w:numPr>
                <w:ilvl w:val="0"/>
                <w:numId w:val="15"/>
              </w:numPr>
              <w:snapToGrid/>
              <w:jc w:val="both"/>
            </w:pPr>
            <w:r>
              <w:t>Type 2: For all the slots in the slot group, PDCCH monitoring occurs on any span of X consecutive symbols within the multiple slots. This mirrors case 1-2.</w:t>
            </w:r>
          </w:p>
          <w:p>
            <w:pPr>
              <w:pStyle w:val="73"/>
              <w:widowControl w:val="0"/>
              <w:numPr>
                <w:ilvl w:val="0"/>
                <w:numId w:val="15"/>
              </w:numPr>
              <w:snapToGrid/>
              <w:jc w:val="both"/>
            </w:pPr>
            <w:r>
              <w:t>Type 3: All PDCCH monitoring occasions can be in any OFDM symbol of a slot-group with a minimum time separation between 2 consecutive transmissions of the PDCCH. This mirrors case 2 with FG 3-5 b.</w:t>
            </w:r>
          </w:p>
          <w:p>
            <w:pPr>
              <w:pStyle w:val="73"/>
              <w:widowControl w:val="0"/>
              <w:numPr>
                <w:ilvl w:val="1"/>
                <w:numId w:val="15"/>
              </w:numPr>
              <w:snapToGrid/>
              <w:jc w:val="both"/>
            </w:pPr>
            <w:r>
              <w:t xml:space="preserve">X : Number of OFDM symbols within which the monitoring occasion occurs, </w:t>
            </w:r>
          </w:p>
          <w:p>
            <w:pPr>
              <w:pStyle w:val="73"/>
              <w:widowControl w:val="0"/>
              <w:numPr>
                <w:ilvl w:val="1"/>
                <w:numId w:val="15"/>
              </w:numPr>
              <w:snapToGrid/>
              <w:jc w:val="both"/>
            </w:pPr>
            <w:r>
              <w:t>Y: minimum number of OFDM symbols between the start of different PDCCH Mos</w:t>
            </w:r>
          </w:p>
          <w:p>
            <w:pPr>
              <w:pStyle w:val="73"/>
              <w:widowControl w:val="0"/>
              <w:numPr>
                <w:ilvl w:val="1"/>
                <w:numId w:val="15"/>
              </w:numPr>
              <w:snapToGrid/>
              <w:jc w:val="both"/>
            </w:pPr>
            <w:r>
              <w:t>Z: Slot group size</w:t>
            </w:r>
          </w:p>
          <w:p>
            <w:pPr>
              <w:widowControl w:val="0"/>
              <w:snapToGrid/>
              <w:jc w:val="both"/>
            </w:pPr>
          </w:p>
          <w:p>
            <w:pPr>
              <w:widowControl w:val="0"/>
              <w:snapToGrid/>
              <w:jc w:val="both"/>
            </w:pPr>
            <w:r>
              <w:t>X may be more than 3 but note that this will impact processing timelines. For 120 kHz, this definition should fall back to the Rel-15 definitions. Also, the UE should be able to indicate its support for one or more types based on capability signaling.</w:t>
            </w:r>
          </w:p>
          <w:p>
            <w:pPr>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rFonts w:hint="eastAsia"/>
                <w:lang w:eastAsia="zh-CN"/>
              </w:rPr>
              <w:t>ZTE, Sanechips</w:t>
            </w:r>
          </w:p>
        </w:tc>
        <w:tc>
          <w:tcPr>
            <w:tcW w:w="12176" w:type="dxa"/>
            <w:vAlign w:val="center"/>
          </w:tcPr>
          <w:p>
            <w:pPr>
              <w:widowControl w:val="0"/>
              <w:rPr>
                <w:lang w:eastAsia="zh-CN"/>
              </w:rPr>
            </w:pPr>
            <w:r>
              <w:rPr>
                <w:rFonts w:hint="eastAsia"/>
                <w:lang w:eastAsia="zh-CN"/>
              </w:rPr>
              <w:t xml:space="preserve">For multi-slot monitoring, we think that the periodicity should </w:t>
            </w:r>
            <w:r>
              <w:rPr>
                <w:rFonts w:hint="eastAsia" w:eastAsia="宋体"/>
                <w:bCs/>
                <w:lang w:eastAsia="zh-CN"/>
              </w:rPr>
              <w:t>be a multiple of N slots (N equals to the number of slots contained in a slot group), or a multiple of slot groups in the unit of slot group. Besides, the number and location of PDCCH monitoring OFDM symbols are also related to other factors, e.g., PDCCH coverage. So we are open for it at this stage.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lang w:eastAsia="zh-CN"/>
              </w:rPr>
              <w:t>Samsung</w:t>
            </w:r>
          </w:p>
        </w:tc>
        <w:tc>
          <w:tcPr>
            <w:tcW w:w="12176" w:type="dxa"/>
            <w:vAlign w:val="center"/>
          </w:tcPr>
          <w:p>
            <w:pPr>
              <w:widowControl w:val="0"/>
              <w:rPr>
                <w:lang w:eastAsia="zh-CN"/>
              </w:rPr>
            </w:pPr>
            <w:r>
              <w:rPr>
                <w:lang w:eastAsia="zh-CN"/>
              </w:rPr>
              <w:t xml:space="preserve">It’s a little confusing to use the example cases to discuss multi-slot span based monitoring, since we believe some of the cases are not applicable to or not essentially related to multi-slot span based monitoring. We would like to reuse the framework and terminology used for Rel-16 URLLC (e.g. per span monitoring as in 38.213). </w:t>
            </w:r>
          </w:p>
          <w:p>
            <w:pPr>
              <w:widowControl w:val="0"/>
              <w:rPr>
                <w:lang w:eastAsia="zh-CN"/>
              </w:rPr>
            </w:pPr>
            <w:r>
              <w:rPr>
                <w:lang w:eastAsia="zh-CN"/>
              </w:rPr>
              <w:t xml:space="preserve">For multi-slot span based monitoring in 52.6 to 71 GHz, we support the generalization of the Rel-16 per span monitoring with the following aspects: </w:t>
            </w:r>
          </w:p>
          <w:p>
            <w:pPr>
              <w:pStyle w:val="73"/>
              <w:widowControl w:val="0"/>
              <w:numPr>
                <w:ilvl w:val="0"/>
                <w:numId w:val="16"/>
              </w:numPr>
              <w:spacing w:line="240" w:lineRule="auto"/>
              <w:rPr>
                <w:rFonts w:ascii="Times New Roman" w:hAnsi="Times New Roman"/>
                <w:lang w:eastAsia="zh-CN"/>
              </w:rPr>
            </w:pPr>
            <w:r>
              <w:rPr>
                <w:rFonts w:ascii="Times New Roman" w:hAnsi="Times New Roman"/>
                <w:lang w:eastAsia="zh-CN"/>
              </w:rPr>
              <w:t xml:space="preserve">The minimum monitoring span gap (X) can be larger than 1 slot to save monitoring complexity. </w:t>
            </w:r>
          </w:p>
          <w:p>
            <w:pPr>
              <w:pStyle w:val="73"/>
              <w:widowControl w:val="0"/>
              <w:numPr>
                <w:ilvl w:val="0"/>
                <w:numId w:val="16"/>
              </w:numPr>
              <w:spacing w:line="240" w:lineRule="auto"/>
              <w:rPr>
                <w:rFonts w:ascii="Times New Roman" w:hAnsi="Times New Roman"/>
                <w:lang w:eastAsia="zh-CN"/>
              </w:rPr>
            </w:pPr>
            <w:r>
              <w:rPr>
                <w:rFonts w:ascii="Times New Roman" w:hAnsi="Times New Roman"/>
                <w:lang w:eastAsia="zh-CN"/>
              </w:rPr>
              <w:t xml:space="preserve">The maximum monitoring span duration (Y) can be extended from at most 3 symbols (e.g. to 1 slot or even larger) to allow better flexibility.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t>Intel</w:t>
            </w:r>
          </w:p>
        </w:tc>
        <w:tc>
          <w:tcPr>
            <w:tcW w:w="12176" w:type="dxa"/>
            <w:vAlign w:val="center"/>
          </w:tcPr>
          <w:p>
            <w:pPr>
              <w:widowControl w:val="0"/>
              <w:rPr>
                <w:lang w:eastAsia="zh-CN"/>
              </w:rPr>
            </w:pPr>
            <w:r>
              <w:t xml:space="preserve">We prefer that only Case 1-1 is supported in a slot for at least USS set for simplicity. The parameter duration in </w:t>
            </w:r>
            <w:r>
              <w:rPr>
                <w:rFonts w:hint="eastAsia"/>
                <w:lang w:eastAsia="zh-CN"/>
              </w:rPr>
              <w:t>SS</w:t>
            </w:r>
            <w:r>
              <w:t xml:space="preserve"> set configuration is reinterpreted as a window. Then, one of every N slots is allocated for PDCCH monitoring for the SS set. N is another parameter for SS set configuration.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pPr>
            <w:r>
              <w:rPr>
                <w:lang w:eastAsia="zh-CN"/>
              </w:rPr>
              <w:t>MediaTek</w:t>
            </w:r>
          </w:p>
        </w:tc>
        <w:tc>
          <w:tcPr>
            <w:tcW w:w="12176" w:type="dxa"/>
            <w:vAlign w:val="center"/>
          </w:tcPr>
          <w:p>
            <w:pPr>
              <w:widowControl w:val="0"/>
            </w:pPr>
            <w:r>
              <w:rPr>
                <w:lang w:eastAsia="zh-CN"/>
              </w:rPr>
              <w:t xml:space="preserve">We share the same view with Xiaomi that we should first specify the monitoring case within a multi-slot monitoring span. We support monitor </w:t>
            </w:r>
            <w:r>
              <w:t xml:space="preserve">the first </w:t>
            </w:r>
            <m:oMath>
              <m:r>
                <w:rPr>
                  <w:rFonts w:ascii="Cambria Math" w:hAnsi="Cambria Math"/>
                </w:rPr>
                <m:t>n</m:t>
              </m:r>
            </m:oMath>
            <w:r>
              <w:t xml:space="preserve"> slots of every </w:t>
            </w:r>
            <m:oMath>
              <m:r>
                <w:rPr>
                  <w:rFonts w:ascii="Cambria Math" w:hAnsi="Cambria Math"/>
                </w:rPr>
                <m:t>m</m:t>
              </m:r>
            </m:oMath>
            <w:r>
              <w:t xml:space="preserve"> slots, which follow a similar notion of span defined in Rel-16. Regarding the monitoring pattern within a slot, due to the short slot duration of SCS=480kHz and 960kHz, we support Case 1-1. We notice that Case1-2 and Case 2 can provide more scheduling flexibility within a slot, which might not be needed when slot duration is relatively short.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lang w:eastAsia="zh-CN"/>
              </w:rPr>
              <w:t>InterDigital</w:t>
            </w:r>
          </w:p>
        </w:tc>
        <w:tc>
          <w:tcPr>
            <w:tcW w:w="12176" w:type="dxa"/>
            <w:vAlign w:val="center"/>
          </w:tcPr>
          <w:p>
            <w:pPr>
              <w:widowControl w:val="0"/>
              <w:rPr>
                <w:lang w:eastAsia="zh-CN"/>
              </w:rPr>
            </w:pPr>
            <w:r>
              <w:rPr>
                <w:lang w:eastAsia="zh-CN"/>
              </w:rPr>
              <w:t>We think that only Case 1-1 should be supported considering short time durations in 480/960 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rFonts w:hint="eastAsia"/>
                <w:lang w:eastAsia="zh-CN"/>
              </w:rPr>
              <w:t>v</w:t>
            </w:r>
            <w:r>
              <w:rPr>
                <w:lang w:eastAsia="zh-CN"/>
              </w:rPr>
              <w:t>ivo</w:t>
            </w:r>
          </w:p>
        </w:tc>
        <w:tc>
          <w:tcPr>
            <w:tcW w:w="12176" w:type="dxa"/>
            <w:vAlign w:val="center"/>
          </w:tcPr>
          <w:p>
            <w:pPr>
              <w:widowControl w:val="0"/>
              <w:rPr>
                <w:lang w:eastAsia="zh-CN"/>
              </w:rPr>
            </w:pPr>
            <w:r>
              <w:rPr>
                <w:lang w:eastAsia="zh-CN"/>
              </w:rPr>
              <w:t>In our view, it is important to define the UE capability on which slot UE could monitor before going into discussions on which symbol within one slot could be monitored. Please refer to comments to Question A1-2d for more details.</w:t>
            </w:r>
          </w:p>
          <w:p>
            <w:pPr>
              <w:widowControl w:val="0"/>
              <w:rPr>
                <w:lang w:eastAsia="zh-CN"/>
              </w:rPr>
            </w:pPr>
            <w:r>
              <w:rPr>
                <w:lang w:eastAsia="zh-CN"/>
              </w:rPr>
              <w:t>After determination of the monitored slots, we could then discuss which symbol needs to be monitored within the slot UE needs to monitor.</w:t>
            </w:r>
            <w:r>
              <w:rPr>
                <w:rFonts w:hint="eastAsia"/>
                <w:lang w:eastAsia="zh-CN"/>
              </w:rPr>
              <w:t xml:space="preserve"> </w:t>
            </w:r>
            <w:r>
              <w:rPr>
                <w:lang w:eastAsia="zh-CN"/>
              </w:rPr>
              <w:t>We are open to support both Case 1-1 and 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rFonts w:hint="eastAsia" w:eastAsia="MS Mincho"/>
                <w:lang w:eastAsia="ja-JP"/>
              </w:rPr>
              <w:t>NTT</w:t>
            </w:r>
            <w:r>
              <w:rPr>
                <w:rFonts w:eastAsia="MS Mincho"/>
                <w:lang w:eastAsia="ja-JP"/>
              </w:rPr>
              <w:t xml:space="preserve"> DOCOMO</w:t>
            </w:r>
          </w:p>
        </w:tc>
        <w:tc>
          <w:tcPr>
            <w:tcW w:w="12176" w:type="dxa"/>
            <w:vAlign w:val="center"/>
          </w:tcPr>
          <w:p>
            <w:pPr>
              <w:widowControl w:val="0"/>
              <w:rPr>
                <w:lang w:eastAsia="zh-CN"/>
              </w:rPr>
            </w:pPr>
            <w:r>
              <w:rPr>
                <w:rFonts w:eastAsia="MS Mincho"/>
                <w:lang w:eastAsia="ja-JP"/>
              </w:rPr>
              <w:t>We think at least m</w:t>
            </w:r>
            <w:r>
              <w:rPr>
                <w:rFonts w:hint="eastAsia" w:eastAsia="MS Mincho"/>
                <w:lang w:eastAsia="ja-JP"/>
              </w:rPr>
              <w:t xml:space="preserve">onitoring </w:t>
            </w:r>
            <w:r>
              <w:rPr>
                <w:rFonts w:eastAsia="MS Mincho"/>
                <w:lang w:eastAsia="ja-JP"/>
              </w:rPr>
              <w:t>periodicity per more than 1 slot should be supported.</w:t>
            </w:r>
            <w:r>
              <w:rPr>
                <w:rFonts w:hint="eastAsia" w:eastAsia="MS Mincho"/>
                <w:lang w:eastAsia="ja-JP"/>
              </w:rPr>
              <w:t xml:space="preserve"> </w:t>
            </w:r>
            <w:r>
              <w:rPr>
                <w:rFonts w:eastAsia="MS Mincho"/>
                <w:lang w:eastAsia="ja-JP"/>
              </w:rPr>
              <w:t>The number of OFDM symbols for a CORESET should not be larger than 3 unless there is any clear motivation to increase the PDCCH monitoring OFDM symbols.</w:t>
            </w:r>
            <w:r>
              <w:rPr>
                <w:rFonts w:hint="eastAsia" w:eastAsia="MS Mincho"/>
                <w:lang w:eastAsia="ja-JP"/>
              </w:rPr>
              <w:t xml:space="preserve"> </w:t>
            </w:r>
            <w:r>
              <w:rPr>
                <w:rFonts w:eastAsia="MS Mincho"/>
                <w:lang w:eastAsia="ja-JP"/>
              </w:rPr>
              <w:t>For the location of OFDM symbols for a CORESET, we think at least fixed location in each multi-slot should be supported and then OFDM symbols in any place in a multi-slot can be supported as optional.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rFonts w:eastAsia="MS Mincho"/>
                <w:lang w:eastAsia="ja-JP"/>
              </w:rPr>
            </w:pPr>
            <w:r>
              <w:rPr>
                <w:lang w:eastAsia="zh-CN"/>
              </w:rPr>
              <w:t>Lenovo, Motorola Mobility</w:t>
            </w:r>
          </w:p>
        </w:tc>
        <w:tc>
          <w:tcPr>
            <w:tcW w:w="12176" w:type="dxa"/>
            <w:vAlign w:val="center"/>
          </w:tcPr>
          <w:p>
            <w:pPr>
              <w:widowControl w:val="0"/>
              <w:rPr>
                <w:rFonts w:eastAsia="MS Mincho"/>
                <w:lang w:eastAsia="ja-JP"/>
              </w:rPr>
            </w:pPr>
            <w:r>
              <w:rPr>
                <w:lang w:eastAsia="zh-CN"/>
              </w:rPr>
              <w:t>We agree with Xiaomi’s suggestion to define monitoring cases within a span first and move further thereafter. Also, we agree to support potential duration of more than 3 OFDM symbols per slot for multi-slot span monitoring.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pPr>
            <w:r>
              <w:t>Nokia, NSB</w:t>
            </w:r>
          </w:p>
        </w:tc>
        <w:tc>
          <w:tcPr>
            <w:tcW w:w="12176" w:type="dxa"/>
            <w:vAlign w:val="center"/>
          </w:tcPr>
          <w:p>
            <w:pPr>
              <w:widowControl w:val="0"/>
            </w:pPr>
            <w:r>
              <w:t xml:space="preserve">The baseline with the current CORESET structures would be Case 1-1. Case 1-2 can be considered as well if a clear motivation is identified. </w:t>
            </w:r>
          </w:p>
          <w:p>
            <w:pPr>
              <w:widowControl w:val="0"/>
            </w:pPr>
            <w:r>
              <w:t>The exact number (3 consecutive or first symbols) can be re-considered depending on the outcome of A2-1.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pPr>
            <w:r>
              <w:rPr>
                <w:lang w:val="en-GB" w:eastAsia="zh-CN"/>
              </w:rPr>
              <w:t>Spreadtrum</w:t>
            </w:r>
          </w:p>
        </w:tc>
        <w:tc>
          <w:tcPr>
            <w:tcW w:w="12176" w:type="dxa"/>
            <w:vAlign w:val="center"/>
          </w:tcPr>
          <w:p>
            <w:pPr>
              <w:widowControl w:val="0"/>
            </w:pPr>
            <w:r>
              <w:rPr>
                <w:lang w:eastAsia="zh-CN"/>
              </w:rPr>
              <w:t>We support case 1-1 and case 1-2 and we are open to define a potential duration of more than 3 OFDM symbols.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val="en-GB" w:eastAsia="zh-CN"/>
              </w:rPr>
            </w:pPr>
            <w:r>
              <w:rPr>
                <w:lang w:val="en-GB" w:eastAsia="zh-CN"/>
              </w:rPr>
              <w:t>Convida Wireless</w:t>
            </w:r>
          </w:p>
        </w:tc>
        <w:tc>
          <w:tcPr>
            <w:tcW w:w="12176" w:type="dxa"/>
            <w:vAlign w:val="center"/>
          </w:tcPr>
          <w:p>
            <w:pPr>
              <w:widowControl w:val="0"/>
              <w:rPr>
                <w:lang w:eastAsia="zh-CN"/>
              </w:rPr>
            </w:pPr>
            <w:r>
              <w:rPr>
                <w:lang w:eastAsia="zh-CN"/>
              </w:rPr>
              <w:t>Both Case 1-1 and Case 1-2 can be supported. It can be up to the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rFonts w:hint="eastAsia" w:eastAsia="Malgun Gothic"/>
                <w:lang w:eastAsia="ko-KR"/>
              </w:rPr>
              <w:t>L</w:t>
            </w:r>
            <w:r>
              <w:rPr>
                <w:rFonts w:eastAsia="Malgun Gothic"/>
                <w:lang w:eastAsia="ko-KR"/>
              </w:rPr>
              <w:t>G Electronics</w:t>
            </w:r>
          </w:p>
        </w:tc>
        <w:tc>
          <w:tcPr>
            <w:tcW w:w="12176" w:type="dxa"/>
            <w:vAlign w:val="center"/>
          </w:tcPr>
          <w:p>
            <w:pPr>
              <w:widowControl w:val="0"/>
              <w:rPr>
                <w:lang w:eastAsia="zh-CN"/>
              </w:rPr>
            </w:pPr>
            <w:r>
              <w:rPr>
                <w:lang w:eastAsia="zh-CN"/>
              </w:rPr>
              <w:t>We think that, for multi-slot based monitoring, SS set configuration such as periodicity could be a value larger than N (or a multiple of N) slots (where, N equals to the number of slots within a span of multi-slot) and UE could monitor PDCCH in M consecutive slots (M&lt;N) within N slots.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rFonts w:eastAsia="Malgun Gothic"/>
                <w:sz w:val="20"/>
                <w:lang w:eastAsia="ko-KR"/>
              </w:rPr>
            </w:pPr>
            <w:r>
              <w:rPr>
                <w:rFonts w:eastAsia="Malgun Gothic"/>
                <w:sz w:val="20"/>
                <w:lang w:eastAsia="ko-KR"/>
              </w:rPr>
              <w:t>Ericsson</w:t>
            </w:r>
          </w:p>
        </w:tc>
        <w:tc>
          <w:tcPr>
            <w:tcW w:w="12176" w:type="dxa"/>
            <w:vAlign w:val="center"/>
          </w:tcPr>
          <w:p>
            <w:pPr>
              <w:widowControl w:val="0"/>
              <w:rPr>
                <w:szCs w:val="24"/>
                <w:lang w:eastAsia="zh-CN"/>
              </w:rPr>
            </w:pPr>
            <w:r>
              <w:rPr>
                <w:szCs w:val="24"/>
                <w:lang w:eastAsia="zh-CN"/>
              </w:rPr>
              <w:t>As our answer to A1-1a shows, the NW should be able to configure a UE to monitor PDCCHs in any slot within a multi-slot span.</w:t>
            </w:r>
          </w:p>
          <w:p>
            <w:pPr>
              <w:widowControl w:val="0"/>
              <w:rPr>
                <w:szCs w:val="24"/>
                <w:lang w:eastAsia="zh-CN"/>
              </w:rPr>
            </w:pPr>
            <w:r>
              <w:rPr>
                <w:szCs w:val="24"/>
                <w:lang w:eastAsia="zh-CN"/>
              </w:rPr>
              <w:t>For MOs within a slot, Case 1-1 should be sufficient. We can further discuss whether or not Case 1-2 is needed.</w:t>
            </w:r>
          </w:p>
          <w:p>
            <w:pPr>
              <w:widowControl w:val="0"/>
              <w:rPr>
                <w:sz w:val="20"/>
                <w:lang w:eastAsia="zh-CN"/>
              </w:rPr>
            </w:pPr>
            <w:r>
              <w:rPr>
                <w:szCs w:val="24"/>
                <w:lang w:eastAsia="zh-CN"/>
              </w:rPr>
              <w:t>Case 2 monitoring is not needed for 480/960 kHz. Case 2 monitoring was introduced to support mini-slots (Type B PDSCH mapping); however, since the slot duration for 480/960 kHz is very short to start with, there is no need to have such flexible monitoring within a slot.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rFonts w:eastAsia="Malgun Gothic"/>
                <w:sz w:val="20"/>
                <w:lang w:eastAsia="ko-KR"/>
              </w:rPr>
            </w:pPr>
            <w:r>
              <w:rPr>
                <w:lang w:eastAsia="zh-CN"/>
              </w:rPr>
              <w:t>CATT</w:t>
            </w:r>
          </w:p>
        </w:tc>
        <w:tc>
          <w:tcPr>
            <w:tcW w:w="12176" w:type="dxa"/>
            <w:vAlign w:val="center"/>
          </w:tcPr>
          <w:p>
            <w:pPr>
              <w:widowControl w:val="0"/>
              <w:rPr>
                <w:szCs w:val="24"/>
                <w:lang w:eastAsia="zh-CN"/>
              </w:rPr>
            </w:pPr>
            <w:r>
              <w:rPr>
                <w:lang w:eastAsia="zh-CN"/>
              </w:rPr>
              <w:t xml:space="preserve">We support Case 1-1.  The PDCCH monitoring periodicity and duration in SearchSpace are independent to the duration of multi-slot monitoring.  </w:t>
            </w:r>
          </w:p>
        </w:tc>
      </w:tr>
    </w:tbl>
    <w:p>
      <w:pPr>
        <w:rPr>
          <w:lang w:eastAsia="zh-CN"/>
        </w:rPr>
      </w:pPr>
    </w:p>
    <w:p>
      <w:pPr>
        <w:rPr>
          <w:lang w:eastAsia="zh-CN"/>
        </w:rPr>
      </w:pPr>
      <w:r>
        <w:rPr>
          <w:highlight w:val="cyan"/>
          <w:lang w:eastAsia="zh-CN"/>
        </w:rPr>
        <w:t>First Round FL Summary:</w:t>
      </w:r>
      <w:r>
        <w:rPr>
          <w:lang w:eastAsia="zh-CN"/>
        </w:rPr>
        <w:t xml:space="preserve"> Several companies stated support for just Case 1-1 or Cases 1-1 and 1-2. Several companies further see a benefit of extending the duration to more than 3 OFDM symbols per slot in case of multi-slot span monitoring. It has been mentioned that this discussion may depend on the outcome of Question A1-2d.</w:t>
      </w:r>
    </w:p>
    <w:p>
      <w:pPr>
        <w:rPr>
          <w:u w:val="single"/>
          <w:lang w:eastAsia="zh-CN"/>
        </w:rPr>
      </w:pPr>
    </w:p>
    <w:p>
      <w:pPr>
        <w:pStyle w:val="4"/>
        <w:rPr>
          <w:lang w:val="en-GB" w:eastAsia="zh-CN"/>
        </w:rPr>
      </w:pPr>
      <w:r>
        <w:rPr>
          <w:lang w:val="en-GB" w:eastAsia="zh-CN"/>
        </w:rPr>
        <w:t>Second Round (A1-2b.1)</w:t>
      </w:r>
    </w:p>
    <w:p>
      <w:pPr>
        <w:rPr>
          <w:lang w:eastAsia="zh-CN"/>
        </w:rPr>
      </w:pPr>
      <w:r>
        <w:rPr>
          <w:highlight w:val="yellow"/>
          <w:lang w:eastAsia="zh-CN"/>
        </w:rPr>
        <w:t>First Round FL Suggestion A1-2b.1:</w:t>
      </w:r>
    </w:p>
    <w:p>
      <w:pPr>
        <w:pStyle w:val="73"/>
        <w:numPr>
          <w:ilvl w:val="0"/>
          <w:numId w:val="17"/>
        </w:numPr>
        <w:rPr>
          <w:rFonts w:ascii="Times New Roman" w:hAnsi="Times New Roman"/>
          <w:lang w:eastAsia="zh-CN"/>
        </w:rPr>
      </w:pPr>
      <w:r>
        <w:rPr>
          <w:rFonts w:ascii="Times New Roman" w:hAnsi="Times New Roman"/>
          <w:lang w:eastAsia="zh-CN"/>
        </w:rPr>
        <w:t>Prioritise further discussion on multi-slot span capabilities, monitoring periodicities, corresponding number and location of OFDM symbols for Cases MSM-1-1 and MSM-1-2. At least Case MSM-1-1 is supported.</w:t>
      </w:r>
    </w:p>
    <w:p>
      <w:pPr>
        <w:pStyle w:val="73"/>
        <w:numPr>
          <w:ilvl w:val="1"/>
          <w:numId w:val="17"/>
        </w:numPr>
        <w:rPr>
          <w:rFonts w:ascii="Times New Roman" w:hAnsi="Times New Roman"/>
          <w:lang w:eastAsia="zh-CN"/>
        </w:rPr>
      </w:pPr>
      <w:r>
        <w:rPr>
          <w:rFonts w:ascii="Times New Roman" w:hAnsi="Times New Roman"/>
          <w:sz w:val="20"/>
          <w:szCs w:val="20"/>
        </w:rPr>
        <w:t>Case MSM-1: PDCCH monitoring of all SS sets monitored in a span occurs within N consecutive slots that have fixed positions in each slot</w:t>
      </w:r>
    </w:p>
    <w:p>
      <w:pPr>
        <w:pStyle w:val="209"/>
        <w:numPr>
          <w:ilvl w:val="2"/>
          <w:numId w:val="17"/>
        </w:numPr>
        <w:spacing w:after="120"/>
        <w:jc w:val="both"/>
        <w:rPr>
          <w:rFonts w:ascii="Times New Roman" w:hAnsi="Times New Roman" w:cs="Times New Roman"/>
          <w:sz w:val="20"/>
          <w:szCs w:val="20"/>
        </w:rPr>
      </w:pPr>
      <w:r>
        <w:rPr>
          <w:rFonts w:ascii="Times New Roman" w:hAnsi="Times New Roman" w:cs="Times New Roman"/>
          <w:sz w:val="20"/>
          <w:szCs w:val="20"/>
        </w:rPr>
        <w:t>Case MSM-1-1: PDCCH monitoring limited to within first N slots of a monitoring span</w:t>
      </w:r>
    </w:p>
    <w:p>
      <w:pPr>
        <w:pStyle w:val="209"/>
        <w:numPr>
          <w:ilvl w:val="2"/>
          <w:numId w:val="17"/>
        </w:numPr>
        <w:spacing w:after="120"/>
        <w:jc w:val="both"/>
        <w:rPr>
          <w:rFonts w:ascii="Times New Roman" w:hAnsi="Times New Roman" w:cs="Times New Roman"/>
          <w:sz w:val="20"/>
          <w:szCs w:val="20"/>
        </w:rPr>
      </w:pPr>
      <w:r>
        <w:rPr>
          <w:rFonts w:ascii="Times New Roman" w:hAnsi="Times New Roman" w:cs="Times New Roman"/>
          <w:sz w:val="20"/>
          <w:szCs w:val="20"/>
        </w:rPr>
        <w:t>Case MSM-1-2: PDCCH monitoring on any span of up to N consecutive slots of a monitoring span</w:t>
      </w:r>
    </w:p>
    <w:p>
      <w:pPr>
        <w:pStyle w:val="209"/>
        <w:numPr>
          <w:ilvl w:val="3"/>
          <w:numId w:val="17"/>
        </w:numPr>
        <w:spacing w:after="120"/>
        <w:jc w:val="both"/>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N consecutive slots in the monitoring span</w:t>
      </w:r>
    </w:p>
    <w:p>
      <w:pPr>
        <w:pStyle w:val="209"/>
        <w:numPr>
          <w:ilvl w:val="1"/>
          <w:numId w:val="17"/>
        </w:numPr>
        <w:spacing w:after="120"/>
        <w:jc w:val="both"/>
        <w:rPr>
          <w:rFonts w:ascii="Times New Roman" w:hAnsi="Times New Roman" w:cs="Times New Roman"/>
          <w:sz w:val="20"/>
          <w:szCs w:val="20"/>
        </w:rPr>
      </w:pPr>
      <w:r>
        <w:rPr>
          <w:rFonts w:ascii="Times New Roman" w:hAnsi="Times New Roman" w:cs="Times New Roman"/>
          <w:sz w:val="20"/>
          <w:szCs w:val="20"/>
        </w:rPr>
        <w:t>Case MSM-2: PDCCH monitoring cases other than Case 1 MSM-1</w:t>
      </w:r>
    </w:p>
    <w:p>
      <w:pPr>
        <w:rPr>
          <w:lang w:val="en-GB" w:eastAsia="zh-CN"/>
        </w:rPr>
      </w:pPr>
      <w:r>
        <w:rPr>
          <w:lang w:val="en-GB" w:eastAsia="zh-CN"/>
        </w:rPr>
        <w:t>Please provide your views</w:t>
      </w:r>
      <w:r>
        <w:t>, e.g. any suggestions for N, location of OFDM symbols etc.. It is noted that this discussion may have a dependency on the progress of Question A1-2d.</w:t>
      </w:r>
    </w:p>
    <w:tbl>
      <w:tblPr>
        <w:tblStyle w:val="52"/>
        <w:tblW w:w="145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5"/>
        <w:gridCol w:w="121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shd w:val="clear" w:color="auto" w:fill="FFC000"/>
            <w:vAlign w:val="center"/>
          </w:tcPr>
          <w:p>
            <w:pPr>
              <w:widowControl w:val="0"/>
              <w:rPr>
                <w:b/>
                <w:bCs/>
              </w:rPr>
            </w:pPr>
            <w:r>
              <w:rPr>
                <w:b/>
                <w:bCs/>
              </w:rPr>
              <w:t>Company</w:t>
            </w:r>
          </w:p>
        </w:tc>
        <w:tc>
          <w:tcPr>
            <w:tcW w:w="12176" w:type="dxa"/>
            <w:shd w:val="clear" w:color="auto" w:fill="FFC000"/>
            <w:vAlign w:val="center"/>
          </w:tcPr>
          <w:p>
            <w:pPr>
              <w:widowControl w:val="0"/>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lang w:eastAsia="zh-CN"/>
              </w:rPr>
              <w:t>Intel</w:t>
            </w:r>
          </w:p>
        </w:tc>
        <w:tc>
          <w:tcPr>
            <w:tcW w:w="12176" w:type="dxa"/>
            <w:vAlign w:val="center"/>
          </w:tcPr>
          <w:p>
            <w:pPr>
              <w:widowControl w:val="0"/>
              <w:rPr>
                <w:lang w:eastAsia="zh-CN"/>
              </w:rPr>
            </w:pPr>
            <w:r>
              <w:rPr>
                <w:lang w:eastAsia="zh-CN"/>
              </w:rPr>
              <w:t xml:space="preserve">First of all, we want to clarify on the discussion point. Is it the configuration of a SS set, or on UE capability? The two issues are related; however, they are separate design issues. </w:t>
            </w:r>
          </w:p>
          <w:p>
            <w:pPr>
              <w:widowControl w:val="0"/>
              <w:rPr>
                <w:lang w:eastAsia="zh-CN"/>
              </w:rPr>
            </w:pPr>
            <w:r>
              <w:rPr>
                <w:lang w:eastAsia="zh-CN"/>
              </w:rPr>
              <w:t xml:space="preserve">For the SS set configuration, we don’t think extension of existing case 1-1/1-2/2 within single slot to MSM-1-1/1-2/2 is necessary. It should be enough to just clarify which case(s) from existing Case 1-1/1-2/2 is supported in high frequency. If certain case(s) is supported, what is the potential limitations. For example, we don’t think the flexibility of case 2 is needed for a USS set. We can have some limitation for the positions of MOs of a SS set in a slot. However, as E// commented, we don’t need to limit it to a particular slot within the multiple slots, which gives network more freedom to coordinate the CSS/USS of a UE and across multiple UEs. </w:t>
            </w:r>
          </w:p>
          <w:p>
            <w:pPr>
              <w:widowControl w:val="0"/>
              <w:rPr>
                <w:lang w:eastAsia="zh-CN"/>
              </w:rPr>
            </w:pPr>
            <w:r>
              <w:rPr>
                <w:lang w:eastAsia="zh-CN"/>
              </w:rPr>
              <w:t xml:space="preserve">For UE capability on max BD/CCE, we prefer to allow the MOs in any slot within a multi-slot span. Further, different slots may contain the MOs in different multi-slot span. This is to account for the different requirement on transmission timings of different SS sets. Further, there may be potential limitation from the periodicity of a SS set and the duration of multi-slot span.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rFonts w:hint="eastAsia"/>
                <w:lang w:eastAsia="zh-CN"/>
              </w:rPr>
              <w:t>Huawei, HiSilicon</w:t>
            </w:r>
          </w:p>
        </w:tc>
        <w:tc>
          <w:tcPr>
            <w:tcW w:w="12176" w:type="dxa"/>
            <w:vAlign w:val="center"/>
          </w:tcPr>
          <w:p>
            <w:pPr>
              <w:widowControl w:val="0"/>
              <w:rPr>
                <w:lang w:eastAsia="zh-CN"/>
              </w:rPr>
            </w:pPr>
            <w:r>
              <w:rPr>
                <w:rFonts w:hint="eastAsia"/>
                <w:lang w:eastAsia="zh-CN"/>
              </w:rPr>
              <w:t xml:space="preserve">We are </w:t>
            </w:r>
            <w:r>
              <w:rPr>
                <w:lang w:eastAsia="zh-CN"/>
              </w:rPr>
              <w:t xml:space="preserve">generally </w:t>
            </w:r>
            <w:r>
              <w:rPr>
                <w:rFonts w:hint="eastAsia"/>
                <w:lang w:eastAsia="zh-CN"/>
              </w:rPr>
              <w:t xml:space="preserve">fine with the </w:t>
            </w:r>
            <w:r>
              <w:rPr>
                <w:lang w:eastAsia="zh-CN"/>
              </w:rPr>
              <w:t>proposal A1-2b.1.</w:t>
            </w:r>
          </w:p>
          <w:p>
            <w:pPr>
              <w:widowControl w:val="0"/>
              <w:rPr>
                <w:lang w:eastAsia="zh-CN"/>
              </w:rPr>
            </w:pPr>
            <w:r>
              <w:rPr>
                <w:lang w:eastAsia="zh-CN"/>
              </w:rPr>
              <w:t>We are a bit puzzled by Intel’s response. If we allow MO in every slot then the main complexity reduction benefit of multi-slot span monitoring is gone, even if the BD/CCE budget per MO is reduced. Assuming the multi-slot span monitoring period is the same as one slot of 120 kHz SCS, then we don’t actually see the need for the UE to even monitor USS in different slots than the first slot of the multi-span monitoring period where CSS is monitored (this also comments on Ericsson’s figure on UE capability). In this case we just need to address the PDCCH capacity in that first slot, e.g. by increasing the number of PDCCH symbols available for the network, which could be achieved by case 1-1 with more PDCCH symbols, or case 1-2 by staggering different UEs in different starting symbols.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lang w:eastAsia="zh-CN"/>
              </w:rPr>
              <w:t>Nokia, NSB</w:t>
            </w:r>
          </w:p>
        </w:tc>
        <w:tc>
          <w:tcPr>
            <w:tcW w:w="12176" w:type="dxa"/>
            <w:vAlign w:val="center"/>
          </w:tcPr>
          <w:p>
            <w:pPr>
              <w:widowControl w:val="0"/>
            </w:pPr>
            <w:r>
              <w:t xml:space="preserve">We’re ok with the Suggestion </w:t>
            </w:r>
            <w:r>
              <w:rPr>
                <w:lang w:eastAsia="zh-CN"/>
              </w:rPr>
              <w:t>A1-2b.1</w:t>
            </w:r>
            <w:r>
              <w:t>.</w:t>
            </w:r>
          </w:p>
          <w:p>
            <w:pPr>
              <w:widowControl w:val="0"/>
              <w:spacing w:after="0"/>
            </w:pPr>
            <w:r>
              <w:t>We think that Case MSM-1-1 should be used as the starting point</w:t>
            </w:r>
          </w:p>
          <w:p>
            <w:pPr>
              <w:pStyle w:val="73"/>
              <w:widowControl w:val="0"/>
              <w:numPr>
                <w:ilvl w:val="0"/>
                <w:numId w:val="18"/>
              </w:numPr>
              <w:spacing w:line="254" w:lineRule="auto"/>
            </w:pPr>
            <w:r>
              <w:t xml:space="preserve">PDCCH monitoring of all SS sets occur within the </w:t>
            </w:r>
            <w:r>
              <w:rPr>
                <w:u w:val="single"/>
              </w:rPr>
              <w:t>first</w:t>
            </w:r>
            <w:r>
              <w:t xml:space="preserve"> slot of a monitoring span.</w:t>
            </w:r>
          </w:p>
          <w:p>
            <w:pPr>
              <w:pStyle w:val="73"/>
              <w:widowControl w:val="0"/>
              <w:numPr>
                <w:ilvl w:val="1"/>
                <w:numId w:val="18"/>
              </w:numPr>
              <w:spacing w:line="254" w:lineRule="auto"/>
            </w:pPr>
            <w:r>
              <w:t>X=4 slots for 480 kHz SCS</w:t>
            </w:r>
          </w:p>
          <w:p>
            <w:pPr>
              <w:pStyle w:val="73"/>
              <w:widowControl w:val="0"/>
              <w:numPr>
                <w:ilvl w:val="1"/>
                <w:numId w:val="18"/>
              </w:numPr>
              <w:spacing w:line="254" w:lineRule="auto"/>
            </w:pPr>
            <w:r>
              <w:t>X=8 slots for 960 kHz SCS</w:t>
            </w:r>
          </w:p>
          <w:p>
            <w:pPr>
              <w:pStyle w:val="73"/>
              <w:widowControl w:val="0"/>
              <w:numPr>
                <w:ilvl w:val="0"/>
                <w:numId w:val="18"/>
              </w:numPr>
              <w:spacing w:line="254" w:lineRule="auto"/>
            </w:pPr>
            <w:r>
              <w:t>In order to provide further scheduling flexibility, it’s preferable to support also additional values for X:</w:t>
            </w:r>
          </w:p>
          <w:p>
            <w:pPr>
              <w:pStyle w:val="73"/>
              <w:widowControl w:val="0"/>
              <w:numPr>
                <w:ilvl w:val="1"/>
                <w:numId w:val="18"/>
              </w:numPr>
              <w:spacing w:line="254" w:lineRule="auto"/>
            </w:pPr>
            <w:r>
              <w:t>X=2 slots for 480 kHz SCS</w:t>
            </w:r>
          </w:p>
          <w:p>
            <w:pPr>
              <w:pStyle w:val="73"/>
              <w:widowControl w:val="0"/>
              <w:numPr>
                <w:ilvl w:val="1"/>
                <w:numId w:val="18"/>
              </w:numPr>
              <w:spacing w:line="254" w:lineRule="auto"/>
            </w:pPr>
            <w:r>
              <w:t>X=[4 2] slots for 960 kHz SCS.</w:t>
            </w:r>
          </w:p>
          <w:p>
            <w:pPr>
              <w:pStyle w:val="73"/>
              <w:widowControl w:val="0"/>
              <w:numPr>
                <w:ilvl w:val="0"/>
                <w:numId w:val="18"/>
              </w:numPr>
              <w:spacing w:line="254" w:lineRule="auto"/>
            </w:pPr>
            <w:r>
              <w:t>Finally, it’s preferable to support also slot-based operation. This can be determined as</w:t>
            </w:r>
          </w:p>
          <w:p>
            <w:pPr>
              <w:pStyle w:val="73"/>
              <w:widowControl w:val="0"/>
              <w:numPr>
                <w:ilvl w:val="1"/>
                <w:numId w:val="18"/>
              </w:numPr>
              <w:spacing w:line="254" w:lineRule="auto"/>
            </w:pPr>
            <w:r>
              <w:t>X=1.</w:t>
            </w:r>
          </w:p>
          <w:p>
            <w:pPr>
              <w:widowControl w:val="0"/>
              <w:spacing w:after="0"/>
            </w:pPr>
            <w:r>
              <w:t>The need for Case MSM-1-2, or Case MSM-2 is unclear.</w:t>
            </w:r>
          </w:p>
          <w:p>
            <w:pPr>
              <w:widowControl w:val="0"/>
              <w:spacing w:after="0"/>
            </w:pPr>
            <w:r>
              <w:t>W.r.t location of OFDM symbols, the starting point is that they are within the first 3 OFDM symbols of the slot. Additional flexibility can be easily supported, if there is clear justification.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rFonts w:hint="eastAsia"/>
                <w:lang w:eastAsia="zh-CN"/>
              </w:rPr>
              <w:t>Xiaomi</w:t>
            </w:r>
          </w:p>
        </w:tc>
        <w:tc>
          <w:tcPr>
            <w:tcW w:w="12176" w:type="dxa"/>
            <w:vAlign w:val="center"/>
          </w:tcPr>
          <w:p>
            <w:pPr>
              <w:widowControl w:val="0"/>
            </w:pPr>
            <w:r>
              <w:rPr>
                <w:lang w:eastAsia="zh-CN"/>
              </w:rPr>
              <w:t>A</w:t>
            </w:r>
            <w:r>
              <w:rPr>
                <w:rFonts w:hint="eastAsia"/>
                <w:lang w:eastAsia="zh-CN"/>
              </w:rPr>
              <w:t>gree</w:t>
            </w:r>
            <w:r>
              <w:rPr>
                <w:lang w:eastAsia="zh-CN"/>
              </w:rPr>
              <w:t xml:space="preserve"> </w:t>
            </w:r>
            <w:r>
              <w:rPr>
                <w:rFonts w:hint="eastAsia"/>
                <w:lang w:eastAsia="zh-CN"/>
              </w:rPr>
              <w:t>with</w:t>
            </w:r>
            <w:r>
              <w:rPr>
                <w:lang w:eastAsia="zh-CN"/>
              </w:rPr>
              <w:t xml:space="preserve"> </w:t>
            </w:r>
            <w:r>
              <w:rPr>
                <w:rFonts w:hint="eastAsia"/>
                <w:lang w:eastAsia="zh-CN"/>
              </w:rPr>
              <w:t>the</w:t>
            </w:r>
            <w:r>
              <w:rPr>
                <w:lang w:eastAsia="zh-CN"/>
              </w:rPr>
              <w:t xml:space="preserve"> </w:t>
            </w:r>
            <w:r>
              <w:rPr>
                <w:rFonts w:hint="eastAsia"/>
                <w:lang w:eastAsia="zh-CN"/>
              </w:rPr>
              <w:t>proposal</w:t>
            </w:r>
            <w:r>
              <w:rPr>
                <w:lang w:eastAsia="zh-CN"/>
              </w:rPr>
              <w:t xml:space="preserve"> A1-2</w:t>
            </w:r>
            <w:r>
              <w:rPr>
                <w:rFonts w:hint="eastAsia"/>
                <w:lang w:eastAsia="zh-CN"/>
              </w:rPr>
              <w:t>b.</w:t>
            </w:r>
            <w:r>
              <w:rPr>
                <w:lang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rFonts w:hint="eastAsia"/>
                <w:lang w:eastAsia="zh-CN"/>
              </w:rPr>
              <w:t>ZTE, Sanechips</w:t>
            </w:r>
          </w:p>
        </w:tc>
        <w:tc>
          <w:tcPr>
            <w:tcW w:w="12176" w:type="dxa"/>
            <w:vAlign w:val="center"/>
          </w:tcPr>
          <w:p>
            <w:pPr>
              <w:widowControl w:val="0"/>
              <w:rPr>
                <w:lang w:eastAsia="zh-CN"/>
              </w:rPr>
            </w:pPr>
            <w:r>
              <w:rPr>
                <w:rFonts w:hint="eastAsia"/>
                <w:lang w:eastAsia="zh-CN"/>
              </w:rPr>
              <w:t xml:space="preserve">We prefer to support Case MSM-1-1 and N can be fixed to one, which means PDCCH monitoring can be limited to within the first slot in each monitoring span. </w:t>
            </w:r>
          </w:p>
          <w:p>
            <w:pPr>
              <w:widowControl w:val="0"/>
              <w:rPr>
                <w:lang w:eastAsia="zh-CN"/>
              </w:rPr>
            </w:pPr>
            <w:r>
              <w:rPr>
                <w:rFonts w:hint="eastAsia"/>
                <w:lang w:eastAsia="zh-CN"/>
              </w:rPr>
              <w:t xml:space="preserve">Wherein, the position of CORESET can consider the following options: </w:t>
            </w:r>
          </w:p>
          <w:p>
            <w:pPr>
              <w:widowControl w:val="0"/>
              <w:rPr>
                <w:lang w:eastAsia="zh-CN"/>
              </w:rPr>
            </w:pPr>
            <w:r>
              <w:rPr>
                <w:rFonts w:hint="eastAsia"/>
                <w:lang w:eastAsia="zh-CN"/>
              </w:rPr>
              <w:t>Option1: CORESET can be placed at the starting of each slot in each monitoring span.</w:t>
            </w:r>
          </w:p>
          <w:p>
            <w:pPr>
              <w:widowControl w:val="0"/>
              <w:rPr>
                <w:lang w:eastAsia="zh-CN"/>
              </w:rPr>
            </w:pPr>
            <w:r>
              <w:rPr>
                <w:rFonts w:hint="eastAsia"/>
                <w:lang w:eastAsia="zh-CN"/>
              </w:rPr>
              <w:t>Option2: CORESET can be placed at the starting of first slot in each monitoring span.</w:t>
            </w:r>
          </w:p>
          <w:p>
            <w:pPr>
              <w:widowControl w:val="0"/>
              <w:rPr>
                <w:lang w:eastAsia="zh-CN"/>
              </w:rPr>
            </w:pPr>
            <w:r>
              <w:rPr>
                <w:rFonts w:hint="eastAsia"/>
                <w:lang w:eastAsia="zh-CN"/>
              </w:rPr>
              <w:t>Notes: the above mentioned monitoring span corresponds to slot group as shown in Figure below:</w:t>
            </w:r>
          </w:p>
          <w:p>
            <w:pPr>
              <w:widowControl w:val="0"/>
              <w:jc w:val="center"/>
            </w:pPr>
            <w:r>
              <w:rPr>
                <w:lang w:eastAsia="zh-CN"/>
              </w:rPr>
              <w:drawing>
                <wp:inline distT="0" distB="0" distL="114300" distR="114300">
                  <wp:extent cx="5969000" cy="966470"/>
                  <wp:effectExtent l="0" t="0" r="0" b="1143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5969000" cy="966470"/>
                          </a:xfrm>
                          <a:prstGeom prst="rect">
                            <a:avLst/>
                          </a:prstGeom>
                          <a:noFill/>
                          <a:ln>
                            <a:noFill/>
                          </a:ln>
                        </pic:spPr>
                      </pic:pic>
                    </a:graphicData>
                  </a:graphic>
                </wp:inline>
              </w:drawing>
            </w:r>
          </w:p>
          <w:p>
            <w:pPr>
              <w:widowControl w:val="0"/>
              <w:jc w:val="center"/>
              <w:rPr>
                <w:rFonts w:eastAsia="宋体"/>
                <w:lang w:eastAsia="zh-CN"/>
              </w:rPr>
            </w:pPr>
            <w:r>
              <w:rPr>
                <w:rFonts w:hint="eastAsia" w:eastAsia="宋体"/>
                <w:lang w:eastAsia="zh-CN"/>
              </w:rPr>
              <w:t>Option 1</w:t>
            </w:r>
          </w:p>
          <w:p>
            <w:pPr>
              <w:widowControl w:val="0"/>
              <w:jc w:val="center"/>
            </w:pPr>
            <w:r>
              <w:rPr>
                <w:lang w:eastAsia="zh-CN"/>
              </w:rPr>
              <w:drawing>
                <wp:inline distT="0" distB="0" distL="114300" distR="114300">
                  <wp:extent cx="5963285" cy="978535"/>
                  <wp:effectExtent l="0" t="0" r="5715" b="1206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7"/>
                          <a:stretch>
                            <a:fillRect/>
                          </a:stretch>
                        </pic:blipFill>
                        <pic:spPr>
                          <a:xfrm>
                            <a:off x="0" y="0"/>
                            <a:ext cx="5963285" cy="978535"/>
                          </a:xfrm>
                          <a:prstGeom prst="rect">
                            <a:avLst/>
                          </a:prstGeom>
                          <a:noFill/>
                          <a:ln>
                            <a:noFill/>
                          </a:ln>
                        </pic:spPr>
                      </pic:pic>
                    </a:graphicData>
                  </a:graphic>
                </wp:inline>
              </w:drawing>
            </w:r>
          </w:p>
          <w:p>
            <w:pPr>
              <w:widowControl w:val="0"/>
              <w:jc w:val="center"/>
              <w:rPr>
                <w:lang w:eastAsia="zh-CN"/>
              </w:rPr>
            </w:pPr>
            <w:r>
              <w:rPr>
                <w:rFonts w:hint="eastAsia" w:eastAsia="宋体"/>
                <w:lang w:eastAsia="zh-CN"/>
              </w:rPr>
              <w:t>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lang w:eastAsia="zh-CN"/>
              </w:rPr>
              <w:t>Lenovo, Motorola Mobility</w:t>
            </w:r>
          </w:p>
        </w:tc>
        <w:tc>
          <w:tcPr>
            <w:tcW w:w="12176" w:type="dxa"/>
            <w:vAlign w:val="center"/>
          </w:tcPr>
          <w:p>
            <w:pPr>
              <w:widowControl w:val="0"/>
              <w:rPr>
                <w:lang w:eastAsia="zh-CN"/>
              </w:rPr>
            </w:pPr>
            <w:r>
              <w:rPr>
                <w:lang w:eastAsia="zh-CN"/>
              </w:rPr>
              <w:t xml:space="preserve">We support the FL’s suggestion. Furthermore, we would support to at least agree on Case MSM-1-1 as it is the most straightforward extension. And as a starting point for Case MSM-1-1, we can agree to support CORESET symbols in the first slot in each monitoring span.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lang w:eastAsia="zh-CN"/>
              </w:rPr>
              <w:t>Qualcomm</w:t>
            </w:r>
          </w:p>
        </w:tc>
        <w:tc>
          <w:tcPr>
            <w:tcW w:w="12176" w:type="dxa"/>
            <w:vAlign w:val="center"/>
          </w:tcPr>
          <w:p>
            <w:pPr>
              <w:widowControl w:val="0"/>
              <w:rPr>
                <w:lang w:eastAsia="zh-CN"/>
              </w:rPr>
            </w:pPr>
            <w:r>
              <w:rPr>
                <w:lang w:eastAsia="zh-CN"/>
              </w:rPr>
              <w:t xml:space="preserve">In our view, the proposal should be discussed together with A1-2d. </w:t>
            </w:r>
          </w:p>
          <w:p>
            <w:pPr>
              <w:widowControl w:val="0"/>
              <w:rPr>
                <w:lang w:eastAsia="zh-CN"/>
              </w:rPr>
            </w:pPr>
            <w:r>
              <w:rPr>
                <w:lang w:eastAsia="zh-CN"/>
              </w:rPr>
              <w:t xml:space="preserve">It seems that the distinction of Case MSM 1-1 and Case MSM 1-2 is only relevant to Alt 1 (i.e., fixed window) in A1-2d. For Alt 2 and Alt 3 in A1-2d, the window is floating and Case MSM1-1 and Case MSM 1-2 are not distinguishable. Since we support Alt 2 in A1-2d, we don’t think the suggested extension is necessary. </w:t>
            </w:r>
          </w:p>
          <w:p>
            <w:pPr>
              <w:widowControl w:val="0"/>
              <w:rPr>
                <w:lang w:eastAsia="zh-CN"/>
              </w:rPr>
            </w:pPr>
            <w:r>
              <w:rPr>
                <w:lang w:eastAsia="zh-CN"/>
              </w:rPr>
              <w:t>For the position of PDCCH MO(s) within a slot in the window, we think existing Case 1-1 is sufficient.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lang w:eastAsia="zh-CN"/>
              </w:rPr>
              <w:t>CATT</w:t>
            </w:r>
          </w:p>
        </w:tc>
        <w:tc>
          <w:tcPr>
            <w:tcW w:w="12176" w:type="dxa"/>
            <w:vAlign w:val="center"/>
          </w:tcPr>
          <w:p>
            <w:pPr>
              <w:widowControl w:val="0"/>
              <w:rPr>
                <w:lang w:eastAsia="zh-CN"/>
              </w:rPr>
            </w:pPr>
            <w:r>
              <w:rPr>
                <w:lang w:eastAsia="zh-CN"/>
              </w:rPr>
              <w:t xml:space="preserve">We are generally OK with A1-2b.1.  We support Case MSM-1-2 with configured CORESET distribution through slots in the time span.  For Case MSM-1-2, the number of monitored PDCCH candidates would be limited to small number when the CORESETs are limited to first N slots of time span.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rFonts w:eastAsia="MS Mincho"/>
                <w:lang w:eastAsia="ja-JP"/>
              </w:rPr>
            </w:pPr>
            <w:r>
              <w:rPr>
                <w:rFonts w:hint="eastAsia" w:eastAsia="MS Mincho"/>
                <w:lang w:eastAsia="ja-JP"/>
              </w:rPr>
              <w:t>NTT</w:t>
            </w:r>
            <w:r>
              <w:rPr>
                <w:rFonts w:eastAsia="MS Mincho"/>
                <w:lang w:eastAsia="ja-JP"/>
              </w:rPr>
              <w:t xml:space="preserve"> DOCOMO</w:t>
            </w:r>
          </w:p>
        </w:tc>
        <w:tc>
          <w:tcPr>
            <w:tcW w:w="12176" w:type="dxa"/>
            <w:vAlign w:val="center"/>
          </w:tcPr>
          <w:p>
            <w:pPr>
              <w:widowControl/>
              <w:autoSpaceDE/>
              <w:autoSpaceDN/>
              <w:adjustRightInd/>
              <w:snapToGrid/>
              <w:spacing w:line="240" w:lineRule="auto"/>
              <w:rPr>
                <w:rFonts w:eastAsia="Yu Gothic"/>
                <w:lang w:eastAsia="ja-JP"/>
              </w:rPr>
            </w:pPr>
            <w:r>
              <w:rPr>
                <w:rFonts w:eastAsia="Yu Gothic"/>
                <w:lang w:eastAsia="ja-JP"/>
              </w:rPr>
              <w:t>We think both Case MSM-1-1 and MSM-1-2 should be supported. In addition, Case MSM-2 such as Apple mentioned in the 1</w:t>
            </w:r>
            <w:r>
              <w:rPr>
                <w:rFonts w:eastAsia="Yu Gothic"/>
                <w:vertAlign w:val="superscript"/>
                <w:lang w:eastAsia="ja-JP"/>
              </w:rPr>
              <w:t>st</w:t>
            </w:r>
            <w:r>
              <w:rPr>
                <w:rFonts w:eastAsia="Yu Gothic"/>
                <w:lang w:eastAsia="ja-JP"/>
              </w:rPr>
              <w:t xml:space="preserve"> round discussion can be farther studied, if it is necessary.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rFonts w:eastAsia="MS Mincho"/>
                <w:lang w:eastAsia="ja-JP"/>
              </w:rPr>
            </w:pPr>
            <w:r>
              <w:rPr>
                <w:lang w:eastAsia="zh-CN"/>
              </w:rPr>
              <w:t>vivo</w:t>
            </w:r>
          </w:p>
        </w:tc>
        <w:tc>
          <w:tcPr>
            <w:tcW w:w="12176" w:type="dxa"/>
            <w:vAlign w:val="center"/>
          </w:tcPr>
          <w:p>
            <w:pPr>
              <w:widowControl w:val="0"/>
              <w:rPr>
                <w:lang w:eastAsia="zh-CN"/>
              </w:rPr>
            </w:pPr>
            <w:r>
              <w:rPr>
                <w:lang w:eastAsia="zh-CN"/>
              </w:rPr>
              <w:t>We think this restriction of monitoring slots should be discussed together with each alternative in A1-2d. Besides, the BD/CCE counting rules are also associated with each alternative. Some further clarification for each alternative based the agreement for A1-2d is shown below:</w:t>
            </w:r>
          </w:p>
          <w:p>
            <w:pPr>
              <w:pStyle w:val="73"/>
              <w:widowControl w:val="0"/>
              <w:numPr>
                <w:ilvl w:val="0"/>
                <w:numId w:val="19"/>
              </w:numPr>
              <w:autoSpaceDE w:val="0"/>
              <w:autoSpaceDN w:val="0"/>
              <w:adjustRightInd w:val="0"/>
              <w:spacing w:line="252" w:lineRule="auto"/>
              <w:ind w:left="927"/>
              <w:rPr>
                <w:lang w:eastAsia="zh-CN"/>
              </w:rPr>
            </w:pPr>
            <w:r>
              <w:t xml:space="preserve">Alt 1: A fixed pattern of </w:t>
            </w:r>
            <w:r>
              <w:rPr>
                <w:color w:val="FF0000"/>
              </w:rPr>
              <w:t>X</w:t>
            </w:r>
            <w:r>
              <w:t xml:space="preserve"> slots. </w:t>
            </w:r>
          </w:p>
          <w:p>
            <w:pPr>
              <w:pStyle w:val="73"/>
              <w:widowControl w:val="0"/>
              <w:numPr>
                <w:ilvl w:val="1"/>
                <w:numId w:val="19"/>
              </w:numPr>
              <w:autoSpaceDE w:val="0"/>
              <w:autoSpaceDN w:val="0"/>
              <w:adjustRightInd w:val="0"/>
              <w:spacing w:line="252" w:lineRule="auto"/>
            </w:pPr>
            <w:r>
              <w:rPr>
                <w:color w:val="FF0000"/>
              </w:rPr>
              <w:t>PDCCH could be configured in the first Y consecutive slots</w:t>
            </w:r>
          </w:p>
          <w:p>
            <w:pPr>
              <w:pStyle w:val="73"/>
              <w:widowControl w:val="0"/>
              <w:numPr>
                <w:ilvl w:val="1"/>
                <w:numId w:val="19"/>
              </w:numPr>
              <w:autoSpaceDE w:val="0"/>
              <w:autoSpaceDN w:val="0"/>
              <w:adjustRightInd w:val="0"/>
              <w:spacing w:line="252" w:lineRule="auto"/>
            </w:pPr>
            <w:r>
              <w:rPr>
                <w:color w:val="FF0000"/>
              </w:rPr>
              <w:t>Alt 1-1: Y&lt;X, BD/CCE budget is counted within the first Y slots of each X slot group</w:t>
            </w:r>
          </w:p>
          <w:p>
            <w:pPr>
              <w:pStyle w:val="73"/>
              <w:widowControl w:val="0"/>
              <w:numPr>
                <w:ilvl w:val="1"/>
                <w:numId w:val="19"/>
              </w:numPr>
              <w:autoSpaceDE w:val="0"/>
              <w:autoSpaceDN w:val="0"/>
              <w:adjustRightInd w:val="0"/>
              <w:spacing w:line="252" w:lineRule="auto"/>
            </w:pPr>
            <w:r>
              <w:rPr>
                <w:color w:val="FF0000"/>
              </w:rPr>
              <w:t>Alt 1-2: Y=X, BD/CCE budget is counted for each X=Y slot group</w:t>
            </w:r>
          </w:p>
          <w:p>
            <w:pPr>
              <w:pStyle w:val="73"/>
              <w:widowControl w:val="0"/>
              <w:numPr>
                <w:ilvl w:val="0"/>
                <w:numId w:val="19"/>
              </w:numPr>
              <w:autoSpaceDE w:val="0"/>
              <w:autoSpaceDN w:val="0"/>
              <w:adjustRightInd w:val="0"/>
              <w:spacing w:line="252" w:lineRule="auto"/>
              <w:ind w:left="927"/>
            </w:pPr>
            <w:r>
              <w:t>Alt 2: Use the Rel-16 capability (</w:t>
            </w:r>
            <w:r>
              <w:rPr>
                <w:i/>
                <w:iCs/>
              </w:rPr>
              <w:t>pdcch-Monitoring-r16</w:t>
            </w:r>
            <w:r>
              <w:t>, (X, Y) span) as the baseline to define the new capability</w:t>
            </w:r>
          </w:p>
          <w:p>
            <w:pPr>
              <w:pStyle w:val="73"/>
              <w:widowControl w:val="0"/>
              <w:numPr>
                <w:ilvl w:val="1"/>
                <w:numId w:val="19"/>
              </w:numPr>
              <w:autoSpaceDE w:val="0"/>
              <w:autoSpaceDN w:val="0"/>
              <w:adjustRightInd w:val="0"/>
              <w:spacing w:line="252" w:lineRule="auto"/>
              <w:rPr>
                <w:color w:val="FF0000"/>
              </w:rPr>
            </w:pPr>
            <w:r>
              <w:rPr>
                <w:color w:val="FF0000"/>
              </w:rPr>
              <w:t>PDCCH could be configured such that the developed span pattern by SS configuration satisfy (X,Y) requirement, i.e. any two span of Y symbols/slots is separated by at least X symbols/slots</w:t>
            </w:r>
          </w:p>
          <w:p>
            <w:pPr>
              <w:pStyle w:val="73"/>
              <w:widowControl w:val="0"/>
              <w:numPr>
                <w:ilvl w:val="1"/>
                <w:numId w:val="19"/>
              </w:numPr>
              <w:autoSpaceDE w:val="0"/>
              <w:autoSpaceDN w:val="0"/>
              <w:adjustRightInd w:val="0"/>
              <w:spacing w:line="252" w:lineRule="auto"/>
              <w:rPr>
                <w:color w:val="FF0000"/>
              </w:rPr>
            </w:pPr>
            <w:r>
              <w:rPr>
                <w:color w:val="FF0000"/>
              </w:rPr>
              <w:t>BD/CCE budget is counted for each span of Y symbols/slots</w:t>
            </w:r>
          </w:p>
          <w:p>
            <w:pPr>
              <w:pStyle w:val="73"/>
              <w:widowControl w:val="0"/>
              <w:numPr>
                <w:ilvl w:val="1"/>
                <w:numId w:val="19"/>
              </w:numPr>
              <w:autoSpaceDE w:val="0"/>
              <w:autoSpaceDN w:val="0"/>
              <w:adjustRightInd w:val="0"/>
              <w:spacing w:line="252" w:lineRule="auto"/>
            </w:pPr>
            <w:r>
              <w:t xml:space="preserve">FFS: Values of X and Y and units in which they are defined </w:t>
            </w:r>
          </w:p>
          <w:p>
            <w:pPr>
              <w:pStyle w:val="73"/>
              <w:widowControl w:val="0"/>
              <w:numPr>
                <w:ilvl w:val="1"/>
                <w:numId w:val="19"/>
              </w:numPr>
              <w:autoSpaceDE w:val="0"/>
              <w:autoSpaceDN w:val="0"/>
              <w:adjustRightInd w:val="0"/>
              <w:spacing w:line="252" w:lineRule="auto"/>
            </w:pPr>
            <w:r>
              <w:t>FFS: Whether number of slots within which the number of monitoring occasions is counted is needed and if needed, the value of the number of slots</w:t>
            </w:r>
          </w:p>
          <w:p>
            <w:pPr>
              <w:pStyle w:val="73"/>
              <w:widowControl w:val="0"/>
              <w:numPr>
                <w:ilvl w:val="0"/>
                <w:numId w:val="19"/>
              </w:numPr>
              <w:autoSpaceDE w:val="0"/>
              <w:autoSpaceDN w:val="0"/>
              <w:adjustRightInd w:val="0"/>
              <w:spacing w:line="252" w:lineRule="auto"/>
              <w:ind w:left="927"/>
            </w:pPr>
            <w:r>
              <w:t xml:space="preserve">Alt 3: A sliding window of </w:t>
            </w:r>
            <w:r>
              <w:rPr>
                <w:color w:val="FF0000"/>
              </w:rPr>
              <w:t>X=Y</w:t>
            </w:r>
            <w:r>
              <w:t xml:space="preserve"> slots for defining multi-slot PDCCH monitoring capability.</w:t>
            </w:r>
          </w:p>
          <w:p>
            <w:pPr>
              <w:pStyle w:val="73"/>
              <w:widowControl w:val="0"/>
              <w:numPr>
                <w:ilvl w:val="1"/>
                <w:numId w:val="19"/>
              </w:numPr>
              <w:autoSpaceDE w:val="0"/>
              <w:autoSpaceDN w:val="0"/>
              <w:adjustRightInd w:val="0"/>
              <w:spacing w:line="252" w:lineRule="auto"/>
              <w:rPr>
                <w:color w:val="FF0000"/>
              </w:rPr>
            </w:pPr>
            <w:r>
              <w:rPr>
                <w:color w:val="FF0000"/>
              </w:rPr>
              <w:t>PDCCH could be configured in any slot</w:t>
            </w:r>
          </w:p>
          <w:p>
            <w:pPr>
              <w:pStyle w:val="73"/>
              <w:widowControl w:val="0"/>
              <w:numPr>
                <w:ilvl w:val="1"/>
                <w:numId w:val="19"/>
              </w:numPr>
              <w:autoSpaceDE w:val="0"/>
              <w:autoSpaceDN w:val="0"/>
              <w:adjustRightInd w:val="0"/>
              <w:spacing w:line="252" w:lineRule="auto"/>
              <w:rPr>
                <w:color w:val="FF0000"/>
              </w:rPr>
            </w:pPr>
            <w:r>
              <w:rPr>
                <w:color w:val="FF0000"/>
              </w:rPr>
              <w:t>BD/CCE budget is counted within any consecutive X=Y slots</w:t>
            </w:r>
          </w:p>
          <w:p>
            <w:pPr>
              <w:pStyle w:val="73"/>
              <w:widowControl w:val="0"/>
              <w:numPr>
                <w:ilvl w:val="1"/>
                <w:numId w:val="19"/>
              </w:numPr>
              <w:autoSpaceDE w:val="0"/>
              <w:autoSpaceDN w:val="0"/>
              <w:adjustRightInd w:val="0"/>
              <w:spacing w:line="252" w:lineRule="auto"/>
              <w:rPr>
                <w:color w:val="FF0000"/>
              </w:rPr>
            </w:pPr>
            <w:r>
              <w:t>FFS: Increments in which sliding occurs</w:t>
            </w:r>
          </w:p>
          <w:p>
            <w:pPr>
              <w:widowControl w:val="0"/>
              <w:autoSpaceDE/>
              <w:autoSpaceDN/>
              <w:adjustRightInd/>
              <w:snapToGrid/>
              <w:spacing w:line="240" w:lineRule="auto"/>
              <w:rPr>
                <w:rFonts w:eastAsia="Yu Gothic"/>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rFonts w:eastAsia="MS Mincho"/>
                <w:lang w:eastAsia="ja-JP"/>
              </w:rPr>
              <w:t>Apple</w:t>
            </w:r>
          </w:p>
        </w:tc>
        <w:tc>
          <w:tcPr>
            <w:tcW w:w="12176" w:type="dxa"/>
            <w:vAlign w:val="center"/>
          </w:tcPr>
          <w:p>
            <w:pPr>
              <w:widowControl w:val="0"/>
              <w:autoSpaceDE/>
              <w:autoSpaceDN/>
              <w:adjustRightInd/>
              <w:snapToGrid/>
              <w:spacing w:line="240" w:lineRule="auto"/>
              <w:rPr>
                <w:rFonts w:eastAsia="Yu Gothic"/>
                <w:lang w:eastAsia="ja-JP"/>
              </w:rPr>
            </w:pPr>
            <w:r>
              <w:rPr>
                <w:rFonts w:eastAsia="Yu Gothic"/>
                <w:lang w:eastAsia="ja-JP"/>
              </w:rPr>
              <w:t xml:space="preserve">In the proposal, it  is not clear what a span is on the first line is and this needs to be clearly defined if it is intended that there is a difference from Rel15/Rel16. Note that we would prefer a consistent definition across releases. </w:t>
            </w:r>
          </w:p>
          <w:p>
            <w:pPr>
              <w:widowControl w:val="0"/>
              <w:autoSpaceDE/>
              <w:autoSpaceDN/>
              <w:adjustRightInd/>
              <w:snapToGrid/>
              <w:spacing w:line="240" w:lineRule="auto"/>
              <w:rPr>
                <w:rFonts w:eastAsia="Yu Gothic"/>
                <w:lang w:eastAsia="ja-JP"/>
              </w:rPr>
            </w:pPr>
            <w:r>
              <w:rPr>
                <w:rFonts w:eastAsia="Yu Gothic"/>
                <w:lang w:eastAsia="ja-JP"/>
              </w:rPr>
              <w:t xml:space="preserve">From Rel 15/16, span refers to OFDM symbols over which MO can be found: </w:t>
            </w:r>
          </w:p>
          <w:p>
            <w:pPr>
              <w:widowControl w:val="0"/>
              <w:autoSpaceDE/>
              <w:autoSpaceDN/>
              <w:adjustRightInd/>
              <w:snapToGrid/>
              <w:spacing w:line="240" w:lineRule="auto"/>
              <w:rPr>
                <w:rFonts w:eastAsia="Yu Gothic"/>
                <w:lang w:eastAsia="ja-JP"/>
              </w:rPr>
            </w:pPr>
            <w:r>
              <w:rPr>
                <w:rFonts w:eastAsia="Yu Gothic"/>
                <w:lang w:eastAsia="ja-JP"/>
              </w:rPr>
              <w:t>“</w:t>
            </w:r>
            <w:r>
              <w:rPr>
                <w:color w:val="000000" w:themeColor="text1"/>
                <w14:textFill>
                  <w14:solidFill>
                    <w14:schemeClr w14:val="tx1"/>
                  </w14:solidFill>
                </w14:textFill>
              </w:rPr>
              <w:t xml:space="preserve">A span starts at a first symbol where a PDCCH monitoring occasion starts and ends at a last symbol where a PDCCH monitoring occasion ends, where the number of symbols of the span is up to </w:t>
            </w:r>
            <m:oMath>
              <m:r>
                <w:rPr>
                  <w:rFonts w:ascii="Cambria Math" w:hAnsi="Cambria Math"/>
                  <w:color w:val="000000" w:themeColor="text1"/>
                  <w14:textFill>
                    <w14:solidFill>
                      <w14:schemeClr w14:val="tx1"/>
                    </w14:solidFill>
                  </w14:textFill>
                </w:rPr>
                <m:t>Y</m:t>
              </m:r>
            </m:oMath>
            <w:r>
              <w:rPr>
                <w:color w:val="000000" w:themeColor="text1"/>
                <w14:textFill>
                  <w14:solidFill>
                    <w14:schemeClr w14:val="tx1"/>
                  </w14:solidFill>
                </w14:textFill>
              </w:rPr>
              <w:t>.” Section 10, 38.213-g40.</w:t>
            </w:r>
          </w:p>
          <w:p>
            <w:pPr>
              <w:widowControl w:val="0"/>
              <w:autoSpaceDE/>
              <w:autoSpaceDN/>
              <w:adjustRightInd/>
              <w:snapToGrid/>
              <w:spacing w:line="240" w:lineRule="auto"/>
              <w:rPr>
                <w:rFonts w:eastAsia="Yu Gothic"/>
                <w:lang w:eastAsia="ja-JP"/>
              </w:rPr>
            </w:pPr>
            <w:r>
              <w:rPr>
                <w:rFonts w:eastAsia="Yu Gothic"/>
                <w:lang w:eastAsia="zh-CN"/>
              </w:rPr>
              <w:drawing>
                <wp:inline distT="0" distB="0" distL="0" distR="0">
                  <wp:extent cx="7594600" cy="129667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a:picLocks noChangeAspect="1"/>
                          </pic:cNvPicPr>
                        </pic:nvPicPr>
                        <pic:blipFill>
                          <a:blip r:embed="rId8"/>
                          <a:stretch>
                            <a:fillRect/>
                          </a:stretch>
                        </pic:blipFill>
                        <pic:spPr>
                          <a:xfrm>
                            <a:off x="0" y="0"/>
                            <a:ext cx="7594600" cy="1296670"/>
                          </a:xfrm>
                          <a:prstGeom prst="rect">
                            <a:avLst/>
                          </a:prstGeom>
                        </pic:spPr>
                      </pic:pic>
                    </a:graphicData>
                  </a:graphic>
                </wp:inline>
              </w:drawing>
            </w:r>
          </w:p>
          <w:p>
            <w:pPr>
              <w:widowControl w:val="0"/>
              <w:autoSpaceDE/>
              <w:autoSpaceDN/>
              <w:adjustRightInd/>
              <w:snapToGrid/>
              <w:spacing w:line="240" w:lineRule="auto"/>
              <w:rPr>
                <w:rFonts w:eastAsia="Yu Gothic"/>
                <w:lang w:eastAsia="ja-JP"/>
              </w:rPr>
            </w:pPr>
            <w:r>
              <w:rPr>
                <w:rFonts w:eastAsia="Yu Gothic"/>
                <w:lang w:eastAsia="ja-JP"/>
              </w:rPr>
              <w:t>Is the span definition in this proposal (1) span as in Rel 16  (2) a group of slots that the monitoring occasions can be found in that is further placed within the group of N slots as defined in the agreement on multi-slot monitoring capability or (3) is it the group of N slots defined in the agreement on multi-slot monitoring capability? Please clarify. Note that if N in the proposal is different from N in the multi-slot monitoring agreement, we may want to use another variable e.g. M, to avoid confusion.</w:t>
            </w:r>
          </w:p>
          <w:p>
            <w:pPr>
              <w:widowControl w:val="0"/>
              <w:autoSpaceDE/>
              <w:autoSpaceDN/>
              <w:adjustRightInd/>
              <w:snapToGrid/>
              <w:spacing w:line="240" w:lineRule="auto"/>
              <w:rPr>
                <w:rFonts w:eastAsia="Yu Gothic"/>
                <w:lang w:eastAsia="ja-JP"/>
              </w:rPr>
            </w:pPr>
            <w:r>
              <w:rPr>
                <w:rFonts w:eastAsia="Yu Gothic"/>
                <w:lang w:eastAsia="ja-JP"/>
              </w:rPr>
              <w:t xml:space="preserve">To clarify our understanding further, please find questions/edits to the proposal in </w:t>
            </w:r>
            <w:r>
              <w:rPr>
                <w:rFonts w:eastAsia="Yu Gothic"/>
                <w:color w:val="FF0000"/>
                <w:lang w:eastAsia="ja-JP"/>
              </w:rPr>
              <w:t>red</w:t>
            </w:r>
            <w:r>
              <w:rPr>
                <w:rFonts w:eastAsia="Yu Gothic"/>
                <w:lang w:eastAsia="ja-JP"/>
              </w:rPr>
              <w:t>:</w:t>
            </w:r>
          </w:p>
          <w:p>
            <w:pPr>
              <w:pStyle w:val="73"/>
              <w:widowControl w:val="0"/>
              <w:numPr>
                <w:ilvl w:val="1"/>
                <w:numId w:val="17"/>
              </w:numPr>
              <w:rPr>
                <w:rFonts w:ascii="Times New Roman" w:hAnsi="Times New Roman"/>
                <w:lang w:eastAsia="zh-CN"/>
              </w:rPr>
            </w:pPr>
            <w:r>
              <w:rPr>
                <w:rFonts w:ascii="Times New Roman" w:hAnsi="Times New Roman"/>
                <w:sz w:val="20"/>
                <w:szCs w:val="20"/>
              </w:rPr>
              <w:t xml:space="preserve">Case MSM-1: PDCCH monitoring of all SS sets monitored in a </w:t>
            </w:r>
            <w:r>
              <w:rPr>
                <w:rFonts w:ascii="Times New Roman" w:hAnsi="Times New Roman"/>
                <w:color w:val="FF0000"/>
                <w:sz w:val="20"/>
                <w:szCs w:val="20"/>
              </w:rPr>
              <w:t xml:space="preserve">span (is a 38.213 span or multi-slot monitoring span ? ) </w:t>
            </w:r>
            <w:r>
              <w:rPr>
                <w:rFonts w:ascii="Times New Roman" w:hAnsi="Times New Roman"/>
                <w:sz w:val="20"/>
                <w:szCs w:val="20"/>
              </w:rPr>
              <w:t xml:space="preserve">occurs within N consecutive slots that have fixed positions in each </w:t>
            </w:r>
            <w:r>
              <w:rPr>
                <w:rFonts w:ascii="Times New Roman" w:hAnsi="Times New Roman"/>
                <w:color w:val="FF0000"/>
                <w:sz w:val="20"/>
                <w:szCs w:val="20"/>
              </w:rPr>
              <w:t>slot (should this be multiple slots, monitoring span or a multi-slot span ?)</w:t>
            </w:r>
          </w:p>
          <w:p>
            <w:pPr>
              <w:pStyle w:val="209"/>
              <w:widowControl w:val="0"/>
              <w:numPr>
                <w:ilvl w:val="2"/>
                <w:numId w:val="17"/>
              </w:numPr>
              <w:spacing w:after="120"/>
              <w:jc w:val="both"/>
              <w:rPr>
                <w:rFonts w:ascii="Times New Roman" w:hAnsi="Times New Roman" w:cs="Times New Roman"/>
                <w:sz w:val="20"/>
                <w:szCs w:val="20"/>
              </w:rPr>
            </w:pPr>
            <w:r>
              <w:rPr>
                <w:rFonts w:ascii="Times New Roman" w:hAnsi="Times New Roman" w:cs="Times New Roman"/>
                <w:sz w:val="20"/>
                <w:szCs w:val="20"/>
              </w:rPr>
              <w:t xml:space="preserve">Case MSM-1-1: PDCCH monitoring limited to within first N slots of a </w:t>
            </w:r>
            <w:r>
              <w:rPr>
                <w:rFonts w:ascii="Times New Roman" w:hAnsi="Times New Roman" w:cs="Times New Roman"/>
                <w:color w:val="FF0000"/>
                <w:sz w:val="20"/>
                <w:szCs w:val="20"/>
              </w:rPr>
              <w:t>monitoring span (define as a multi-slot monitoring span ?)</w:t>
            </w:r>
          </w:p>
          <w:p>
            <w:pPr>
              <w:pStyle w:val="209"/>
              <w:widowControl w:val="0"/>
              <w:numPr>
                <w:ilvl w:val="2"/>
                <w:numId w:val="17"/>
              </w:numPr>
              <w:spacing w:after="120"/>
              <w:jc w:val="both"/>
              <w:rPr>
                <w:rFonts w:ascii="Times New Roman" w:hAnsi="Times New Roman" w:cs="Times New Roman"/>
                <w:sz w:val="20"/>
                <w:szCs w:val="20"/>
              </w:rPr>
            </w:pPr>
            <w:r>
              <w:rPr>
                <w:rFonts w:ascii="Times New Roman" w:hAnsi="Times New Roman" w:cs="Times New Roman"/>
                <w:sz w:val="20"/>
                <w:szCs w:val="20"/>
              </w:rPr>
              <w:t xml:space="preserve">Case MSM-1-2: PDCCH monitoring on any span of up to N consecutive slots of a monitoring span </w:t>
            </w:r>
            <w:r>
              <w:rPr>
                <w:rFonts w:ascii="Times New Roman" w:hAnsi="Times New Roman" w:cs="Times New Roman"/>
                <w:color w:val="FF0000"/>
                <w:sz w:val="20"/>
                <w:szCs w:val="20"/>
              </w:rPr>
              <w:t>(same as above ?)</w:t>
            </w:r>
          </w:p>
          <w:p>
            <w:pPr>
              <w:pStyle w:val="209"/>
              <w:widowControl w:val="0"/>
              <w:numPr>
                <w:ilvl w:val="3"/>
                <w:numId w:val="17"/>
              </w:numPr>
              <w:spacing w:after="120"/>
              <w:jc w:val="both"/>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N consecutive slots in the monitoring span</w:t>
            </w:r>
          </w:p>
          <w:p>
            <w:pPr>
              <w:pStyle w:val="209"/>
              <w:widowControl w:val="0"/>
              <w:numPr>
                <w:ilvl w:val="1"/>
                <w:numId w:val="17"/>
              </w:numPr>
              <w:spacing w:after="120"/>
              <w:jc w:val="both"/>
              <w:rPr>
                <w:rFonts w:ascii="Times New Roman" w:hAnsi="Times New Roman" w:cs="Times New Roman"/>
                <w:sz w:val="20"/>
                <w:szCs w:val="20"/>
              </w:rPr>
            </w:pPr>
            <w:r>
              <w:rPr>
                <w:rFonts w:ascii="Times New Roman" w:hAnsi="Times New Roman" w:cs="Times New Roman"/>
                <w:sz w:val="20"/>
                <w:szCs w:val="20"/>
              </w:rPr>
              <w:t>Case MSM-2: PDCCH monitoring cases other than Case 1 MSM-1</w:t>
            </w:r>
          </w:p>
          <w:p>
            <w:pPr>
              <w:widowControl w:val="0"/>
              <w:rPr>
                <w:lang w:eastAsia="zh-CN"/>
              </w:rPr>
            </w:pPr>
            <w:r>
              <w:rPr>
                <w:rFonts w:eastAsia="Yu Gothic"/>
                <w:lang w:eastAsia="ja-JP"/>
              </w:rPr>
              <w:t>Ideally, we would like a framework that allows the definition of a multi-slot span with MSM-1-1 within the first N consecutive slots, MSM-102 within the same N consecutive slots (any up to N) and MSM-2, the other case. Discussions can start with MSM-1-1 and MSM-1-2.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lang w:val="en-GB" w:eastAsia="zh-CN"/>
              </w:rPr>
              <w:t>Spreadtrum</w:t>
            </w:r>
          </w:p>
        </w:tc>
        <w:tc>
          <w:tcPr>
            <w:tcW w:w="12176" w:type="dxa"/>
            <w:vAlign w:val="center"/>
          </w:tcPr>
          <w:p>
            <w:pPr>
              <w:widowControl w:val="0"/>
              <w:rPr>
                <w:lang w:eastAsia="zh-CN"/>
              </w:rPr>
            </w:pPr>
            <w:r>
              <w:rPr>
                <w:rFonts w:hint="eastAsia"/>
                <w:lang w:eastAsia="zh-CN"/>
              </w:rPr>
              <w:t xml:space="preserve">We are </w:t>
            </w:r>
            <w:r>
              <w:rPr>
                <w:lang w:eastAsia="zh-CN"/>
              </w:rPr>
              <w:t xml:space="preserve">generally </w:t>
            </w:r>
            <w:r>
              <w:rPr>
                <w:rFonts w:hint="eastAsia"/>
                <w:lang w:eastAsia="zh-CN"/>
              </w:rPr>
              <w:t>fine with the</w:t>
            </w:r>
            <w:r>
              <w:rPr>
                <w:lang w:eastAsia="zh-CN"/>
              </w:rPr>
              <w:t xml:space="preserve"> </w:t>
            </w:r>
            <w:r>
              <w:rPr>
                <w:rFonts w:eastAsia="Yu Gothic"/>
                <w:lang w:eastAsia="ja-JP"/>
              </w:rPr>
              <w:t>MSM-1-1 and MSM-1-2.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val="en-GB" w:eastAsia="zh-CN"/>
              </w:rPr>
            </w:pPr>
            <w:r>
              <w:rPr>
                <w:rFonts w:hint="eastAsia"/>
                <w:lang w:val="en-GB" w:eastAsia="zh-CN"/>
              </w:rPr>
              <w:t>Huawei, HiSilicon</w:t>
            </w:r>
          </w:p>
        </w:tc>
        <w:tc>
          <w:tcPr>
            <w:tcW w:w="12176" w:type="dxa"/>
            <w:vAlign w:val="center"/>
          </w:tcPr>
          <w:p>
            <w:pPr>
              <w:widowControl w:val="0"/>
              <w:rPr>
                <w:lang w:eastAsia="zh-CN"/>
              </w:rPr>
            </w:pPr>
            <w:r>
              <w:rPr>
                <w:rFonts w:hint="eastAsia"/>
                <w:lang w:eastAsia="zh-CN"/>
              </w:rPr>
              <w:t>A</w:t>
            </w:r>
            <w:r>
              <w:rPr>
                <w:lang w:eastAsia="zh-CN"/>
              </w:rPr>
              <w:t>fter further review and a</w:t>
            </w:r>
            <w:r>
              <w:rPr>
                <w:rFonts w:hint="eastAsia"/>
                <w:lang w:eastAsia="zh-CN"/>
              </w:rPr>
              <w:t>s commented by email, we would prefer to us</w:t>
            </w:r>
            <w:r>
              <w:rPr>
                <w:lang w:eastAsia="zh-CN"/>
              </w:rPr>
              <w:t>e</w:t>
            </w:r>
            <w:r>
              <w:rPr>
                <w:rFonts w:hint="eastAsia"/>
                <w:lang w:eastAsia="zh-CN"/>
              </w:rPr>
              <w:t xml:space="preserve"> the word </w:t>
            </w:r>
            <w:r>
              <w:rPr>
                <w:lang w:eastAsia="zh-CN"/>
              </w:rPr>
              <w:t>“span” as it is meant in current specifications (meaning it applies to one search space configuration and with consecutive OFDM symbols, as defined by Y), to avoid any confusion.</w:t>
            </w:r>
          </w:p>
          <w:p>
            <w:pPr>
              <w:widowControl w:val="0"/>
              <w:rPr>
                <w:lang w:eastAsia="zh-CN"/>
              </w:rPr>
            </w:pPr>
            <w:r>
              <w:rPr>
                <w:lang w:eastAsia="zh-CN"/>
              </w:rPr>
              <w:t xml:space="preserve">Since </w:t>
            </w:r>
            <w:r>
              <w:rPr>
                <w:rFonts w:hint="eastAsia"/>
                <w:lang w:eastAsia="zh-CN"/>
              </w:rPr>
              <w:t xml:space="preserve">MSM-1-1 and MSM-1-2 </w:t>
            </w:r>
            <w:r>
              <w:rPr>
                <w:lang w:eastAsia="zh-CN"/>
              </w:rPr>
              <w:t xml:space="preserve">seem to be defining </w:t>
            </w:r>
            <w:r>
              <w:rPr>
                <w:rFonts w:hint="eastAsia"/>
                <w:lang w:eastAsia="zh-CN"/>
              </w:rPr>
              <w:t xml:space="preserve">only </w:t>
            </w:r>
            <w:r>
              <w:rPr>
                <w:lang w:eastAsia="zh-CN"/>
              </w:rPr>
              <w:t>the</w:t>
            </w:r>
            <w:r>
              <w:rPr>
                <w:rFonts w:hint="eastAsia"/>
                <w:lang w:eastAsia="zh-CN"/>
              </w:rPr>
              <w:t xml:space="preserve"> monitoring slots (</w:t>
            </w:r>
            <w:r>
              <w:rPr>
                <w:lang w:eastAsia="zh-CN"/>
              </w:rPr>
              <w:t xml:space="preserve">but </w:t>
            </w:r>
            <w:r>
              <w:rPr>
                <w:rFonts w:hint="eastAsia"/>
                <w:lang w:eastAsia="zh-CN"/>
              </w:rPr>
              <w:t>not</w:t>
            </w:r>
            <w:r>
              <w:rPr>
                <w:lang w:eastAsia="zh-CN"/>
              </w:rPr>
              <w:t xml:space="preserve"> the</w:t>
            </w:r>
            <w:r>
              <w:rPr>
                <w:rFonts w:hint="eastAsia"/>
                <w:lang w:eastAsia="zh-CN"/>
              </w:rPr>
              <w:t xml:space="preserve"> symbols within each monitoring slot)</w:t>
            </w:r>
            <w:r>
              <w:rPr>
                <w:lang w:eastAsia="zh-CN"/>
              </w:rPr>
              <w:t>, then we should avoid the use of “span” in A1-2b.1.</w:t>
            </w:r>
          </w:p>
          <w:p>
            <w:pPr>
              <w:widowControl w:val="0"/>
              <w:rPr>
                <w:lang w:eastAsia="zh-CN"/>
              </w:rPr>
            </w:pPr>
            <w:r>
              <w:rPr>
                <w:lang w:eastAsia="zh-CN"/>
              </w:rPr>
              <w:t>With that understanding, we think that for a search space a single slot needs to be monitored within each monitoring periodicity. Within that slot, the span (Y) includes multiple consecutive symbols (the exact number can be discussed later). This is similar to the views from Nokia, Qualcomm and ZTE option 2.</w:t>
            </w:r>
          </w:p>
          <w:p>
            <w:pPr>
              <w:widowControl w:val="0"/>
              <w:rPr>
                <w:lang w:eastAsia="zh-CN"/>
              </w:rPr>
            </w:pPr>
            <w:r>
              <w:rPr>
                <w:lang w:eastAsia="zh-CN"/>
              </w:rPr>
              <w:t>So the overall description of Case MSM-1 should be revisited first (and we don’t understand what has fixed positions in each slot, as these words seem to apply to “N consecutive slots, which makes no sense).</w:t>
            </w:r>
          </w:p>
          <w:p>
            <w:pPr>
              <w:widowControl w:val="0"/>
              <w:rPr>
                <w:i/>
                <w:lang w:eastAsia="zh-CN"/>
              </w:rPr>
            </w:pPr>
            <w:r>
              <w:rPr>
                <w:i/>
                <w:sz w:val="20"/>
                <w:szCs w:val="20"/>
              </w:rPr>
              <w:t xml:space="preserve">Case MSM-1: PDCCH monitoring of all SS sets monitored in a span occurs within N consecutive slots </w:t>
            </w:r>
            <w:r>
              <w:rPr>
                <w:i/>
                <w:sz w:val="20"/>
                <w:szCs w:val="20"/>
                <w:highlight w:val="yellow"/>
              </w:rPr>
              <w:t>that have fixed positions in each slot</w:t>
            </w:r>
            <w:r>
              <w:rPr>
                <w:rFonts w:hint="eastAsia"/>
                <w:i/>
                <w:lang w:eastAsia="zh-CN"/>
              </w:rPr>
              <w:t xml:space="preserve"> </w:t>
            </w:r>
          </w:p>
          <w:p>
            <w:pPr>
              <w:widowControl w:val="0"/>
              <w:rPr>
                <w:lang w:eastAsia="zh-CN"/>
              </w:rPr>
            </w:pPr>
          </w:p>
          <w:p>
            <w:pPr>
              <w:widowControl w:val="0"/>
              <w:rPr>
                <w:lang w:eastAsia="zh-CN"/>
              </w:rPr>
            </w:pPr>
            <w:r>
              <w:rPr>
                <w:color w:val="1F497D"/>
                <w:sz w:val="21"/>
                <w:szCs w:val="21"/>
              </w:rPr>
              <w:t xml:space="preserve">We would suggest taking </w:t>
            </w:r>
            <w:r>
              <w:rPr>
                <w:i/>
                <w:iCs/>
              </w:rPr>
              <w:t>pdcch-Monitoring</w:t>
            </w:r>
            <w:r>
              <w:t xml:space="preserve"> with a (X, Y) span</w:t>
            </w:r>
            <w:r>
              <w:rPr>
                <w:sz w:val="21"/>
                <w:szCs w:val="21"/>
              </w:rPr>
              <w:t>, with Y in symbols and X in unit of [slots or symbols]</w:t>
            </w:r>
            <w:r>
              <w:rPr>
                <w:color w:val="1F497D"/>
                <w:sz w:val="21"/>
                <w:szCs w:val="21"/>
              </w:rPr>
              <w:t>, as a baseline for monitoring one search space, discuss the values of (X, Y) that companies are proposing to support, and discuss how much flexibility needs to be supported for the configuration of PDCCH monitoring for multiple search spaces.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val="en-GB" w:eastAsia="zh-CN"/>
              </w:rPr>
            </w:pPr>
            <w:r>
              <w:rPr>
                <w:lang w:val="en-GB" w:eastAsia="zh-CN"/>
              </w:rPr>
              <w:t>Sony</w:t>
            </w:r>
          </w:p>
        </w:tc>
        <w:tc>
          <w:tcPr>
            <w:tcW w:w="12176" w:type="dxa"/>
            <w:vAlign w:val="center"/>
          </w:tcPr>
          <w:p>
            <w:pPr>
              <w:widowControl w:val="0"/>
              <w:rPr>
                <w:lang w:eastAsia="zh-CN"/>
              </w:rPr>
            </w:pPr>
            <w:r>
              <w:rPr>
                <w:lang w:eastAsia="zh-CN"/>
              </w:rPr>
              <w:t xml:space="preserve">We support the FL’s proposal. We agree to support </w:t>
            </w:r>
            <w:r>
              <w:rPr>
                <w:sz w:val="20"/>
                <w:szCs w:val="20"/>
              </w:rPr>
              <w:t>Case MSM-1-1</w:t>
            </w:r>
            <w:r>
              <w:rPr>
                <w:lang w:eastAsia="zh-CN"/>
              </w:rPr>
              <w:t xml:space="preserve">, and </w:t>
            </w:r>
            <w:r>
              <w:rPr>
                <w:sz w:val="20"/>
                <w:szCs w:val="20"/>
              </w:rPr>
              <w:t xml:space="preserve">Case MSM-1-2 </w:t>
            </w:r>
            <w:r>
              <w:rPr>
                <w:lang w:eastAsia="zh-CN"/>
              </w:rPr>
              <w:t xml:space="preserve">needs further study to with consideration of the necessity for the network side as well as the complexity on the UE side.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val="en-GB" w:eastAsia="zh-CN"/>
              </w:rPr>
            </w:pPr>
            <w:r>
              <w:rPr>
                <w:rFonts w:hint="eastAsia"/>
                <w:lang w:val="en-GB" w:eastAsia="zh-CN"/>
              </w:rPr>
              <w:t>OPPO</w:t>
            </w:r>
          </w:p>
        </w:tc>
        <w:tc>
          <w:tcPr>
            <w:tcW w:w="12176" w:type="dxa"/>
            <w:vAlign w:val="center"/>
          </w:tcPr>
          <w:p>
            <w:pPr>
              <w:widowControl w:val="0"/>
              <w:rPr>
                <w:lang w:eastAsia="zh-CN"/>
              </w:rPr>
            </w:pPr>
            <w:r>
              <w:rPr>
                <w:rFonts w:hint="eastAsia"/>
                <w:lang w:eastAsia="zh-CN"/>
              </w:rPr>
              <w:t>We don</w:t>
            </w:r>
            <w:r>
              <w:rPr>
                <w:lang w:eastAsia="zh-CN"/>
              </w:rPr>
              <w:t>’t see the need to support both Case MSM-1-1 and Case MSM-1-2</w:t>
            </w:r>
            <w:r>
              <w:rPr>
                <w:rFonts w:hint="eastAsia"/>
                <w:lang w:eastAsia="zh-CN"/>
              </w:rPr>
              <w:t>, and we prefer to add down</w:t>
            </w:r>
            <w:r>
              <w:rPr>
                <w:lang w:eastAsia="zh-CN"/>
              </w:rPr>
              <w:t xml:space="preserve"> </w:t>
            </w:r>
            <w:r>
              <w:rPr>
                <w:rFonts w:hint="eastAsia"/>
                <w:lang w:eastAsia="zh-CN"/>
              </w:rPr>
              <w:t xml:space="preserve">selection </w:t>
            </w:r>
            <w:r>
              <w:rPr>
                <w:lang w:eastAsia="zh-CN"/>
              </w:rPr>
              <w:t>between the two options.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val="en-GB" w:eastAsia="zh-CN"/>
              </w:rPr>
            </w:pPr>
            <w:r>
              <w:rPr>
                <w:lang w:val="en-GB" w:eastAsia="zh-CN"/>
              </w:rPr>
              <w:t>InterDigital</w:t>
            </w:r>
          </w:p>
        </w:tc>
        <w:tc>
          <w:tcPr>
            <w:tcW w:w="12176" w:type="dxa"/>
            <w:vAlign w:val="center"/>
          </w:tcPr>
          <w:p>
            <w:pPr>
              <w:widowControl w:val="0"/>
              <w:rPr>
                <w:lang w:eastAsia="zh-CN"/>
              </w:rPr>
            </w:pPr>
            <w:r>
              <w:rPr>
                <w:lang w:eastAsia="zh-CN"/>
              </w:rPr>
              <w:t>We propose following updates:</w:t>
            </w:r>
          </w:p>
          <w:p>
            <w:pPr>
              <w:pStyle w:val="73"/>
              <w:widowControl w:val="0"/>
              <w:numPr>
                <w:ilvl w:val="0"/>
                <w:numId w:val="17"/>
              </w:numPr>
              <w:rPr>
                <w:rFonts w:ascii="Times New Roman" w:hAnsi="Times New Roman"/>
                <w:lang w:eastAsia="zh-CN"/>
              </w:rPr>
            </w:pPr>
            <w:r>
              <w:rPr>
                <w:rFonts w:ascii="Times New Roman" w:hAnsi="Times New Roman"/>
                <w:lang w:eastAsia="zh-CN"/>
              </w:rPr>
              <w:t xml:space="preserve">Support at least Case MSM-1-1 for multi-slot span capabilities, monitoring periodicities, corresponding number and location of OFDM symbols </w:t>
            </w:r>
          </w:p>
          <w:p>
            <w:pPr>
              <w:pStyle w:val="73"/>
              <w:widowControl w:val="0"/>
              <w:numPr>
                <w:ilvl w:val="1"/>
                <w:numId w:val="17"/>
              </w:numPr>
              <w:rPr>
                <w:rFonts w:ascii="Times New Roman" w:hAnsi="Times New Roman"/>
                <w:lang w:eastAsia="zh-CN"/>
              </w:rPr>
            </w:pPr>
            <w:r>
              <w:rPr>
                <w:rFonts w:ascii="Times New Roman" w:hAnsi="Times New Roman"/>
                <w:sz w:val="20"/>
                <w:szCs w:val="20"/>
              </w:rPr>
              <w:t>Case MSM-1: PDCCH monitoring of all SS sets monitored in a span occurs within N consecutive slots that have fixed positions in each slot</w:t>
            </w:r>
          </w:p>
          <w:p>
            <w:pPr>
              <w:pStyle w:val="209"/>
              <w:widowControl w:val="0"/>
              <w:numPr>
                <w:ilvl w:val="2"/>
                <w:numId w:val="17"/>
              </w:numPr>
              <w:spacing w:after="120"/>
              <w:jc w:val="both"/>
              <w:rPr>
                <w:rFonts w:ascii="Times New Roman" w:hAnsi="Times New Roman" w:cs="Times New Roman"/>
                <w:sz w:val="20"/>
                <w:szCs w:val="20"/>
              </w:rPr>
            </w:pPr>
            <w:r>
              <w:rPr>
                <w:rFonts w:ascii="Times New Roman" w:hAnsi="Times New Roman" w:cs="Times New Roman"/>
                <w:sz w:val="20"/>
                <w:szCs w:val="20"/>
              </w:rPr>
              <w:t>Case MSM-1-1: PDCCH monitoring limited to within first N slots of a monitoring span</w:t>
            </w:r>
          </w:p>
          <w:p>
            <w:pPr>
              <w:pStyle w:val="209"/>
              <w:widowControl w:val="0"/>
              <w:numPr>
                <w:ilvl w:val="2"/>
                <w:numId w:val="17"/>
              </w:numPr>
              <w:spacing w:after="120"/>
              <w:jc w:val="both"/>
              <w:rPr>
                <w:rFonts w:ascii="Times New Roman" w:hAnsi="Times New Roman" w:cs="Times New Roman"/>
                <w:sz w:val="20"/>
                <w:szCs w:val="20"/>
              </w:rPr>
            </w:pPr>
            <w:r>
              <w:rPr>
                <w:rFonts w:ascii="Times New Roman" w:hAnsi="Times New Roman" w:cs="Times New Roman"/>
                <w:sz w:val="20"/>
                <w:szCs w:val="20"/>
              </w:rPr>
              <w:t>Case MSM-1-2: PDCCH monitoring on any span of up to N consecutive slots of a monitoring span</w:t>
            </w:r>
          </w:p>
          <w:p>
            <w:pPr>
              <w:pStyle w:val="209"/>
              <w:widowControl w:val="0"/>
              <w:numPr>
                <w:ilvl w:val="3"/>
                <w:numId w:val="17"/>
              </w:numPr>
              <w:spacing w:after="120"/>
              <w:jc w:val="both"/>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N consecutive slots in the monitoring span</w:t>
            </w:r>
          </w:p>
          <w:p>
            <w:pPr>
              <w:pStyle w:val="209"/>
              <w:widowControl w:val="0"/>
              <w:numPr>
                <w:ilvl w:val="1"/>
                <w:numId w:val="17"/>
              </w:numPr>
              <w:spacing w:after="120"/>
              <w:jc w:val="both"/>
              <w:rPr>
                <w:rFonts w:ascii="Times New Roman" w:hAnsi="Times New Roman" w:cs="Times New Roman"/>
                <w:sz w:val="20"/>
                <w:szCs w:val="20"/>
              </w:rPr>
            </w:pPr>
            <w:r>
              <w:rPr>
                <w:rFonts w:ascii="Times New Roman" w:hAnsi="Times New Roman" w:cs="Times New Roman"/>
                <w:sz w:val="20"/>
                <w:szCs w:val="20"/>
              </w:rPr>
              <w:t>Case MSM-2: PDCCH monitoring cases other than Case 1 MSM-1</w:t>
            </w:r>
          </w:p>
          <w:p>
            <w:pPr>
              <w:pStyle w:val="73"/>
              <w:widowControl w:val="0"/>
              <w:numPr>
                <w:ilvl w:val="0"/>
                <w:numId w:val="17"/>
              </w:numPr>
              <w:rPr>
                <w:rFonts w:ascii="Times New Roman" w:hAnsi="Times New Roman"/>
                <w:lang w:eastAsia="zh-CN"/>
              </w:rPr>
            </w:pPr>
            <w:r>
              <w:rPr>
                <w:rFonts w:ascii="Times New Roman" w:hAnsi="Times New Roman"/>
                <w:lang w:eastAsia="zh-CN"/>
              </w:rPr>
              <w:t>Further discuss whether to additionally support Case MSM-1-2 and Cased MSM-2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
              </w:rPr>
            </w:pPr>
            <w:r>
              <w:rPr>
                <w:lang w:eastAsia="zh"/>
              </w:rPr>
              <w:t>LG Electronics</w:t>
            </w:r>
          </w:p>
        </w:tc>
        <w:tc>
          <w:tcPr>
            <w:tcW w:w="12176" w:type="dxa"/>
            <w:vAlign w:val="center"/>
          </w:tcPr>
          <w:p>
            <w:pPr>
              <w:widowControl w:val="0"/>
              <w:rPr>
                <w:rFonts w:eastAsia="Malgun Gothic"/>
                <w:lang w:eastAsia="ko-KR"/>
              </w:rPr>
            </w:pPr>
            <w:r>
              <w:rPr>
                <w:rFonts w:hint="eastAsia" w:eastAsia="Malgun Gothic"/>
                <w:lang w:eastAsia="ko-KR"/>
              </w:rPr>
              <w:t xml:space="preserve">We prefer </w:t>
            </w:r>
            <w:r>
              <w:rPr>
                <w:rFonts w:eastAsia="Malgun Gothic"/>
                <w:lang w:eastAsia="ko-KR"/>
              </w:rPr>
              <w:t>MSM-1-1 with N=1 as starting point and open to discuss for MSM-1-2.</w:t>
            </w:r>
          </w:p>
          <w:p>
            <w:pPr>
              <w:widowControl w:val="0"/>
              <w:rPr>
                <w:rFonts w:eastAsia="Malgun Gothic"/>
                <w:lang w:eastAsia="ko-KR"/>
              </w:rPr>
            </w:pPr>
            <w:r>
              <w:rPr>
                <w:rFonts w:eastAsia="Malgun Gothic"/>
                <w:lang w:eastAsia="ko-KR"/>
              </w:rPr>
              <w:t>We also think that Case 1-1 can be sufficient to define the PDCCH MO within a slot.</w:t>
            </w:r>
          </w:p>
          <w:p>
            <w:pPr>
              <w:widowControl w:val="0"/>
              <w:rPr>
                <w:rFonts w:eastAsia="Malgun Gothic"/>
                <w:lang w:eastAsia="ko-KR"/>
              </w:rPr>
            </w:pPr>
            <w:r>
              <w:rPr>
                <w:rFonts w:eastAsia="Malgun Gothic"/>
                <w:lang w:eastAsia="ko-KR"/>
              </w:rPr>
              <w:t xml:space="preserve">We are agree with Qualcomm and vivo that this proposal should be discussed together with each alternative in A1-2d. </w:t>
            </w:r>
          </w:p>
          <w:p>
            <w:pPr>
              <w:widowControl w:val="0"/>
              <w:rPr>
                <w:rFonts w:eastAsia="Malgun Gothic"/>
                <w:lang w:eastAsia="ko-KR"/>
              </w:rPr>
            </w:pPr>
            <w:r>
              <w:rPr>
                <w:rFonts w:eastAsia="Malgun Gothic"/>
                <w:lang w:eastAsia="ko-KR"/>
              </w:rPr>
              <w:t>We are supportive of vivo’s clarification for each alternative.</w:t>
            </w:r>
          </w:p>
          <w:p>
            <w:pPr>
              <w:widowControl w:val="0"/>
              <w:rPr>
                <w:rFonts w:eastAsia="Malgun Gothic"/>
                <w:lang w:eastAsia="ko-KR"/>
              </w:rPr>
            </w:pPr>
            <w:r>
              <w:rPr>
                <w:rFonts w:eastAsia="Malgun Gothic"/>
                <w:lang w:eastAsia="ko-KR"/>
              </w:rPr>
              <w:t>In addition, we think that the proposal for Case MSM-1 seems to need to be reworded as follows.</w:t>
            </w:r>
          </w:p>
          <w:p>
            <w:pPr>
              <w:pStyle w:val="73"/>
              <w:widowControl w:val="0"/>
              <w:numPr>
                <w:ilvl w:val="0"/>
                <w:numId w:val="20"/>
              </w:numPr>
              <w:rPr>
                <w:sz w:val="20"/>
                <w:szCs w:val="20"/>
              </w:rPr>
            </w:pPr>
            <w:r>
              <w:rPr>
                <w:sz w:val="20"/>
                <w:szCs w:val="20"/>
              </w:rPr>
              <w:t xml:space="preserve">Case MSM-1: PDCCH monitoring of all SS sets monitored in a span occurs within N consecutive slots that have fixed positions </w:t>
            </w:r>
            <w:r>
              <w:rPr>
                <w:sz w:val="20"/>
                <w:szCs w:val="20"/>
                <w:highlight w:val="yellow"/>
              </w:rPr>
              <w:t>in each span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val="en-GB" w:eastAsia="zh-CN"/>
              </w:rPr>
            </w:pPr>
            <w:r>
              <w:rPr>
                <w:lang w:val="en-GB" w:eastAsia="zh-CN"/>
              </w:rPr>
              <w:t>Futurewei</w:t>
            </w:r>
          </w:p>
        </w:tc>
        <w:tc>
          <w:tcPr>
            <w:tcW w:w="12176" w:type="dxa"/>
            <w:vAlign w:val="center"/>
          </w:tcPr>
          <w:p>
            <w:pPr>
              <w:widowControl w:val="0"/>
              <w:rPr>
                <w:lang w:eastAsia="zh-CN"/>
              </w:rPr>
            </w:pPr>
            <w:r>
              <w:rPr>
                <w:lang w:eastAsia="zh-CN"/>
              </w:rPr>
              <w:t>We support the discussion of this proposal together with A1-2d.  We support Alt 2, presented in the Vivo’s proposal above and further clarified in our email thread discussions, i.e. u</w:t>
            </w:r>
            <w:r>
              <w:t>se the Rel-16 capability (</w:t>
            </w:r>
            <w:r>
              <w:rPr>
                <w:i/>
                <w:iCs/>
              </w:rPr>
              <w:t>pdcch-Monitoring-r16</w:t>
            </w:r>
            <w:r>
              <w:t>, (X, Y) span) as the baseline to define the new capability.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val="en-GB" w:eastAsia="zh-CN"/>
              </w:rPr>
            </w:pPr>
            <w:r>
              <w:rPr>
                <w:lang w:val="en-GB" w:eastAsia="zh-CN"/>
              </w:rPr>
              <w:t>MediaTek</w:t>
            </w:r>
          </w:p>
        </w:tc>
        <w:tc>
          <w:tcPr>
            <w:tcW w:w="12176" w:type="dxa"/>
            <w:vAlign w:val="center"/>
          </w:tcPr>
          <w:p>
            <w:pPr>
              <w:widowControl w:val="0"/>
              <w:rPr>
                <w:lang w:eastAsia="zh-CN"/>
              </w:rPr>
            </w:pPr>
            <w:r>
              <w:rPr>
                <w:lang w:eastAsia="zh-CN"/>
              </w:rPr>
              <w:t>We are also confused on the notion of ‘N’ in this proposal. If the meaning of ‘N’ in this proposal is the number of consecutive slots UE monitors PDCCH within a multi-slot consisting of X slots, then we suggest to replace notion ‘N’ to ‘M’ to avoid confusion on the ‘N’ slots specified in A1-2d, as suggested by Apple.</w:t>
            </w:r>
          </w:p>
          <w:p>
            <w:pPr>
              <w:widowControl w:val="0"/>
              <w:rPr>
                <w:lang w:eastAsia="zh-CN"/>
              </w:rPr>
            </w:pPr>
            <w:r>
              <w:rPr>
                <w:lang w:eastAsia="zh-CN"/>
              </w:rPr>
              <w:t xml:space="preserve">If our understanding on the meaning of ‘N’ in this proposal is correct, then this proposal is specifying the slots to monitor within a fix multi-slot pattern, which is Alt-1 in the A1-2d agreement. We prefer to support case MSM-1-1 as a starting point and FFS on MSM-1-2 since MSM-1-2 might have burst slots for PDCCH monitoring in consecutive multi-slots.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val="en-GB" w:eastAsia="zh-CN"/>
              </w:rPr>
            </w:pPr>
            <w:r>
              <w:rPr>
                <w:lang w:val="en-GB" w:eastAsia="zh-CN"/>
              </w:rPr>
              <w:t>Samsung</w:t>
            </w:r>
          </w:p>
        </w:tc>
        <w:tc>
          <w:tcPr>
            <w:tcW w:w="12176" w:type="dxa"/>
            <w:vAlign w:val="center"/>
          </w:tcPr>
          <w:p>
            <w:pPr>
              <w:widowControl w:val="0"/>
              <w:rPr>
                <w:lang w:eastAsia="zh-CN"/>
              </w:rPr>
            </w:pPr>
            <w:r>
              <w:rPr>
                <w:lang w:eastAsia="zh-CN"/>
              </w:rPr>
              <w:t xml:space="preserve">We suggest clarify proposal A1-2d first and come back to this proposal, since current proposal mixed SS configuration and span, so we are not quite sure which is the discussion point. </w:t>
            </w:r>
            <w:r>
              <w:rPr>
                <w:lang w:eastAsia="zh-CN"/>
              </w:rPr>
              <w:br w:type="textWrapping"/>
            </w:r>
          </w:p>
          <w:p>
            <w:pPr>
              <w:widowControl w:val="0"/>
              <w:rPr>
                <w:lang w:eastAsia="zh-CN"/>
              </w:rPr>
            </w:pPr>
            <w:r>
              <w:rPr>
                <w:lang w:eastAsia="zh-CN"/>
              </w:rPr>
              <w:t>Also, the wording “within N consecutive slots that have fixed positions in each slot” is not clear to us, since a monitoring span should be symbols/slots with PDCCH MOs configured.</w:t>
            </w:r>
          </w:p>
        </w:tc>
      </w:tr>
    </w:tbl>
    <w:p>
      <w:pPr>
        <w:rPr>
          <w:lang w:eastAsia="zh-CN"/>
        </w:rPr>
      </w:pPr>
    </w:p>
    <w:p>
      <w:pPr>
        <w:pStyle w:val="4"/>
        <w:rPr>
          <w:lang w:val="en-GB" w:eastAsia="zh-CN"/>
        </w:rPr>
      </w:pPr>
      <w:r>
        <w:rPr>
          <w:lang w:val="en-GB" w:eastAsia="zh-CN"/>
        </w:rPr>
        <w:t>Second Round (A1-2b.2)</w:t>
      </w:r>
    </w:p>
    <w:p>
      <w:pPr>
        <w:rPr>
          <w:lang w:eastAsia="zh-CN"/>
        </w:rPr>
      </w:pPr>
      <w:r>
        <w:rPr>
          <w:highlight w:val="yellow"/>
          <w:lang w:eastAsia="zh-CN"/>
        </w:rPr>
        <w:t>First Round FL Suggestion A1-2b.2:</w:t>
      </w:r>
    </w:p>
    <w:p>
      <w:pPr>
        <w:rPr>
          <w:lang w:eastAsia="zh-CN"/>
        </w:rPr>
      </w:pPr>
      <w:r>
        <w:rPr>
          <w:lang w:eastAsia="zh-CN"/>
        </w:rPr>
        <w:t>Continue discussion on allowing a duration of more than 3 OFDM symbols per slot, supported such durations, and potential conditions for allowing such duration.</w:t>
      </w:r>
    </w:p>
    <w:p>
      <w:pPr>
        <w:rPr>
          <w:lang w:val="en-GB" w:eastAsia="zh-CN"/>
        </w:rPr>
      </w:pPr>
    </w:p>
    <w:tbl>
      <w:tblPr>
        <w:tblStyle w:val="52"/>
        <w:tblW w:w="145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5"/>
        <w:gridCol w:w="121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shd w:val="clear" w:color="auto" w:fill="FFC000"/>
            <w:vAlign w:val="center"/>
          </w:tcPr>
          <w:p>
            <w:pPr>
              <w:widowControl w:val="0"/>
              <w:rPr>
                <w:b/>
                <w:bCs/>
              </w:rPr>
            </w:pPr>
            <w:r>
              <w:rPr>
                <w:b/>
                <w:bCs/>
              </w:rPr>
              <w:t>Company</w:t>
            </w:r>
          </w:p>
        </w:tc>
        <w:tc>
          <w:tcPr>
            <w:tcW w:w="12176" w:type="dxa"/>
            <w:shd w:val="clear" w:color="auto" w:fill="FFC000"/>
            <w:vAlign w:val="center"/>
          </w:tcPr>
          <w:p>
            <w:pPr>
              <w:widowControl w:val="0"/>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lang w:eastAsia="zh-CN"/>
              </w:rPr>
              <w:t>Intel</w:t>
            </w:r>
          </w:p>
        </w:tc>
        <w:tc>
          <w:tcPr>
            <w:tcW w:w="12176" w:type="dxa"/>
            <w:vAlign w:val="center"/>
          </w:tcPr>
          <w:p>
            <w:pPr>
              <w:widowControl w:val="0"/>
              <w:rPr>
                <w:lang w:eastAsia="zh-CN"/>
              </w:rPr>
            </w:pPr>
            <w:r>
              <w:rPr>
                <w:lang w:eastAsia="zh-CN"/>
              </w:rPr>
              <w:t xml:space="preserve">It is the question on the duration of CORESET, or duration of a URLLC-like span? </w:t>
            </w:r>
          </w:p>
          <w:p>
            <w:pPr>
              <w:widowControl w:val="0"/>
              <w:rPr>
                <w:lang w:eastAsia="zh-CN"/>
              </w:rPr>
            </w:pPr>
            <w:r>
              <w:rPr>
                <w:lang w:eastAsia="zh-CN"/>
              </w:rPr>
              <w:t xml:space="preserve">We prefer to reuse the existing duration of CORESET, unless the extending CORESET duration is justified. </w:t>
            </w:r>
          </w:p>
          <w:p>
            <w:pPr>
              <w:widowControl w:val="0"/>
              <w:rPr>
                <w:lang w:eastAsia="zh-CN"/>
              </w:rPr>
            </w:pPr>
            <w:r>
              <w:rPr>
                <w:lang w:eastAsia="zh-CN"/>
              </w:rPr>
              <w:t xml:space="preserve">As we commented in A1-2b.1, we prefer to not limit the MOs to certain slot in a multi-slot span. The URLLC-like span cannot provide such functional benefit.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rFonts w:hint="eastAsia"/>
                <w:lang w:eastAsia="zh-CN"/>
              </w:rPr>
              <w:t>Huawei, HiSilicon</w:t>
            </w:r>
          </w:p>
        </w:tc>
        <w:tc>
          <w:tcPr>
            <w:tcW w:w="12176" w:type="dxa"/>
            <w:vAlign w:val="center"/>
          </w:tcPr>
          <w:p>
            <w:pPr>
              <w:widowControl w:val="0"/>
              <w:rPr>
                <w:lang w:eastAsia="zh-CN"/>
              </w:rPr>
            </w:pPr>
            <w:r>
              <w:rPr>
                <w:rFonts w:hint="eastAsia"/>
                <w:lang w:eastAsia="zh-CN"/>
              </w:rPr>
              <w:t>Please see Huawei</w:t>
            </w:r>
            <w:r>
              <w:rPr>
                <w:lang w:eastAsia="zh-CN"/>
              </w:rPr>
              <w:t>’s comments on A1-2b.1, because we think the two issues are related.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lang w:eastAsia="zh-CN"/>
              </w:rPr>
              <w:t>Nokia, NSB</w:t>
            </w:r>
          </w:p>
        </w:tc>
        <w:tc>
          <w:tcPr>
            <w:tcW w:w="12176" w:type="dxa"/>
            <w:vAlign w:val="center"/>
          </w:tcPr>
          <w:p>
            <w:pPr>
              <w:widowControl w:val="0"/>
              <w:rPr>
                <w:lang w:eastAsia="zh-CN"/>
              </w:rPr>
            </w:pPr>
            <w:r>
              <w:rPr>
                <w:lang w:eastAsia="zh-CN"/>
              </w:rPr>
              <w:t xml:space="preserve">Agree with Intel that it should be clarified if this refers to the duration of a CORESET or the span. </w:t>
            </w:r>
          </w:p>
          <w:p>
            <w:pPr>
              <w:widowControl w:val="0"/>
              <w:rPr>
                <w:lang w:eastAsia="zh-CN"/>
              </w:rPr>
            </w:pPr>
            <w:r>
              <w:rPr>
                <w:lang w:eastAsia="zh-CN"/>
              </w:rPr>
              <w:t>We are open to discuss the duration of CORESET (to improve the PDCCH coverage).</w:t>
            </w:r>
          </w:p>
          <w:p>
            <w:pPr>
              <w:widowControl w:val="0"/>
              <w:rPr>
                <w:lang w:eastAsia="zh-CN"/>
              </w:rPr>
            </w:pPr>
            <w:r>
              <w:rPr>
                <w:lang w:eastAsia="zh-CN"/>
              </w:rPr>
              <w:t xml:space="preserve">But we do not see a need for URLLC-like span for SCS&gt;120 kHz. It just increases the system complexity without true benefits in the considered scenario.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rFonts w:hint="eastAsia"/>
                <w:lang w:eastAsia="zh-CN"/>
              </w:rPr>
              <w:t>X</w:t>
            </w:r>
            <w:r>
              <w:rPr>
                <w:lang w:eastAsia="zh-CN"/>
              </w:rPr>
              <w:t>iaomi</w:t>
            </w:r>
          </w:p>
        </w:tc>
        <w:tc>
          <w:tcPr>
            <w:tcW w:w="12176" w:type="dxa"/>
            <w:vAlign w:val="center"/>
          </w:tcPr>
          <w:p>
            <w:pPr>
              <w:widowControl w:val="0"/>
              <w:rPr>
                <w:lang w:eastAsia="zh-CN"/>
              </w:rPr>
            </w:pPr>
            <w:r>
              <w:rPr>
                <w:lang w:eastAsia="zh-CN"/>
              </w:rPr>
              <w:t xml:space="preserve">We are open to define a potential duration of more than 3 OFDM symbols, since with more symbols configured in a slot for PDCCH, </w:t>
            </w:r>
            <w:r>
              <w:rPr>
                <w:rFonts w:hint="eastAsia"/>
                <w:lang w:eastAsia="zh-CN"/>
              </w:rPr>
              <w:t>the</w:t>
            </w:r>
            <w:r>
              <w:rPr>
                <w:lang w:eastAsia="zh-CN"/>
              </w:rPr>
              <w:t xml:space="preserve"> </w:t>
            </w:r>
            <w:r>
              <w:rPr>
                <w:rFonts w:hint="eastAsia"/>
                <w:lang w:eastAsia="zh-CN"/>
              </w:rPr>
              <w:t>number</w:t>
            </w:r>
            <w:r>
              <w:rPr>
                <w:lang w:eastAsia="zh-CN"/>
              </w:rPr>
              <w:t xml:space="preserve"> of slots need to be monitored for PDCCH in a span is reduced. And it is potentially benefit for power saving since UE can stop monitoring after receiving all the PDCCH within a span.</w:t>
            </w:r>
          </w:p>
          <w:p>
            <w:pPr>
              <w:widowControl w:val="0"/>
              <w:rPr>
                <w:lang w:eastAsia="zh-CN"/>
              </w:rPr>
            </w:pPr>
            <w:r>
              <w:rPr>
                <w:lang w:eastAsia="zh-CN"/>
              </w:rPr>
              <w:t xml:space="preserve">But we do not mean to limit the MO in </w:t>
            </w:r>
            <w:r>
              <w:rPr>
                <w:rFonts w:hint="eastAsia"/>
                <w:lang w:eastAsia="zh-CN"/>
              </w:rPr>
              <w:t>only</w:t>
            </w:r>
            <w:r>
              <w:rPr>
                <w:lang w:eastAsia="zh-CN"/>
              </w:rPr>
              <w:t xml:space="preserve"> one slot </w:t>
            </w:r>
            <w:r>
              <w:rPr>
                <w:rFonts w:hint="eastAsia"/>
                <w:lang w:eastAsia="zh-CN"/>
              </w:rPr>
              <w:t>within</w:t>
            </w:r>
            <w:r>
              <w:rPr>
                <w:lang w:eastAsia="zh-CN"/>
              </w:rPr>
              <w:t xml:space="preserve"> the span, since it may cause the slot to be largely or fully occupied by PDCCH, which may  impact the PDSCH scheduling.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rFonts w:hint="eastAsia"/>
                <w:lang w:eastAsia="zh"/>
              </w:rPr>
              <w:t>ZTE, Sanechips</w:t>
            </w:r>
          </w:p>
        </w:tc>
        <w:tc>
          <w:tcPr>
            <w:tcW w:w="12176" w:type="dxa"/>
            <w:vAlign w:val="center"/>
          </w:tcPr>
          <w:p>
            <w:pPr>
              <w:widowControl w:val="0"/>
              <w:rPr>
                <w:lang w:eastAsia="zh-CN"/>
              </w:rPr>
            </w:pPr>
            <w:r>
              <w:rPr>
                <w:rFonts w:hint="eastAsia"/>
                <w:lang w:eastAsia="zh-CN"/>
              </w:rPr>
              <w:t xml:space="preserve">We think a </w:t>
            </w:r>
            <w:r>
              <w:rPr>
                <w:lang w:eastAsia="zh-CN"/>
              </w:rPr>
              <w:t>duration of more than 3 OFDM symbols per slot</w:t>
            </w:r>
            <w:r>
              <w:rPr>
                <w:rFonts w:hint="eastAsia"/>
                <w:lang w:eastAsia="zh-CN"/>
              </w:rPr>
              <w:t xml:space="preserve"> can be considered since it is beneficial for improving PDCCH coverage and PDCCH capability.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
              </w:rPr>
            </w:pPr>
            <w:r>
              <w:rPr>
                <w:lang w:eastAsia="zh"/>
              </w:rPr>
              <w:t>Lenovo, Motorola Mobility</w:t>
            </w:r>
          </w:p>
        </w:tc>
        <w:tc>
          <w:tcPr>
            <w:tcW w:w="12176" w:type="dxa"/>
            <w:vAlign w:val="center"/>
          </w:tcPr>
          <w:p>
            <w:pPr>
              <w:widowControl w:val="0"/>
              <w:rPr>
                <w:lang w:eastAsia="zh-CN"/>
              </w:rPr>
            </w:pPr>
            <w:r>
              <w:rPr>
                <w:lang w:eastAsia="zh-CN"/>
              </w:rPr>
              <w:t>We also agree that more than 3 OFDM symbols per slot and up to 14 symbols (i.e. one slot CORESET) can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
              </w:rPr>
            </w:pPr>
            <w:r>
              <w:rPr>
                <w:lang w:eastAsia="zh"/>
              </w:rPr>
              <w:t>Qualcomm</w:t>
            </w:r>
          </w:p>
        </w:tc>
        <w:tc>
          <w:tcPr>
            <w:tcW w:w="12176" w:type="dxa"/>
            <w:vAlign w:val="center"/>
          </w:tcPr>
          <w:p>
            <w:pPr>
              <w:widowControl w:val="0"/>
              <w:rPr>
                <w:lang w:eastAsia="zh-CN"/>
              </w:rPr>
            </w:pPr>
            <w:r>
              <w:rPr>
                <w:lang w:eastAsia="zh-CN"/>
              </w:rPr>
              <w:t>To clarify our understanding, FL’s proposal is not about the duration of a CORESET, which is separately discussed in A2-1. As we commented in A1-2b.1, we think at most one span of Y consecutive symbols per slot, which contains all PDCCH MOs in the slot, is enough. For the value of the span length Y, we think 3 is sufficient, as used in Rel-15/16.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
              </w:rPr>
            </w:pPr>
            <w:r>
              <w:rPr>
                <w:lang w:eastAsia="zh"/>
              </w:rPr>
              <w:t xml:space="preserve">Ericson </w:t>
            </w:r>
          </w:p>
        </w:tc>
        <w:tc>
          <w:tcPr>
            <w:tcW w:w="12176" w:type="dxa"/>
            <w:vAlign w:val="center"/>
          </w:tcPr>
          <w:p>
            <w:pPr>
              <w:widowControl w:val="0"/>
              <w:rPr>
                <w:lang w:eastAsia="zh-CN"/>
              </w:rPr>
            </w:pPr>
            <w:r>
              <w:rPr>
                <w:lang w:eastAsia="zh-CN"/>
              </w:rPr>
              <w:t>We agree with the above comments that the duration of a CORESET should not exceed 3 OFDM symbols as in Rel-15/16.</w:t>
            </w:r>
          </w:p>
          <w:p>
            <w:pPr>
              <w:widowControl w:val="0"/>
              <w:rPr>
                <w:lang w:eastAsia="zh-CN"/>
              </w:rPr>
            </w:pPr>
            <w:r>
              <w:rPr>
                <w:lang w:eastAsia="zh-CN"/>
              </w:rPr>
              <w:t>As we commented earlier, we think that case 1-1 monitoring should at least be supported. We can further discuss case 1-2, but the whether or not that is supported, depends on which of Alt-1/2/3 is downselected in issue A1-2d. In some sense, A1-2b.2 and A1-2d should be discussed together. In other words we should discuss capabilities over a multiple slot period in tandem with capabilities within a slot. These two issues are connected.</w:t>
            </w:r>
          </w:p>
          <w:p>
            <w:pPr>
              <w:widowControl w:val="0"/>
              <w:rPr>
                <w:lang w:eastAsia="zh-CN"/>
              </w:rPr>
            </w:pPr>
            <w:r>
              <w:rPr>
                <w:lang w:eastAsia="zh-CN"/>
              </w:rPr>
              <w:t>For example if a solution is adopted whereby all monitoring is concentrated within a single slot of an N-slot bundle (not our preference), then it would be needed to have flexibility to configure USS and CSSs in different spans within a slot; case 1-1 would be far too restrictive. If, however, there is network flexibility to configure a UE to monitor in different slots of an N-slot bundle (e.g., CSS and USS in different slots), then case 1-1 would probably be sufficient.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
              </w:rPr>
            </w:pPr>
            <w:r>
              <w:rPr>
                <w:lang w:eastAsia="zh"/>
              </w:rPr>
              <w:t>CATT</w:t>
            </w:r>
          </w:p>
        </w:tc>
        <w:tc>
          <w:tcPr>
            <w:tcW w:w="12176" w:type="dxa"/>
            <w:vAlign w:val="center"/>
          </w:tcPr>
          <w:p>
            <w:pPr>
              <w:widowControl w:val="0"/>
              <w:rPr>
                <w:lang w:eastAsia="zh-CN"/>
              </w:rPr>
            </w:pPr>
            <w:r>
              <w:rPr>
                <w:lang w:eastAsia="zh-CN"/>
              </w:rPr>
              <w:t xml:space="preserve">We don’t see the need for CORESET to be more than 3 symbols for a slot.   However, the CORESET could be configured distributed through different slots within a time span.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rFonts w:eastAsia="MS Mincho"/>
                <w:lang w:eastAsia="ja-JP"/>
              </w:rPr>
            </w:pPr>
            <w:r>
              <w:rPr>
                <w:rFonts w:hint="eastAsia" w:eastAsia="MS Mincho"/>
                <w:lang w:eastAsia="ja-JP"/>
              </w:rPr>
              <w:t>NTT DOCOMO</w:t>
            </w:r>
          </w:p>
        </w:tc>
        <w:tc>
          <w:tcPr>
            <w:tcW w:w="12176" w:type="dxa"/>
            <w:vAlign w:val="center"/>
          </w:tcPr>
          <w:p>
            <w:pPr>
              <w:widowControl w:val="0"/>
              <w:rPr>
                <w:lang w:eastAsia="zh-CN"/>
              </w:rPr>
            </w:pPr>
            <w:r>
              <w:rPr>
                <w:rFonts w:eastAsia="Yu Gothic"/>
              </w:rPr>
              <w:t>We don</w:t>
            </w:r>
            <w:r>
              <w:rPr>
                <w:rFonts w:hint="eastAsia" w:ascii="Yu Gothic" w:hAnsi="Yu Gothic" w:eastAsia="Yu Gothic"/>
              </w:rPr>
              <w:t>’</w:t>
            </w:r>
            <w:r>
              <w:rPr>
                <w:rFonts w:eastAsia="Yu Gothic"/>
              </w:rPr>
              <w:t>t see any necessity to extend the duration at this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rFonts w:hint="eastAsia"/>
                <w:lang w:eastAsia="zh-CN"/>
              </w:rPr>
              <w:t>v</w:t>
            </w:r>
            <w:r>
              <w:rPr>
                <w:lang w:eastAsia="zh-CN"/>
              </w:rPr>
              <w:t>ivo</w:t>
            </w:r>
          </w:p>
        </w:tc>
        <w:tc>
          <w:tcPr>
            <w:tcW w:w="12176" w:type="dxa"/>
            <w:vAlign w:val="center"/>
          </w:tcPr>
          <w:p>
            <w:pPr>
              <w:widowControl w:val="0"/>
              <w:rPr>
                <w:lang w:eastAsia="zh-CN"/>
              </w:rPr>
            </w:pPr>
            <w:r>
              <w:rPr>
                <w:lang w:eastAsia="zh-CN"/>
              </w:rPr>
              <w:t>Agree that further clarification of the proposal is needed.</w:t>
            </w:r>
          </w:p>
          <w:p>
            <w:pPr>
              <w:widowControl w:val="0"/>
              <w:rPr>
                <w:rFonts w:eastAsia="Yu Gothic"/>
              </w:rPr>
            </w:pPr>
            <w:r>
              <w:rPr>
                <w:lang w:eastAsia="zh-CN"/>
              </w:rPr>
              <w:t>For CORESET duration, we are open to discuss this to improve PDCCH coverage and capacity.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rFonts w:eastAsia="MS Mincho"/>
                <w:lang w:eastAsia="ja-JP"/>
              </w:rPr>
              <w:t>Apple</w:t>
            </w:r>
          </w:p>
        </w:tc>
        <w:tc>
          <w:tcPr>
            <w:tcW w:w="12176" w:type="dxa"/>
            <w:vAlign w:val="center"/>
          </w:tcPr>
          <w:p>
            <w:pPr>
              <w:widowControl w:val="0"/>
              <w:rPr>
                <w:lang w:eastAsia="zh-CN"/>
              </w:rPr>
            </w:pPr>
            <w:r>
              <w:rPr>
                <w:rFonts w:eastAsia="Yu Gothic"/>
              </w:rPr>
              <w:t>We prefer that the duration of the CORESET should stay at 3 as in Rel-15/16. Any increase would need a corresponding modification of the processing timelines.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lang w:val="en-GB" w:eastAsia="zh-CN"/>
              </w:rPr>
              <w:t>Spreadtrum</w:t>
            </w:r>
          </w:p>
        </w:tc>
        <w:tc>
          <w:tcPr>
            <w:tcW w:w="12176" w:type="dxa"/>
            <w:vAlign w:val="center"/>
          </w:tcPr>
          <w:p>
            <w:pPr>
              <w:widowControl w:val="0"/>
              <w:rPr>
                <w:lang w:eastAsia="zh-CN"/>
              </w:rPr>
            </w:pPr>
            <w:r>
              <w:rPr>
                <w:lang w:eastAsia="zh-CN"/>
              </w:rPr>
              <w:t>We are open to define a potential duration of more than 3 OFDM symbols.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val="en-GB" w:eastAsia="zh-CN"/>
              </w:rPr>
            </w:pPr>
            <w:r>
              <w:rPr>
                <w:lang w:val="en-GB" w:eastAsia="zh-CN"/>
              </w:rPr>
              <w:t>Sony</w:t>
            </w:r>
          </w:p>
        </w:tc>
        <w:tc>
          <w:tcPr>
            <w:tcW w:w="12176" w:type="dxa"/>
            <w:vAlign w:val="center"/>
          </w:tcPr>
          <w:p>
            <w:pPr>
              <w:widowControl w:val="0"/>
              <w:rPr>
                <w:lang w:eastAsia="zh-CN"/>
              </w:rPr>
            </w:pPr>
            <w:r>
              <w:rPr>
                <w:lang w:eastAsia="zh-CN"/>
              </w:rPr>
              <w:t>We are open to define a duration of more than 3 OFDM symbols per slot.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val="en-GB" w:eastAsia="zh-CN"/>
              </w:rPr>
            </w:pPr>
            <w:r>
              <w:rPr>
                <w:rFonts w:hint="eastAsia"/>
                <w:lang w:val="en-GB" w:eastAsia="zh-CN"/>
              </w:rPr>
              <w:t>OPPO</w:t>
            </w:r>
          </w:p>
        </w:tc>
        <w:tc>
          <w:tcPr>
            <w:tcW w:w="12176" w:type="dxa"/>
            <w:vAlign w:val="center"/>
          </w:tcPr>
          <w:p>
            <w:pPr>
              <w:widowControl w:val="0"/>
              <w:rPr>
                <w:lang w:eastAsia="zh-CN"/>
              </w:rPr>
            </w:pPr>
            <w:r>
              <w:rPr>
                <w:rFonts w:hint="eastAsia"/>
                <w:lang w:eastAsia="zh-CN"/>
              </w:rPr>
              <w:t xml:space="preserve">We </w:t>
            </w:r>
            <w:r>
              <w:rPr>
                <w:lang w:eastAsia="zh-CN"/>
              </w:rPr>
              <w:t>support a duration of more than 3 OFDM symbols per slot for PDCCH monitoring.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val="en-GB" w:eastAsia="zh-CN"/>
              </w:rPr>
            </w:pPr>
            <w:r>
              <w:rPr>
                <w:lang w:val="en-GB" w:eastAsia="zh-CN"/>
              </w:rPr>
              <w:t>InterDigital</w:t>
            </w:r>
          </w:p>
        </w:tc>
        <w:tc>
          <w:tcPr>
            <w:tcW w:w="12176" w:type="dxa"/>
            <w:vAlign w:val="center"/>
          </w:tcPr>
          <w:p>
            <w:pPr>
              <w:widowControl w:val="0"/>
              <w:rPr>
                <w:lang w:eastAsia="zh-CN"/>
              </w:rPr>
            </w:pPr>
            <w:r>
              <w:rPr>
                <w:lang w:eastAsia="zh-CN"/>
              </w:rPr>
              <w:t xml:space="preserve">We don’t see the need.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
              </w:rPr>
            </w:pPr>
            <w:r>
              <w:rPr>
                <w:lang w:eastAsia="zh"/>
              </w:rPr>
              <w:t>LG Electronics</w:t>
            </w:r>
          </w:p>
        </w:tc>
        <w:tc>
          <w:tcPr>
            <w:tcW w:w="12176" w:type="dxa"/>
            <w:vAlign w:val="center"/>
          </w:tcPr>
          <w:p>
            <w:pPr>
              <w:widowControl w:val="0"/>
              <w:rPr>
                <w:lang w:eastAsia="zh-CN"/>
              </w:rPr>
            </w:pPr>
            <w:r>
              <w:rPr>
                <w:lang w:eastAsia="zh-CN"/>
              </w:rPr>
              <w:t>Same view with Qualcomm that A1-2b.2 is not about CORESET duration. We also think that 3 OFDM symbols per slot are sufficient, but open to discuss for more than 3 symbols.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
              </w:rPr>
            </w:pPr>
            <w:r>
              <w:rPr>
                <w:lang w:val="en-GB" w:eastAsia="zh-CN"/>
              </w:rPr>
              <w:t>Futurewei</w:t>
            </w:r>
          </w:p>
        </w:tc>
        <w:tc>
          <w:tcPr>
            <w:tcW w:w="12176" w:type="dxa"/>
            <w:vAlign w:val="center"/>
          </w:tcPr>
          <w:p>
            <w:pPr>
              <w:widowControl w:val="0"/>
              <w:rPr>
                <w:lang w:eastAsia="zh-CN"/>
              </w:rPr>
            </w:pPr>
            <w:r>
              <w:rPr>
                <w:lang w:eastAsia="zh-CN"/>
              </w:rPr>
              <w:t>Proposal should be clarified if s refers to the duration of a CORESET or the span. If refers to CORESET we prefer to keep it limited to 3 OFDM symbols as in Rel-15/16. For the duration of a span we also prefer to limit to Y less or equal to 3 as in the present specs.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val="en-GB" w:eastAsia="zh-CN"/>
              </w:rPr>
            </w:pPr>
            <w:r>
              <w:rPr>
                <w:lang w:val="en-GB" w:eastAsia="zh-CN"/>
              </w:rPr>
              <w:t>Samsung</w:t>
            </w:r>
          </w:p>
        </w:tc>
        <w:tc>
          <w:tcPr>
            <w:tcW w:w="12176" w:type="dxa"/>
            <w:vAlign w:val="center"/>
          </w:tcPr>
          <w:p>
            <w:pPr>
              <w:widowControl w:val="0"/>
              <w:rPr>
                <w:lang w:eastAsia="zh-CN"/>
              </w:rPr>
            </w:pPr>
            <w:r>
              <w:rPr>
                <w:lang w:eastAsia="zh-CN"/>
              </w:rPr>
              <w:t xml:space="preserve">For Alt 1-2 and Alt 3 of proposal A1-2d, it’s straightforward the duration of span can exceed 3 symbols. </w:t>
            </w:r>
          </w:p>
          <w:p>
            <w:pPr>
              <w:widowControl w:val="0"/>
              <w:rPr>
                <w:lang w:eastAsia="zh-CN"/>
              </w:rPr>
            </w:pPr>
            <w:r>
              <w:rPr>
                <w:lang w:eastAsia="zh-CN"/>
              </w:rPr>
              <w:t xml:space="preserve">For Alt 1-1 and Alt 2 of proposal A1-2d, we also see the benefit to support the duration of span to be more than 3 symbols for network’s flexibility. </w:t>
            </w:r>
          </w:p>
          <w:p>
            <w:pPr>
              <w:widowControl w:val="0"/>
              <w:rPr>
                <w:lang w:eastAsia="zh-CN"/>
              </w:rPr>
            </w:pPr>
            <w:r>
              <w:rPr>
                <w:lang w:eastAsia="zh-CN"/>
              </w:rPr>
              <w:t xml:space="preserve">We also agree that there is no need to support more than 3 symbols for the duration of  CORESET. </w:t>
            </w:r>
          </w:p>
        </w:tc>
      </w:tr>
    </w:tbl>
    <w:p>
      <w:pPr>
        <w:rPr>
          <w:lang w:eastAsia="zh-CN"/>
        </w:rPr>
      </w:pPr>
    </w:p>
    <w:p>
      <w:pPr>
        <w:pStyle w:val="4"/>
        <w:rPr>
          <w:lang w:val="en-GB" w:eastAsia="zh-CN"/>
        </w:rPr>
      </w:pPr>
      <w:r>
        <w:rPr>
          <w:lang w:val="en-GB" w:eastAsia="zh-CN"/>
        </w:rPr>
        <w:t>First Round (A1-2c)</w:t>
      </w:r>
    </w:p>
    <w:p>
      <w:pPr>
        <w:rPr>
          <w:b/>
        </w:rPr>
      </w:pPr>
      <w:r>
        <w:rPr>
          <w:b/>
        </w:rPr>
        <w:t>Question A1-2c: How long should the multi-slot span be, i.e. how many slots (for 120/480/960 kHz)? Several companies seem to support 4 slots for 480 kHz and 8 slots for 960 kHz, are those agreeable?</w:t>
      </w:r>
    </w:p>
    <w:p>
      <w:pPr>
        <w:rPr>
          <w:lang w:eastAsia="zh-CN"/>
        </w:rPr>
      </w:pPr>
    </w:p>
    <w:tbl>
      <w:tblPr>
        <w:tblStyle w:val="52"/>
        <w:tblW w:w="145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5"/>
        <w:gridCol w:w="121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shd w:val="clear" w:color="auto" w:fill="FFC000"/>
            <w:vAlign w:val="center"/>
          </w:tcPr>
          <w:p>
            <w:pPr>
              <w:widowControl w:val="0"/>
              <w:rPr>
                <w:b/>
                <w:bCs/>
              </w:rPr>
            </w:pPr>
            <w:r>
              <w:rPr>
                <w:b/>
                <w:bCs/>
              </w:rPr>
              <w:t>Company</w:t>
            </w:r>
          </w:p>
        </w:tc>
        <w:tc>
          <w:tcPr>
            <w:tcW w:w="12176" w:type="dxa"/>
            <w:shd w:val="clear" w:color="auto" w:fill="FFC000"/>
            <w:vAlign w:val="center"/>
          </w:tcPr>
          <w:p>
            <w:pPr>
              <w:widowControl w:val="0"/>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rFonts w:hint="eastAsia"/>
                <w:lang w:eastAsia="zh-CN"/>
              </w:rPr>
              <w:t>X</w:t>
            </w:r>
            <w:r>
              <w:rPr>
                <w:lang w:eastAsia="zh-CN"/>
              </w:rPr>
              <w:t>iaomi</w:t>
            </w:r>
          </w:p>
        </w:tc>
        <w:tc>
          <w:tcPr>
            <w:tcW w:w="12176" w:type="dxa"/>
            <w:vAlign w:val="center"/>
          </w:tcPr>
          <w:p>
            <w:pPr>
              <w:widowControl w:val="0"/>
              <w:rPr>
                <w:lang w:eastAsia="zh-CN"/>
              </w:rPr>
            </w:pPr>
            <w:r>
              <w:rPr>
                <w:lang w:eastAsia="zh-CN"/>
              </w:rPr>
              <w:t>Yes, 4 slots for 480 kHz and 8 slots for 960 kHz can be supported. But we are open to discuss other designs.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t>Qualcomm</w:t>
            </w:r>
          </w:p>
        </w:tc>
        <w:tc>
          <w:tcPr>
            <w:tcW w:w="12176" w:type="dxa"/>
            <w:vAlign w:val="center"/>
          </w:tcPr>
          <w:p>
            <w:pPr>
              <w:widowControl w:val="0"/>
              <w:rPr>
                <w:lang w:eastAsia="zh-CN"/>
              </w:rPr>
            </w:pPr>
            <w:r>
              <w:t>For the minimum separation (i.e., gap) between two MOs, 4 slots for 480kHz and 8 slots for 960kHz are agreeable. In addition, based on the UE capability, more than one value for a new SCS may be supported, e.g., {2, 4} slots for 480kHz and {4, 8} slots for 960kHz.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pPr>
            <w:r>
              <w:rPr>
                <w:lang w:eastAsia="zh-CN"/>
              </w:rPr>
              <w:t>Futurewei</w:t>
            </w:r>
          </w:p>
        </w:tc>
        <w:tc>
          <w:tcPr>
            <w:tcW w:w="12176" w:type="dxa"/>
            <w:vAlign w:val="center"/>
          </w:tcPr>
          <w:p>
            <w:pPr>
              <w:widowControl w:val="0"/>
            </w:pPr>
            <w:r>
              <w:t>We are OK with 4 for 480kHz and respectively 8 slots for 960kHz.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rFonts w:hint="eastAsia"/>
                <w:lang w:eastAsia="zh-CN"/>
              </w:rPr>
              <w:t>OPPO</w:t>
            </w:r>
          </w:p>
        </w:tc>
        <w:tc>
          <w:tcPr>
            <w:tcW w:w="12176" w:type="dxa"/>
            <w:vAlign w:val="center"/>
          </w:tcPr>
          <w:p>
            <w:pPr>
              <w:widowControl w:val="0"/>
            </w:pPr>
            <w:r>
              <w:rPr>
                <w:rFonts w:hint="eastAsia"/>
                <w:lang w:eastAsia="zh-CN"/>
              </w:rPr>
              <w:t xml:space="preserve">We think the </w:t>
            </w:r>
            <w:r>
              <w:rPr>
                <w:lang w:eastAsia="zh-CN"/>
              </w:rPr>
              <w:t xml:space="preserve">determination of the maximum </w:t>
            </w:r>
            <w:r>
              <w:rPr>
                <w:rFonts w:hint="eastAsia"/>
                <w:lang w:eastAsia="zh-CN"/>
              </w:rPr>
              <w:t xml:space="preserve">multi-slot span </w:t>
            </w:r>
            <w:r>
              <w:rPr>
                <w:lang w:eastAsia="zh-CN"/>
              </w:rPr>
              <w:t>depends on how many PDSCHs/PUSCHs can be scheduled with a single DCI.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pPr>
            <w:r>
              <w:rPr>
                <w:rFonts w:hint="eastAsia"/>
              </w:rPr>
              <w:t>H</w:t>
            </w:r>
            <w:r>
              <w:t>uawei, HiSilicon</w:t>
            </w:r>
          </w:p>
        </w:tc>
        <w:tc>
          <w:tcPr>
            <w:tcW w:w="12176" w:type="dxa"/>
            <w:vAlign w:val="center"/>
          </w:tcPr>
          <w:p>
            <w:pPr>
              <w:widowControl w:val="0"/>
            </w:pPr>
            <w:r>
              <w:t xml:space="preserve">Yes. </w:t>
            </w:r>
            <w:r>
              <w:rPr>
                <w:rFonts w:hint="eastAsia"/>
              </w:rPr>
              <w:t xml:space="preserve">We support </w:t>
            </w:r>
            <w:r>
              <w:t xml:space="preserve">that </w:t>
            </w:r>
            <w:r>
              <w:rPr>
                <w:rFonts w:hint="eastAsia"/>
              </w:rPr>
              <w:t xml:space="preserve">one value of the multi-slot span </w:t>
            </w:r>
            <w:r>
              <w:t>i</w:t>
            </w:r>
            <w:r>
              <w:rPr>
                <w:rFonts w:hint="eastAsia"/>
              </w:rPr>
              <w:t xml:space="preserve">s </w:t>
            </w:r>
            <w:r>
              <w:t xml:space="preserve">defined as </w:t>
            </w:r>
            <w:r>
              <w:rPr>
                <w:rFonts w:hint="eastAsia"/>
              </w:rPr>
              <w:t xml:space="preserve">4 </w:t>
            </w:r>
            <w:r>
              <w:t>slots</w:t>
            </w:r>
            <w:r>
              <w:rPr>
                <w:rFonts w:hint="eastAsia"/>
              </w:rPr>
              <w:t xml:space="preserve"> </w:t>
            </w:r>
            <w:r>
              <w:t>for 480 kHz and 8 slots for 960 kHz.</w:t>
            </w:r>
          </w:p>
          <w:p>
            <w:pPr>
              <w:widowControl w:val="0"/>
            </w:pPr>
            <w:r>
              <w:t xml:space="preserve">It can be discussed whether more (configurable) values should be supported, although we think that if more values are supported they may not need to be smaller than </w:t>
            </w:r>
            <w:r>
              <w:rPr>
                <w:rFonts w:hint="eastAsia"/>
              </w:rPr>
              <w:t xml:space="preserve">4 </w:t>
            </w:r>
            <w:r>
              <w:t>slots</w:t>
            </w:r>
            <w:r>
              <w:rPr>
                <w:rFonts w:hint="eastAsia"/>
              </w:rPr>
              <w:t xml:space="preserve"> </w:t>
            </w:r>
            <w:r>
              <w:t>for 480 kHz and 8 slots for 960 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pPr>
            <w:r>
              <w:t>Apple</w:t>
            </w:r>
          </w:p>
        </w:tc>
        <w:tc>
          <w:tcPr>
            <w:tcW w:w="12176" w:type="dxa"/>
            <w:vAlign w:val="center"/>
          </w:tcPr>
          <w:p>
            <w:pPr>
              <w:widowControl w:val="0"/>
            </w:pPr>
            <w:r>
              <w:t xml:space="preserve">Yes. 4 slots for 480 kHz and 8 slots for 960 kHz is agreeable.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rFonts w:hint="eastAsia"/>
                <w:lang w:eastAsia="zh-CN"/>
              </w:rPr>
              <w:t>ZTE, Sanechips</w:t>
            </w:r>
          </w:p>
        </w:tc>
        <w:tc>
          <w:tcPr>
            <w:tcW w:w="12176" w:type="dxa"/>
            <w:vAlign w:val="center"/>
          </w:tcPr>
          <w:p>
            <w:pPr>
              <w:widowControl w:val="0"/>
              <w:rPr>
                <w:lang w:eastAsia="zh-CN"/>
              </w:rPr>
            </w:pPr>
            <w:r>
              <w:rPr>
                <w:rFonts w:hint="eastAsia"/>
                <w:lang w:eastAsia="zh-CN"/>
              </w:rPr>
              <w:t>We support N=4/8 slots for 480 kHz and 960 kHz, or N can be configured in a range.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lang w:eastAsia="zh-CN"/>
              </w:rPr>
              <w:t>Samsung</w:t>
            </w:r>
          </w:p>
        </w:tc>
        <w:tc>
          <w:tcPr>
            <w:tcW w:w="12176" w:type="dxa"/>
            <w:vAlign w:val="center"/>
          </w:tcPr>
          <w:p>
            <w:pPr>
              <w:widowControl w:val="0"/>
              <w:rPr>
                <w:lang w:eastAsia="zh-CN"/>
              </w:rPr>
            </w:pPr>
            <w:r>
              <w:rPr>
                <w:lang w:eastAsia="zh-CN"/>
              </w:rPr>
              <w:t xml:space="preserve">If the intention is to discuss the minimum monitoring span gap (X), we are </w:t>
            </w:r>
            <w:r>
              <w:t xml:space="preserve">OK with the fixed ratio based on SCS configuration, and other values can also be discussed. We also want to note its impact to BD/CCE limit to be specified.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t>Intel</w:t>
            </w:r>
          </w:p>
        </w:tc>
        <w:tc>
          <w:tcPr>
            <w:tcW w:w="12176" w:type="dxa"/>
            <w:vAlign w:val="center"/>
          </w:tcPr>
          <w:p>
            <w:pPr>
              <w:widowControl w:val="0"/>
              <w:rPr>
                <w:lang w:eastAsia="zh-CN"/>
              </w:rPr>
            </w:pPr>
            <w:r>
              <w:t xml:space="preserve">We think the length of multi-slot span should be configurable. The candidates can be 1, 2, 4, 8. The maximum length can be derived by slot length of SCS 120kHz, i.e. 4 for SCS 480 and 8 for 960kHz. As to minimum length, we consider 1 for SCS 480kHz and 2 for SCS 960kHz.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pPr>
            <w:r>
              <w:t>InterDigital</w:t>
            </w:r>
          </w:p>
        </w:tc>
        <w:tc>
          <w:tcPr>
            <w:tcW w:w="12176" w:type="dxa"/>
            <w:vAlign w:val="center"/>
          </w:tcPr>
          <w:p>
            <w:pPr>
              <w:widowControl w:val="0"/>
            </w:pPr>
            <w:r>
              <w:t>We also think that 4 slots for 480 kHz and 8 slots for 960 kHz are agreeable. Other values can be further discussed.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rFonts w:hint="eastAsia"/>
                <w:lang w:eastAsia="zh-CN"/>
              </w:rPr>
              <w:t>v</w:t>
            </w:r>
            <w:r>
              <w:rPr>
                <w:lang w:eastAsia="zh-CN"/>
              </w:rPr>
              <w:t>ivo</w:t>
            </w:r>
          </w:p>
        </w:tc>
        <w:tc>
          <w:tcPr>
            <w:tcW w:w="12176" w:type="dxa"/>
            <w:vAlign w:val="center"/>
          </w:tcPr>
          <w:p>
            <w:pPr>
              <w:widowControl w:val="0"/>
            </w:pPr>
            <w:r>
              <w:rPr>
                <w:lang w:eastAsia="zh-CN"/>
              </w:rPr>
              <w:t xml:space="preserve">I suppose this value is corresponding to the </w:t>
            </w:r>
            <w:r>
              <w:rPr>
                <w:i/>
                <w:lang w:eastAsia="zh-CN"/>
              </w:rPr>
              <w:t>N</w:t>
            </w:r>
            <w:r>
              <w:rPr>
                <w:lang w:eastAsia="zh-CN"/>
              </w:rPr>
              <w:t xml:space="preserve"> value as we listed in the comments to Question A1-2d. Agree with that 4 slots for 480KHz and 8 slots for 960KHz is supported and we are also open to discuss other values as well. Another aspect we need also consider is to determine </w:t>
            </w:r>
            <w:r>
              <w:rPr>
                <w:i/>
                <w:lang w:eastAsia="zh-CN"/>
              </w:rPr>
              <w:t>M</w:t>
            </w:r>
            <w:r>
              <w:rPr>
                <w:lang w:eastAsia="zh-CN"/>
              </w:rPr>
              <w:t xml:space="preserve"> value for Alt. 1 and Alt. 2, i.e. how many slots could be monitored.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rFonts w:hint="eastAsia" w:eastAsia="MS Mincho"/>
                <w:lang w:eastAsia="ja-JP"/>
              </w:rPr>
              <w:t>NTT DOCOMO</w:t>
            </w:r>
          </w:p>
        </w:tc>
        <w:tc>
          <w:tcPr>
            <w:tcW w:w="12176" w:type="dxa"/>
            <w:vAlign w:val="center"/>
          </w:tcPr>
          <w:p>
            <w:pPr>
              <w:widowControl w:val="0"/>
              <w:rPr>
                <w:lang w:eastAsia="zh-CN"/>
              </w:rPr>
            </w:pPr>
            <w:r>
              <w:rPr>
                <w:rFonts w:eastAsia="MS Mincho"/>
                <w:lang w:eastAsia="ja-JP"/>
              </w:rPr>
              <w:t>We support 4 slots for 480 kHz and 8 slots for 960 kHz to align the absolute time with the existing PDCCH processing capability with 120 kHz SCS. In addition, smaller numbers of slots can be investigated.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rFonts w:eastAsia="MS Mincho"/>
                <w:lang w:eastAsia="ja-JP"/>
              </w:rPr>
            </w:pPr>
            <w:r>
              <w:rPr>
                <w:rFonts w:eastAsia="MS Mincho"/>
                <w:lang w:eastAsia="ja-JP"/>
              </w:rPr>
              <w:t>Sony</w:t>
            </w:r>
          </w:p>
        </w:tc>
        <w:tc>
          <w:tcPr>
            <w:tcW w:w="12176" w:type="dxa"/>
            <w:vAlign w:val="center"/>
          </w:tcPr>
          <w:p>
            <w:pPr>
              <w:widowControl w:val="0"/>
              <w:rPr>
                <w:rFonts w:eastAsia="MS Mincho"/>
                <w:lang w:eastAsia="ja-JP"/>
              </w:rPr>
            </w:pPr>
            <w:r>
              <w:t>Support 4 slots for 480 kHz SCS and 8 slots for 960 kHz SCS, considering the same implementation complexity for 120 kHz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rFonts w:eastAsia="MS Mincho"/>
                <w:lang w:eastAsia="ja-JP"/>
              </w:rPr>
            </w:pPr>
            <w:r>
              <w:rPr>
                <w:lang w:eastAsia="zh-CN"/>
              </w:rPr>
              <w:t>Lenovo, Motorola Mobility</w:t>
            </w:r>
          </w:p>
        </w:tc>
        <w:tc>
          <w:tcPr>
            <w:tcW w:w="12176" w:type="dxa"/>
            <w:vAlign w:val="center"/>
          </w:tcPr>
          <w:p>
            <w:pPr>
              <w:widowControl w:val="0"/>
            </w:pPr>
            <w:r>
              <w:rPr>
                <w:lang w:eastAsia="zh-CN"/>
              </w:rPr>
              <w:t xml:space="preserve">We agree to support at least 4 slots for 480kHz and 8 slots for 960kHz. Further values are not precluded at this point.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pPr>
            <w:r>
              <w:t>Nokia, NSB</w:t>
            </w:r>
          </w:p>
        </w:tc>
        <w:tc>
          <w:tcPr>
            <w:tcW w:w="12176" w:type="dxa"/>
            <w:vAlign w:val="center"/>
          </w:tcPr>
          <w:p>
            <w:pPr>
              <w:widowControl w:val="0"/>
            </w:pPr>
            <w:r>
              <w:t>Those are agreeable. In addition to those, the following lengths are needed:</w:t>
            </w:r>
          </w:p>
          <w:p>
            <w:pPr>
              <w:pStyle w:val="73"/>
              <w:widowControl w:val="0"/>
              <w:numPr>
                <w:ilvl w:val="0"/>
                <w:numId w:val="21"/>
              </w:numPr>
              <w:spacing w:line="240" w:lineRule="auto"/>
            </w:pPr>
            <w:r>
              <w:t xml:space="preserve">480 kHz SCS: [2] slots </w:t>
            </w:r>
          </w:p>
          <w:p>
            <w:pPr>
              <w:pStyle w:val="73"/>
              <w:widowControl w:val="0"/>
              <w:numPr>
                <w:ilvl w:val="0"/>
                <w:numId w:val="21"/>
              </w:numPr>
              <w:spacing w:line="240" w:lineRule="auto"/>
            </w:pPr>
            <w:r>
              <w:t>960 kHz SCS: [2 4] slots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lang w:val="en-GB" w:eastAsia="zh-CN"/>
              </w:rPr>
              <w:t>Spreadtrum</w:t>
            </w:r>
          </w:p>
        </w:tc>
        <w:tc>
          <w:tcPr>
            <w:tcW w:w="12176" w:type="dxa"/>
            <w:vAlign w:val="center"/>
          </w:tcPr>
          <w:p>
            <w:pPr>
              <w:widowControl w:val="0"/>
              <w:rPr>
                <w:lang w:eastAsia="zh-CN"/>
              </w:rPr>
            </w:pPr>
            <w:r>
              <w:rPr>
                <w:lang w:eastAsia="zh-CN"/>
              </w:rPr>
              <w:t>Yes, We support 4 slots for 480 kHz and 8 slots for 960 kHz.</w:t>
            </w:r>
            <w:r>
              <w:t xml:space="preserve"> In addition, more values for a new SCS may be supported, e.g., {2, 4} slots for 480kHz and {4, 8} slots for 960kHz.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val="en-GB" w:eastAsia="zh-CN"/>
              </w:rPr>
            </w:pPr>
            <w:r>
              <w:rPr>
                <w:lang w:val="en-GB" w:eastAsia="zh-CN"/>
              </w:rPr>
              <w:t>Convida Wireless</w:t>
            </w:r>
          </w:p>
        </w:tc>
        <w:tc>
          <w:tcPr>
            <w:tcW w:w="12176" w:type="dxa"/>
            <w:vAlign w:val="center"/>
          </w:tcPr>
          <w:p>
            <w:pPr>
              <w:widowControl w:val="0"/>
              <w:rPr>
                <w:lang w:eastAsia="zh-CN"/>
              </w:rPr>
            </w:pPr>
            <w:r>
              <w:rPr>
                <w:lang w:eastAsia="zh-CN"/>
              </w:rPr>
              <w:t>Number of slots for supported SCS/numerology can be further studied.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rFonts w:hint="eastAsia" w:eastAsia="Malgun Gothic"/>
                <w:lang w:eastAsia="ko-KR"/>
              </w:rPr>
              <w:t>L</w:t>
            </w:r>
            <w:r>
              <w:rPr>
                <w:rFonts w:eastAsia="Malgun Gothic"/>
                <w:lang w:eastAsia="ko-KR"/>
              </w:rPr>
              <w:t>G Electronics</w:t>
            </w:r>
          </w:p>
        </w:tc>
        <w:tc>
          <w:tcPr>
            <w:tcW w:w="12176" w:type="dxa"/>
            <w:vAlign w:val="center"/>
          </w:tcPr>
          <w:p>
            <w:pPr>
              <w:widowControl w:val="0"/>
              <w:rPr>
                <w:rFonts w:eastAsia="Malgun Gothic"/>
                <w:lang w:eastAsia="ko-KR"/>
              </w:rPr>
            </w:pPr>
            <w:r>
              <w:rPr>
                <w:rFonts w:eastAsia="Malgun Gothic"/>
                <w:lang w:eastAsia="ko-KR"/>
              </w:rPr>
              <w:t xml:space="preserve">Yes, 4 slots for 480 kHz and 8 slots for 960 kHz are agreeable. And we support more than one value for a new SCS.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rFonts w:eastAsia="Malgun Gothic"/>
                <w:sz w:val="20"/>
                <w:lang w:eastAsia="ko-KR"/>
              </w:rPr>
            </w:pPr>
            <w:r>
              <w:rPr>
                <w:rFonts w:eastAsia="Malgun Gothic"/>
                <w:lang w:eastAsia="ko-KR"/>
              </w:rPr>
              <w:t>Ericsson</w:t>
            </w:r>
          </w:p>
        </w:tc>
        <w:tc>
          <w:tcPr>
            <w:tcW w:w="12176" w:type="dxa"/>
            <w:vAlign w:val="center"/>
          </w:tcPr>
          <w:p>
            <w:pPr>
              <w:widowControl w:val="0"/>
              <w:rPr>
                <w:rFonts w:eastAsia="Malgun Gothic"/>
                <w:sz w:val="20"/>
                <w:lang w:eastAsia="ko-KR"/>
              </w:rPr>
            </w:pPr>
            <w:r>
              <w:rPr>
                <w:rFonts w:eastAsia="Malgun Gothic"/>
                <w:lang w:eastAsia="ko-KR"/>
              </w:rPr>
              <w:t>As a starting point, a multi-slot span of B = 4/8 should be supported for 480/960 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rFonts w:eastAsia="Malgun Gothic"/>
                <w:lang w:eastAsia="ko-KR"/>
              </w:rPr>
            </w:pPr>
            <w:r>
              <w:t>CATT</w:t>
            </w:r>
          </w:p>
        </w:tc>
        <w:tc>
          <w:tcPr>
            <w:tcW w:w="12176" w:type="dxa"/>
            <w:vAlign w:val="center"/>
          </w:tcPr>
          <w:p>
            <w:pPr>
              <w:widowControl w:val="0"/>
              <w:rPr>
                <w:rFonts w:eastAsia="Malgun Gothic"/>
                <w:lang w:eastAsia="ko-KR"/>
              </w:rPr>
            </w:pPr>
            <w:r>
              <w:t>4 and 8 slots for SCS = 480 kHz and 960 kHz respectively</w:t>
            </w:r>
          </w:p>
        </w:tc>
      </w:tr>
    </w:tbl>
    <w:p>
      <w:pPr>
        <w:rPr>
          <w:lang w:eastAsia="zh-CN"/>
        </w:rPr>
      </w:pPr>
    </w:p>
    <w:p>
      <w:pPr>
        <w:rPr>
          <w:lang w:eastAsia="zh-CN"/>
        </w:rPr>
      </w:pPr>
      <w:r>
        <w:rPr>
          <w:highlight w:val="cyan"/>
          <w:lang w:eastAsia="zh-CN"/>
        </w:rPr>
        <w:t>First Round FL Summary:</w:t>
      </w:r>
      <w:r>
        <w:rPr>
          <w:lang w:eastAsia="zh-CN"/>
        </w:rPr>
        <w:t xml:space="preserve"> Most companies are fine to agree to a multi-slot monitoring span of 4 slots </w:t>
      </w:r>
      <w:r>
        <w:t>for 480 kHz and 8 slots for 960 kHz. Some companies stated that additional values should be supported. Suggested values to add are 1,2 slots for 480 kHz and 2,4 slots for 960 kHz.</w:t>
      </w:r>
    </w:p>
    <w:p>
      <w:pPr>
        <w:pStyle w:val="4"/>
        <w:rPr>
          <w:lang w:val="en-GB" w:eastAsia="zh-CN"/>
        </w:rPr>
      </w:pPr>
      <w:r>
        <w:rPr>
          <w:lang w:val="en-GB" w:eastAsia="zh-CN"/>
        </w:rPr>
        <w:t>Second Round (A1-2c)</w:t>
      </w:r>
    </w:p>
    <w:p>
      <w:pPr>
        <w:rPr>
          <w:lang w:eastAsia="zh-CN"/>
        </w:rPr>
      </w:pPr>
      <w:r>
        <w:rPr>
          <w:highlight w:val="yellow"/>
          <w:lang w:eastAsia="zh-CN"/>
        </w:rPr>
        <w:t>First Round FL Proposal A1-2c.1:</w:t>
      </w:r>
    </w:p>
    <w:p>
      <w:pPr>
        <w:rPr>
          <w:lang w:eastAsia="zh-CN"/>
        </w:rPr>
      </w:pPr>
      <w:r>
        <w:rPr>
          <w:lang w:eastAsia="zh-CN"/>
        </w:rPr>
        <w:t>The duration of a multi-slot monitoring span is as follows:</w:t>
      </w:r>
    </w:p>
    <w:p>
      <w:pPr>
        <w:pStyle w:val="73"/>
        <w:numPr>
          <w:ilvl w:val="0"/>
          <w:numId w:val="22"/>
        </w:numPr>
        <w:rPr>
          <w:lang w:eastAsia="zh-CN"/>
        </w:rPr>
      </w:pPr>
      <w:r>
        <w:rPr>
          <w:lang w:eastAsia="zh-CN"/>
        </w:rPr>
        <w:t>For 480 kHz: 4 slots, for 960 kHz: 8 slots.</w:t>
      </w:r>
    </w:p>
    <w:p>
      <w:pPr>
        <w:pStyle w:val="73"/>
        <w:numPr>
          <w:ilvl w:val="0"/>
          <w:numId w:val="22"/>
        </w:numPr>
        <w:rPr>
          <w:lang w:eastAsia="zh-CN"/>
        </w:rPr>
      </w:pPr>
      <w:r>
        <w:rPr>
          <w:lang w:eastAsia="zh-CN"/>
        </w:rPr>
        <w:t>Additional durations are not precluded</w:t>
      </w:r>
    </w:p>
    <w:p>
      <w:pPr>
        <w:rPr>
          <w:u w:val="single"/>
          <w:lang w:eastAsia="zh-CN"/>
        </w:rPr>
      </w:pPr>
    </w:p>
    <w:p>
      <w:pPr>
        <w:rPr>
          <w:lang w:val="en-GB" w:eastAsia="zh-CN"/>
        </w:rPr>
      </w:pPr>
      <w:r>
        <w:rPr>
          <w:highlight w:val="yellow"/>
          <w:lang w:val="en-GB" w:eastAsia="zh-CN"/>
        </w:rPr>
        <w:t>Can we agree FL Proposal A1-2c.1?</w:t>
      </w:r>
    </w:p>
    <w:tbl>
      <w:tblPr>
        <w:tblStyle w:val="52"/>
        <w:tblW w:w="145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5"/>
        <w:gridCol w:w="121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shd w:val="clear" w:color="auto" w:fill="FFC000"/>
            <w:vAlign w:val="center"/>
          </w:tcPr>
          <w:p>
            <w:pPr>
              <w:widowControl w:val="0"/>
              <w:rPr>
                <w:b/>
                <w:bCs/>
              </w:rPr>
            </w:pPr>
            <w:r>
              <w:rPr>
                <w:b/>
                <w:bCs/>
              </w:rPr>
              <w:t>Company</w:t>
            </w:r>
          </w:p>
        </w:tc>
        <w:tc>
          <w:tcPr>
            <w:tcW w:w="12176" w:type="dxa"/>
            <w:shd w:val="clear" w:color="auto" w:fill="FFC000"/>
            <w:vAlign w:val="center"/>
          </w:tcPr>
          <w:p>
            <w:pPr>
              <w:widowControl w:val="0"/>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lang w:eastAsia="zh-CN"/>
              </w:rPr>
              <w:t>Intel</w:t>
            </w:r>
          </w:p>
        </w:tc>
        <w:tc>
          <w:tcPr>
            <w:tcW w:w="12176" w:type="dxa"/>
            <w:vAlign w:val="center"/>
          </w:tcPr>
          <w:p>
            <w:pPr>
              <w:widowControl w:val="0"/>
              <w:rPr>
                <w:lang w:eastAsia="zh-CN"/>
              </w:rPr>
            </w:pPr>
            <w:r>
              <w:rPr>
                <w:lang w:eastAsia="zh-CN"/>
              </w:rPr>
              <w:t>We support the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rFonts w:hint="eastAsia"/>
                <w:lang w:eastAsia="zh-CN"/>
              </w:rPr>
              <w:t>Huawei, HiSilicon</w:t>
            </w:r>
          </w:p>
        </w:tc>
        <w:tc>
          <w:tcPr>
            <w:tcW w:w="12176" w:type="dxa"/>
            <w:vAlign w:val="center"/>
          </w:tcPr>
          <w:p>
            <w:pPr>
              <w:widowControl w:val="0"/>
              <w:rPr>
                <w:lang w:eastAsia="zh-CN"/>
              </w:rPr>
            </w:pPr>
            <w:r>
              <w:rPr>
                <w:lang w:eastAsia="zh-CN"/>
              </w:rPr>
              <w:t>We support the Moderator’s proposal</w:t>
            </w:r>
          </w:p>
          <w:p>
            <w:pPr>
              <w:widowControl w:val="0"/>
              <w:rPr>
                <w:lang w:eastAsia="zh-CN"/>
              </w:rPr>
            </w:pPr>
            <w:r>
              <w:rPr>
                <w:lang w:eastAsia="zh-CN"/>
              </w:rPr>
              <w:t xml:space="preserve">Note that value 1 goes back to question A1-1a (ok now I read the next question </w:t>
            </w:r>
            <w:r>
              <w:rPr>
                <w:rFonts w:ascii="Wingdings" w:hAnsi="Wingdings" w:eastAsia="Wingdings" w:cs="Wingdings"/>
                <w:lang w:eastAsia="zh-CN"/>
              </w:rPr>
              <w:t></w:t>
            </w:r>
            <w:r>
              <w:rPr>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lang w:eastAsia="zh-CN"/>
              </w:rPr>
              <w:t>Nokia, NSB</w:t>
            </w:r>
          </w:p>
        </w:tc>
        <w:tc>
          <w:tcPr>
            <w:tcW w:w="12176" w:type="dxa"/>
            <w:vAlign w:val="center"/>
          </w:tcPr>
          <w:p>
            <w:pPr>
              <w:widowControl w:val="0"/>
              <w:rPr>
                <w:lang w:eastAsia="zh-CN"/>
              </w:rPr>
            </w:pPr>
            <w:r>
              <w:rPr>
                <w:lang w:eastAsia="zh-CN"/>
              </w:rPr>
              <w:t xml:space="preserve">We support the Moderator’s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rFonts w:hint="eastAsia"/>
                <w:lang w:eastAsia="zh-CN"/>
              </w:rPr>
              <w:t>X</w:t>
            </w:r>
            <w:r>
              <w:rPr>
                <w:lang w:eastAsia="zh-CN"/>
              </w:rPr>
              <w:t>iaomi</w:t>
            </w:r>
          </w:p>
        </w:tc>
        <w:tc>
          <w:tcPr>
            <w:tcW w:w="12176" w:type="dxa"/>
            <w:vAlign w:val="center"/>
          </w:tcPr>
          <w:p>
            <w:pPr>
              <w:widowControl w:val="0"/>
              <w:rPr>
                <w:lang w:eastAsia="zh-CN"/>
              </w:rPr>
            </w:pPr>
            <w:r>
              <w:rPr>
                <w:lang w:eastAsia="zh-CN"/>
              </w:rPr>
              <w:t>Support the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rFonts w:hint="eastAsia"/>
                <w:lang w:eastAsia="zh"/>
              </w:rPr>
              <w:t>ZTE, Sanechips</w:t>
            </w:r>
          </w:p>
        </w:tc>
        <w:tc>
          <w:tcPr>
            <w:tcW w:w="12176" w:type="dxa"/>
            <w:vAlign w:val="center"/>
          </w:tcPr>
          <w:p>
            <w:pPr>
              <w:widowControl w:val="0"/>
              <w:rPr>
                <w:lang w:eastAsia="zh-CN"/>
              </w:rPr>
            </w:pPr>
            <w:r>
              <w:rPr>
                <w:lang w:eastAsia="zh-CN"/>
              </w:rPr>
              <w:t>We support the Moderator’s proposal</w:t>
            </w:r>
            <w:r>
              <w:rPr>
                <w:rFonts w:hint="eastAsia"/>
                <w:lang w:eastAsia="zh-CN"/>
              </w:rPr>
              <w:t xml:space="preserve">. </w:t>
            </w:r>
          </w:p>
          <w:p>
            <w:pPr>
              <w:widowControl w:val="0"/>
              <w:rPr>
                <w:lang w:eastAsia="zh-CN"/>
              </w:rPr>
            </w:pPr>
            <w:r>
              <w:rPr>
                <w:rFonts w:hint="eastAsia"/>
                <w:lang w:eastAsia="zh-CN"/>
              </w:rPr>
              <w:t>Further, according to FL</w:t>
            </w:r>
            <w:r>
              <w:rPr>
                <w:lang w:eastAsia="zh-CN"/>
              </w:rPr>
              <w:t>’</w:t>
            </w:r>
            <w:r>
              <w:rPr>
                <w:rFonts w:hint="eastAsia"/>
                <w:lang w:eastAsia="zh-CN"/>
              </w:rPr>
              <w:t xml:space="preserve">s proposal </w:t>
            </w:r>
            <w:r>
              <w:rPr>
                <w:highlight w:val="yellow"/>
                <w:lang w:eastAsia="zh-CN"/>
              </w:rPr>
              <w:t>A1-1a.1</w:t>
            </w:r>
            <w:r>
              <w:rPr>
                <w:rFonts w:hint="eastAsia"/>
                <w:lang w:eastAsia="zh-CN"/>
              </w:rPr>
              <w:t xml:space="preserve">, we suggest that the number of slot equals to 1 should be supported.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
              </w:rPr>
            </w:pPr>
            <w:r>
              <w:rPr>
                <w:lang w:eastAsia="zh"/>
              </w:rPr>
              <w:t>Lenovo, Motorola Mobility</w:t>
            </w:r>
          </w:p>
        </w:tc>
        <w:tc>
          <w:tcPr>
            <w:tcW w:w="12176" w:type="dxa"/>
            <w:vAlign w:val="center"/>
          </w:tcPr>
          <w:p>
            <w:pPr>
              <w:widowControl w:val="0"/>
              <w:rPr>
                <w:lang w:eastAsia="zh-CN"/>
              </w:rPr>
            </w:pPr>
            <w:r>
              <w:rPr>
                <w:lang w:eastAsia="zh-CN"/>
              </w:rPr>
              <w:t>We support FL’s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top"/>
          </w:tcPr>
          <w:p>
            <w:pPr>
              <w:widowControl w:val="0"/>
              <w:rPr>
                <w:lang w:eastAsia="zh"/>
              </w:rPr>
            </w:pPr>
            <w:r>
              <w:t>CATT</w:t>
            </w:r>
          </w:p>
        </w:tc>
        <w:tc>
          <w:tcPr>
            <w:tcW w:w="12176" w:type="dxa"/>
            <w:vAlign w:val="top"/>
          </w:tcPr>
          <w:p>
            <w:pPr>
              <w:widowControl w:val="0"/>
              <w:rPr>
                <w:lang w:eastAsia="zh-CN"/>
              </w:rPr>
            </w:pPr>
            <w:r>
              <w:t>We are OK with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top"/>
          </w:tcPr>
          <w:p>
            <w:pPr>
              <w:widowControl w:val="0"/>
              <w:rPr>
                <w:rFonts w:eastAsia="MS Mincho"/>
                <w:lang w:eastAsia="ja-JP"/>
              </w:rPr>
            </w:pPr>
            <w:r>
              <w:rPr>
                <w:rFonts w:hint="eastAsia" w:eastAsia="MS Mincho"/>
                <w:lang w:eastAsia="ja-JP"/>
              </w:rPr>
              <w:t>NTT DOCOMO</w:t>
            </w:r>
          </w:p>
        </w:tc>
        <w:tc>
          <w:tcPr>
            <w:tcW w:w="12176" w:type="dxa"/>
            <w:vAlign w:val="top"/>
          </w:tcPr>
          <w:p>
            <w:pPr>
              <w:widowControl w:val="0"/>
            </w:pPr>
            <w:r>
              <w:rPr>
                <w:rFonts w:eastAsia="Yu Gothic"/>
              </w:rPr>
              <w:t>We support the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top"/>
          </w:tcPr>
          <w:p>
            <w:pPr>
              <w:widowControl w:val="0"/>
              <w:rPr>
                <w:rFonts w:eastAsia="MS Mincho"/>
                <w:lang w:eastAsia="ja-JP"/>
              </w:rPr>
            </w:pPr>
            <w:r>
              <w:rPr>
                <w:rFonts w:eastAsia="MS Mincho"/>
                <w:lang w:eastAsia="ja-JP"/>
              </w:rPr>
              <w:t>Apple</w:t>
            </w:r>
          </w:p>
        </w:tc>
        <w:tc>
          <w:tcPr>
            <w:tcW w:w="12176" w:type="dxa"/>
            <w:vAlign w:val="top"/>
          </w:tcPr>
          <w:p>
            <w:pPr>
              <w:widowControl w:val="0"/>
              <w:rPr>
                <w:rFonts w:eastAsia="Yu Gothic"/>
              </w:rPr>
            </w:pPr>
            <w:r>
              <w:rPr>
                <w:rFonts w:eastAsia="Yu Gothic"/>
              </w:rPr>
              <w:t>We are fine with the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rFonts w:eastAsia="MS Mincho"/>
                <w:lang w:eastAsia="ja-JP"/>
              </w:rPr>
            </w:pPr>
            <w:r>
              <w:rPr>
                <w:lang w:val="en-GB" w:eastAsia="zh-CN"/>
              </w:rPr>
              <w:t>Spreadtrum</w:t>
            </w:r>
          </w:p>
        </w:tc>
        <w:tc>
          <w:tcPr>
            <w:tcW w:w="12176" w:type="dxa"/>
            <w:vAlign w:val="center"/>
          </w:tcPr>
          <w:p>
            <w:pPr>
              <w:widowControl w:val="0"/>
              <w:rPr>
                <w:rFonts w:eastAsia="Yu Gothic"/>
              </w:rPr>
            </w:pPr>
            <w:r>
              <w:rPr>
                <w:rFonts w:eastAsia="Yu Gothic"/>
              </w:rPr>
              <w:t>Support the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val="en-GB" w:eastAsia="zh-CN"/>
              </w:rPr>
            </w:pPr>
            <w:r>
              <w:rPr>
                <w:lang w:val="en-GB" w:eastAsia="zh-CN"/>
              </w:rPr>
              <w:t>Sony</w:t>
            </w:r>
          </w:p>
        </w:tc>
        <w:tc>
          <w:tcPr>
            <w:tcW w:w="12176" w:type="dxa"/>
            <w:vAlign w:val="center"/>
          </w:tcPr>
          <w:p>
            <w:pPr>
              <w:widowControl w:val="0"/>
              <w:rPr>
                <w:rFonts w:eastAsia="Yu Gothic"/>
              </w:rPr>
            </w:pPr>
            <w:r>
              <w:rPr>
                <w:lang w:eastAsia="zh-CN"/>
              </w:rPr>
              <w:t>We support the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val="en-GB" w:eastAsia="zh-CN"/>
              </w:rPr>
            </w:pPr>
            <w:r>
              <w:rPr>
                <w:rFonts w:hint="eastAsia"/>
                <w:lang w:val="en-GB" w:eastAsia="zh-CN"/>
              </w:rPr>
              <w:t>OPPO</w:t>
            </w:r>
          </w:p>
        </w:tc>
        <w:tc>
          <w:tcPr>
            <w:tcW w:w="12176" w:type="dxa"/>
            <w:vAlign w:val="center"/>
          </w:tcPr>
          <w:p>
            <w:pPr>
              <w:widowControl w:val="0"/>
              <w:rPr>
                <w:lang w:eastAsia="zh-CN"/>
              </w:rPr>
            </w:pPr>
            <w:r>
              <w:rPr>
                <w:lang w:eastAsia="zh-CN"/>
              </w:rPr>
              <w:t>We support the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val="en-GB" w:eastAsia="zh-CN"/>
              </w:rPr>
            </w:pPr>
            <w:r>
              <w:rPr>
                <w:lang w:val="en-GB" w:eastAsia="zh-CN"/>
              </w:rPr>
              <w:t>InterDigital</w:t>
            </w:r>
          </w:p>
        </w:tc>
        <w:tc>
          <w:tcPr>
            <w:tcW w:w="12176" w:type="dxa"/>
            <w:vAlign w:val="center"/>
          </w:tcPr>
          <w:p>
            <w:pPr>
              <w:widowControl w:val="0"/>
              <w:rPr>
                <w:lang w:eastAsia="zh-CN"/>
              </w:rPr>
            </w:pPr>
            <w:r>
              <w:rPr>
                <w:lang w:eastAsia="zh-CN"/>
              </w:rPr>
              <w:t>We propose following updates:</w:t>
            </w:r>
          </w:p>
          <w:p>
            <w:pPr>
              <w:widowControl w:val="0"/>
              <w:rPr>
                <w:lang w:eastAsia="zh-CN"/>
              </w:rPr>
            </w:pPr>
            <w:ins w:id="0" w:author="Young Woo Kwak" w:date="2021-02-01T15:00:00Z">
              <w:r>
                <w:rPr>
                  <w:lang w:eastAsia="zh-CN"/>
                </w:rPr>
                <w:t xml:space="preserve">Support at least </w:t>
              </w:r>
            </w:ins>
            <w:del w:id="1" w:author="Young Woo Kwak" w:date="2021-02-01T15:00:00Z">
              <w:r>
                <w:rPr>
                  <w:lang w:eastAsia="zh-CN"/>
                </w:rPr>
                <w:delText>T</w:delText>
              </w:r>
            </w:del>
            <w:ins w:id="2" w:author="Young Woo Kwak" w:date="2021-02-01T15:00:00Z">
              <w:r>
                <w:rPr>
                  <w:lang w:eastAsia="zh-CN"/>
                </w:rPr>
                <w:t>t</w:t>
              </w:r>
            </w:ins>
            <w:r>
              <w:rPr>
                <w:lang w:eastAsia="zh-CN"/>
              </w:rPr>
              <w:t xml:space="preserve">he </w:t>
            </w:r>
            <w:ins w:id="3" w:author="Young Woo Kwak" w:date="2021-02-01T15:00:00Z">
              <w:r>
                <w:rPr>
                  <w:lang w:eastAsia="zh-CN"/>
                </w:rPr>
                <w:t xml:space="preserve">following </w:t>
              </w:r>
            </w:ins>
            <w:r>
              <w:rPr>
                <w:lang w:eastAsia="zh-CN"/>
              </w:rPr>
              <w:t>duration of a multi-slot monitoring</w:t>
            </w:r>
            <w:del w:id="4" w:author="Young Woo Kwak" w:date="2021-02-01T15:00:00Z">
              <w:r>
                <w:rPr>
                  <w:lang w:eastAsia="zh-CN"/>
                </w:rPr>
                <w:delText xml:space="preserve"> span</w:delText>
              </w:r>
            </w:del>
            <w:del w:id="5" w:author="Young Woo Kwak" w:date="2021-02-01T15:01:00Z">
              <w:r>
                <w:rPr>
                  <w:lang w:eastAsia="zh-CN"/>
                </w:rPr>
                <w:delText xml:space="preserve"> is as follows</w:delText>
              </w:r>
            </w:del>
            <w:r>
              <w:rPr>
                <w:lang w:eastAsia="zh-CN"/>
              </w:rPr>
              <w:t>:</w:t>
            </w:r>
          </w:p>
          <w:p>
            <w:pPr>
              <w:pStyle w:val="73"/>
              <w:widowControl w:val="0"/>
              <w:numPr>
                <w:ilvl w:val="0"/>
                <w:numId w:val="22"/>
              </w:numPr>
              <w:rPr>
                <w:lang w:eastAsia="zh-CN"/>
              </w:rPr>
            </w:pPr>
            <w:r>
              <w:rPr>
                <w:lang w:eastAsia="zh-CN"/>
              </w:rPr>
              <w:t>For 480 kHz: 4 slots, for 960 kHz: 8 slots.</w:t>
            </w:r>
          </w:p>
          <w:p>
            <w:pPr>
              <w:pStyle w:val="73"/>
              <w:widowControl w:val="0"/>
              <w:numPr>
                <w:ilvl w:val="0"/>
                <w:numId w:val="22"/>
              </w:numPr>
              <w:rPr>
                <w:lang w:eastAsia="zh-CN"/>
              </w:rPr>
            </w:pPr>
            <w:r>
              <w:rPr>
                <w:lang w:eastAsia="zh-CN"/>
              </w:rPr>
              <w:t>Additional durations are not precluded</w:t>
            </w:r>
          </w:p>
          <w:p>
            <w:pPr>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
              </w:rPr>
            </w:pPr>
            <w:r>
              <w:rPr>
                <w:lang w:eastAsia="zh"/>
              </w:rPr>
              <w:t>LG Electronics</w:t>
            </w:r>
          </w:p>
        </w:tc>
        <w:tc>
          <w:tcPr>
            <w:tcW w:w="12176" w:type="dxa"/>
            <w:vAlign w:val="center"/>
          </w:tcPr>
          <w:p>
            <w:pPr>
              <w:widowControl w:val="0"/>
              <w:rPr>
                <w:lang w:eastAsia="zh-CN"/>
              </w:rPr>
            </w:pPr>
            <w:r>
              <w:rPr>
                <w:lang w:eastAsia="zh-CN"/>
              </w:rPr>
              <w:t>We support the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
              </w:rPr>
            </w:pPr>
            <w:r>
              <w:rPr>
                <w:lang w:eastAsia="zh"/>
              </w:rPr>
              <w:t>Samsung</w:t>
            </w:r>
          </w:p>
        </w:tc>
        <w:tc>
          <w:tcPr>
            <w:tcW w:w="12176" w:type="dxa"/>
            <w:vAlign w:val="center"/>
          </w:tcPr>
          <w:p>
            <w:pPr>
              <w:widowControl w:val="0"/>
              <w:rPr>
                <w:lang w:eastAsia="zh-CN"/>
              </w:rPr>
            </w:pPr>
            <w:r>
              <w:rPr>
                <w:lang w:eastAsia="zh-CN"/>
              </w:rPr>
              <w:t xml:space="preserve">To clarify, if we are discussing X (which is slot group in Alt 1/3 of proposal A1-2d and span gap in Alt 2 of proposal A1-2d), then we are ok with the proposal; if we are discussing the “duration of a multi-slot monitoring span” (e.g. Y in Alt of proposal A1-2d) as described in the proposal, then we don’t agree with the proposal since we didn’t see a need to support such a large value of span duration to increase UE complexity.  </w:t>
            </w:r>
          </w:p>
        </w:tc>
      </w:tr>
    </w:tbl>
    <w:p>
      <w:pPr>
        <w:rPr>
          <w:lang w:eastAsia="zh-CN"/>
        </w:rPr>
      </w:pPr>
    </w:p>
    <w:p>
      <w:pPr>
        <w:rPr>
          <w:lang w:val="en-GB" w:eastAsia="zh-CN"/>
        </w:rPr>
      </w:pPr>
      <w:r>
        <w:rPr>
          <w:highlight w:val="yellow"/>
          <w:lang w:val="en-GB" w:eastAsia="zh-CN"/>
        </w:rPr>
        <w:t xml:space="preserve">Further discussion of </w:t>
      </w:r>
      <w:r>
        <w:rPr>
          <w:highlight w:val="yellow"/>
        </w:rPr>
        <w:t>Question A1-2c</w:t>
      </w:r>
      <w:r>
        <w:t>, e.g. if you haven't considered other values than 4/8 in your comments so far, could you agree on any of them, or are you strongly opposed to any of the additional suggested values [1,2] for 480 kHz and [2,4] for 960 kHz? Note that a span of 1 is understood as per-slot monitoring (related to Question A1-1a).</w:t>
      </w:r>
    </w:p>
    <w:tbl>
      <w:tblPr>
        <w:tblStyle w:val="52"/>
        <w:tblW w:w="145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5"/>
        <w:gridCol w:w="121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shd w:val="clear" w:color="auto" w:fill="FFC000"/>
            <w:vAlign w:val="center"/>
          </w:tcPr>
          <w:p>
            <w:pPr>
              <w:widowControl w:val="0"/>
              <w:rPr>
                <w:b/>
                <w:bCs/>
              </w:rPr>
            </w:pPr>
            <w:r>
              <w:rPr>
                <w:b/>
                <w:bCs/>
              </w:rPr>
              <w:t>Company</w:t>
            </w:r>
          </w:p>
        </w:tc>
        <w:tc>
          <w:tcPr>
            <w:tcW w:w="12176" w:type="dxa"/>
            <w:shd w:val="clear" w:color="auto" w:fill="FFC000"/>
            <w:vAlign w:val="center"/>
          </w:tcPr>
          <w:p>
            <w:pPr>
              <w:widowControl w:val="0"/>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lang w:eastAsia="zh-CN"/>
              </w:rPr>
              <w:t>Intel</w:t>
            </w:r>
          </w:p>
        </w:tc>
        <w:tc>
          <w:tcPr>
            <w:tcW w:w="12176" w:type="dxa"/>
            <w:vAlign w:val="center"/>
          </w:tcPr>
          <w:p>
            <w:pPr>
              <w:widowControl w:val="0"/>
              <w:rPr>
                <w:lang w:eastAsia="zh-CN"/>
              </w:rPr>
            </w:pPr>
            <w:r>
              <w:rPr>
                <w:lang w:eastAsia="zh-CN"/>
              </w:rPr>
              <w:t xml:space="preserve">We support to have additional values for more flexible operation of high frequency. On the other hand, to reduce the complexity of potential UE capabilities, we are OK to define only single additional value for each SCS, e.g. 2 for SCS 480kHz and 4 for SCS 960kHz. </w:t>
            </w:r>
          </w:p>
          <w:p>
            <w:pPr>
              <w:widowControl w:val="0"/>
              <w:rPr>
                <w:lang w:eastAsia="zh-CN"/>
              </w:rPr>
            </w:pPr>
            <w:r>
              <w:rPr>
                <w:lang w:eastAsia="zh-CN"/>
              </w:rPr>
              <w:t xml:space="preserve">A value larger than 4 (or 8) for SCS 480kHz (or 960kHz) is not needed since its absolute duration will be long than a slot of SCS 120kHz.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rFonts w:hint="eastAsia"/>
                <w:lang w:eastAsia="zh-CN"/>
              </w:rPr>
              <w:t>Huawei, HiSilicon</w:t>
            </w:r>
          </w:p>
        </w:tc>
        <w:tc>
          <w:tcPr>
            <w:tcW w:w="12176" w:type="dxa"/>
            <w:vAlign w:val="center"/>
          </w:tcPr>
          <w:p>
            <w:pPr>
              <w:widowControl w:val="0"/>
              <w:rPr>
                <w:lang w:eastAsia="zh-CN"/>
              </w:rPr>
            </w:pPr>
            <w:r>
              <w:rPr>
                <w:rFonts w:hint="eastAsia"/>
                <w:lang w:eastAsia="zh-CN"/>
              </w:rPr>
              <w:t>At this point we don</w:t>
            </w:r>
            <w:r>
              <w:rPr>
                <w:lang w:eastAsia="zh-CN"/>
              </w:rPr>
              <w:t>’t see the need for additional values (especially not value 1), but if proponents would like to explain the use cases and benefits we can further discuss.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lang w:eastAsia="zh-CN"/>
              </w:rPr>
              <w:t>Nokia, NSB</w:t>
            </w:r>
          </w:p>
        </w:tc>
        <w:tc>
          <w:tcPr>
            <w:tcW w:w="12176" w:type="dxa"/>
            <w:vAlign w:val="center"/>
          </w:tcPr>
          <w:p>
            <w:pPr>
              <w:widowControl w:val="0"/>
              <w:rPr>
                <w:lang w:eastAsia="zh-CN"/>
              </w:rPr>
            </w:pPr>
            <w:r>
              <w:rPr>
                <w:lang w:eastAsia="zh-CN"/>
              </w:rPr>
              <w:t>We see a need for values [1, 2] for 480 kHz SCS and [1, 2, 4] for 960 kHz SCS. The main motivation is to provide sufficient scheduling flexibility and good latency performance. Additionally, lower values enable optimized handling for different SS sets (CSS, USS)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rFonts w:hint="eastAsia"/>
                <w:lang w:eastAsia="zh-CN"/>
              </w:rPr>
              <w:t>X</w:t>
            </w:r>
            <w:r>
              <w:rPr>
                <w:lang w:eastAsia="zh-CN"/>
              </w:rPr>
              <w:t>iaomi</w:t>
            </w:r>
          </w:p>
        </w:tc>
        <w:tc>
          <w:tcPr>
            <w:tcW w:w="12176" w:type="dxa"/>
            <w:vAlign w:val="center"/>
          </w:tcPr>
          <w:p>
            <w:pPr>
              <w:widowControl w:val="0"/>
              <w:rPr>
                <w:lang w:eastAsia="zh-CN"/>
              </w:rPr>
            </w:pPr>
            <w:r>
              <w:rPr>
                <w:lang w:eastAsia="zh-CN"/>
              </w:rPr>
              <w:t xml:space="preserve">Introducing more values means more workload for RAN1, </w:t>
            </w:r>
            <w:r>
              <w:rPr>
                <w:rFonts w:hint="eastAsia"/>
                <w:lang w:eastAsia="zh-CN"/>
              </w:rPr>
              <w:t>currently</w:t>
            </w:r>
            <w:r>
              <w:rPr>
                <w:lang w:eastAsia="zh-CN"/>
              </w:rPr>
              <w:t xml:space="preserve"> </w:t>
            </w:r>
            <w:r>
              <w:rPr>
                <w:rFonts w:hint="eastAsia"/>
                <w:lang w:eastAsia="zh-CN"/>
              </w:rPr>
              <w:t xml:space="preserve"> </w:t>
            </w:r>
            <w:r>
              <w:rPr>
                <w:lang w:eastAsia="zh-CN"/>
              </w:rPr>
              <w:t>we tend to not introduce more values unless they show clear benefits.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rFonts w:hint="eastAsia"/>
                <w:lang w:eastAsia="zh"/>
              </w:rPr>
              <w:t>ZTE, Sanechips</w:t>
            </w:r>
          </w:p>
        </w:tc>
        <w:tc>
          <w:tcPr>
            <w:tcW w:w="12176" w:type="dxa"/>
            <w:vAlign w:val="center"/>
          </w:tcPr>
          <w:p>
            <w:pPr>
              <w:widowControl w:val="0"/>
              <w:rPr>
                <w:lang w:eastAsia="zh-CN"/>
              </w:rPr>
            </w:pPr>
            <w:r>
              <w:rPr>
                <w:rFonts w:hint="eastAsia"/>
                <w:lang w:eastAsia="zh-CN"/>
              </w:rPr>
              <w:t>As our comments in 2.1.1 A1-1a and FL</w:t>
            </w:r>
            <w:r>
              <w:rPr>
                <w:lang w:eastAsia="zh-CN"/>
              </w:rPr>
              <w:t>’</w:t>
            </w:r>
            <w:r>
              <w:rPr>
                <w:rFonts w:hint="eastAsia"/>
                <w:lang w:eastAsia="zh-CN"/>
              </w:rPr>
              <w:t>s proposal, per-slot span PDCCH monitoring can be considered as a special case of multi-slot span monitoring, thus value 1 can be seen as a special additional duration. In addition, (2, 4) for SCS (480kHz, 960kHz) can be further discussed.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
              </w:rPr>
            </w:pPr>
            <w:r>
              <w:rPr>
                <w:lang w:eastAsia="zh"/>
              </w:rPr>
              <w:t>Lenovo, Motorola Mobility</w:t>
            </w:r>
          </w:p>
        </w:tc>
        <w:tc>
          <w:tcPr>
            <w:tcW w:w="12176" w:type="dxa"/>
            <w:vAlign w:val="center"/>
          </w:tcPr>
          <w:p>
            <w:pPr>
              <w:widowControl w:val="0"/>
              <w:rPr>
                <w:lang w:eastAsia="zh-CN"/>
              </w:rPr>
            </w:pPr>
            <w:r>
              <w:rPr>
                <w:lang w:eastAsia="zh-CN"/>
              </w:rPr>
              <w:t>In our view, per-slot monitoring for at least 480kHz and 2 slots for 960kHz can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
              </w:rPr>
            </w:pPr>
            <w:r>
              <w:rPr>
                <w:lang w:eastAsia="zh"/>
              </w:rPr>
              <w:t>Qualcomm</w:t>
            </w:r>
          </w:p>
        </w:tc>
        <w:tc>
          <w:tcPr>
            <w:tcW w:w="12176" w:type="dxa"/>
            <w:vAlign w:val="center"/>
          </w:tcPr>
          <w:p>
            <w:pPr>
              <w:widowControl w:val="0"/>
              <w:rPr>
                <w:lang w:eastAsia="zh-CN"/>
              </w:rPr>
            </w:pPr>
            <w:r>
              <w:rPr>
                <w:lang w:eastAsia="zh-CN"/>
              </w:rPr>
              <w:t>We agree with Intel and Nokia. Additional values can be supported based on UE capability.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
              </w:rPr>
            </w:pPr>
            <w:r>
              <w:rPr>
                <w:lang w:eastAsia="zh"/>
              </w:rPr>
              <w:t>Ericsson</w:t>
            </w:r>
          </w:p>
        </w:tc>
        <w:tc>
          <w:tcPr>
            <w:tcW w:w="12176" w:type="dxa"/>
            <w:vAlign w:val="center"/>
          </w:tcPr>
          <w:p>
            <w:pPr>
              <w:widowControl w:val="0"/>
              <w:rPr>
                <w:lang w:eastAsia="zh-CN"/>
              </w:rPr>
            </w:pPr>
            <w:r>
              <w:rPr>
                <w:lang w:eastAsia="zh-CN"/>
              </w:rPr>
              <w:t>We want to make sure there is common understanding on span and span gap for Alt-1, 2, and 3 in the A1-2d discussion (see our comments there). Is the following common understanding if it is agreed that N = 4/8 for 480/960 kHz?</w:t>
            </w:r>
          </w:p>
          <w:p>
            <w:pPr>
              <w:widowControl w:val="0"/>
              <w:rPr>
                <w:lang w:eastAsia="zh-CN"/>
              </w:rPr>
            </w:pPr>
            <w:r>
              <w:rPr>
                <w:lang w:eastAsia="zh-CN"/>
              </w:rPr>
              <w:t>Alt-1 &amp; 3: Y = X = N where N = 4/8 for 480/960 kHz</w:t>
            </w:r>
          </w:p>
          <w:p>
            <w:pPr>
              <w:widowControl w:val="0"/>
              <w:rPr>
                <w:lang w:eastAsia="zh-CN"/>
              </w:rPr>
            </w:pPr>
            <w:r>
              <w:rPr>
                <w:lang w:eastAsia="zh-CN"/>
              </w:rPr>
              <w:t xml:space="preserve">Alt-2: Y &lt; X where Y = 4/8 for 480/960 kHz. What is X in this case? </w:t>
            </w:r>
          </w:p>
          <w:p>
            <w:pPr>
              <w:widowControl w:val="0"/>
              <w:rPr>
                <w:lang w:eastAsia="zh-CN"/>
              </w:rPr>
            </w:pPr>
            <w:r>
              <w:rPr>
                <w:lang w:eastAsia="zh-CN"/>
              </w:rPr>
              <w:t>It seems that if [1,2] and [2,4] are supported, it is clear how Alt-1 and Alt-3 are affected, but what happens to Alt-2? What is 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
              </w:rPr>
            </w:pPr>
            <w:r>
              <w:rPr>
                <w:lang w:eastAsia="zh"/>
              </w:rPr>
              <w:t>CATT</w:t>
            </w:r>
          </w:p>
        </w:tc>
        <w:tc>
          <w:tcPr>
            <w:tcW w:w="12176" w:type="dxa"/>
            <w:vAlign w:val="center"/>
          </w:tcPr>
          <w:p>
            <w:pPr>
              <w:widowControl w:val="0"/>
              <w:rPr>
                <w:lang w:eastAsia="zh-CN"/>
              </w:rPr>
            </w:pPr>
            <w:r>
              <w:rPr>
                <w:lang w:eastAsia="zh-CN"/>
              </w:rPr>
              <w:t>We support additional value of per slot scheduling.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rFonts w:eastAsia="MS Mincho"/>
                <w:lang w:eastAsia="ja-JP"/>
              </w:rPr>
            </w:pPr>
            <w:r>
              <w:rPr>
                <w:rFonts w:hint="eastAsia" w:eastAsia="MS Mincho"/>
                <w:lang w:eastAsia="ja-JP"/>
              </w:rPr>
              <w:t>NTT</w:t>
            </w:r>
            <w:r>
              <w:rPr>
                <w:rFonts w:eastAsia="MS Mincho"/>
                <w:lang w:eastAsia="ja-JP"/>
              </w:rPr>
              <w:t xml:space="preserve"> DOCOMO</w:t>
            </w:r>
          </w:p>
        </w:tc>
        <w:tc>
          <w:tcPr>
            <w:tcW w:w="12176" w:type="dxa"/>
            <w:vAlign w:val="center"/>
          </w:tcPr>
          <w:p>
            <w:pPr>
              <w:widowControl w:val="0"/>
              <w:autoSpaceDE/>
              <w:autoSpaceDN/>
              <w:adjustRightInd/>
              <w:snapToGrid/>
              <w:spacing w:line="240" w:lineRule="auto"/>
              <w:rPr>
                <w:rFonts w:eastAsia="Yu Gothic"/>
                <w:lang w:eastAsia="ja-JP"/>
              </w:rPr>
            </w:pPr>
            <w:r>
              <w:rPr>
                <w:rFonts w:eastAsia="Yu Gothic"/>
                <w:lang w:eastAsia="ja-JP"/>
              </w:rPr>
              <w:t>We think other values than 4/8 slots for 480/960 kHz SCS should be supported and the suggested values can be the candidates.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rFonts w:eastAsia="MS Mincho"/>
                <w:lang w:eastAsia="ja-JP"/>
              </w:rPr>
            </w:pPr>
            <w:r>
              <w:rPr>
                <w:rFonts w:hint="eastAsia"/>
                <w:lang w:eastAsia="zh"/>
              </w:rPr>
              <w:t>v</w:t>
            </w:r>
            <w:r>
              <w:rPr>
                <w:lang w:eastAsia="zh"/>
              </w:rPr>
              <w:t>ivo</w:t>
            </w:r>
          </w:p>
        </w:tc>
        <w:tc>
          <w:tcPr>
            <w:tcW w:w="12176" w:type="dxa"/>
            <w:vAlign w:val="center"/>
          </w:tcPr>
          <w:p>
            <w:pPr>
              <w:widowControl w:val="0"/>
              <w:rPr>
                <w:lang w:eastAsia="zh-CN"/>
              </w:rPr>
            </w:pPr>
            <w:r>
              <w:rPr>
                <w:rFonts w:hint="eastAsia"/>
                <w:lang w:eastAsia="zh-CN"/>
              </w:rPr>
              <w:t>W</w:t>
            </w:r>
            <w:r>
              <w:rPr>
                <w:lang w:eastAsia="zh-CN"/>
              </w:rPr>
              <w:t>e support additional value.</w:t>
            </w:r>
          </w:p>
          <w:p>
            <w:pPr>
              <w:widowControl w:val="0"/>
              <w:autoSpaceDE/>
              <w:autoSpaceDN/>
              <w:adjustRightInd/>
              <w:snapToGrid/>
              <w:spacing w:line="240" w:lineRule="auto"/>
              <w:rPr>
                <w:rFonts w:eastAsia="Yu Gothic"/>
                <w:lang w:eastAsia="ja-JP"/>
              </w:rPr>
            </w:pPr>
            <w:r>
              <w:rPr>
                <w:lang w:eastAsia="zh-CN"/>
              </w:rPr>
              <w:t>For Alt-2, we have a different understanding from Ericsson. For Alt-2, X is the time separation between the first symbol/slot of consecutive span of Y symbols/slots. So here X=4/8 for 480/960KHz and Y&lt;=X (e.g. Y=1 or 2 slots for 480KHz SCS). Here Y can also be equal to X which may result in back to back spans.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
              </w:rPr>
            </w:pPr>
            <w:r>
              <w:rPr>
                <w:lang w:eastAsia="zh"/>
              </w:rPr>
              <w:t>Apple</w:t>
            </w:r>
          </w:p>
        </w:tc>
        <w:tc>
          <w:tcPr>
            <w:tcW w:w="12176" w:type="dxa"/>
            <w:vAlign w:val="center"/>
          </w:tcPr>
          <w:p>
            <w:pPr>
              <w:widowControl w:val="0"/>
              <w:rPr>
                <w:lang w:eastAsia="zh-CN"/>
              </w:rPr>
            </w:pPr>
            <w:r>
              <w:rPr>
                <w:rFonts w:eastAsia="Yu Gothic"/>
                <w:lang w:eastAsia="ja-JP"/>
              </w:rPr>
              <w:t>Any additional values can be supported based on UE capability as mentioned by 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
              </w:rPr>
            </w:pPr>
            <w:r>
              <w:rPr>
                <w:rFonts w:hint="eastAsia"/>
                <w:lang w:eastAsia="zh"/>
              </w:rPr>
              <w:t>OPPO</w:t>
            </w:r>
          </w:p>
        </w:tc>
        <w:tc>
          <w:tcPr>
            <w:tcW w:w="12176" w:type="dxa"/>
            <w:vAlign w:val="center"/>
          </w:tcPr>
          <w:p>
            <w:pPr>
              <w:widowControl w:val="0"/>
              <w:rPr>
                <w:lang w:eastAsia="zh-CN"/>
              </w:rPr>
            </w:pPr>
            <w:r>
              <w:rPr>
                <w:rFonts w:hint="eastAsia"/>
                <w:lang w:eastAsia="zh-CN"/>
              </w:rPr>
              <w:t xml:space="preserve">Agree with other companies that additional values can </w:t>
            </w:r>
            <w:r>
              <w:rPr>
                <w:lang w:eastAsia="zh-CN"/>
              </w:rPr>
              <w:t xml:space="preserve">be supported </w:t>
            </w:r>
            <w:r>
              <w:rPr>
                <w:rFonts w:hint="eastAsia"/>
                <w:lang w:eastAsia="zh-CN"/>
              </w:rPr>
              <w:t>base</w:t>
            </w:r>
            <w:r>
              <w:rPr>
                <w:lang w:eastAsia="zh-CN"/>
              </w:rPr>
              <w:t>d</w:t>
            </w:r>
            <w:r>
              <w:rPr>
                <w:rFonts w:hint="eastAsia"/>
                <w:lang w:eastAsia="zh-CN"/>
              </w:rPr>
              <w:t xml:space="preserve"> on UE capability.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
              </w:rPr>
            </w:pPr>
            <w:r>
              <w:rPr>
                <w:lang w:eastAsia="zh"/>
              </w:rPr>
              <w:t>InterDigital</w:t>
            </w:r>
          </w:p>
        </w:tc>
        <w:tc>
          <w:tcPr>
            <w:tcW w:w="12176" w:type="dxa"/>
            <w:vAlign w:val="center"/>
          </w:tcPr>
          <w:p>
            <w:pPr>
              <w:widowControl w:val="0"/>
              <w:rPr>
                <w:lang w:eastAsia="zh-CN"/>
              </w:rPr>
            </w:pPr>
            <w:r>
              <w:rPr>
                <w:lang w:eastAsia="zh-CN"/>
              </w:rPr>
              <w:t>For 480kHz, 1 slot and 2 slots can be supported based on UE capability.</w:t>
            </w:r>
          </w:p>
          <w:p>
            <w:pPr>
              <w:widowControl w:val="0"/>
              <w:rPr>
                <w:lang w:eastAsia="zh-CN"/>
              </w:rPr>
            </w:pPr>
            <w:r>
              <w:rPr>
                <w:lang w:eastAsia="zh-CN"/>
              </w:rPr>
              <w:t>For 960kHz, 1 slot, [2 slots] and 4 slots can be supported based on UE capability.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
              </w:rPr>
            </w:pPr>
            <w:r>
              <w:rPr>
                <w:lang w:eastAsia="zh"/>
              </w:rPr>
              <w:t>LG Electronics</w:t>
            </w:r>
          </w:p>
        </w:tc>
        <w:tc>
          <w:tcPr>
            <w:tcW w:w="12176" w:type="dxa"/>
            <w:vAlign w:val="center"/>
          </w:tcPr>
          <w:p>
            <w:pPr>
              <w:widowControl w:val="0"/>
              <w:rPr>
                <w:lang w:eastAsia="zh-CN"/>
              </w:rPr>
            </w:pPr>
            <w:r>
              <w:rPr>
                <w:rFonts w:hint="eastAsia"/>
                <w:lang w:eastAsia="zh-CN"/>
              </w:rPr>
              <w:t xml:space="preserve">Agree with other companies that additional values can </w:t>
            </w:r>
            <w:r>
              <w:rPr>
                <w:lang w:eastAsia="zh-CN"/>
              </w:rPr>
              <w:t xml:space="preserve">be supported </w:t>
            </w:r>
            <w:r>
              <w:rPr>
                <w:rFonts w:hint="eastAsia"/>
                <w:lang w:eastAsia="zh-CN"/>
              </w:rPr>
              <w:t>base</w:t>
            </w:r>
            <w:r>
              <w:rPr>
                <w:lang w:eastAsia="zh-CN"/>
              </w:rPr>
              <w:t>d</w:t>
            </w:r>
            <w:r>
              <w:rPr>
                <w:rFonts w:hint="eastAsia"/>
                <w:lang w:eastAsia="zh-CN"/>
              </w:rPr>
              <w:t xml:space="preserve"> on UE capability.</w:t>
            </w:r>
            <w:r>
              <w:rPr>
                <w:lang w:eastAsia="zh-CN"/>
              </w:rPr>
              <w:t xml:space="preserve"> Any restriction on specific values (or ranges of values) does not needed at this stage.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
              </w:rPr>
            </w:pPr>
            <w:r>
              <w:rPr>
                <w:lang w:eastAsia="zh"/>
              </w:rPr>
              <w:t>Futurewei</w:t>
            </w:r>
          </w:p>
        </w:tc>
        <w:tc>
          <w:tcPr>
            <w:tcW w:w="12176" w:type="dxa"/>
            <w:vAlign w:val="center"/>
          </w:tcPr>
          <w:p>
            <w:pPr>
              <w:widowControl w:val="0"/>
              <w:rPr>
                <w:lang w:eastAsia="zh-CN"/>
              </w:rPr>
            </w:pPr>
            <w:r>
              <w:rPr>
                <w:lang w:eastAsia="zh-CN"/>
              </w:rPr>
              <w:t>Additional values may be supported based on the UE capabilities. We have the same understanding with Vivo for this proposal. X refer at the minimum separation between two consecutive span starts, while Y is the span duration. In this context X should allowed to multiple values with Y less or equal to X.</w:t>
            </w:r>
          </w:p>
        </w:tc>
      </w:tr>
    </w:tbl>
    <w:p>
      <w:pPr>
        <w:rPr>
          <w:lang w:eastAsia="zh-CN"/>
        </w:rPr>
      </w:pPr>
    </w:p>
    <w:p>
      <w:pPr>
        <w:rPr>
          <w:lang w:eastAsia="zh-CN"/>
        </w:rPr>
      </w:pPr>
    </w:p>
    <w:p>
      <w:pPr>
        <w:pStyle w:val="4"/>
        <w:rPr>
          <w:lang w:val="en-GB" w:eastAsia="zh-CN"/>
        </w:rPr>
      </w:pPr>
      <w:r>
        <w:rPr>
          <w:lang w:val="en-GB" w:eastAsia="zh-CN"/>
        </w:rPr>
        <w:t>First Round (A1-2d)</w:t>
      </w:r>
    </w:p>
    <w:p>
      <w:pPr>
        <w:rPr>
          <w:b/>
        </w:rPr>
      </w:pPr>
      <w:r>
        <w:rPr>
          <w:b/>
        </w:rPr>
        <w:t>Question A1-2d: For multi-slot span monitoring, what should the basis for defining the PDCCH monitoring capability is based on how to define the PDCCH monitoring capability (e.g. fixed pattern of N slots; flexible pattern; floating/sliding window)?</w:t>
      </w:r>
    </w:p>
    <w:p>
      <w:pPr>
        <w:rPr>
          <w:lang w:eastAsia="zh-CN"/>
        </w:rPr>
      </w:pPr>
    </w:p>
    <w:tbl>
      <w:tblPr>
        <w:tblStyle w:val="52"/>
        <w:tblW w:w="145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5"/>
        <w:gridCol w:w="121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shd w:val="clear" w:color="auto" w:fill="FFC000"/>
            <w:vAlign w:val="center"/>
          </w:tcPr>
          <w:p>
            <w:pPr>
              <w:widowControl w:val="0"/>
              <w:rPr>
                <w:b/>
                <w:bCs/>
              </w:rPr>
            </w:pPr>
            <w:r>
              <w:rPr>
                <w:b/>
                <w:bCs/>
              </w:rPr>
              <w:t>Company</w:t>
            </w:r>
          </w:p>
        </w:tc>
        <w:tc>
          <w:tcPr>
            <w:tcW w:w="12176" w:type="dxa"/>
            <w:shd w:val="clear" w:color="auto" w:fill="FFC000"/>
            <w:vAlign w:val="center"/>
          </w:tcPr>
          <w:p>
            <w:pPr>
              <w:widowControl w:val="0"/>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rFonts w:hint="eastAsia"/>
                <w:lang w:eastAsia="zh-CN"/>
              </w:rPr>
              <w:t>X</w:t>
            </w:r>
            <w:r>
              <w:rPr>
                <w:lang w:eastAsia="zh-CN"/>
              </w:rPr>
              <w:t>iaomi</w:t>
            </w:r>
          </w:p>
        </w:tc>
        <w:tc>
          <w:tcPr>
            <w:tcW w:w="12176" w:type="dxa"/>
            <w:vAlign w:val="center"/>
          </w:tcPr>
          <w:p>
            <w:pPr>
              <w:widowControl w:val="0"/>
            </w:pPr>
            <w:r>
              <w:t>Fixed pattern of N slots should be the basis for define multi-slot PDCCH monitoring capability. Just like in R15 single-slot PDCCH monitoring capability definition, the boundary for a slot is fixed.</w:t>
            </w:r>
          </w:p>
          <w:p>
            <w:pPr>
              <w:widowControl w:val="0"/>
            </w:pPr>
            <w:r>
              <w:t>In fact, we don’t see the need of flexible pattern or floating/sliding window, since it complicate the monitoring cases, which means extra time budget/workload, and brings no clear benefit.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t>Qualcomm</w:t>
            </w:r>
          </w:p>
        </w:tc>
        <w:tc>
          <w:tcPr>
            <w:tcW w:w="12176" w:type="dxa"/>
            <w:vAlign w:val="center"/>
          </w:tcPr>
          <w:p>
            <w:pPr>
              <w:widowControl w:val="0"/>
            </w:pPr>
            <w:r>
              <w:t>As we commented in Question A1-2b, we think the Rel-16 span-based PDCCH capability (</w:t>
            </w:r>
            <w:r>
              <w:rPr>
                <w:i/>
                <w:iCs/>
              </w:rPr>
              <w:t>pdcch-Monitoring-r16</w:t>
            </w:r>
            <w:r>
              <w:t>) can be the baseline. A longer separation between two spans (e.g., 4 slot separation for 480kHz and 8 slot separation for 960kHz) can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pPr>
            <w:r>
              <w:rPr>
                <w:lang w:eastAsia="zh-CN"/>
              </w:rPr>
              <w:t>Futurewei</w:t>
            </w:r>
          </w:p>
        </w:tc>
        <w:tc>
          <w:tcPr>
            <w:tcW w:w="12176" w:type="dxa"/>
            <w:vAlign w:val="center"/>
          </w:tcPr>
          <w:p>
            <w:pPr>
              <w:widowControl w:val="0"/>
            </w:pPr>
            <w:r>
              <w:t>We prefer a fixed pattern of N slots (TBD)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pPr>
            <w:r>
              <w:rPr>
                <w:rFonts w:hint="eastAsia"/>
              </w:rPr>
              <w:t>H</w:t>
            </w:r>
            <w:r>
              <w:t>uawei, HiSilicon</w:t>
            </w:r>
          </w:p>
        </w:tc>
        <w:tc>
          <w:tcPr>
            <w:tcW w:w="12176" w:type="dxa"/>
            <w:vAlign w:val="center"/>
          </w:tcPr>
          <w:p>
            <w:pPr>
              <w:widowControl w:val="0"/>
            </w:pPr>
            <w:r>
              <w:rPr>
                <w:rFonts w:hint="eastAsia"/>
              </w:rPr>
              <w:t xml:space="preserve">The question seems to contain some grammatical typos. </w:t>
            </w:r>
          </w:p>
          <w:p>
            <w:pPr>
              <w:widowControl w:val="0"/>
            </w:pPr>
            <w:r>
              <w:t xml:space="preserve">We understand the question comes from the Figure 2 of R1-2100644 (Intel). We think the approach taken since Rel-15 can still apply here, i.e. that the PDCCH monitoring capability is defined for a fixed pattern of N slots, with additional constraints on PDCCH monitoring in back-to-back slots.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pPr>
            <w:r>
              <w:t>Apple</w:t>
            </w:r>
          </w:p>
        </w:tc>
        <w:tc>
          <w:tcPr>
            <w:tcW w:w="12176" w:type="dxa"/>
            <w:vAlign w:val="center"/>
          </w:tcPr>
          <w:p>
            <w:pPr>
              <w:widowControl w:val="0"/>
            </w:pPr>
            <w:r>
              <w:t>We prefer a fixed pattern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rFonts w:hint="eastAsia"/>
                <w:lang w:eastAsia="zh-CN"/>
              </w:rPr>
              <w:t>ZTE, Sanechips</w:t>
            </w:r>
          </w:p>
        </w:tc>
        <w:tc>
          <w:tcPr>
            <w:tcW w:w="12176" w:type="dxa"/>
            <w:vAlign w:val="center"/>
          </w:tcPr>
          <w:p>
            <w:pPr>
              <w:widowControl w:val="0"/>
              <w:rPr>
                <w:lang w:eastAsia="zh-CN"/>
              </w:rPr>
            </w:pPr>
            <w:r>
              <w:rPr>
                <w:rFonts w:hint="eastAsia"/>
                <w:lang w:eastAsia="zh-CN"/>
              </w:rPr>
              <w:t>We tend to support that f</w:t>
            </w:r>
            <w:r>
              <w:t>ixed pattern of N slots</w:t>
            </w:r>
            <w:r>
              <w:rPr>
                <w:rFonts w:hint="eastAsia"/>
                <w:lang w:eastAsia="zh-CN"/>
              </w:rPr>
              <w:t xml:space="preserve"> </w:t>
            </w:r>
            <w:r>
              <w:t>should be the basis for defin</w:t>
            </w:r>
            <w:r>
              <w:rPr>
                <w:rFonts w:hint="eastAsia"/>
                <w:lang w:eastAsia="zh-CN"/>
              </w:rPr>
              <w:t>ition</w:t>
            </w:r>
            <w:r>
              <w:t xml:space="preserve"> multi-slot PDCCH monitoring capability</w:t>
            </w:r>
            <w:r>
              <w:rPr>
                <w:rFonts w:hint="eastAsia"/>
                <w:lang w:eastAsia="zh-CN"/>
              </w:rPr>
              <w:t xml:space="preserve"> and FFS is N can be configured, or fixed as 4/8 for 480/960kHz. For flexible pattern and floating/sliding window, it seems unnecessary and does not see benefits.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lang w:eastAsia="zh-CN"/>
              </w:rPr>
              <w:t>Samsung</w:t>
            </w:r>
          </w:p>
        </w:tc>
        <w:tc>
          <w:tcPr>
            <w:tcW w:w="12176" w:type="dxa"/>
            <w:vAlign w:val="center"/>
          </w:tcPr>
          <w:p>
            <w:pPr>
              <w:widowControl w:val="0"/>
            </w:pPr>
            <w:r>
              <w:t xml:space="preserve">For the pattern over time, the </w:t>
            </w:r>
            <w:r>
              <w:rPr>
                <w:b/>
              </w:rPr>
              <w:t>minimum</w:t>
            </w:r>
            <w:r>
              <w:t xml:space="preserve"> span gap and </w:t>
            </w:r>
            <w:r>
              <w:rPr>
                <w:b/>
              </w:rPr>
              <w:t>maximum</w:t>
            </w:r>
            <w:r>
              <w:t xml:space="preserve"> span duration are fixed according to X and Y correspondingly, based on UE capability. However, the actual PDCCH monitoring occasions in different span are up to gNB implementation, i.e. determined by SS set configuration. In this sense, we guess it should be called “flexible pattern” (we are not sure of the discussion point here, but we want to state our position again to generalize Rel-16 URLLC per span monitoring)? Also, it would be good to clarify the wording of “fixed pattern”, “flexible pattern”, and “sliding window”.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t>Intel</w:t>
            </w:r>
          </w:p>
        </w:tc>
        <w:tc>
          <w:tcPr>
            <w:tcW w:w="12176" w:type="dxa"/>
            <w:vAlign w:val="center"/>
          </w:tcPr>
          <w:p>
            <w:pPr>
              <w:widowControl w:val="0"/>
            </w:pPr>
            <w:r>
              <w:t xml:space="preserve">We think the capability can be defined based on sliding window (slid in slot level). The window size is N slots. As discussed in our tdoc R1-2100644, a fixed pattern may result in higher requirement on UE PDCCH monitoring than expectation (e.g. slot A &amp; slot B in Figure 2). </w:t>
            </w:r>
          </w:p>
          <w:p>
            <w:pPr>
              <w:widowControl w:val="0"/>
            </w:pPr>
            <w:r>
              <w:object>
                <v:shape id="_x0000_i1025" o:spt="75" type="#_x0000_t75" style="height:108pt;width:468pt;" o:ole="t" filled="f" o:preferrelative="t" stroked="f" coordsize="21600,21600">
                  <v:path/>
                  <v:fill on="f" focussize="0,0"/>
                  <v:stroke on="f" joinstyle="miter"/>
                  <v:imagedata r:id="rId10" o:title=""/>
                  <o:lock v:ext="edit" aspectratio="t"/>
                  <w10:wrap type="none"/>
                  <w10:anchorlock/>
                </v:shape>
                <o:OLEObject Type="Embed" ProgID="Visio.Drawing.15" ShapeID="_x0000_i1025" DrawAspect="Content" ObjectID="_1468075725" r:id="rId9">
                  <o:LockedField>false</o:LockedField>
                </o:OLEObject>
              </w:object>
            </w:r>
          </w:p>
          <w:p>
            <w:pPr>
              <w:widowControl w:val="0"/>
            </w:pPr>
            <w:r>
              <w:t xml:space="preserve">On the other hand, as discussed yesterday, if max number of BD/CCEs is checked in each sliding window (slot 1-4, 2-5, 3-6, 4-7, 5-8), when the sliding window of slot 2-5 (including slot A &amp; B) is checked, it can limit the total number of BD/CCEs in slot A &amp; B not to exceed the max number of BD/CCEs.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pPr>
            <w:r>
              <w:rPr>
                <w:lang w:eastAsia="zh-CN"/>
              </w:rPr>
              <w:t>MediaTek</w:t>
            </w:r>
          </w:p>
        </w:tc>
        <w:tc>
          <w:tcPr>
            <w:tcW w:w="12176" w:type="dxa"/>
            <w:vAlign w:val="center"/>
          </w:tcPr>
          <w:p>
            <w:pPr>
              <w:widowControl w:val="0"/>
            </w:pPr>
            <w:r>
              <w:rPr>
                <w:lang w:eastAsia="zh-CN"/>
              </w:rPr>
              <w:t xml:space="preserve">Definition of flexible pattern; floating/sliding window should be specified first. In general, we prefer a fixed monitoring pattern to simplify monitoring and discussion of the associated BD/CCE limit, i.e., monitor the </w:t>
            </w:r>
            <w:r>
              <w:t xml:space="preserve">first </w:t>
            </w:r>
            <m:oMath>
              <m:r>
                <w:rPr>
                  <w:rFonts w:ascii="Cambria Math" w:hAnsi="Cambria Math"/>
                </w:rPr>
                <m:t>n</m:t>
              </m:r>
            </m:oMath>
            <w:r>
              <w:t xml:space="preserve"> slots of every </w:t>
            </w:r>
            <m:oMath>
              <m:r>
                <w:rPr>
                  <w:rFonts w:ascii="Cambria Math" w:hAnsi="Cambria Math"/>
                </w:rPr>
                <m:t>m</m:t>
              </m:r>
            </m:oMath>
            <w:r>
              <w:t xml:space="preserve"> slots</w:t>
            </w:r>
            <w:r>
              <w:rPr>
                <w:lang w:eastAsia="zh-CN"/>
              </w:rPr>
              <w:t xml:space="preserve">. Otherwise, the discussion of BD/CCE limit for multi-slot needs to consider many monitoring pattern, which complicates the discussion.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lang w:eastAsia="zh-CN"/>
              </w:rPr>
              <w:t>InterDigital</w:t>
            </w:r>
          </w:p>
        </w:tc>
        <w:tc>
          <w:tcPr>
            <w:tcW w:w="12176" w:type="dxa"/>
            <w:vAlign w:val="center"/>
          </w:tcPr>
          <w:p>
            <w:pPr>
              <w:widowControl w:val="0"/>
              <w:rPr>
                <w:lang w:eastAsia="zh-CN"/>
              </w:rPr>
            </w:pPr>
            <w:r>
              <w:rPr>
                <w:lang w:eastAsia="zh-CN"/>
              </w:rPr>
              <w:t xml:space="preserve">We prefer fixed pattern of N slots.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rFonts w:hint="eastAsia"/>
                <w:lang w:eastAsia="zh-CN"/>
              </w:rPr>
              <w:t>v</w:t>
            </w:r>
            <w:r>
              <w:rPr>
                <w:lang w:eastAsia="zh-CN"/>
              </w:rPr>
              <w:t>ivo</w:t>
            </w:r>
          </w:p>
        </w:tc>
        <w:tc>
          <w:tcPr>
            <w:tcW w:w="12176" w:type="dxa"/>
            <w:vAlign w:val="center"/>
          </w:tcPr>
          <w:p>
            <w:pPr>
              <w:widowControl w:val="0"/>
              <w:rPr>
                <w:lang w:eastAsia="zh-CN"/>
              </w:rPr>
            </w:pPr>
            <w:r>
              <w:rPr>
                <w:lang w:eastAsia="zh-CN"/>
              </w:rPr>
              <w:t>As we mentioned in the comments to Question A1-2b, this should be discussed first.</w:t>
            </w:r>
          </w:p>
          <w:p>
            <w:pPr>
              <w:widowControl w:val="0"/>
              <w:rPr>
                <w:lang w:eastAsia="zh-CN"/>
              </w:rPr>
            </w:pPr>
            <w:r>
              <w:rPr>
                <w:rFonts w:hint="eastAsia"/>
                <w:lang w:eastAsia="zh-CN"/>
              </w:rPr>
              <w:t>A</w:t>
            </w:r>
            <w:r>
              <w:rPr>
                <w:lang w:eastAsia="zh-CN"/>
              </w:rPr>
              <w:t>s far as I summarized from current contributions, there are at least the following 3 alternatives for multi-slot-based capability definition:</w:t>
            </w:r>
          </w:p>
          <w:p>
            <w:pPr>
              <w:widowControl w:val="0"/>
              <w:rPr>
                <w:lang w:eastAsia="zh-CN"/>
              </w:rPr>
            </w:pPr>
            <w:r>
              <w:rPr>
                <w:rFonts w:hint="eastAsia"/>
                <w:lang w:eastAsia="zh-CN"/>
              </w:rPr>
              <w:t>A</w:t>
            </w:r>
            <w:r>
              <w:rPr>
                <w:lang w:eastAsia="zh-CN"/>
              </w:rPr>
              <w:t xml:space="preserve">lt. 1: Fixed back-to-back multi-slot span with length of </w:t>
            </w:r>
            <w:r>
              <w:rPr>
                <w:i/>
                <w:lang w:eastAsia="zh-CN"/>
              </w:rPr>
              <w:t>N</w:t>
            </w:r>
            <w:r>
              <w:rPr>
                <w:lang w:eastAsia="zh-CN"/>
              </w:rPr>
              <w:t xml:space="preserve"> slots</w:t>
            </w:r>
          </w:p>
          <w:p>
            <w:pPr>
              <w:pStyle w:val="209"/>
              <w:widowControl w:val="0"/>
              <w:numPr>
                <w:ilvl w:val="0"/>
                <w:numId w:val="14"/>
              </w:numPr>
              <w:spacing w:after="120" w:line="240" w:lineRule="auto"/>
              <w:ind w:left="648"/>
              <w:jc w:val="both"/>
              <w:rPr>
                <w:rFonts w:ascii="Times New Roman" w:hAnsi="Times New Roman" w:cs="Times New Roman"/>
                <w:sz w:val="21"/>
                <w:szCs w:val="20"/>
              </w:rPr>
            </w:pPr>
            <w:r>
              <w:rPr>
                <w:rFonts w:ascii="Times New Roman" w:hAnsi="Times New Roman" w:cs="Times New Roman"/>
                <w:sz w:val="21"/>
                <w:szCs w:val="20"/>
              </w:rPr>
              <w:t xml:space="preserve">Alt. 1-1: PDCCH monitoring is limited in the first </w:t>
            </w:r>
            <w:r>
              <w:rPr>
                <w:rFonts w:ascii="Times New Roman" w:hAnsi="Times New Roman" w:cs="Times New Roman"/>
                <w:i/>
                <w:sz w:val="21"/>
                <w:szCs w:val="20"/>
              </w:rPr>
              <w:t>M</w:t>
            </w:r>
            <w:r>
              <w:rPr>
                <w:rFonts w:ascii="Times New Roman" w:hAnsi="Times New Roman" w:cs="Times New Roman"/>
                <w:sz w:val="21"/>
                <w:szCs w:val="20"/>
              </w:rPr>
              <w:t xml:space="preserve"> slots</w:t>
            </w:r>
          </w:p>
          <w:p>
            <w:pPr>
              <w:pStyle w:val="209"/>
              <w:widowControl w:val="0"/>
              <w:numPr>
                <w:ilvl w:val="0"/>
                <w:numId w:val="14"/>
              </w:numPr>
              <w:spacing w:after="120" w:line="240" w:lineRule="auto"/>
              <w:ind w:left="648"/>
              <w:jc w:val="both"/>
              <w:rPr>
                <w:rFonts w:ascii="Times New Roman" w:hAnsi="Times New Roman" w:cs="Times New Roman"/>
                <w:sz w:val="21"/>
                <w:szCs w:val="20"/>
              </w:rPr>
            </w:pPr>
            <w:r>
              <w:rPr>
                <w:rFonts w:hint="eastAsia" w:ascii="Times New Roman" w:hAnsi="Times New Roman" w:cs="Times New Roman"/>
                <w:sz w:val="21"/>
                <w:szCs w:val="20"/>
              </w:rPr>
              <w:t>A</w:t>
            </w:r>
            <w:r>
              <w:rPr>
                <w:rFonts w:ascii="Times New Roman" w:hAnsi="Times New Roman" w:cs="Times New Roman"/>
                <w:sz w:val="21"/>
                <w:szCs w:val="20"/>
              </w:rPr>
              <w:t xml:space="preserve">lt. 1-2: PDCCH monitoring is limited in any </w:t>
            </w:r>
            <w:r>
              <w:rPr>
                <w:rFonts w:ascii="Times New Roman" w:hAnsi="Times New Roman" w:cs="Times New Roman"/>
                <w:i/>
                <w:sz w:val="21"/>
                <w:szCs w:val="20"/>
              </w:rPr>
              <w:t>M</w:t>
            </w:r>
            <w:r>
              <w:rPr>
                <w:rFonts w:ascii="Times New Roman" w:hAnsi="Times New Roman" w:cs="Times New Roman"/>
                <w:sz w:val="21"/>
                <w:szCs w:val="20"/>
              </w:rPr>
              <w:t xml:space="preserve"> consecutive slots within each multi-slot span</w:t>
            </w:r>
          </w:p>
          <w:p>
            <w:pPr>
              <w:pStyle w:val="209"/>
              <w:widowControl w:val="0"/>
              <w:spacing w:after="120"/>
              <w:ind w:left="0"/>
              <w:jc w:val="both"/>
              <w:rPr>
                <w:rFonts w:ascii="Times New Roman" w:hAnsi="Times New Roman" w:cs="Times New Roman"/>
                <w:sz w:val="21"/>
                <w:szCs w:val="20"/>
              </w:rPr>
            </w:pPr>
            <w:r>
              <w:rPr>
                <w:lang w:eastAsia="zh-CN" w:bidi="ar-SA"/>
              </w:rPr>
              <w:drawing>
                <wp:inline distT="0" distB="0" distL="0" distR="0">
                  <wp:extent cx="4696460" cy="161480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697094" cy="1615314"/>
                          </a:xfrm>
                          <a:prstGeom prst="rect">
                            <a:avLst/>
                          </a:prstGeom>
                        </pic:spPr>
                      </pic:pic>
                    </a:graphicData>
                  </a:graphic>
                </wp:inline>
              </w:drawing>
            </w:r>
          </w:p>
          <w:p>
            <w:pPr>
              <w:widowControl w:val="0"/>
              <w:rPr>
                <w:lang w:eastAsia="zh-CN"/>
              </w:rPr>
            </w:pPr>
            <w:r>
              <w:rPr>
                <w:rFonts w:hint="eastAsia"/>
                <w:lang w:eastAsia="zh-CN"/>
              </w:rPr>
              <w:t>A</w:t>
            </w:r>
            <w:r>
              <w:rPr>
                <w:lang w:eastAsia="zh-CN"/>
              </w:rPr>
              <w:t xml:space="preserve">lt. 2: Flexible multi-slot span pattern with maximum span duration of </w:t>
            </w:r>
            <w:r>
              <w:rPr>
                <w:i/>
                <w:lang w:eastAsia="zh-CN"/>
              </w:rPr>
              <w:t>M</w:t>
            </w:r>
            <w:r>
              <w:rPr>
                <w:lang w:eastAsia="zh-CN"/>
              </w:rPr>
              <w:t xml:space="preserve"> slots and minimum span spacing of </w:t>
            </w:r>
            <w:r>
              <w:rPr>
                <w:i/>
                <w:lang w:eastAsia="zh-CN"/>
              </w:rPr>
              <w:t>N</w:t>
            </w:r>
            <w:r>
              <w:rPr>
                <w:lang w:eastAsia="zh-CN"/>
              </w:rPr>
              <w:t xml:space="preserve"> slots</w:t>
            </w:r>
          </w:p>
          <w:p>
            <w:pPr>
              <w:widowControl w:val="0"/>
              <w:rPr>
                <w:lang w:eastAsia="zh-CN"/>
              </w:rPr>
            </w:pPr>
            <w:r>
              <w:rPr>
                <w:lang w:eastAsia="zh-CN"/>
              </w:rPr>
              <w:drawing>
                <wp:inline distT="0" distB="0" distL="0" distR="0">
                  <wp:extent cx="4688205" cy="1696085"/>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4688206" cy="1696709"/>
                          </a:xfrm>
                          <a:prstGeom prst="rect">
                            <a:avLst/>
                          </a:prstGeom>
                        </pic:spPr>
                      </pic:pic>
                    </a:graphicData>
                  </a:graphic>
                </wp:inline>
              </w:drawing>
            </w:r>
          </w:p>
          <w:p>
            <w:pPr>
              <w:widowControl w:val="0"/>
              <w:rPr>
                <w:lang w:eastAsia="zh-CN"/>
              </w:rPr>
            </w:pPr>
            <w:r>
              <w:rPr>
                <w:rFonts w:hint="eastAsia"/>
                <w:lang w:eastAsia="zh-CN"/>
              </w:rPr>
              <w:t>A</w:t>
            </w:r>
            <w:r>
              <w:rPr>
                <w:lang w:eastAsia="zh-CN"/>
              </w:rPr>
              <w:t xml:space="preserve">lt. 3: Extension of Rel-16 mini-slot span pattern larger span spacing of </w:t>
            </w:r>
            <w:r>
              <w:rPr>
                <w:i/>
                <w:lang w:eastAsia="zh-CN"/>
              </w:rPr>
              <w:t>N</w:t>
            </w:r>
            <w:r>
              <w:rPr>
                <w:lang w:eastAsia="zh-CN"/>
              </w:rPr>
              <w:t>*14 symbols (e.g. 56 symbols for 480K, 112 symbols for 960K)</w:t>
            </w:r>
          </w:p>
          <w:p>
            <w:pPr>
              <w:widowControl w:val="0"/>
              <w:rPr>
                <w:lang w:eastAsia="zh-CN"/>
              </w:rPr>
            </w:pPr>
            <w:r>
              <w:rPr>
                <w:rFonts w:hint="eastAsia"/>
                <w:lang w:eastAsia="zh-CN"/>
              </w:rPr>
              <w:t>F</w:t>
            </w:r>
            <w:r>
              <w:rPr>
                <w:lang w:eastAsia="zh-CN"/>
              </w:rPr>
              <w:t>or Alt. 1-1, the monitoring slots UE could monitor is fixed and gNB could only configure search space on these slots;</w:t>
            </w:r>
          </w:p>
          <w:p>
            <w:pPr>
              <w:widowControl w:val="0"/>
              <w:rPr>
                <w:bCs/>
                <w:lang w:val="en-GB"/>
              </w:rPr>
            </w:pPr>
            <w:r>
              <w:rPr>
                <w:rFonts w:hint="eastAsia"/>
                <w:lang w:eastAsia="zh-CN"/>
              </w:rPr>
              <w:t>F</w:t>
            </w:r>
            <w:r>
              <w:rPr>
                <w:lang w:eastAsia="zh-CN"/>
              </w:rPr>
              <w:t xml:space="preserve">or Alt. 1-2, the monitoring slots UE could monitor within a fixed multi-slot span is flexible with limited number of slots. However, this exists the problem as indicated in Intel’s Tdoc </w:t>
            </w:r>
            <w:r>
              <w:rPr>
                <w:bCs/>
                <w:lang w:val="en-GB"/>
              </w:rPr>
              <w:t>R1-2100644;</w:t>
            </w:r>
          </w:p>
          <w:p>
            <w:pPr>
              <w:widowControl w:val="0"/>
              <w:rPr>
                <w:lang w:eastAsia="zh-CN"/>
              </w:rPr>
            </w:pPr>
            <w:r>
              <w:rPr>
                <w:rFonts w:hint="eastAsia"/>
                <w:lang w:eastAsia="zh-CN"/>
              </w:rPr>
              <w:t>F</w:t>
            </w:r>
            <w:r>
              <w:rPr>
                <w:lang w:eastAsia="zh-CN"/>
              </w:rPr>
              <w:t xml:space="preserve">or Alt. 2 and Alt. 3, the multi-slot span or mini-slot span pattern are determined based on search space configuration. So gNB needs to configure UE’s search space so that the determined span pattern should satisfy the span spacing (e.g. </w:t>
            </w:r>
            <w:r>
              <w:rPr>
                <w:i/>
                <w:lang w:eastAsia="zh-CN"/>
              </w:rPr>
              <w:t>N</w:t>
            </w:r>
            <w:r>
              <w:rPr>
                <w:lang w:eastAsia="zh-CN"/>
              </w:rPr>
              <w:t xml:space="preserve"> slots) requirements.</w:t>
            </w:r>
          </w:p>
          <w:p>
            <w:pPr>
              <w:widowControl w:val="0"/>
              <w:rPr>
                <w:lang w:eastAsia="zh-CN"/>
              </w:rPr>
            </w:pPr>
          </w:p>
          <w:p>
            <w:pPr>
              <w:widowControl w:val="0"/>
              <w:rPr>
                <w:lang w:eastAsia="zh-CN"/>
              </w:rPr>
            </w:pPr>
            <w:r>
              <w:rPr>
                <w:lang w:eastAsia="zh-CN"/>
              </w:rPr>
              <w:t>We suggest to make an agreement to list all the possible alternatives first in this meeting and then make down selection in next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rFonts w:hint="eastAsia" w:eastAsia="MS Mincho"/>
                <w:lang w:eastAsia="ja-JP"/>
              </w:rPr>
              <w:t>NTT DOCOMO</w:t>
            </w:r>
          </w:p>
        </w:tc>
        <w:tc>
          <w:tcPr>
            <w:tcW w:w="12176" w:type="dxa"/>
            <w:vAlign w:val="center"/>
          </w:tcPr>
          <w:p>
            <w:pPr>
              <w:widowControl w:val="0"/>
              <w:rPr>
                <w:lang w:eastAsia="zh-CN"/>
              </w:rPr>
            </w:pPr>
            <w:r>
              <w:rPr>
                <w:rFonts w:eastAsia="MS Mincho"/>
                <w:lang w:eastAsia="ja-JP"/>
              </w:rPr>
              <w:t>We think that at least a fixed pattern of N slots or span combination should be considered. Depending on Question A1-2b, flexible pattern and/or floating/sliding window may also need to be considered additionally.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rFonts w:eastAsia="MS Mincho"/>
                <w:lang w:eastAsia="ja-JP"/>
              </w:rPr>
            </w:pPr>
            <w:r>
              <w:rPr>
                <w:rFonts w:eastAsia="MS Mincho"/>
                <w:lang w:eastAsia="ja-JP"/>
              </w:rPr>
              <w:t>Sony</w:t>
            </w:r>
          </w:p>
        </w:tc>
        <w:tc>
          <w:tcPr>
            <w:tcW w:w="12176" w:type="dxa"/>
            <w:vAlign w:val="center"/>
          </w:tcPr>
          <w:p>
            <w:pPr>
              <w:widowControl w:val="0"/>
              <w:rPr>
                <w:rFonts w:eastAsia="MS Mincho"/>
                <w:lang w:eastAsia="ja-JP"/>
              </w:rPr>
            </w:pPr>
            <w:r>
              <w:t xml:space="preserve">Unless clear motivation can be identified, we prefer fixed pattern at this monument due to its simplicity.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rFonts w:eastAsia="MS Mincho"/>
                <w:lang w:eastAsia="ja-JP"/>
              </w:rPr>
            </w:pPr>
            <w:r>
              <w:rPr>
                <w:lang w:eastAsia="zh-CN"/>
              </w:rPr>
              <w:t>Lenovo, Motorola Mobility</w:t>
            </w:r>
          </w:p>
        </w:tc>
        <w:tc>
          <w:tcPr>
            <w:tcW w:w="12176" w:type="dxa"/>
            <w:vAlign w:val="center"/>
          </w:tcPr>
          <w:p>
            <w:pPr>
              <w:widowControl w:val="0"/>
            </w:pPr>
            <w:r>
              <w:t>We think that fixed pattern for defining PDCCH monitoring capability should be defined for multi-slot span. Additionally, we are open to discuss flexible pattern as well.</w:t>
            </w:r>
          </w:p>
          <w:p>
            <w:pPr>
              <w:widowControl w:val="0"/>
            </w:pPr>
            <w:r>
              <w:t>Also, we would like to understand whether the flexible pattern would entail different/flexible durations for monitoring span?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pPr>
            <w:r>
              <w:t>Nokia, NSB</w:t>
            </w:r>
          </w:p>
        </w:tc>
        <w:tc>
          <w:tcPr>
            <w:tcW w:w="12176" w:type="dxa"/>
            <w:vAlign w:val="center"/>
          </w:tcPr>
          <w:p>
            <w:pPr>
              <w:widowControl w:val="0"/>
            </w:pPr>
            <w:r>
              <w:t xml:space="preserve">The starting point should be fixed pattern of N slots.  </w:t>
            </w:r>
          </w:p>
          <w:p>
            <w:pPr>
              <w:widowControl w:val="0"/>
            </w:pPr>
            <w:r>
              <w:t>Benefits of flexible pattern and/or floating/sliding window are not clearly justified for the considered scenario (480/960 kHz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lang w:val="en-GB" w:eastAsia="zh-CN"/>
              </w:rPr>
              <w:t>Spreadtrum</w:t>
            </w:r>
          </w:p>
        </w:tc>
        <w:tc>
          <w:tcPr>
            <w:tcW w:w="12176" w:type="dxa"/>
            <w:vAlign w:val="center"/>
          </w:tcPr>
          <w:p>
            <w:pPr>
              <w:widowControl w:val="0"/>
              <w:rPr>
                <w:lang w:eastAsia="zh-CN"/>
              </w:rPr>
            </w:pPr>
            <w:r>
              <w:rPr>
                <w:lang w:eastAsia="zh-CN"/>
              </w:rPr>
              <w:t>We share the same view with Xiaomi.</w:t>
            </w:r>
            <w:r>
              <w:t xml:space="preserve"> </w:t>
            </w:r>
            <w:r>
              <w:rPr>
                <w:lang w:eastAsia="zh-CN"/>
              </w:rPr>
              <w:t>For simplicity of implementation,</w:t>
            </w:r>
            <w:r>
              <w:t xml:space="preserve"> fixed pattern of N slots should be the basis for define multi-slot PDCCH monitoring capability.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pPr>
            <w:r>
              <w:rPr>
                <w:rFonts w:hint="eastAsia" w:eastAsia="Malgun Gothic"/>
                <w:lang w:eastAsia="ko-KR"/>
              </w:rPr>
              <w:t>L</w:t>
            </w:r>
            <w:r>
              <w:rPr>
                <w:rFonts w:eastAsia="Malgun Gothic"/>
                <w:lang w:eastAsia="ko-KR"/>
              </w:rPr>
              <w:t>G Electronics</w:t>
            </w:r>
          </w:p>
        </w:tc>
        <w:tc>
          <w:tcPr>
            <w:tcW w:w="12176" w:type="dxa"/>
            <w:vAlign w:val="center"/>
          </w:tcPr>
          <w:p>
            <w:pPr>
              <w:widowControl w:val="0"/>
              <w:rPr>
                <w:rFonts w:eastAsia="Malgun Gothic"/>
                <w:lang w:eastAsia="ko-KR"/>
              </w:rPr>
            </w:pPr>
            <w:r>
              <w:rPr>
                <w:rFonts w:eastAsia="Malgun Gothic"/>
                <w:lang w:eastAsia="ko-KR"/>
              </w:rPr>
              <w:t>We prefer the fixed pattern of N slots. With this as a starting point, we can further discuss that how to define or configure N value. We also open to discuss on any additional constraints, if required.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rFonts w:eastAsia="Malgun Gothic"/>
                <w:sz w:val="20"/>
                <w:lang w:eastAsia="ko-KR"/>
              </w:rPr>
            </w:pPr>
            <w:r>
              <w:rPr>
                <w:rFonts w:eastAsia="Malgun Gothic"/>
                <w:lang w:eastAsia="ko-KR"/>
              </w:rPr>
              <w:t>Ericsson</w:t>
            </w:r>
          </w:p>
        </w:tc>
        <w:tc>
          <w:tcPr>
            <w:tcW w:w="12176" w:type="dxa"/>
            <w:vAlign w:val="center"/>
          </w:tcPr>
          <w:p>
            <w:pPr>
              <w:widowControl w:val="0"/>
              <w:rPr>
                <w:rFonts w:eastAsia="Malgun Gothic"/>
                <w:lang w:eastAsia="ko-KR"/>
              </w:rPr>
            </w:pPr>
            <w:r>
              <w:rPr>
                <w:szCs w:val="24"/>
                <w:lang w:eastAsia="zh-CN"/>
              </w:rPr>
              <w:t xml:space="preserve">As our answer to A1-1a shows, </w:t>
            </w:r>
            <w:r>
              <w:rPr>
                <w:rFonts w:eastAsia="Malgun Gothic"/>
                <w:lang w:eastAsia="ko-KR"/>
              </w:rPr>
              <w:t>we support definition of a sliding window.</w:t>
            </w:r>
          </w:p>
          <w:p>
            <w:pPr>
              <w:widowControl w:val="0"/>
              <w:rPr>
                <w:rFonts w:eastAsia="Malgun Gothic"/>
                <w:lang w:eastAsia="ko-KR"/>
              </w:rPr>
            </w:pPr>
            <w:r>
              <w:rPr>
                <w:rFonts w:eastAsia="Malgun Gothic"/>
                <w:lang w:eastAsia="ko-KR"/>
              </w:rPr>
              <w:t>As mentioned by Intel above, this can solve the potential issue of larger number of BD/CCEs at the end of one multi-slot period and the beginning of the next.</w:t>
            </w:r>
          </w:p>
          <w:p>
            <w:pPr>
              <w:widowControl w:val="0"/>
              <w:ind w:left="425"/>
              <w:rPr>
                <w:rFonts w:eastAsia="Malgun Gothic"/>
                <w:i/>
                <w:iCs/>
                <w:lang w:eastAsia="ko-KR"/>
              </w:rPr>
            </w:pPr>
            <w:r>
              <w:rPr>
                <w:i/>
                <w:iCs/>
              </w:rPr>
              <w:t xml:space="preserve">On the other hand, as discussed yesterday, if max number of BD/CCEs is checked in each sliding window (slot 1-4, 2-5, 3-6, 4-7, 5-8), when the sliding window of slot 2-5 (including slot A &amp; B) is checked, it can limit the total number of BD/CCEs in slot A &amp; B not to exceed the max number of BD/CCEs. </w:t>
            </w:r>
            <w:r>
              <w:rPr>
                <w:rFonts w:eastAsia="Malgun Gothic"/>
                <w:i/>
                <w:iCs/>
                <w:lang w:eastAsia="ko-KR"/>
              </w:rPr>
              <w:t xml:space="preserve"> </w:t>
            </w:r>
          </w:p>
          <w:p>
            <w:pPr>
              <w:widowControl w:val="0"/>
              <w:rPr>
                <w:rFonts w:eastAsia="Malgun Gothic"/>
                <w:lang w:eastAsia="ko-KR"/>
              </w:rPr>
            </w:pPr>
            <w:r>
              <w:rPr>
                <w:rFonts w:eastAsia="Malgun Gothic"/>
                <w:lang w:eastAsia="ko-KR"/>
              </w:rPr>
              <w:t>It is important to simultaneously consider both UE capability and gNB scheduling flexibility. What is needed from a gNB point of view is to be able to stagger USSs for different users in different slots, recognizing that a slot containing CSS is common for all users. In this sense, a multi-slot BD/CCE budget should be able to be spread across the slots of the multi-slot span. Furthermore, to enable lower latency, further spreading out of the BD/CCE budget should be possible if the gNB configures USS monitoring more frequently than once per B slots.</w:t>
            </w:r>
          </w:p>
          <w:p>
            <w:pPr>
              <w:widowControl w:val="0"/>
              <w:rPr>
                <w:rFonts w:eastAsia="Malgun Gothic"/>
                <w:sz w:val="20"/>
                <w:lang w:eastAsia="ko-KR"/>
              </w:rPr>
            </w:pPr>
            <w:r>
              <w:rPr>
                <w:rFonts w:eastAsia="Malgun Gothic"/>
                <w:lang w:eastAsia="ko-KR"/>
              </w:rPr>
              <w:t>Effectively, this results in an (X,Y) span pattern in which X and Y are defined in terms of slots, and X =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top"/>
          </w:tcPr>
          <w:p>
            <w:pPr>
              <w:widowControl w:val="0"/>
              <w:rPr>
                <w:rFonts w:eastAsia="Malgun Gothic"/>
                <w:lang w:eastAsia="ko-KR"/>
              </w:rPr>
            </w:pPr>
            <w:r>
              <w:t>CATT</w:t>
            </w:r>
          </w:p>
        </w:tc>
        <w:tc>
          <w:tcPr>
            <w:tcW w:w="12176" w:type="dxa"/>
            <w:vAlign w:val="top"/>
          </w:tcPr>
          <w:p>
            <w:pPr>
              <w:widowControl w:val="0"/>
              <w:rPr>
                <w:szCs w:val="24"/>
                <w:lang w:eastAsia="zh-CN"/>
              </w:rPr>
            </w:pPr>
            <w:r>
              <w:t xml:space="preserve">Fixed pattern of time span for 480 kHz and 960 kHz SCS.  The total number of BD is upper limited at 44 within a span.   The CORESET should be distributed within the time span to have sufficient time for PDCCH and PDSCH processing.  </w:t>
            </w:r>
          </w:p>
        </w:tc>
      </w:tr>
    </w:tbl>
    <w:p>
      <w:pPr>
        <w:rPr>
          <w:lang w:eastAsia="zh-CN"/>
        </w:rPr>
      </w:pPr>
    </w:p>
    <w:p>
      <w:pPr>
        <w:rPr>
          <w:lang w:eastAsia="zh-CN"/>
        </w:rPr>
      </w:pPr>
      <w:r>
        <w:rPr>
          <w:highlight w:val="cyan"/>
          <w:lang w:eastAsia="zh-CN"/>
        </w:rPr>
        <w:t>First Round FL Summary:</w:t>
      </w:r>
      <w:r>
        <w:rPr>
          <w:lang w:eastAsia="zh-CN"/>
        </w:rPr>
        <w:t xml:space="preserve"> Most companies prefer a </w:t>
      </w:r>
      <w:r>
        <w:t xml:space="preserve">fixed pattern of N slots as the basis for defining multi-slot PDCCH monitoring capability. Some company suggested to consider additional constraints on PDCCH monitoring in back-to-back slots. Proponents of sliding/floating window indicate that this could be seen as an extension of the (X,Y) span approach of Rel-16. </w:t>
      </w:r>
      <w:r>
        <w:rPr>
          <w:lang w:eastAsia="zh-CN"/>
        </w:rPr>
        <w:t xml:space="preserve">Another company proposes to </w:t>
      </w:r>
      <w:r>
        <w:t>use the Rel-16 capability (</w:t>
      </w:r>
      <w:r>
        <w:rPr>
          <w:i/>
          <w:iCs/>
        </w:rPr>
        <w:t>pdcch-Monitoring-r16</w:t>
      </w:r>
      <w:r>
        <w:t>) as the baseline to define the new capability, and discussing a proper minimum separation between two MOs may be discussed (for example 4 slots for 480kHz and 8 slots for 960kHz).</w:t>
      </w:r>
    </w:p>
    <w:p>
      <w:pPr>
        <w:rPr>
          <w:lang w:eastAsia="zh-CN"/>
        </w:rPr>
      </w:pPr>
    </w:p>
    <w:p>
      <w:pPr>
        <w:pStyle w:val="4"/>
        <w:rPr>
          <w:lang w:val="en-GB" w:eastAsia="zh-CN"/>
        </w:rPr>
      </w:pPr>
      <w:r>
        <w:rPr>
          <w:lang w:val="en-GB" w:eastAsia="zh-CN"/>
        </w:rPr>
        <w:t>Second Round (A1-2d)</w:t>
      </w:r>
    </w:p>
    <w:p>
      <w:pPr>
        <w:rPr>
          <w:u w:val="single"/>
          <w:lang w:eastAsia="zh-CN"/>
        </w:rPr>
      </w:pPr>
      <w:r>
        <w:rPr>
          <w:highlight w:val="lightGray"/>
          <w:lang w:eastAsia="zh-CN"/>
        </w:rPr>
        <w:t>First Round FL Suggestion A1-2d.1:</w:t>
      </w:r>
      <w:r>
        <w:rPr>
          <w:lang w:eastAsia="zh-CN"/>
        </w:rPr>
        <w:t xml:space="preserve"> Continue discussion whether one of the following can be adopted:</w:t>
      </w:r>
    </w:p>
    <w:p>
      <w:pPr>
        <w:pStyle w:val="73"/>
        <w:numPr>
          <w:ilvl w:val="0"/>
          <w:numId w:val="19"/>
        </w:numPr>
      </w:pPr>
      <w:r>
        <w:t>Alt A1-2d.1: Starting point for defining the multi-slot PDCCH monitoring capability is a fixed pattern of N slots</w:t>
      </w:r>
    </w:p>
    <w:p>
      <w:pPr>
        <w:pStyle w:val="73"/>
        <w:numPr>
          <w:ilvl w:val="1"/>
          <w:numId w:val="19"/>
        </w:numPr>
      </w:pPr>
      <w:r>
        <w:t>N=[4] for 480 kHz SCS</w:t>
      </w:r>
    </w:p>
    <w:p>
      <w:pPr>
        <w:pStyle w:val="73"/>
        <w:numPr>
          <w:ilvl w:val="1"/>
          <w:numId w:val="19"/>
        </w:numPr>
      </w:pPr>
      <w:r>
        <w:t>N=[8] for 960 kHz SCS</w:t>
      </w:r>
    </w:p>
    <w:p>
      <w:pPr>
        <w:pStyle w:val="73"/>
        <w:numPr>
          <w:ilvl w:val="1"/>
          <w:numId w:val="19"/>
        </w:numPr>
      </w:pPr>
      <w:r>
        <w:t>FFS: Additional constraints on PDCCH monitoring in back-to-back slots</w:t>
      </w:r>
    </w:p>
    <w:p>
      <w:pPr>
        <w:pStyle w:val="73"/>
        <w:numPr>
          <w:ilvl w:val="0"/>
          <w:numId w:val="19"/>
        </w:numPr>
      </w:pPr>
      <w:r>
        <w:t>Alt A1-2d.2: Use the Rel-16 capability (</w:t>
      </w:r>
      <w:r>
        <w:rPr>
          <w:i/>
          <w:iCs/>
        </w:rPr>
        <w:t>pdcch-Monitoring-r16</w:t>
      </w:r>
      <w:r>
        <w:t>, (X,Y) span) as the baseline to define the new capability</w:t>
      </w:r>
    </w:p>
    <w:p>
      <w:pPr>
        <w:pStyle w:val="73"/>
        <w:numPr>
          <w:ilvl w:val="1"/>
          <w:numId w:val="19"/>
        </w:numPr>
      </w:pPr>
      <w:r>
        <w:t>Continue discussion on a proper minimum separation between two MOs: [4] slots for 480 kHz SCS and [8] slots for 960 kHz SCS</w:t>
      </w:r>
    </w:p>
    <w:p>
      <w:pPr>
        <w:rPr>
          <w:lang w:eastAsia="zh-CN"/>
        </w:rPr>
      </w:pPr>
    </w:p>
    <w:p>
      <w:pPr>
        <w:rPr>
          <w:lang w:val="en-GB" w:eastAsia="zh-CN"/>
        </w:rPr>
      </w:pPr>
      <w:r>
        <w:rPr>
          <w:lang w:val="en-GB" w:eastAsia="zh-CN"/>
        </w:rPr>
        <w:t>Can we down-select between those Alternatives in this meeting? Any other comments or suggestions?</w:t>
      </w:r>
    </w:p>
    <w:tbl>
      <w:tblPr>
        <w:tblStyle w:val="52"/>
        <w:tblW w:w="145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5"/>
        <w:gridCol w:w="121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shd w:val="clear" w:color="auto" w:fill="FFC000"/>
            <w:vAlign w:val="center"/>
          </w:tcPr>
          <w:p>
            <w:pPr>
              <w:widowControl w:val="0"/>
              <w:rPr>
                <w:b/>
                <w:bCs/>
              </w:rPr>
            </w:pPr>
            <w:r>
              <w:rPr>
                <w:b/>
                <w:bCs/>
              </w:rPr>
              <w:t>Company</w:t>
            </w:r>
          </w:p>
        </w:tc>
        <w:tc>
          <w:tcPr>
            <w:tcW w:w="12176" w:type="dxa"/>
            <w:shd w:val="clear" w:color="auto" w:fill="FFC000"/>
            <w:vAlign w:val="center"/>
          </w:tcPr>
          <w:p>
            <w:pPr>
              <w:widowControl w:val="0"/>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lang w:eastAsia="zh-CN"/>
              </w:rPr>
              <w:t>Intel</w:t>
            </w:r>
          </w:p>
        </w:tc>
        <w:tc>
          <w:tcPr>
            <w:tcW w:w="12176" w:type="dxa"/>
            <w:vAlign w:val="center"/>
          </w:tcPr>
          <w:p>
            <w:pPr>
              <w:widowControl w:val="0"/>
              <w:rPr>
                <w:lang w:eastAsia="zh-CN"/>
              </w:rPr>
            </w:pPr>
            <w:r>
              <w:rPr>
                <w:lang w:eastAsia="zh-CN"/>
              </w:rPr>
              <w:t xml:space="preserve">We share similar views of E//. As commented in A1-2b.2, we prefer to allow the MOs in any slot within a multi-slot span. Further, different slots may contain the MOs in different multi-slot span. This is to account for the different requirement on transmission timings of different SS sets. Further, there may be potential limitation from the periodicity of a SS set and the duration of multi-slot span.  </w:t>
            </w:r>
          </w:p>
          <w:p>
            <w:pPr>
              <w:widowControl w:val="0"/>
              <w:rPr>
                <w:lang w:eastAsia="zh-CN"/>
              </w:rPr>
            </w:pPr>
            <w:r>
              <w:rPr>
                <w:lang w:eastAsia="zh-CN"/>
              </w:rPr>
              <w:t xml:space="preserve">Considering this is the first meeting for the discussion, we don’t think we can agree on a single solution. Therefore, it is helpful to list all potential solutions for the further investigations by the companies. </w:t>
            </w:r>
          </w:p>
          <w:p>
            <w:pPr>
              <w:pStyle w:val="73"/>
              <w:widowControl w:val="0"/>
              <w:numPr>
                <w:ilvl w:val="0"/>
                <w:numId w:val="23"/>
              </w:numPr>
              <w:rPr>
                <w:lang w:eastAsia="zh-CN"/>
              </w:rPr>
            </w:pPr>
            <w:r>
              <w:rPr>
                <w:lang w:eastAsia="zh-CN"/>
              </w:rPr>
              <w:t>On Alt A1-2d.1, we suggest to remove the FFS sub-bullet, so that it is pure fixed pattern of N slots. The solution may have some drawbacks, but it is the simplest.</w:t>
            </w:r>
          </w:p>
          <w:p>
            <w:pPr>
              <w:pStyle w:val="73"/>
              <w:widowControl w:val="0"/>
              <w:numPr>
                <w:ilvl w:val="0"/>
                <w:numId w:val="23"/>
              </w:numPr>
              <w:rPr>
                <w:lang w:eastAsia="zh-CN"/>
              </w:rPr>
            </w:pPr>
            <w:r>
              <w:rPr>
                <w:lang w:eastAsia="zh-CN"/>
              </w:rPr>
              <w:t>Further, we prefer to add the alternative of sliding window based multi-slot PDCCH monitoring, since it solves the problem of A1-2d.1.</w:t>
            </w:r>
          </w:p>
          <w:p>
            <w:pPr>
              <w:pStyle w:val="73"/>
              <w:widowControl w:val="0"/>
            </w:pPr>
            <w:r>
              <w:t xml:space="preserve">Alt A1-2d.3: A sliding window of N slots for defining multi-slot PDCCH monitoring capability. </w:t>
            </w:r>
          </w:p>
          <w:p>
            <w:pPr>
              <w:pStyle w:val="73"/>
              <w:widowControl w:val="0"/>
              <w:numPr>
                <w:ilvl w:val="1"/>
                <w:numId w:val="19"/>
              </w:numPr>
            </w:pPr>
            <w:r>
              <w:t>N=[4] for 480 kHz SCS</w:t>
            </w:r>
          </w:p>
          <w:p>
            <w:pPr>
              <w:pStyle w:val="73"/>
              <w:widowControl w:val="0"/>
              <w:numPr>
                <w:ilvl w:val="1"/>
                <w:numId w:val="19"/>
              </w:numPr>
              <w:rPr>
                <w:lang w:eastAsia="zh-CN"/>
              </w:rPr>
            </w:pPr>
            <w:r>
              <w:t>N=[8] for 960 kHz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rFonts w:hint="eastAsia"/>
                <w:lang w:eastAsia="zh-CN"/>
              </w:rPr>
              <w:t>Huawei, HiSilicon</w:t>
            </w:r>
          </w:p>
        </w:tc>
        <w:tc>
          <w:tcPr>
            <w:tcW w:w="12176" w:type="dxa"/>
            <w:vAlign w:val="center"/>
          </w:tcPr>
          <w:p>
            <w:pPr>
              <w:widowControl w:val="0"/>
              <w:rPr>
                <w:lang w:eastAsia="zh-CN"/>
              </w:rPr>
            </w:pPr>
            <w:r>
              <w:rPr>
                <w:rFonts w:hint="eastAsia"/>
                <w:lang w:eastAsia="zh-CN"/>
              </w:rPr>
              <w:t xml:space="preserve">We have some reservations on the principle to </w:t>
            </w:r>
            <w:r>
              <w:rPr>
                <w:lang w:eastAsia="zh-CN"/>
              </w:rPr>
              <w:t xml:space="preserve">be </w:t>
            </w:r>
            <w:r>
              <w:rPr>
                <w:rFonts w:eastAsia="Malgun Gothic"/>
                <w:lang w:eastAsia="ko-KR"/>
              </w:rPr>
              <w:t>able to stagger USSs for different users in different slots. Once we recognize that from UE capability perspective it is difficult to monitor PDCCH in back-to-back slots with large SCS (the reason why the study concluded positively on multi-slot span PDCCH monitoring) and that the monitoring periodicity needs not be smaller than one slot of 120 kHz SCS, then it is becomes a problem of PDCCH capacity, and all UEs could monitor PDCCH in the same slot of 480 or 960 kHz SCS once every 4 or 8 slots (although not necessarily in the same OFDM symbols).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lang w:eastAsia="zh-CN"/>
              </w:rPr>
              <w:t>CATT</w:t>
            </w:r>
          </w:p>
        </w:tc>
        <w:tc>
          <w:tcPr>
            <w:tcW w:w="12176" w:type="dxa"/>
            <w:vAlign w:val="center"/>
          </w:tcPr>
          <w:p>
            <w:pPr>
              <w:widowControl w:val="0"/>
              <w:rPr>
                <w:lang w:eastAsia="zh-CN"/>
              </w:rPr>
            </w:pPr>
            <w:r>
              <w:rPr>
                <w:lang w:eastAsia="zh-CN"/>
              </w:rPr>
              <w:t>We prefer Alt A1-2d.2.  We need to further study on details.  The number of monitored PDCCH candidates for multi-slot time span should be large enough.</w:t>
            </w:r>
          </w:p>
        </w:tc>
      </w:tr>
    </w:tbl>
    <w:p>
      <w:pPr>
        <w:rPr>
          <w:lang w:eastAsia="zh-CN"/>
        </w:rPr>
      </w:pPr>
    </w:p>
    <w:p>
      <w:pPr>
        <w:rPr>
          <w:lang w:eastAsia="zh-CN"/>
        </w:rPr>
      </w:pPr>
      <w:r>
        <w:rPr>
          <w:highlight w:val="yellow"/>
          <w:lang w:eastAsia="zh-CN"/>
        </w:rPr>
        <w:t>Please continue discussion on down-selection or technical aspects based on the following agreement:</w:t>
      </w:r>
    </w:p>
    <w:p>
      <w:pPr>
        <w:ind w:left="1440" w:hanging="1440"/>
        <w:rPr>
          <w:lang w:eastAsia="zh-CN"/>
        </w:rPr>
      </w:pPr>
      <w:r>
        <w:rPr>
          <w:highlight w:val="green"/>
          <w:lang w:eastAsia="zh-CN"/>
        </w:rPr>
        <w:t>Agreement:</w:t>
      </w:r>
    </w:p>
    <w:p>
      <w:pPr>
        <w:ind w:left="1440" w:hanging="1440"/>
        <w:rPr>
          <w:lang w:eastAsia="zh-CN"/>
        </w:rPr>
      </w:pPr>
      <w:r>
        <w:rPr>
          <w:lang w:eastAsia="zh-CN"/>
        </w:rPr>
        <w:t>Choose one of the following alternatives for defining the multi-slot PDCCH monitoring capability</w:t>
      </w:r>
    </w:p>
    <w:p>
      <w:pPr>
        <w:pStyle w:val="73"/>
        <w:numPr>
          <w:ilvl w:val="0"/>
          <w:numId w:val="19"/>
        </w:numPr>
      </w:pPr>
      <w:r>
        <w:t xml:space="preserve">Alt 1: A fixed pattern of N slots. </w:t>
      </w:r>
    </w:p>
    <w:p>
      <w:pPr>
        <w:pStyle w:val="73"/>
        <w:numPr>
          <w:ilvl w:val="0"/>
          <w:numId w:val="19"/>
        </w:numPr>
      </w:pPr>
      <w:r>
        <w:t>Alt 2: Use the Rel-16 capability (</w:t>
      </w:r>
      <w:r>
        <w:rPr>
          <w:i/>
          <w:iCs/>
        </w:rPr>
        <w:t>pdcch-Monitoring-r16</w:t>
      </w:r>
      <w:r>
        <w:t>, (X, Y) span) as the baseline to define the new capability</w:t>
      </w:r>
    </w:p>
    <w:p>
      <w:pPr>
        <w:pStyle w:val="73"/>
        <w:numPr>
          <w:ilvl w:val="1"/>
          <w:numId w:val="19"/>
        </w:numPr>
      </w:pPr>
      <w:r>
        <w:t xml:space="preserve">FFS: Values of X and Y and units in which they are defined </w:t>
      </w:r>
    </w:p>
    <w:p>
      <w:pPr>
        <w:pStyle w:val="73"/>
        <w:numPr>
          <w:ilvl w:val="1"/>
          <w:numId w:val="19"/>
        </w:numPr>
      </w:pPr>
      <w:r>
        <w:t>FFS: Whether number of slots within which the number of monitoring occasions is counted is needed and if needed, the value of the number of slots</w:t>
      </w:r>
    </w:p>
    <w:p>
      <w:pPr>
        <w:pStyle w:val="73"/>
        <w:numPr>
          <w:ilvl w:val="0"/>
          <w:numId w:val="19"/>
        </w:numPr>
      </w:pPr>
      <w:r>
        <w:t xml:space="preserve">Alt 3: A sliding window of N slots for defining multi-slot PDCCH monitoring capability. </w:t>
      </w:r>
    </w:p>
    <w:p>
      <w:pPr>
        <w:pStyle w:val="73"/>
        <w:numPr>
          <w:ilvl w:val="1"/>
          <w:numId w:val="19"/>
        </w:numPr>
      </w:pPr>
      <w:r>
        <w:t>FFS: Increments in which sliding occurs</w:t>
      </w:r>
    </w:p>
    <w:p>
      <w:pPr>
        <w:pStyle w:val="73"/>
        <w:numPr>
          <w:ilvl w:val="0"/>
          <w:numId w:val="19"/>
        </w:numPr>
      </w:pPr>
      <w:r>
        <w:t>Specific numbers for X, Y and N may depend on UE capability and gNB configuration</w:t>
      </w:r>
    </w:p>
    <w:p>
      <w:pPr>
        <w:pStyle w:val="73"/>
        <w:numPr>
          <w:ilvl w:val="1"/>
          <w:numId w:val="19"/>
        </w:numPr>
      </w:pPr>
      <w:r>
        <w:t xml:space="preserve">Examples: </w:t>
      </w:r>
    </w:p>
    <w:p>
      <w:pPr>
        <w:pStyle w:val="73"/>
        <w:numPr>
          <w:ilvl w:val="2"/>
          <w:numId w:val="19"/>
        </w:numPr>
      </w:pPr>
      <w:r>
        <w:t>N = [4] slots for 480 kHz SCS and N = [8] slots for 960 kHz SCS</w:t>
      </w:r>
    </w:p>
    <w:p>
      <w:pPr>
        <w:pStyle w:val="73"/>
        <w:numPr>
          <w:ilvl w:val="2"/>
          <w:numId w:val="19"/>
        </w:numPr>
      </w:pPr>
      <w:r>
        <w:t>X = [4] slots for 480 kHz SCS and X = [8] slots for 960 kHz SCS</w:t>
      </w:r>
    </w:p>
    <w:p>
      <w:pPr>
        <w:rPr>
          <w:lang w:eastAsia="zh-CN"/>
        </w:rPr>
      </w:pPr>
    </w:p>
    <w:tbl>
      <w:tblPr>
        <w:tblStyle w:val="52"/>
        <w:tblW w:w="145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5"/>
        <w:gridCol w:w="121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shd w:val="clear" w:color="auto" w:fill="FFC000"/>
            <w:vAlign w:val="center"/>
          </w:tcPr>
          <w:p>
            <w:pPr>
              <w:widowControl w:val="0"/>
              <w:rPr>
                <w:b/>
                <w:bCs/>
              </w:rPr>
            </w:pPr>
            <w:r>
              <w:rPr>
                <w:b/>
                <w:bCs/>
              </w:rPr>
              <w:t>Company</w:t>
            </w:r>
          </w:p>
        </w:tc>
        <w:tc>
          <w:tcPr>
            <w:tcW w:w="12176" w:type="dxa"/>
            <w:shd w:val="clear" w:color="auto" w:fill="FFC000"/>
            <w:vAlign w:val="center"/>
          </w:tcPr>
          <w:p>
            <w:pPr>
              <w:widowControl w:val="0"/>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p>
        </w:tc>
        <w:tc>
          <w:tcPr>
            <w:tcW w:w="12176" w:type="dxa"/>
            <w:vAlign w:val="center"/>
          </w:tcPr>
          <w:p>
            <w:pPr>
              <w:pStyle w:val="73"/>
              <w:widowControl w:val="0"/>
              <w:numPr>
                <w:ilvl w:val="1"/>
                <w:numId w:val="19"/>
              </w:num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highlight w:val="green"/>
                <w:lang w:eastAsia="zh-CN"/>
              </w:rPr>
            </w:pPr>
            <w:r>
              <w:rPr>
                <w:lang w:eastAsia="zh-CN"/>
              </w:rPr>
              <w:t>Nokia, NSB</w:t>
            </w:r>
          </w:p>
        </w:tc>
        <w:tc>
          <w:tcPr>
            <w:tcW w:w="12176" w:type="dxa"/>
            <w:vAlign w:val="center"/>
          </w:tcPr>
          <w:p>
            <w:pPr>
              <w:widowControl w:val="0"/>
              <w:rPr>
                <w:lang w:val="en-GB" w:eastAsia="zh-CN"/>
              </w:rPr>
            </w:pPr>
            <w:r>
              <w:rPr>
                <w:lang w:eastAsia="zh-CN"/>
              </w:rPr>
              <w:t xml:space="preserve">See comments in </w:t>
            </w:r>
            <w:r>
              <w:rPr>
                <w:lang w:val="en-GB" w:eastAsia="zh-CN"/>
              </w:rPr>
              <w:t>A1-2b.1</w:t>
            </w:r>
          </w:p>
          <w:p>
            <w:pPr>
              <w:widowControl w:val="0"/>
              <w:rPr>
                <w:lang w:val="en-GB" w:eastAsia="zh-CN"/>
              </w:rPr>
            </w:pPr>
            <w:r>
              <w:rPr>
                <w:lang w:val="en-GB" w:eastAsia="zh-CN"/>
              </w:rPr>
              <w:t xml:space="preserve">Our preference is Alt 2. If multiple values for X are supported (such as X=[8,4] for 960 kHz), the network should have enough flexibility in MO configuration.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rFonts w:hint="eastAsia"/>
                <w:lang w:eastAsia="zh-CN"/>
              </w:rPr>
              <w:t>X</w:t>
            </w:r>
            <w:r>
              <w:rPr>
                <w:lang w:eastAsia="zh-CN"/>
              </w:rPr>
              <w:t>iaomi</w:t>
            </w:r>
          </w:p>
        </w:tc>
        <w:tc>
          <w:tcPr>
            <w:tcW w:w="12176" w:type="dxa"/>
            <w:vAlign w:val="center"/>
          </w:tcPr>
          <w:p>
            <w:pPr>
              <w:widowControl w:val="0"/>
              <w:rPr>
                <w:lang w:eastAsia="zh-CN"/>
              </w:rPr>
            </w:pPr>
            <w:r>
              <w:rPr>
                <w:lang w:eastAsia="zh-CN"/>
              </w:rPr>
              <w:t xml:space="preserve">Prefer Alt1 and Alt2. Alt 1is more preferred since it is much simpler.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rFonts w:hint="eastAsia"/>
                <w:lang w:eastAsia="zh-CN"/>
              </w:rPr>
              <w:t>ZTE, Sanechips</w:t>
            </w:r>
          </w:p>
        </w:tc>
        <w:tc>
          <w:tcPr>
            <w:tcW w:w="12176" w:type="dxa"/>
            <w:vAlign w:val="center"/>
          </w:tcPr>
          <w:p>
            <w:pPr>
              <w:widowControl w:val="0"/>
              <w:rPr>
                <w:lang w:eastAsia="zh-CN"/>
              </w:rPr>
            </w:pPr>
            <w:r>
              <w:rPr>
                <w:rFonts w:hint="eastAsia"/>
                <w:lang w:eastAsia="zh-CN"/>
              </w:rPr>
              <w:t>Our 1</w:t>
            </w:r>
            <w:r>
              <w:rPr>
                <w:rFonts w:hint="eastAsia"/>
                <w:vertAlign w:val="superscript"/>
                <w:lang w:eastAsia="zh-CN"/>
              </w:rPr>
              <w:t>st</w:t>
            </w:r>
            <w:r>
              <w:rPr>
                <w:rFonts w:hint="eastAsia"/>
                <w:lang w:eastAsia="zh-CN"/>
              </w:rPr>
              <w:t xml:space="preserve"> preference is Alt 1. wherein, N can be fixed to 1, which means PDCCH monitoring can be limited to within the first slot in each monitoring span, that is, single-slot span monitoring; and  also support N=4/8 for 480/960kHz SCS.</w:t>
            </w:r>
          </w:p>
          <w:p>
            <w:pPr>
              <w:widowControl w:val="0"/>
              <w:rPr>
                <w:lang w:eastAsia="zh-CN"/>
              </w:rPr>
            </w:pPr>
            <w:r>
              <w:rPr>
                <w:rFonts w:hint="eastAsia"/>
                <w:lang w:eastAsia="zh-CN"/>
              </w:rPr>
              <w:t>2</w:t>
            </w:r>
            <w:r>
              <w:rPr>
                <w:rFonts w:hint="eastAsia"/>
                <w:vertAlign w:val="superscript"/>
                <w:lang w:eastAsia="zh-CN"/>
              </w:rPr>
              <w:t>nd</w:t>
            </w:r>
            <w:r>
              <w:rPr>
                <w:rFonts w:hint="eastAsia"/>
                <w:lang w:eastAsia="zh-CN"/>
              </w:rPr>
              <w:t xml:space="preserve"> preference is Alt 2 and X can be configured as 1.</w:t>
            </w:r>
          </w:p>
          <w:p>
            <w:pPr>
              <w:widowControl w:val="0"/>
              <w:rPr>
                <w:lang w:eastAsia="zh-CN"/>
              </w:rPr>
            </w:pPr>
            <w:r>
              <w:rPr>
                <w:rFonts w:hint="eastAsia"/>
                <w:lang w:eastAsia="zh-CN"/>
              </w:rPr>
              <w:t>Besides, specific N and X value is determined depends on UE capability or gNB capability.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lang w:eastAsia="zh-CN"/>
              </w:rPr>
              <w:t>Lenovo, Motorola Mobility</w:t>
            </w:r>
          </w:p>
        </w:tc>
        <w:tc>
          <w:tcPr>
            <w:tcW w:w="12176" w:type="dxa"/>
            <w:vAlign w:val="center"/>
          </w:tcPr>
          <w:p>
            <w:pPr>
              <w:widowControl w:val="0"/>
              <w:rPr>
                <w:lang w:eastAsia="zh-CN"/>
              </w:rPr>
            </w:pPr>
            <w:r>
              <w:rPr>
                <w:lang w:eastAsia="zh-CN"/>
              </w:rPr>
              <w:t>In our view, Alt 1 should be definitely supported. Further discussion/downselection related to Alt 2 and Alt 3 can be done in next RAN1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lang w:eastAsia="zh-CN"/>
              </w:rPr>
              <w:t>Qualcomm</w:t>
            </w:r>
          </w:p>
        </w:tc>
        <w:tc>
          <w:tcPr>
            <w:tcW w:w="12176" w:type="dxa"/>
            <w:vAlign w:val="center"/>
          </w:tcPr>
          <w:p>
            <w:pPr>
              <w:widowControl w:val="0"/>
              <w:rPr>
                <w:lang w:eastAsia="zh-CN"/>
              </w:rPr>
            </w:pPr>
            <w:r>
              <w:rPr>
                <w:lang w:eastAsia="zh-CN"/>
              </w:rPr>
              <w:t>We support Alt 2. Related to the discussion during the GTW session, with Alt 2, the number of BD and CCE is accounted within a span (i.e., Y consecutive symbols/slots), and thus no additional definition of N-slot window is needed.</w:t>
            </w:r>
          </w:p>
          <w:p>
            <w:pPr>
              <w:widowControl w:val="0"/>
              <w:rPr>
                <w:lang w:eastAsia="zh-CN"/>
              </w:rPr>
            </w:pPr>
            <w:r>
              <w:rPr>
                <w:lang w:eastAsia="zh-CN"/>
              </w:rPr>
              <w:t>With Alt 3, if we allow multiple PDCCH MOs distributed over a window of N slots, we see the following issues:</w:t>
            </w:r>
          </w:p>
          <w:p>
            <w:pPr>
              <w:pStyle w:val="73"/>
              <w:widowControl/>
              <w:numPr>
                <w:ilvl w:val="0"/>
                <w:numId w:val="24"/>
              </w:numPr>
              <w:rPr>
                <w:rFonts w:ascii="Times New Roman" w:hAnsi="Times New Roman"/>
                <w:lang w:eastAsia="zh-CN"/>
              </w:rPr>
            </w:pPr>
            <w:r>
              <w:rPr>
                <w:rFonts w:ascii="Times New Roman" w:hAnsi="Times New Roman"/>
                <w:lang w:eastAsia="zh-CN"/>
              </w:rPr>
              <w:t>If a MO is included in multiple sliding windows (of different offsets), overbooking and dropping would be complicated. For example, in a sliding window containing MO_0 and MO_1, MO1 may be dropped due to BD/CCE limit, but in another sliding window containing MO_1 and MO_2, MO_2 may be dopped. Thus, there is ambiguity in the overbooking rule.</w:t>
            </w:r>
          </w:p>
          <w:p>
            <w:pPr>
              <w:pStyle w:val="73"/>
              <w:widowControl/>
              <w:numPr>
                <w:ilvl w:val="0"/>
                <w:numId w:val="24"/>
              </w:numPr>
              <w:spacing w:after="120"/>
              <w:rPr>
                <w:rFonts w:ascii="Times New Roman" w:hAnsi="Times New Roman"/>
                <w:lang w:eastAsia="zh-CN"/>
              </w:rPr>
            </w:pPr>
            <w:r>
              <w:rPr>
                <w:rFonts w:ascii="Times New Roman" w:hAnsi="Times New Roman"/>
                <w:lang w:eastAsia="zh-CN"/>
              </w:rPr>
              <w:t xml:space="preserve">If MOs are distributed in an N-slot window, UE’s power consumption will increase because UE needs to repeat ramping up and down its front-end blocks and perform FFT operation every MO. </w:t>
            </w:r>
          </w:p>
          <w:p>
            <w:pPr>
              <w:widowControl w:val="0"/>
              <w:rPr>
                <w:lang w:eastAsia="zh-CN"/>
              </w:rPr>
            </w:pPr>
            <w:r>
              <w:rPr>
                <w:lang w:eastAsia="zh-CN"/>
              </w:rPr>
              <w:t>The first issue may not be a concern if 480kHz and 960kHz SCSs are used only for SCells and overbooking is not applied. For the second issue, however, the main benefit of the multi-slot based capability is not only the improved flexibility, but also the enhanced power efficiency. Therefore, we think the number of spans (i.e., Y consecutive OFDM symbols containing MO(s)) should be restricted to at most one per an N-slot window, which then boils down to Alt 2.</w:t>
            </w:r>
          </w:p>
          <w:p>
            <w:pPr>
              <w:widowControl w:val="0"/>
              <w:rPr>
                <w:lang w:eastAsia="zh-CN"/>
              </w:rPr>
            </w:pPr>
            <w:r>
              <w:rPr>
                <w:lang w:eastAsia="zh-CN"/>
              </w:rPr>
              <w:t>A concern about Alt 2 during the GTW session was how to align the Y-symbol span with CSS. Based on the outcome of on-going discussion in AI 8.2.1, if 480kHz and 960kHz SCS are only applied to SCells, UE may not be required to monitor CSS(s) (except Type 1/3 CSS, which can be aligned with USS by dedicated configuration) in SCells.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sz w:val="20"/>
                <w:lang w:eastAsia="zh-CN"/>
              </w:rPr>
            </w:pPr>
            <w:r>
              <w:rPr>
                <w:sz w:val="20"/>
                <w:lang w:eastAsia="zh-CN"/>
              </w:rPr>
              <w:t>Ericsson</w:t>
            </w:r>
          </w:p>
        </w:tc>
        <w:tc>
          <w:tcPr>
            <w:tcW w:w="12176" w:type="dxa"/>
            <w:vAlign w:val="center"/>
          </w:tcPr>
          <w:p>
            <w:pPr>
              <w:widowControl w:val="0"/>
              <w:rPr>
                <w:sz w:val="20"/>
                <w:lang w:eastAsia="zh-CN"/>
              </w:rPr>
            </w:pPr>
            <w:r>
              <w:rPr>
                <w:sz w:val="20"/>
                <w:lang w:eastAsia="zh-CN"/>
              </w:rPr>
              <w:t>Hongbo (Samsung) raised a good point to try to align terminology. Here is a copy of my response. Perhaps companies could comment on if this is common understanding:</w:t>
            </w:r>
          </w:p>
          <w:p>
            <w:pPr>
              <w:pStyle w:val="73"/>
              <w:widowControl w:val="0"/>
              <w:numPr>
                <w:ilvl w:val="0"/>
                <w:numId w:val="25"/>
              </w:numPr>
              <w:snapToGrid/>
              <w:spacing w:line="240" w:lineRule="auto"/>
              <w:rPr>
                <w:rFonts w:eastAsia="Times New Roman"/>
                <w:color w:val="993366"/>
                <w:sz w:val="20"/>
                <w:szCs w:val="20"/>
              </w:rPr>
            </w:pPr>
            <w:r>
              <w:rPr>
                <w:rFonts w:eastAsia="Times New Roman"/>
                <w:color w:val="993366"/>
                <w:sz w:val="20"/>
                <w:szCs w:val="20"/>
              </w:rPr>
              <w:t>For Alt-2, Y &lt;= X and there is an X slot “span gap” between two consecutive Y slot spans (if X and Y are measured in slots). Essentially, with Alt-2, there is an implicit sliding window which can go across a slot boundary for checking if the BD/CCE budget is respected (see the key words “including across slots” from 38.213 Section 10 which is the analogous case for X and Y measured in symbols:</w:t>
            </w:r>
          </w:p>
          <w:p>
            <w:pPr>
              <w:widowControl w:val="0"/>
              <w:rPr>
                <w:rFonts w:eastAsiaTheme="minorHAnsi"/>
                <w:color w:val="993366"/>
                <w:sz w:val="20"/>
                <w:szCs w:val="20"/>
              </w:rPr>
            </w:pPr>
          </w:p>
          <w:p>
            <w:pPr>
              <w:widowControl w:val="0"/>
              <w:ind w:left="720"/>
              <w:rPr>
                <w:color w:val="993366"/>
                <w:sz w:val="20"/>
                <w:szCs w:val="20"/>
              </w:rPr>
            </w:pPr>
            <w:r>
              <w:rPr>
                <w:sz w:val="20"/>
                <w:szCs w:val="20"/>
                <w:lang w:eastAsia="ko-KR"/>
              </w:rPr>
              <w:t xml:space="preserve">A UE can indicate a capability to monitor PDCCH according to one or more of the combinations </w:t>
            </w:r>
            <m:oMath>
              <m:d>
                <m:dPr>
                  <m:ctrlPr>
                    <w:rPr>
                      <w:rFonts w:ascii="Cambria Math" w:hAnsi="Cambria Math" w:cs="Calibri" w:eastAsiaTheme="minorHAnsi"/>
                      <w:sz w:val="20"/>
                      <w:szCs w:val="20"/>
                      <w:lang w:eastAsia="zh-CN"/>
                    </w:rPr>
                  </m:ctrlPr>
                </m:dPr>
                <m:e>
                  <m:r>
                    <m:rPr>
                      <m:sty m:val="p"/>
                    </m:rPr>
                    <w:rPr>
                      <w:rFonts w:ascii="Cambria Math" w:hAnsi="Cambria Math"/>
                      <w:sz w:val="20"/>
                      <w:szCs w:val="20"/>
                      <w:lang w:eastAsia="zh-CN"/>
                    </w:rPr>
                    <m:t>X,Y</m:t>
                  </m:r>
                  <m:ctrlPr>
                    <w:rPr>
                      <w:rFonts w:ascii="Cambria Math" w:hAnsi="Cambria Math" w:cs="Calibri" w:eastAsiaTheme="minorHAnsi"/>
                      <w:sz w:val="20"/>
                      <w:szCs w:val="20"/>
                      <w:lang w:eastAsia="zh-CN"/>
                    </w:rPr>
                  </m:ctrlPr>
                </m:e>
              </m:d>
            </m:oMath>
            <w:r>
              <w:rPr>
                <w:sz w:val="20"/>
                <w:szCs w:val="20"/>
                <w:lang w:eastAsia="ko-KR"/>
              </w:rPr>
              <w:t xml:space="preserve"> = (2, 2), (4, 3), and (7, 3) per SCS configuration of </w:t>
            </w:r>
            <m:oMath>
              <m:r>
                <w:rPr>
                  <w:rFonts w:ascii="Cambria Math" w:hAnsi="Cambria Math"/>
                  <w:sz w:val="20"/>
                  <w:szCs w:val="20"/>
                  <w:lang w:eastAsia="zh-CN"/>
                </w:rPr>
                <m:t>μ=0</m:t>
              </m:r>
            </m:oMath>
            <w:r>
              <w:rPr>
                <w:sz w:val="20"/>
                <w:szCs w:val="20"/>
                <w:lang w:eastAsia="zh-CN"/>
              </w:rPr>
              <w:t xml:space="preserve"> and </w:t>
            </w:r>
            <m:oMath>
              <m:r>
                <w:rPr>
                  <w:rFonts w:ascii="Cambria Math" w:hAnsi="Cambria Math"/>
                  <w:sz w:val="20"/>
                  <w:szCs w:val="20"/>
                  <w:lang w:eastAsia="zh-CN"/>
                </w:rPr>
                <m:t>μ=1</m:t>
              </m:r>
            </m:oMath>
            <w:r>
              <w:rPr>
                <w:sz w:val="20"/>
                <w:szCs w:val="20"/>
                <w:lang w:eastAsia="zh-CN"/>
              </w:rPr>
              <w:t xml:space="preserve">. </w:t>
            </w:r>
            <w:r>
              <w:rPr>
                <w:sz w:val="20"/>
                <w:szCs w:val="20"/>
                <w:highlight w:val="yellow"/>
              </w:rPr>
              <w:t xml:space="preserve">A span is a number of </w:t>
            </w:r>
            <w:r>
              <w:rPr>
                <w:color w:val="FF0000"/>
                <w:sz w:val="20"/>
                <w:szCs w:val="20"/>
                <w:highlight w:val="yellow"/>
              </w:rPr>
              <w:t xml:space="preserve">consecutive symbols </w:t>
            </w:r>
            <w:r>
              <w:rPr>
                <w:sz w:val="20"/>
                <w:szCs w:val="20"/>
                <w:highlight w:val="yellow"/>
              </w:rPr>
              <w:t>in a slot where the UE is configured to monitor PDCCH</w:t>
            </w:r>
            <w:r>
              <w:rPr>
                <w:sz w:val="20"/>
                <w:szCs w:val="20"/>
              </w:rPr>
              <w:t xml:space="preserve">. Each PDCCH monitoring occasion is within one span. If a UE monitors PDCCH on a cell according to </w:t>
            </w:r>
            <w:r>
              <w:rPr>
                <w:sz w:val="20"/>
                <w:szCs w:val="20"/>
                <w:lang w:eastAsia="ko-KR"/>
              </w:rPr>
              <w:t xml:space="preserve">combination </w:t>
            </w:r>
            <m:oMath>
              <m:d>
                <m:dPr>
                  <m:ctrlPr>
                    <w:rPr>
                      <w:rFonts w:ascii="Cambria Math" w:hAnsi="Cambria Math" w:cs="Calibri" w:eastAsiaTheme="minorHAnsi"/>
                      <w:sz w:val="20"/>
                      <w:szCs w:val="20"/>
                      <w:lang w:eastAsia="zh-CN"/>
                    </w:rPr>
                  </m:ctrlPr>
                </m:dPr>
                <m:e>
                  <m:r>
                    <m:rPr>
                      <m:sty m:val="p"/>
                    </m:rPr>
                    <w:rPr>
                      <w:rFonts w:ascii="Cambria Math" w:hAnsi="Cambria Math"/>
                      <w:sz w:val="20"/>
                      <w:szCs w:val="20"/>
                      <w:lang w:eastAsia="zh-CN"/>
                    </w:rPr>
                    <m:t>X,Y</m:t>
                  </m:r>
                  <m:ctrlPr>
                    <w:rPr>
                      <w:rFonts w:ascii="Cambria Math" w:hAnsi="Cambria Math" w:cs="Calibri" w:eastAsiaTheme="minorHAnsi"/>
                      <w:sz w:val="20"/>
                      <w:szCs w:val="20"/>
                      <w:lang w:eastAsia="zh-CN"/>
                    </w:rPr>
                  </m:ctrlPr>
                </m:e>
              </m:d>
            </m:oMath>
            <w:r>
              <w:rPr>
                <w:sz w:val="20"/>
                <w:szCs w:val="20"/>
                <w:lang w:eastAsia="zh-CN"/>
              </w:rPr>
              <w:t xml:space="preserve">, </w:t>
            </w:r>
            <w:r>
              <w:rPr>
                <w:sz w:val="20"/>
                <w:szCs w:val="20"/>
              </w:rPr>
              <w:t xml:space="preserve">the UE supports PDCCH monitoring occasions in any symbol of a slot with </w:t>
            </w:r>
            <w:r>
              <w:rPr>
                <w:sz w:val="20"/>
                <w:szCs w:val="20"/>
                <w:highlight w:val="yellow"/>
              </w:rPr>
              <w:t xml:space="preserve">minimum time separation of </w:t>
            </w:r>
            <m:oMath>
              <m:r>
                <w:rPr>
                  <w:rFonts w:ascii="Cambria Math" w:hAnsi="Cambria Math"/>
                  <w:sz w:val="20"/>
                  <w:szCs w:val="20"/>
                  <w:highlight w:val="yellow"/>
                  <w:lang w:eastAsia="zh-CN"/>
                </w:rPr>
                <m:t>X</m:t>
              </m:r>
            </m:oMath>
            <w:r>
              <w:rPr>
                <w:sz w:val="20"/>
                <w:szCs w:val="20"/>
                <w:highlight w:val="yellow"/>
              </w:rPr>
              <w:t xml:space="preserve"> symbols between the first symbol of two consecutive spans, </w:t>
            </w:r>
            <w:r>
              <w:rPr>
                <w:color w:val="FF0000"/>
                <w:sz w:val="20"/>
                <w:szCs w:val="20"/>
                <w:highlight w:val="yellow"/>
              </w:rPr>
              <w:t>including across slots</w:t>
            </w:r>
            <w:r>
              <w:rPr>
                <w:sz w:val="20"/>
                <w:szCs w:val="20"/>
              </w:rPr>
              <w:t xml:space="preserve">. </w:t>
            </w:r>
            <w:r>
              <w:rPr>
                <w:color w:val="000000"/>
                <w:sz w:val="20"/>
                <w:szCs w:val="20"/>
              </w:rPr>
              <w:t xml:space="preserve">A span starts at a first symbol where a PDCCH monitoring occasion starts and ends at a last symbol where a PDCCH monitoring occasion ends, where the number of symbols of the span is up to </w:t>
            </w:r>
            <m:oMath>
              <m:r>
                <w:rPr>
                  <w:rFonts w:ascii="Cambria Math" w:hAnsi="Cambria Math"/>
                  <w:color w:val="000000"/>
                  <w:sz w:val="20"/>
                  <w:szCs w:val="20"/>
                </w:rPr>
                <m:t>Y</m:t>
              </m:r>
            </m:oMath>
            <w:r>
              <w:rPr>
                <w:color w:val="000000"/>
                <w:sz w:val="20"/>
                <w:szCs w:val="20"/>
              </w:rPr>
              <w:t>.</w:t>
            </w:r>
          </w:p>
          <w:p>
            <w:pPr>
              <w:widowControl w:val="0"/>
              <w:rPr>
                <w:rFonts w:ascii="Calibri" w:hAnsi="Calibri" w:cs="Calibri"/>
                <w:color w:val="993366"/>
                <w:sz w:val="20"/>
                <w:szCs w:val="20"/>
              </w:rPr>
            </w:pPr>
          </w:p>
          <w:p>
            <w:pPr>
              <w:pStyle w:val="73"/>
              <w:widowControl w:val="0"/>
              <w:numPr>
                <w:ilvl w:val="0"/>
                <w:numId w:val="25"/>
              </w:numPr>
              <w:snapToGrid/>
              <w:spacing w:line="240" w:lineRule="auto"/>
              <w:rPr>
                <w:rFonts w:eastAsia="Times New Roman"/>
                <w:color w:val="993366"/>
                <w:sz w:val="20"/>
                <w:szCs w:val="20"/>
              </w:rPr>
            </w:pPr>
            <w:r>
              <w:rPr>
                <w:rFonts w:eastAsia="Times New Roman"/>
                <w:color w:val="993366"/>
                <w:sz w:val="20"/>
                <w:szCs w:val="20"/>
              </w:rPr>
              <w:t>For Alt-1 (fixed window), a span is Y=N slots (UE is configured to monitor in any slot of the N slot span), and the span gap is (X = N). This is like Alt-2, but with Y = X = N.</w:t>
            </w:r>
          </w:p>
          <w:p>
            <w:pPr>
              <w:pStyle w:val="73"/>
              <w:widowControl w:val="0"/>
              <w:numPr>
                <w:ilvl w:val="0"/>
                <w:numId w:val="25"/>
              </w:numPr>
              <w:snapToGrid/>
              <w:spacing w:line="240" w:lineRule="auto"/>
              <w:rPr>
                <w:rFonts w:eastAsia="Times New Roman"/>
                <w:color w:val="993366"/>
                <w:sz w:val="20"/>
                <w:szCs w:val="20"/>
              </w:rPr>
            </w:pPr>
            <w:r>
              <w:rPr>
                <w:rFonts w:eastAsia="Times New Roman"/>
                <w:color w:val="993366"/>
                <w:sz w:val="20"/>
                <w:szCs w:val="20"/>
              </w:rPr>
              <w:t>Alt-3 (sliding window) is the same as Alt-1, but a sliding window can go across the boundary of two consecutive N-slot spans for checking if the BD/CCE budget is respected. This prevents the end loaded/front loaded issue raised by Intel.</w:t>
            </w:r>
          </w:p>
          <w:p>
            <w:pPr>
              <w:widowControl w:val="0"/>
              <w:rPr>
                <w:rFonts w:eastAsiaTheme="minorHAnsi"/>
                <w:color w:val="993366"/>
              </w:rPr>
            </w:pPr>
          </w:p>
          <w:p>
            <w:pPr>
              <w:widowControl w:val="0"/>
              <w:rPr>
                <w:sz w:val="20"/>
                <w:lang w:eastAsia="zh-CN"/>
              </w:rPr>
            </w:pPr>
            <w:r>
              <w:rPr>
                <w:sz w:val="20"/>
                <w:lang w:eastAsia="zh-CN"/>
              </w:rPr>
              <w:t>Based on my understanding, an issue with Alt-1 is that at the end of one N-slot span and the beginning of the next N-slot span, the N-slot BD/CCE budget could be exceeded depending on the monitoring configuration. If Alt-1 is agreed, it seems as though there will be lots of follow-on discussion to introduce limitations for various monitoring configuration combinations to avoid this issue. This could be quite complex to specify. Alt-3 tries to solve this issue by introducing an implicit sliding window, that could be specified similar to the above excerpt from 38.213 Section 10 (i.e., the wording "</w:t>
            </w:r>
            <w:r>
              <w:rPr>
                <w:color w:val="FF0000"/>
                <w:sz w:val="20"/>
                <w:lang w:eastAsia="zh-CN"/>
              </w:rPr>
              <w:t>including across slots</w:t>
            </w:r>
            <w:r>
              <w:rPr>
                <w:sz w:val="20"/>
                <w:lang w:eastAsia="zh-CN"/>
              </w:rPr>
              <w:t>"). But instead of "across slots" it could say "including across N-slot bundles", or similar wording. In this sense, Alt-3 is similar to Alt-2.</w:t>
            </w:r>
          </w:p>
          <w:p>
            <w:pPr>
              <w:widowControl w:val="0"/>
              <w:rPr>
                <w:sz w:val="20"/>
                <w:lang w:eastAsia="zh-CN"/>
              </w:rPr>
            </w:pPr>
            <w:r>
              <w:rPr>
                <w:sz w:val="20"/>
                <w:lang w:eastAsia="zh-CN"/>
              </w:rPr>
              <w:t>The concern we have about Alt-2 in that if Y is small compared to X, then it will introduce inflexibility from a network perspective. For example, consider N = 4 for 480 kHz SCS. let's say the network wants to configure a CSS (i.e., common for all users) in slot 4*n where n = 0, 1, 2, …. And then say the network wants to configure a USS in slot 4*n+3. Further, let's say the UE capability is (X,Y) = (4,2). This would mean that there is a minimum span gap of 4 slots, so this example configuration would not be possible since there is a span gap of only 3 slots. Similarly, putting a USS in slots 4*n+2 wouldn't work either. Essentially, having a small value of Y compared to X, forces the network to concentrate the CSS and USS within a small number of slots.</w:t>
            </w:r>
          </w:p>
          <w:p>
            <w:pPr>
              <w:widowControl w:val="0"/>
              <w:rPr>
                <w:sz w:val="20"/>
                <w:lang w:eastAsia="zh-CN"/>
              </w:rPr>
            </w:pPr>
            <w:r>
              <w:rPr>
                <w:sz w:val="20"/>
                <w:lang w:eastAsia="zh-CN"/>
              </w:rPr>
              <w:t>It seems that Alt-3 simultaneously achieves flexibility on the network side (like Alt-1, but in contrast to Alt-2) and assurances on the UE side that the BD/CCE budget will not be exceeded over any N slot duration (solving the deficiency of Alt-1 by use of a sliding window).</w:t>
            </w:r>
          </w:p>
          <w:p>
            <w:pPr>
              <w:widowControl w:val="0"/>
              <w:rPr>
                <w:sz w:val="20"/>
                <w:lang w:eastAsia="zh-CN"/>
              </w:rPr>
            </w:pPr>
          </w:p>
          <w:p>
            <w:pPr>
              <w:widowControl w:val="0"/>
              <w:rPr>
                <w:sz w:val="20"/>
                <w:lang w:eastAsia="zh-CN"/>
              </w:rPr>
            </w:pPr>
            <w:r>
              <w:rPr>
                <w:sz w:val="20"/>
                <w:lang w:eastAsia="zh-CN"/>
              </w:rPr>
              <w:t xml:space="preserve">Qualcomm seems to have a concern that specification of a sliding window is complicated. However, it seems such a sliding window exists in Rel-15/16 already, and it would be simple enough to extend this to cover bundles of N slots as discussed above.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rFonts w:eastAsia="MS Mincho"/>
                <w:sz w:val="20"/>
                <w:lang w:eastAsia="ja-JP"/>
              </w:rPr>
            </w:pPr>
            <w:r>
              <w:rPr>
                <w:rFonts w:hint="eastAsia" w:eastAsia="MS Mincho"/>
                <w:sz w:val="20"/>
                <w:lang w:eastAsia="ja-JP"/>
              </w:rPr>
              <w:t>NTT DOCOMO</w:t>
            </w:r>
          </w:p>
        </w:tc>
        <w:tc>
          <w:tcPr>
            <w:tcW w:w="12176" w:type="dxa"/>
            <w:vAlign w:val="center"/>
          </w:tcPr>
          <w:p>
            <w:pPr>
              <w:widowControl w:val="0"/>
              <w:rPr>
                <w:rFonts w:eastAsia="MS Mincho"/>
                <w:sz w:val="20"/>
                <w:lang w:eastAsia="ja-JP"/>
              </w:rPr>
            </w:pPr>
            <w:r>
              <w:rPr>
                <w:rFonts w:eastAsia="MS Mincho"/>
                <w:sz w:val="20"/>
                <w:lang w:eastAsia="ja-JP"/>
              </w:rPr>
              <w:t>Our first preference is Alt 2 which can reuse the Rel-16 span-level monitoring and can achieve flexibility depending on the configuration of (X, Y).</w:t>
            </w:r>
          </w:p>
          <w:p>
            <w:pPr>
              <w:widowControl w:val="0"/>
              <w:rPr>
                <w:rFonts w:eastAsia="MS Mincho"/>
                <w:sz w:val="20"/>
                <w:lang w:eastAsia="ja-JP"/>
              </w:rPr>
            </w:pPr>
            <w:r>
              <w:rPr>
                <w:rFonts w:eastAsia="MS Mincho"/>
                <w:sz w:val="20"/>
                <w:lang w:eastAsia="ja-JP"/>
              </w:rPr>
              <w:t>Our second preference is Alt 3. We do not support Alt 1 since BD/CCE budget should not be exceeded in any of N slots. On the other hand, Alt 3 may have some issues, e.g. what Qualcomm mentioned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rFonts w:eastAsia="MS Mincho"/>
                <w:sz w:val="20"/>
                <w:lang w:eastAsia="ja-JP"/>
              </w:rPr>
            </w:pPr>
            <w:r>
              <w:rPr>
                <w:rFonts w:hint="eastAsia"/>
                <w:sz w:val="20"/>
                <w:lang w:eastAsia="zh-CN"/>
              </w:rPr>
              <w:t>v</w:t>
            </w:r>
            <w:r>
              <w:rPr>
                <w:sz w:val="20"/>
                <w:lang w:eastAsia="zh-CN"/>
              </w:rPr>
              <w:t>ivo</w:t>
            </w:r>
          </w:p>
        </w:tc>
        <w:tc>
          <w:tcPr>
            <w:tcW w:w="12176" w:type="dxa"/>
            <w:vAlign w:val="center"/>
          </w:tcPr>
          <w:p>
            <w:pPr>
              <w:widowControl w:val="0"/>
              <w:rPr>
                <w:rFonts w:eastAsia="MS Mincho"/>
                <w:sz w:val="20"/>
                <w:lang w:eastAsia="ja-JP"/>
              </w:rPr>
            </w:pPr>
            <w:r>
              <w:rPr>
                <w:lang w:eastAsia="zh-CN"/>
              </w:rPr>
              <w:t>We support Alt. 2 with more flexibility and the gap between two MOs is guaranteed to reduce the complexity. Before down selection, we may need to have a common understanding on the alternatives especially on the allowed monitored slots and BD/CCE budget counting budget. One starting point is provided in our comments on A1=2b.2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sz w:val="20"/>
                <w:lang w:eastAsia="zh-CN"/>
              </w:rPr>
            </w:pPr>
            <w:r>
              <w:rPr>
                <w:sz w:val="20"/>
                <w:lang w:eastAsia="zh-CN"/>
              </w:rPr>
              <w:t>Apple</w:t>
            </w:r>
          </w:p>
        </w:tc>
        <w:tc>
          <w:tcPr>
            <w:tcW w:w="12176" w:type="dxa"/>
            <w:vAlign w:val="center"/>
          </w:tcPr>
          <w:p>
            <w:pPr>
              <w:widowControl w:val="0"/>
              <w:rPr>
                <w:rFonts w:eastAsia="MS Mincho"/>
                <w:sz w:val="20"/>
                <w:lang w:eastAsia="ja-JP"/>
              </w:rPr>
            </w:pPr>
            <w:r>
              <w:rPr>
                <w:rFonts w:eastAsia="MS Mincho"/>
                <w:sz w:val="20"/>
                <w:lang w:eastAsia="ja-JP"/>
              </w:rPr>
              <w:t>Our preferences are Alt-1 and Alt-2.</w:t>
            </w:r>
          </w:p>
          <w:p>
            <w:pPr>
              <w:widowControl w:val="0"/>
              <w:rPr>
                <w:rFonts w:eastAsia="MS Mincho"/>
                <w:sz w:val="20"/>
                <w:lang w:val="en-GB" w:eastAsia="ja-JP"/>
              </w:rPr>
            </w:pPr>
            <w:r>
              <w:rPr>
                <w:rFonts w:eastAsia="MS Mincho"/>
                <w:sz w:val="20"/>
                <w:lang w:eastAsia="ja-JP"/>
              </w:rPr>
              <w:t xml:space="preserve">Alt-1 combined with MSM-1 in </w:t>
            </w:r>
            <w:r>
              <w:rPr>
                <w:rFonts w:eastAsia="MS Mincho"/>
                <w:sz w:val="20"/>
                <w:lang w:val="en-GB" w:eastAsia="ja-JP"/>
              </w:rPr>
              <w:t>A1-2b.1 will prevent the spike in PDCCH monitoring between multiple slots.</w:t>
            </w:r>
          </w:p>
          <w:p>
            <w:pPr>
              <w:widowControl w:val="0"/>
              <w:rPr>
                <w:rFonts w:eastAsia="MS Mincho"/>
                <w:sz w:val="20"/>
                <w:lang w:val="en-GB" w:eastAsia="ja-JP"/>
              </w:rPr>
            </w:pPr>
            <w:r>
              <w:rPr>
                <w:rFonts w:eastAsia="MS Mincho"/>
                <w:sz w:val="20"/>
                <w:lang w:val="en-GB" w:eastAsia="ja-JP"/>
              </w:rPr>
              <w:t>For Alt-2, the values of X and Y can be configured to incorporate Alt-1 as a sub-alternative and the UE can select this as a capability.</w:t>
            </w:r>
          </w:p>
          <w:p>
            <w:pPr>
              <w:widowControl w:val="0"/>
              <w:rPr>
                <w:rFonts w:eastAsia="MS Mincho"/>
                <w:sz w:val="20"/>
                <w:lang w:val="en-GB" w:eastAsia="ja-JP"/>
              </w:rPr>
            </w:pPr>
            <w:r>
              <w:rPr>
                <w:rFonts w:eastAsia="MS Mincho"/>
                <w:sz w:val="20"/>
                <w:lang w:val="en-GB" w:eastAsia="ja-JP"/>
              </w:rPr>
              <w:t>On the issue of whether there needs to be a value N defined for Alt-2, if we look at the current span-gap definition from 38.822:</w:t>
            </w:r>
          </w:p>
          <w:p>
            <w:pPr>
              <w:widowControl w:val="0"/>
              <w:rPr>
                <w:rFonts w:eastAsia="MS Mincho"/>
                <w:sz w:val="20"/>
                <w:lang w:val="en-GB" w:eastAsia="ja-JP"/>
              </w:rPr>
            </w:pPr>
            <w:r>
              <w:rPr>
                <w:rFonts w:eastAsia="MS Mincho"/>
                <w:sz w:val="20"/>
                <w:lang w:val="en-GB" w:eastAsia="ja-JP"/>
              </w:rPr>
              <w:t xml:space="preserve">…, there is a minimum time separation of X OFDM symbols (including the cross-slot boundary case) between the start of two spans, where each span is of length up to Y consecutive OFDM symbols of a slot. Spans do not overlap. </w:t>
            </w:r>
            <w:r>
              <w:rPr>
                <w:rFonts w:eastAsia="MS Mincho"/>
                <w:color w:val="FF0000"/>
                <w:sz w:val="20"/>
                <w:lang w:val="en-GB" w:eastAsia="ja-JP"/>
              </w:rPr>
              <w:t>Every span is contained in a single slot</w:t>
            </w:r>
            <w:r>
              <w:rPr>
                <w:rFonts w:eastAsia="MS Mincho"/>
                <w:sz w:val="20"/>
                <w:lang w:val="en-GB" w:eastAsia="ja-JP"/>
              </w:rPr>
              <w:t xml:space="preserve">. </w:t>
            </w:r>
            <w:r>
              <w:rPr>
                <w:rFonts w:eastAsia="MS Mincho"/>
                <w:color w:val="FF0000"/>
                <w:sz w:val="20"/>
                <w:lang w:val="en-GB" w:eastAsia="ja-JP"/>
              </w:rPr>
              <w:t>The same span pattern repeats in every slot</w:t>
            </w:r>
            <w:r>
              <w:rPr>
                <w:rFonts w:eastAsia="MS Mincho"/>
                <w:sz w:val="20"/>
                <w:lang w:val="en-GB" w:eastAsia="ja-JP"/>
              </w:rPr>
              <w:t xml:space="preserve">. </w:t>
            </w:r>
            <w:r>
              <w:rPr>
                <w:rFonts w:eastAsia="MS Mincho"/>
                <w:color w:val="FF0000"/>
                <w:sz w:val="20"/>
                <w:lang w:val="en-GB" w:eastAsia="ja-JP"/>
              </w:rPr>
              <w:t>The separation between consecutive spans within and across slots may be unequal but the same (X, Y) limit must be satisfied by all spans</w:t>
            </w:r>
            <w:r>
              <w:rPr>
                <w:rFonts w:eastAsia="MS Mincho"/>
                <w:sz w:val="20"/>
                <w:lang w:val="en-GB" w:eastAsia="ja-JP"/>
              </w:rPr>
              <w:t xml:space="preserve">.  </w:t>
            </w:r>
          </w:p>
          <w:p>
            <w:pPr>
              <w:widowControl w:val="0"/>
              <w:rPr>
                <w:rFonts w:eastAsia="MS Mincho"/>
                <w:b/>
                <w:bCs/>
                <w:sz w:val="20"/>
                <w:lang w:val="en-GB" w:eastAsia="ja-JP"/>
              </w:rPr>
            </w:pPr>
            <w:r>
              <w:rPr>
                <w:rFonts w:eastAsia="MS Mincho"/>
                <w:sz w:val="20"/>
                <w:lang w:val="en-GB" w:eastAsia="ja-JP"/>
              </w:rPr>
              <w:t xml:space="preserve">If the separation within and across slots is unequal, but the span pattern repeats every fixed size (slots in this case), </w:t>
            </w:r>
            <w:r>
              <w:rPr>
                <w:rFonts w:eastAsia="MS Mincho"/>
                <w:b/>
                <w:bCs/>
                <w:sz w:val="20"/>
                <w:lang w:val="en-GB" w:eastAsia="ja-JP"/>
              </w:rPr>
              <w:t xml:space="preserve">we need a similar reference for the multi-slot case. </w:t>
            </w:r>
          </w:p>
          <w:p>
            <w:pPr>
              <w:widowControl w:val="0"/>
              <w:rPr>
                <w:rFonts w:eastAsia="MS Mincho"/>
                <w:sz w:val="20"/>
                <w:lang w:eastAsia="ja-JP"/>
              </w:rPr>
            </w:pPr>
          </w:p>
          <w:p>
            <w:pPr>
              <w:widowControl w:val="0"/>
              <w:rPr>
                <w:lang w:eastAsia="zh-CN"/>
              </w:rPr>
            </w:pPr>
            <w:r>
              <w:rPr>
                <w:rFonts w:eastAsia="MS Mincho"/>
                <w:sz w:val="20"/>
                <w:lang w:eastAsia="ja-JP"/>
              </w:rPr>
              <w:t>To answer Ericsson, for Alt-1, X = N slots, Y = 3 slots where the position of Y depends on if MSM-1-1 or MSM-1-2 is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lang w:val="en-GB" w:eastAsia="zh-CN"/>
              </w:rPr>
              <w:t>Spreadtrum</w:t>
            </w:r>
          </w:p>
        </w:tc>
        <w:tc>
          <w:tcPr>
            <w:tcW w:w="12176" w:type="dxa"/>
            <w:vAlign w:val="center"/>
          </w:tcPr>
          <w:p>
            <w:pPr>
              <w:widowControl w:val="0"/>
              <w:rPr>
                <w:lang w:eastAsia="zh-CN"/>
              </w:rPr>
            </w:pPr>
            <w:r>
              <w:rPr>
                <w:lang w:eastAsia="zh-CN"/>
              </w:rPr>
              <w:t>We support Alt1 and Alt2. Alt 1is more preferred since it is much simpler. Further discussion related to Alt 3 can be done in next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val="en-GB" w:eastAsia="zh-CN"/>
              </w:rPr>
            </w:pPr>
            <w:r>
              <w:rPr>
                <w:rFonts w:hint="eastAsia"/>
                <w:lang w:val="en-GB" w:eastAsia="zh-CN"/>
              </w:rPr>
              <w:t>Huawei, HiSilicon</w:t>
            </w:r>
          </w:p>
        </w:tc>
        <w:tc>
          <w:tcPr>
            <w:tcW w:w="12176" w:type="dxa"/>
            <w:vAlign w:val="center"/>
          </w:tcPr>
          <w:p>
            <w:pPr>
              <w:widowControl w:val="0"/>
              <w:rPr>
                <w:color w:val="1F497D"/>
              </w:rPr>
            </w:pPr>
            <w:r>
              <w:rPr>
                <w:rFonts w:hint="eastAsia"/>
                <w:lang w:eastAsia="zh-CN"/>
              </w:rPr>
              <w:t>As commented by email and under A1-2b1</w:t>
            </w:r>
            <w:r>
              <w:rPr>
                <w:lang w:eastAsia="zh-CN"/>
              </w:rPr>
              <w:t xml:space="preserve">, </w:t>
            </w:r>
            <w:r>
              <w:rPr>
                <w:color w:val="1F497D"/>
              </w:rPr>
              <w:t xml:space="preserve">we would suggest taking </w:t>
            </w:r>
            <w:r>
              <w:rPr>
                <w:i/>
                <w:iCs/>
              </w:rPr>
              <w:t>pdcch-Monitoring</w:t>
            </w:r>
            <w:r>
              <w:t xml:space="preserve"> with a (X, Y) span, with Y in symbols and X in unit of [slots or symbols]</w:t>
            </w:r>
            <w:r>
              <w:rPr>
                <w:color w:val="1F497D"/>
              </w:rPr>
              <w:t>, as a baseline for monitoring one search space, discuss the values of (X, Y) that companies are proposing to support, and discuss how much flexibility needs to be supported for the configuration of PDCCH monitoring for multiple search spaces, for the joint discussion on PDCCH monitoring capability and search space monitoring configuration.</w:t>
            </w:r>
          </w:p>
          <w:p>
            <w:pPr>
              <w:widowControl w:val="0"/>
              <w:rPr>
                <w:lang w:eastAsia="zh-CN"/>
              </w:rPr>
            </w:pPr>
            <w:r>
              <w:rPr>
                <w:color w:val="1F497D"/>
              </w:rPr>
              <w:t>This seems to fit Alt2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val="en-GB" w:eastAsia="zh-CN"/>
              </w:rPr>
            </w:pPr>
            <w:r>
              <w:rPr>
                <w:lang w:val="en-GB" w:eastAsia="zh-CN"/>
              </w:rPr>
              <w:t>Sony</w:t>
            </w:r>
          </w:p>
        </w:tc>
        <w:tc>
          <w:tcPr>
            <w:tcW w:w="12176" w:type="dxa"/>
            <w:vAlign w:val="center"/>
          </w:tcPr>
          <w:p>
            <w:pPr>
              <w:widowControl w:val="0"/>
              <w:rPr>
                <w:lang w:eastAsia="zh-CN"/>
              </w:rPr>
            </w:pPr>
            <w:r>
              <w:rPr>
                <w:lang w:eastAsia="zh-CN"/>
              </w:rPr>
              <w:t>We support Alt 1. The need of Alt 2 and 3 can be further studied and justified.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val="en-GB" w:eastAsia="zh-CN"/>
              </w:rPr>
            </w:pPr>
            <w:r>
              <w:rPr>
                <w:rFonts w:hint="eastAsia"/>
                <w:lang w:val="en-GB" w:eastAsia="zh-CN"/>
              </w:rPr>
              <w:t>OPPO</w:t>
            </w:r>
          </w:p>
        </w:tc>
        <w:tc>
          <w:tcPr>
            <w:tcW w:w="12176" w:type="dxa"/>
            <w:vAlign w:val="center"/>
          </w:tcPr>
          <w:p>
            <w:pPr>
              <w:widowControl w:val="0"/>
              <w:rPr>
                <w:lang w:eastAsia="zh-CN"/>
              </w:rPr>
            </w:pPr>
            <w:r>
              <w:rPr>
                <w:rFonts w:hint="eastAsia"/>
                <w:lang w:eastAsia="zh-CN"/>
              </w:rPr>
              <w:t xml:space="preserve">We </w:t>
            </w:r>
            <w:r>
              <w:rPr>
                <w:lang w:eastAsia="zh-CN"/>
              </w:rPr>
              <w:t>prefer further</w:t>
            </w:r>
            <w:r>
              <w:rPr>
                <w:rFonts w:hint="eastAsia"/>
                <w:lang w:eastAsia="zh-CN"/>
              </w:rPr>
              <w:t xml:space="preserve"> discussion </w:t>
            </w:r>
            <w:r>
              <w:rPr>
                <w:lang w:eastAsia="zh-CN"/>
              </w:rPr>
              <w:t xml:space="preserve">based </w:t>
            </w:r>
            <w:r>
              <w:rPr>
                <w:rFonts w:hint="eastAsia"/>
                <w:lang w:eastAsia="zh-CN"/>
              </w:rPr>
              <w:t xml:space="preserve">on Alt 1 </w:t>
            </w:r>
            <w:r>
              <w:rPr>
                <w:lang w:eastAsia="zh-CN"/>
              </w:rPr>
              <w:t>or</w:t>
            </w:r>
            <w:r>
              <w:rPr>
                <w:rFonts w:hint="eastAsia"/>
                <w:lang w:eastAsia="zh-CN"/>
              </w:rPr>
              <w:t xml:space="preserve"> Alt 2.</w:t>
            </w:r>
            <w:r>
              <w:rPr>
                <w:lang w:eastAsia="zh-CN"/>
              </w:rPr>
              <w:t xml:space="preserve"> The need of Alt 3 can be further studied.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lang w:eastAsia="zh-CN"/>
              </w:rPr>
              <w:t>Convida Wireless</w:t>
            </w:r>
          </w:p>
        </w:tc>
        <w:tc>
          <w:tcPr>
            <w:tcW w:w="12176" w:type="dxa"/>
            <w:vAlign w:val="center"/>
          </w:tcPr>
          <w:p>
            <w:pPr>
              <w:widowControl w:val="0"/>
              <w:rPr>
                <w:lang w:eastAsia="zh-CN"/>
              </w:rPr>
            </w:pPr>
            <w:r>
              <w:rPr>
                <w:lang w:eastAsia="zh-CN"/>
              </w:rPr>
              <w:t>We prefer Alt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lang w:val="en-GB" w:eastAsia="zh-CN"/>
              </w:rPr>
              <w:t>Intel</w:t>
            </w:r>
          </w:p>
        </w:tc>
        <w:tc>
          <w:tcPr>
            <w:tcW w:w="12176" w:type="dxa"/>
            <w:vAlign w:val="center"/>
          </w:tcPr>
          <w:p>
            <w:pPr>
              <w:widowControl w:val="0"/>
              <w:rPr>
                <w:lang w:eastAsia="zh-CN"/>
              </w:rPr>
            </w:pPr>
            <w:r>
              <w:rPr>
                <w:lang w:eastAsia="zh-CN"/>
              </w:rPr>
              <w:t>As commented by Hongbo and Steve, we share the view that it is important to align basic definition of span, X, Y, N. For example, by comparing Alt 1 and Alt 2, someone may think X=Y=N in Alt 1, while others may think Y=N while X can be larger for Alt 1. In high level, we think there are two critical points for discussion:</w:t>
            </w:r>
          </w:p>
          <w:p>
            <w:pPr>
              <w:pStyle w:val="73"/>
              <w:widowControl w:val="0"/>
              <w:numPr>
                <w:ilvl w:val="0"/>
                <w:numId w:val="26"/>
              </w:numPr>
              <w:rPr>
                <w:rFonts w:ascii="Times New Roman" w:hAnsi="Times New Roman"/>
                <w:lang w:eastAsia="zh-CN"/>
              </w:rPr>
            </w:pPr>
            <w:r>
              <w:rPr>
                <w:rFonts w:ascii="Times New Roman" w:hAnsi="Times New Roman"/>
                <w:lang w:eastAsia="zh-CN"/>
              </w:rPr>
              <w:t>how to define a window (multiple consecutive slots) to apply max BD/CCE?</w:t>
            </w:r>
          </w:p>
          <w:p>
            <w:pPr>
              <w:pStyle w:val="73"/>
              <w:widowControl w:val="0"/>
              <w:numPr>
                <w:ilvl w:val="1"/>
                <w:numId w:val="26"/>
              </w:numPr>
              <w:rPr>
                <w:rFonts w:ascii="Times New Roman" w:hAnsi="Times New Roman"/>
                <w:lang w:eastAsia="zh-CN"/>
              </w:rPr>
            </w:pPr>
            <w:r>
              <w:rPr>
                <w:rFonts w:ascii="Times New Roman" w:hAnsi="Times New Roman"/>
                <w:lang w:eastAsia="zh-CN"/>
              </w:rPr>
              <w:t>for Alt 1, the our understanding is window size is N slots, the kth window includes slots k*N+[0,1,…N-1]</w:t>
            </w:r>
          </w:p>
          <w:p>
            <w:pPr>
              <w:pStyle w:val="73"/>
              <w:widowControl w:val="0"/>
              <w:numPr>
                <w:ilvl w:val="1"/>
                <w:numId w:val="26"/>
              </w:numPr>
              <w:rPr>
                <w:rFonts w:ascii="Times New Roman" w:hAnsi="Times New Roman"/>
                <w:lang w:eastAsia="zh-CN"/>
              </w:rPr>
            </w:pPr>
            <w:r>
              <w:rPr>
                <w:rFonts w:ascii="Times New Roman" w:hAnsi="Times New Roman"/>
                <w:lang w:eastAsia="zh-CN"/>
              </w:rPr>
              <w:t xml:space="preserve">for Alt 2, our understanding is window size is X slots. Since X is the minimum gap, the different windows may not be consecutive </w:t>
            </w:r>
          </w:p>
          <w:p>
            <w:pPr>
              <w:pStyle w:val="73"/>
              <w:widowControl w:val="0"/>
              <w:numPr>
                <w:ilvl w:val="1"/>
                <w:numId w:val="26"/>
              </w:numPr>
              <w:rPr>
                <w:rFonts w:ascii="Times New Roman" w:hAnsi="Times New Roman"/>
                <w:lang w:eastAsia="zh-CN"/>
              </w:rPr>
            </w:pPr>
            <w:r>
              <w:rPr>
                <w:rFonts w:ascii="Times New Roman" w:hAnsi="Times New Roman"/>
                <w:lang w:eastAsia="zh-CN"/>
              </w:rPr>
              <w:t>for Alt 3, our understanding is window size is N slots, the kth window include slots k+[0,1,…N-1]</w:t>
            </w:r>
          </w:p>
          <w:p>
            <w:pPr>
              <w:pStyle w:val="73"/>
              <w:widowControl w:val="0"/>
              <w:numPr>
                <w:ilvl w:val="0"/>
                <w:numId w:val="26"/>
              </w:numPr>
              <w:rPr>
                <w:rFonts w:ascii="Times New Roman" w:hAnsi="Times New Roman"/>
                <w:lang w:eastAsia="zh-CN"/>
              </w:rPr>
            </w:pPr>
            <w:r>
              <w:rPr>
                <w:rFonts w:ascii="Times New Roman" w:hAnsi="Times New Roman"/>
                <w:lang w:eastAsia="zh-CN"/>
              </w:rPr>
              <w:t>is there a limitation that PDCCH MO can only be configured in a subset of slots with fixed positions in the window?</w:t>
            </w:r>
          </w:p>
          <w:p>
            <w:pPr>
              <w:pStyle w:val="73"/>
              <w:widowControl w:val="0"/>
              <w:numPr>
                <w:ilvl w:val="1"/>
                <w:numId w:val="26"/>
              </w:numPr>
              <w:rPr>
                <w:rFonts w:ascii="Times New Roman" w:hAnsi="Times New Roman"/>
                <w:lang w:eastAsia="zh-CN"/>
              </w:rPr>
            </w:pPr>
            <w:r>
              <w:rPr>
                <w:rFonts w:ascii="Times New Roman" w:hAnsi="Times New Roman"/>
                <w:lang w:eastAsia="zh-CN"/>
              </w:rPr>
              <w:t>for Alt 1, we think there is no limitation on such subset of slots (or, we can say the subset equals to the whole window). it is allowed for gNB to configure PDCCH MOs in any slot in the window. The position of slot (s) containing MOs can be different in different windows. However, due to limitation of max BD/CCE, gNB will practically not configure MOs in all slots in the window</w:t>
            </w:r>
          </w:p>
          <w:p>
            <w:pPr>
              <w:pStyle w:val="73"/>
              <w:widowControl w:val="0"/>
              <w:numPr>
                <w:ilvl w:val="1"/>
                <w:numId w:val="26"/>
              </w:numPr>
              <w:rPr>
                <w:rFonts w:ascii="Times New Roman" w:hAnsi="Times New Roman"/>
                <w:lang w:eastAsia="zh-CN"/>
              </w:rPr>
            </w:pPr>
            <w:r>
              <w:rPr>
                <w:rFonts w:ascii="Times New Roman" w:hAnsi="Times New Roman"/>
                <w:lang w:eastAsia="zh-CN"/>
              </w:rPr>
              <w:t>for Alt 2, our understanding is it limit to Y fixed consecutive slots/symbols in the window</w:t>
            </w:r>
          </w:p>
          <w:p>
            <w:pPr>
              <w:pStyle w:val="73"/>
              <w:widowControl w:val="0"/>
              <w:numPr>
                <w:ilvl w:val="1"/>
                <w:numId w:val="26"/>
              </w:numPr>
              <w:rPr>
                <w:rFonts w:ascii="Times New Roman" w:hAnsi="Times New Roman"/>
                <w:lang w:eastAsia="zh-CN"/>
              </w:rPr>
            </w:pPr>
            <w:r>
              <w:rPr>
                <w:rFonts w:ascii="Times New Roman" w:hAnsi="Times New Roman"/>
                <w:lang w:eastAsia="zh-CN"/>
              </w:rPr>
              <w:t>for Alt 3, same as Alt 1</w:t>
            </w:r>
          </w:p>
          <w:p>
            <w:pPr>
              <w:widowControl w:val="0"/>
              <w:rPr>
                <w:lang w:eastAsia="zh-CN"/>
              </w:rPr>
            </w:pPr>
            <w:r>
              <w:rPr>
                <w:lang w:eastAsia="zh-CN"/>
              </w:rPr>
              <w:t>With the above understanding,</w:t>
            </w:r>
          </w:p>
          <w:p>
            <w:pPr>
              <w:pStyle w:val="73"/>
              <w:widowControl w:val="0"/>
              <w:numPr>
                <w:ilvl w:val="0"/>
                <w:numId w:val="27"/>
              </w:numPr>
              <w:rPr>
                <w:rFonts w:ascii="Times New Roman" w:hAnsi="Times New Roman"/>
                <w:lang w:eastAsia="zh-CN"/>
              </w:rPr>
            </w:pPr>
            <w:r>
              <w:rPr>
                <w:rFonts w:ascii="Times New Roman" w:hAnsi="Times New Roman"/>
                <w:lang w:eastAsia="zh-CN"/>
              </w:rPr>
              <w:t>for Alt 1, the windows are always consecutive and non-overlap</w:t>
            </w:r>
          </w:p>
          <w:p>
            <w:pPr>
              <w:pStyle w:val="73"/>
              <w:widowControl w:val="0"/>
              <w:numPr>
                <w:ilvl w:val="0"/>
                <w:numId w:val="27"/>
              </w:numPr>
              <w:rPr>
                <w:rFonts w:ascii="Times New Roman" w:hAnsi="Times New Roman"/>
                <w:lang w:eastAsia="zh-CN"/>
              </w:rPr>
            </w:pPr>
            <w:r>
              <w:rPr>
                <w:rFonts w:ascii="Times New Roman" w:hAnsi="Times New Roman"/>
                <w:lang w:eastAsia="zh-CN"/>
              </w:rPr>
              <w:t>for Alt 2, the windows are sliding and non-overlap</w:t>
            </w:r>
          </w:p>
          <w:p>
            <w:pPr>
              <w:pStyle w:val="73"/>
              <w:widowControl w:val="0"/>
              <w:numPr>
                <w:ilvl w:val="0"/>
                <w:numId w:val="27"/>
              </w:numPr>
              <w:rPr>
                <w:lang w:eastAsia="zh-CN"/>
              </w:rPr>
            </w:pPr>
            <w:r>
              <w:rPr>
                <w:lang w:eastAsia="zh-CN"/>
              </w:rPr>
              <w:t xml:space="preserve">for Alt 3, the windows are </w:t>
            </w:r>
            <w:r>
              <w:rPr>
                <w:rFonts w:ascii="Times New Roman" w:hAnsi="Times New Roman"/>
                <w:lang w:eastAsia="zh-CN"/>
              </w:rPr>
              <w:t>sliding</w:t>
            </w:r>
            <w:r>
              <w:rPr>
                <w:lang w:eastAsia="zh-CN"/>
              </w:rPr>
              <w:t xml:space="preserve"> and can overlap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
              </w:rPr>
            </w:pPr>
            <w:r>
              <w:rPr>
                <w:lang w:eastAsia="zh"/>
              </w:rPr>
              <w:t>LG Electronics</w:t>
            </w:r>
          </w:p>
        </w:tc>
        <w:tc>
          <w:tcPr>
            <w:tcW w:w="12176" w:type="dxa"/>
            <w:vAlign w:val="center"/>
          </w:tcPr>
          <w:p>
            <w:pPr>
              <w:widowControl w:val="0"/>
              <w:rPr>
                <w:lang w:eastAsia="zh-CN"/>
              </w:rPr>
            </w:pPr>
            <w:r>
              <w:rPr>
                <w:lang w:eastAsia="zh-CN"/>
              </w:rPr>
              <w:t>We prefer Alt 1</w:t>
            </w:r>
            <w:r>
              <w:t xml:space="preserve"> </w:t>
            </w:r>
            <w:r>
              <w:rPr>
                <w:lang w:eastAsia="zh-CN"/>
              </w:rPr>
              <w:t xml:space="preserve">as the baseline to define the multi-slot PDCCH monitoring capability (where specific number for N can be discussed further). </w:t>
            </w:r>
          </w:p>
          <w:p>
            <w:pPr>
              <w:widowControl w:val="0"/>
              <w:rPr>
                <w:lang w:eastAsia="zh-CN"/>
              </w:rPr>
            </w:pPr>
            <w:r>
              <w:rPr>
                <w:lang w:eastAsia="zh-CN"/>
              </w:rPr>
              <w:t xml:space="preserve">In addition, before down-selection, further discussion seems to be necessary to clearly understand and distinguish each alternative. It may be premature to try down-selection before that, and so far we are not sure if all companies share the same understanding.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
              </w:rPr>
            </w:pPr>
            <w:r>
              <w:rPr>
                <w:lang w:val="en-GB" w:eastAsia="zh-CN"/>
              </w:rPr>
              <w:t>Futurewei</w:t>
            </w:r>
          </w:p>
        </w:tc>
        <w:tc>
          <w:tcPr>
            <w:tcW w:w="12176" w:type="dxa"/>
            <w:vAlign w:val="center"/>
          </w:tcPr>
          <w:p>
            <w:pPr>
              <w:widowControl w:val="0"/>
              <w:rPr>
                <w:lang w:eastAsia="zh-CN"/>
              </w:rPr>
            </w:pPr>
            <w:r>
              <w:rPr>
                <w:lang w:eastAsia="zh-CN"/>
              </w:rPr>
              <w:t xml:space="preserve">We note that further clarifications were made during the email thread discussions. Based on these clarifications, we slightly support Alt 2 over Alt 1 for its additional flexibility. We prefer to postpone the Alt 3 discussions.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val="en-GB" w:eastAsia="zh-CN"/>
              </w:rPr>
            </w:pPr>
            <w:r>
              <w:rPr>
                <w:lang w:val="en-GB" w:eastAsia="zh-CN"/>
              </w:rPr>
              <w:t>MediaTek</w:t>
            </w:r>
          </w:p>
        </w:tc>
        <w:tc>
          <w:tcPr>
            <w:tcW w:w="12176" w:type="dxa"/>
            <w:vAlign w:val="center"/>
          </w:tcPr>
          <w:p>
            <w:pPr>
              <w:widowControl w:val="0"/>
              <w:rPr>
                <w:lang w:eastAsia="zh-CN"/>
              </w:rPr>
            </w:pPr>
            <w:r>
              <w:rPr>
                <w:lang w:eastAsia="zh-CN"/>
              </w:rPr>
              <w:t>Our first preference is Alt-1 and we can consider Alt-2 for further discussion. In particular, for Alt-1, we think the alternatives in discussion A1-2b.1 should be included in the Alt-1 for completeness. In that case, we support Alt-1+ MSM-1-1 in A1-2b.1 as the basic functionality and other combination can be further studied.</w:t>
            </w:r>
          </w:p>
          <w:p>
            <w:pPr>
              <w:widowControl w:val="0"/>
              <w:rPr>
                <w:lang w:eastAsia="zh-CN"/>
              </w:rPr>
            </w:pPr>
          </w:p>
          <w:p>
            <w:pPr>
              <w:widowControl w:val="0"/>
              <w:rPr>
                <w:lang w:eastAsia="zh-CN"/>
              </w:rPr>
            </w:pPr>
            <w:r>
              <w:rPr>
                <w:lang w:eastAsia="zh-CN"/>
              </w:rPr>
              <w:t xml:space="preserve">Regarding Alt-3, the issues we can anticipate is the dropping rule in the sliding window. Such dynamic dropping on USS is not desirable and we are not sure it is realizable either. More details might be needed for us to consider this alternative. We also notice that Alt-3 has the most flexible monitoring occasion locations but Alt-3 might make BD/CCE distribution from gNB more difficult than other alternatives since gNB needs to make sure the BD/CCE distribution in a monitoring occasion don’t violate the BD/CCE limit when considering the monitoring occasions in the previous N-1 symbols and future N-1 symbols.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val="en-GB" w:eastAsia="zh-CN"/>
              </w:rPr>
            </w:pPr>
            <w:r>
              <w:rPr>
                <w:lang w:val="en-GB" w:eastAsia="zh-CN"/>
              </w:rPr>
              <w:t>Samsung</w:t>
            </w:r>
          </w:p>
        </w:tc>
        <w:tc>
          <w:tcPr>
            <w:tcW w:w="12176" w:type="dxa"/>
            <w:vAlign w:val="center"/>
          </w:tcPr>
          <w:p>
            <w:pPr>
              <w:widowControl w:val="0"/>
              <w:rPr>
                <w:lang w:eastAsia="zh-CN"/>
              </w:rPr>
            </w:pPr>
            <w:r>
              <w:rPr>
                <w:lang w:eastAsia="zh-CN"/>
              </w:rPr>
              <w:t xml:space="preserve">We support Alt 2, and ok with a larger value of Y as a UE capability to support better network flexibility.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rFonts w:hint="default"/>
                <w:lang w:val="en-US" w:eastAsia="zh-CN"/>
              </w:rPr>
            </w:pPr>
            <w:r>
              <w:rPr>
                <w:rFonts w:hint="eastAsia"/>
                <w:lang w:val="en-US" w:eastAsia="zh-CN"/>
              </w:rPr>
              <w:t>ZTE, Sanechips</w:t>
            </w:r>
          </w:p>
        </w:tc>
        <w:tc>
          <w:tcPr>
            <w:tcW w:w="12176" w:type="dxa"/>
            <w:vAlign w:val="center"/>
          </w:tcPr>
          <w:p>
            <w:pPr>
              <w:widowControl w:val="0"/>
              <w:rPr>
                <w:rFonts w:hint="eastAsia"/>
                <w:lang w:val="en-US" w:eastAsia="zh-CN"/>
              </w:rPr>
            </w:pPr>
            <w:r>
              <w:rPr>
                <w:rFonts w:hint="eastAsia"/>
                <w:lang w:val="en-US" w:eastAsia="zh-CN"/>
              </w:rPr>
              <w:t>Regarding the draft PDCCH monitoring alternatives v03-Ericsson-vivo, we have the following comments:</w:t>
            </w:r>
          </w:p>
          <w:p>
            <w:pPr>
              <w:widowControl w:val="0"/>
              <w:rPr>
                <w:rFonts w:hint="default"/>
                <w:lang w:val="en-US" w:eastAsia="zh-CN"/>
              </w:rPr>
            </w:pPr>
            <w:r>
              <w:rPr>
                <w:rFonts w:hint="eastAsia"/>
                <w:lang w:val="en-US" w:eastAsia="zh-CN"/>
              </w:rPr>
              <w:t>For Alt2 from Ericsson</w:t>
            </w:r>
            <w:r>
              <w:rPr>
                <w:rFonts w:hint="default"/>
                <w:lang w:val="en-US" w:eastAsia="zh-CN"/>
              </w:rPr>
              <w:t>’</w:t>
            </w:r>
            <w:r>
              <w:rPr>
                <w:rFonts w:hint="eastAsia"/>
                <w:lang w:val="en-US" w:eastAsia="zh-CN"/>
              </w:rPr>
              <w:t xml:space="preserve">s update, we think that </w:t>
            </w:r>
            <w:r>
              <w:rPr>
                <w:rFonts w:hint="default"/>
                <w:lang w:val="en-US" w:eastAsia="zh-CN"/>
              </w:rPr>
              <w:t>“</w:t>
            </w:r>
            <w:r>
              <w:rPr>
                <w:rFonts w:hint="eastAsia"/>
                <w:lang w:val="en-US" w:eastAsia="zh-CN"/>
              </w:rPr>
              <w:t>including across slot groups</w:t>
            </w:r>
            <w:r>
              <w:rPr>
                <w:rFonts w:hint="default"/>
                <w:lang w:val="en-US" w:eastAsia="zh-CN"/>
              </w:rPr>
              <w:t>”</w:t>
            </w:r>
            <w:r>
              <w:rPr>
                <w:rFonts w:hint="eastAsia"/>
                <w:lang w:val="en-US" w:eastAsia="zh-CN"/>
              </w:rPr>
              <w:t xml:space="preserve"> can be removed. In this bullet, it emphasizes the span pattern and the minimum time separation between the start of two consecutive spans is X, which consists of one or X slots. While Y is the number of the </w:t>
            </w:r>
            <w:r>
              <w:rPr>
                <w:rFonts w:eastAsia="MS Mincho"/>
                <w:sz w:val="20"/>
                <w:lang w:val="en-GB" w:eastAsia="ja-JP"/>
              </w:rPr>
              <w:t>consecutive</w:t>
            </w:r>
            <w:r>
              <w:rPr>
                <w:rFonts w:hint="eastAsia" w:eastAsia="宋体"/>
                <w:sz w:val="20"/>
                <w:lang w:val="en-US" w:eastAsia="zh-CN"/>
              </w:rPr>
              <w:t xml:space="preserve"> </w:t>
            </w:r>
            <w:r>
              <w:rPr>
                <w:rFonts w:hint="eastAsia"/>
                <w:lang w:val="en-US" w:eastAsia="zh-CN"/>
              </w:rPr>
              <w:t>slot/symbol of each span. Based on this understanding, we don</w:t>
            </w:r>
            <w:r>
              <w:rPr>
                <w:rFonts w:hint="default"/>
                <w:lang w:val="en-US" w:eastAsia="zh-CN"/>
              </w:rPr>
              <w:t>’</w:t>
            </w:r>
            <w:r>
              <w:rPr>
                <w:rFonts w:hint="eastAsia"/>
                <w:lang w:val="en-US" w:eastAsia="zh-CN"/>
              </w:rPr>
              <w:t xml:space="preserve">t see a need to add </w:t>
            </w:r>
            <w:r>
              <w:rPr>
                <w:rFonts w:hint="default"/>
                <w:lang w:val="en-US" w:eastAsia="zh-CN"/>
              </w:rPr>
              <w:t>“</w:t>
            </w:r>
            <w:r>
              <w:rPr>
                <w:rFonts w:hint="eastAsia"/>
                <w:lang w:val="en-US" w:eastAsia="zh-CN"/>
              </w:rPr>
              <w:t>including across slot groups</w:t>
            </w:r>
            <w:r>
              <w:rPr>
                <w:rFonts w:hint="default"/>
                <w:lang w:val="en-US" w:eastAsia="zh-CN"/>
              </w:rPr>
              <w:t>”</w:t>
            </w:r>
            <w:r>
              <w:rPr>
                <w:rFonts w:hint="eastAsia"/>
                <w:lang w:val="en-US" w:eastAsia="zh-CN"/>
              </w:rPr>
              <w:t xml:space="preserve">. furthermore, the concept of slot group is not mentioned in this alternative, just using the notion of span. </w:t>
            </w:r>
          </w:p>
          <w:p>
            <w:pPr>
              <w:widowControl w:val="0"/>
              <w:rPr>
                <w:rFonts w:hint="default"/>
                <w:lang w:val="en-US" w:eastAsia="zh-CN"/>
              </w:rPr>
            </w:pPr>
            <w:r>
              <w:rPr>
                <w:rFonts w:hint="eastAsia"/>
                <w:lang w:val="en-US" w:eastAsia="zh-CN"/>
              </w:rPr>
              <w:t>For Alt2 for vivo</w:t>
            </w:r>
            <w:r>
              <w:rPr>
                <w:rFonts w:hint="default"/>
                <w:lang w:val="en-US" w:eastAsia="zh-CN"/>
              </w:rPr>
              <w:t>’</w:t>
            </w:r>
            <w:r>
              <w:rPr>
                <w:rFonts w:hint="eastAsia"/>
                <w:lang w:val="en-US" w:eastAsia="zh-CN"/>
              </w:rPr>
              <w:t>s update, as we know about Rel-15/16, it seems that repeated span pattern is not a mandatory requirement. So we hope vivo can further clarify the motivations/benefits and the uses cases to introduce it.</w:t>
            </w:r>
            <w:bookmarkStart w:id="96" w:name="_GoBack"/>
            <w:bookmarkEnd w:id="96"/>
            <w:r>
              <w:rPr>
                <w:rFonts w:hint="eastAsia"/>
                <w:lang w:val="en-US" w:eastAsia="zh-CN"/>
              </w:rPr>
              <w:t xml:space="preserve"> </w:t>
            </w:r>
          </w:p>
        </w:tc>
      </w:tr>
    </w:tbl>
    <w:p>
      <w:pPr>
        <w:rPr>
          <w:lang w:eastAsia="zh-CN"/>
        </w:rPr>
      </w:pPr>
    </w:p>
    <w:p>
      <w:pPr>
        <w:pStyle w:val="4"/>
        <w:rPr>
          <w:lang w:val="en-GB" w:eastAsia="zh-CN"/>
        </w:rPr>
      </w:pPr>
      <w:r>
        <w:rPr>
          <w:lang w:val="en-GB" w:eastAsia="zh-CN"/>
        </w:rPr>
        <w:t>First Round (A1-3)</w:t>
      </w:r>
    </w:p>
    <w:p>
      <w:pPr>
        <w:rPr>
          <w:b/>
        </w:rPr>
      </w:pPr>
      <w:r>
        <w:rPr>
          <w:b/>
        </w:rPr>
        <w:t>Question A1-3: Is the following proposal agreeable?</w:t>
      </w:r>
    </w:p>
    <w:p>
      <w:pPr>
        <w:rPr>
          <w:b/>
          <w:bCs/>
        </w:rPr>
      </w:pPr>
      <w:r>
        <w:rPr>
          <w:b/>
          <w:bCs/>
        </w:rPr>
        <w:t>Cross-carrier scheduling of cell with 52.6-71GHz frequency from/to a cell of FR1 and FR2 is allowed by specification, however, additional enhancements are deprioritized unless a clear motivation is identified.</w:t>
      </w:r>
    </w:p>
    <w:p>
      <w:pPr>
        <w:rPr>
          <w:lang w:eastAsia="zh-CN"/>
        </w:rPr>
      </w:pPr>
    </w:p>
    <w:tbl>
      <w:tblPr>
        <w:tblStyle w:val="52"/>
        <w:tblW w:w="145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5"/>
        <w:gridCol w:w="121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shd w:val="clear" w:color="auto" w:fill="FFC000"/>
            <w:vAlign w:val="center"/>
          </w:tcPr>
          <w:p>
            <w:pPr>
              <w:widowControl w:val="0"/>
              <w:rPr>
                <w:b/>
                <w:bCs/>
              </w:rPr>
            </w:pPr>
            <w:r>
              <w:rPr>
                <w:b/>
                <w:bCs/>
              </w:rPr>
              <w:t>Company</w:t>
            </w:r>
          </w:p>
        </w:tc>
        <w:tc>
          <w:tcPr>
            <w:tcW w:w="12176" w:type="dxa"/>
            <w:shd w:val="clear" w:color="auto" w:fill="FFC000"/>
            <w:vAlign w:val="center"/>
          </w:tcPr>
          <w:p>
            <w:pPr>
              <w:widowControl w:val="0"/>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lang w:eastAsia="zh-CN"/>
              </w:rPr>
              <w:t xml:space="preserve">Xiaomi </w:t>
            </w:r>
          </w:p>
        </w:tc>
        <w:tc>
          <w:tcPr>
            <w:tcW w:w="12176" w:type="dxa"/>
            <w:vAlign w:val="center"/>
          </w:tcPr>
          <w:p>
            <w:pPr>
              <w:widowControl w:val="0"/>
              <w:rPr>
                <w:lang w:eastAsia="zh-CN"/>
              </w:rPr>
            </w:pPr>
            <w:r>
              <w:rPr>
                <w:lang w:eastAsia="zh-CN"/>
              </w:rPr>
              <w:t xml:space="preserve">Support the moderator’s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t>Qualcomm</w:t>
            </w:r>
          </w:p>
        </w:tc>
        <w:tc>
          <w:tcPr>
            <w:tcW w:w="12176" w:type="dxa"/>
            <w:vAlign w:val="center"/>
          </w:tcPr>
          <w:p>
            <w:pPr>
              <w:widowControl w:val="0"/>
              <w:rPr>
                <w:lang w:eastAsia="zh-CN"/>
              </w:rPr>
            </w:pPr>
            <w:r>
              <w:t>At least the timeline discussion for the new SCSs (i.e., cross-carrier PDSCH and aperiodic CSI-RS preparation time) should not be deprioritized. However, any new procedures specific for the new SCSs would be unnecessary and deprioritized.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pPr>
            <w:r>
              <w:rPr>
                <w:lang w:eastAsia="zh-CN"/>
              </w:rPr>
              <w:t>Futurewei</w:t>
            </w:r>
          </w:p>
        </w:tc>
        <w:tc>
          <w:tcPr>
            <w:tcW w:w="12176" w:type="dxa"/>
            <w:vAlign w:val="center"/>
          </w:tcPr>
          <w:p>
            <w:pPr>
              <w:widowControl w:val="0"/>
            </w:pPr>
            <w:r>
              <w:t>We support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rFonts w:hint="eastAsia"/>
                <w:lang w:eastAsia="zh-CN"/>
              </w:rPr>
              <w:t>OPPO</w:t>
            </w:r>
          </w:p>
        </w:tc>
        <w:tc>
          <w:tcPr>
            <w:tcW w:w="12176" w:type="dxa"/>
            <w:vAlign w:val="center"/>
          </w:tcPr>
          <w:p>
            <w:pPr>
              <w:widowControl w:val="0"/>
            </w:pPr>
            <w:r>
              <w:t>We support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rFonts w:hint="eastAsia"/>
              </w:rPr>
              <w:t>H</w:t>
            </w:r>
            <w:r>
              <w:t>uawei, HiSilicon</w:t>
            </w:r>
          </w:p>
        </w:tc>
        <w:tc>
          <w:tcPr>
            <w:tcW w:w="12176" w:type="dxa"/>
            <w:vAlign w:val="center"/>
          </w:tcPr>
          <w:p>
            <w:pPr>
              <w:widowControl w:val="0"/>
            </w:pPr>
            <w:r>
              <w:rPr>
                <w:rFonts w:hint="eastAsia"/>
              </w:rPr>
              <w:t xml:space="preserve">First we think that the formulation of the question implies that </w:t>
            </w:r>
            <w:r>
              <w:t>52.6-71GHz does not belong to FR2, but this is pending RAN plenary decision. In fact, our analysis shows that it may be preferable to extend FR2 to include the range of 52.6-71GHz.</w:t>
            </w:r>
          </w:p>
          <w:p>
            <w:pPr>
              <w:widowControl w:val="0"/>
            </w:pPr>
            <w:r>
              <w:t>That being said, the proposal is generally acceptable once properly re-formulated. One possible reformulation is “cross-carrier scheduling of a cell within [52.6-71] GHz from/to a cell outside [52.6-71] GHz”.</w:t>
            </w:r>
          </w:p>
          <w:p>
            <w:pPr>
              <w:widowControl w:val="0"/>
            </w:pPr>
            <w:r>
              <w:t>In Rel-15/16, it is possible to cross-carrier schedule between 15 kHz and 120 kHz SCS, i.e. up to a ratio of 8. It should therefore be possible without any major specification impact to support CCS between 120 kHz and 960 kHz SCS. CCS between 15/30/60 kHz and 960 kHz may not need to be supported, as well as CCS between 15/30 kHz and 480 kHz SCS. So basically, CCS involving 480 or 960 kHz SCS may be limited to cells outside FR1.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pPr>
            <w:r>
              <w:t>Apple</w:t>
            </w:r>
          </w:p>
        </w:tc>
        <w:tc>
          <w:tcPr>
            <w:tcW w:w="12176" w:type="dxa"/>
            <w:vAlign w:val="center"/>
          </w:tcPr>
          <w:p>
            <w:pPr>
              <w:widowControl w:val="0"/>
            </w:pPr>
            <w: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rFonts w:hint="eastAsia"/>
                <w:lang w:eastAsia="zh-CN"/>
              </w:rPr>
              <w:t>ZTE, Sanechips</w:t>
            </w:r>
          </w:p>
        </w:tc>
        <w:tc>
          <w:tcPr>
            <w:tcW w:w="12176" w:type="dxa"/>
            <w:vAlign w:val="center"/>
          </w:tcPr>
          <w:p>
            <w:pPr>
              <w:widowControl w:val="0"/>
              <w:rPr>
                <w:lang w:eastAsia="zh-CN"/>
              </w:rPr>
            </w:pPr>
            <w:r>
              <w:rPr>
                <w:lang w:eastAsia="zh-CN"/>
              </w:rPr>
              <w:t xml:space="preserve">Support the moderator’s proposal. </w:t>
            </w:r>
            <w:r>
              <w:rPr>
                <w:rFonts w:hint="eastAsia"/>
                <w:lang w:eastAsia="zh-CN"/>
              </w:rPr>
              <w:t>In addition, Question A1-3 can be removed into 2.1.5 Topic 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lang w:eastAsia="zh-CN"/>
              </w:rPr>
              <w:t>Samsung</w:t>
            </w:r>
          </w:p>
        </w:tc>
        <w:tc>
          <w:tcPr>
            <w:tcW w:w="12176" w:type="dxa"/>
            <w:vAlign w:val="center"/>
          </w:tcPr>
          <w:p>
            <w:pPr>
              <w:widowControl w:val="0"/>
              <w:rPr>
                <w:lang w:eastAsia="zh-CN"/>
              </w:rPr>
            </w:pPr>
            <w:r>
              <w:rPr>
                <w:lang w:eastAsia="zh-CN"/>
              </w:rPr>
              <w:t xml:space="preserve">OK with FL’s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t>Intel</w:t>
            </w:r>
          </w:p>
        </w:tc>
        <w:tc>
          <w:tcPr>
            <w:tcW w:w="12176" w:type="dxa"/>
            <w:vAlign w:val="center"/>
          </w:tcPr>
          <w:p>
            <w:pPr>
              <w:widowControl w:val="0"/>
              <w:rPr>
                <w:lang w:eastAsia="zh-CN"/>
              </w:rPr>
            </w:pPr>
            <w:r>
              <w:t>We support the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pPr>
            <w:r>
              <w:t>InterDigital</w:t>
            </w:r>
          </w:p>
        </w:tc>
        <w:tc>
          <w:tcPr>
            <w:tcW w:w="12176" w:type="dxa"/>
            <w:vAlign w:val="center"/>
          </w:tcPr>
          <w:p>
            <w:pPr>
              <w:widowControl w:val="0"/>
            </w:pPr>
            <w:r>
              <w:t>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pPr>
            <w:r>
              <w:rPr>
                <w:rFonts w:hint="eastAsia"/>
                <w:lang w:eastAsia="zh-CN"/>
              </w:rPr>
              <w:t>v</w:t>
            </w:r>
            <w:r>
              <w:rPr>
                <w:lang w:eastAsia="zh-CN"/>
              </w:rPr>
              <w:t>ivo</w:t>
            </w:r>
          </w:p>
        </w:tc>
        <w:tc>
          <w:tcPr>
            <w:tcW w:w="12176" w:type="dxa"/>
            <w:vAlign w:val="center"/>
          </w:tcPr>
          <w:p>
            <w:pPr>
              <w:widowControl w:val="0"/>
            </w:pPr>
            <w:r>
              <w:rPr>
                <w:rFonts w:hint="eastAsia"/>
                <w:lang w:eastAsia="zh-CN"/>
              </w:rPr>
              <w:t>A</w:t>
            </w:r>
            <w:r>
              <w:rPr>
                <w:lang w:eastAsia="zh-CN"/>
              </w:rPr>
              <w:t>gree with 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rFonts w:hint="eastAsia" w:eastAsia="MS Mincho"/>
                <w:lang w:eastAsia="ja-JP"/>
              </w:rPr>
              <w:t>NTT DOCOMO</w:t>
            </w:r>
          </w:p>
        </w:tc>
        <w:tc>
          <w:tcPr>
            <w:tcW w:w="12176" w:type="dxa"/>
            <w:vAlign w:val="center"/>
          </w:tcPr>
          <w:p>
            <w:pPr>
              <w:widowControl w:val="0"/>
              <w:rPr>
                <w:lang w:eastAsia="zh-CN"/>
              </w:rPr>
            </w:pPr>
            <w:r>
              <w:rPr>
                <w:rFonts w:eastAsia="MS Mincho"/>
                <w:lang w:eastAsia="ja-JP"/>
              </w:rPr>
              <w:t>W</w:t>
            </w:r>
            <w:r>
              <w:rPr>
                <w:rFonts w:hint="eastAsia" w:eastAsia="MS Mincho"/>
                <w:lang w:eastAsia="ja-JP"/>
              </w:rPr>
              <w:t xml:space="preserve">e </w:t>
            </w:r>
            <w:r>
              <w:rPr>
                <w:rFonts w:eastAsia="MS Mincho"/>
                <w:lang w:eastAsia="ja-JP"/>
              </w:rPr>
              <w:t>support the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rFonts w:eastAsia="MS Mincho"/>
                <w:lang w:eastAsia="ja-JP"/>
              </w:rPr>
            </w:pPr>
            <w:r>
              <w:rPr>
                <w:rFonts w:eastAsia="MS Mincho"/>
                <w:lang w:eastAsia="ja-JP"/>
              </w:rPr>
              <w:t>Sony</w:t>
            </w:r>
          </w:p>
        </w:tc>
        <w:tc>
          <w:tcPr>
            <w:tcW w:w="12176" w:type="dxa"/>
            <w:vAlign w:val="center"/>
          </w:tcPr>
          <w:p>
            <w:pPr>
              <w:widowControl w:val="0"/>
              <w:rPr>
                <w:rFonts w:eastAsia="MS Mincho"/>
                <w:lang w:eastAsia="ja-JP"/>
              </w:rPr>
            </w:pPr>
            <w: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rFonts w:eastAsia="MS Mincho"/>
                <w:lang w:eastAsia="ja-JP"/>
              </w:rPr>
            </w:pPr>
            <w:r>
              <w:rPr>
                <w:lang w:eastAsia="zh-CN"/>
              </w:rPr>
              <w:t>Lenovo, Motorola Mobility</w:t>
            </w:r>
          </w:p>
        </w:tc>
        <w:tc>
          <w:tcPr>
            <w:tcW w:w="12176" w:type="dxa"/>
            <w:vAlign w:val="center"/>
          </w:tcPr>
          <w:p>
            <w:pPr>
              <w:widowControl w:val="0"/>
            </w:pPr>
            <w:r>
              <w:rPr>
                <w:lang w:eastAsia="zh-CN"/>
              </w:rPr>
              <w:t>Agree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t>Nokia, NSB</w:t>
            </w:r>
          </w:p>
        </w:tc>
        <w:tc>
          <w:tcPr>
            <w:tcW w:w="12176" w:type="dxa"/>
            <w:vAlign w:val="center"/>
          </w:tcPr>
          <w:p>
            <w:pPr>
              <w:widowControl w:val="0"/>
              <w:rPr>
                <w:lang w:eastAsia="zh-CN"/>
              </w:rPr>
            </w:pPr>
            <w: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pPr>
            <w:r>
              <w:rPr>
                <w:lang w:val="en-GB" w:eastAsia="zh-CN"/>
              </w:rPr>
              <w:t>Spreadtrum</w:t>
            </w:r>
          </w:p>
        </w:tc>
        <w:tc>
          <w:tcPr>
            <w:tcW w:w="12176" w:type="dxa"/>
            <w:vAlign w:val="center"/>
          </w:tcPr>
          <w:p>
            <w:pPr>
              <w:widowControl w:val="0"/>
            </w:pPr>
            <w:r>
              <w:t>We support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val="en-GB" w:eastAsia="zh-CN"/>
              </w:rPr>
            </w:pPr>
            <w:r>
              <w:rPr>
                <w:lang w:val="en-GB" w:eastAsia="zh-CN"/>
              </w:rPr>
              <w:t>Convida Wireless</w:t>
            </w:r>
          </w:p>
        </w:tc>
        <w:tc>
          <w:tcPr>
            <w:tcW w:w="12176" w:type="dxa"/>
            <w:vAlign w:val="center"/>
          </w:tcPr>
          <w:p>
            <w:pPr>
              <w:widowControl w:val="0"/>
            </w:pPr>
            <w:r>
              <w:t>We agree with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val="en-GB" w:eastAsia="zh-CN"/>
              </w:rPr>
            </w:pPr>
            <w:r>
              <w:rPr>
                <w:rFonts w:hint="eastAsia" w:eastAsia="Malgun Gothic"/>
                <w:lang w:eastAsia="ko-KR"/>
              </w:rPr>
              <w:t>L</w:t>
            </w:r>
            <w:r>
              <w:rPr>
                <w:rFonts w:eastAsia="Malgun Gothic"/>
                <w:lang w:eastAsia="ko-KR"/>
              </w:rPr>
              <w:t>G Electronics</w:t>
            </w:r>
          </w:p>
        </w:tc>
        <w:tc>
          <w:tcPr>
            <w:tcW w:w="12176" w:type="dxa"/>
            <w:vAlign w:val="center"/>
          </w:tcPr>
          <w:p>
            <w:pPr>
              <w:widowControl w:val="0"/>
            </w:pPr>
            <w:r>
              <w:rPr>
                <w:rFonts w:eastAsia="Malgun Gothic"/>
                <w:lang w:eastAsia="ko-KR"/>
              </w:rPr>
              <w:t>Yes, it is agreeable.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rFonts w:eastAsia="Malgun Gothic"/>
                <w:sz w:val="20"/>
                <w:lang w:eastAsia="ko-KR"/>
              </w:rPr>
            </w:pPr>
            <w:r>
              <w:rPr>
                <w:rFonts w:eastAsia="Malgun Gothic"/>
                <w:lang w:eastAsia="ko-KR"/>
              </w:rPr>
              <w:t>Ericsson</w:t>
            </w:r>
          </w:p>
        </w:tc>
        <w:tc>
          <w:tcPr>
            <w:tcW w:w="12176" w:type="dxa"/>
            <w:vAlign w:val="center"/>
          </w:tcPr>
          <w:p>
            <w:pPr>
              <w:widowControl w:val="0"/>
              <w:rPr>
                <w:rFonts w:eastAsia="Malgun Gothic"/>
                <w:lang w:eastAsia="ko-KR"/>
              </w:rPr>
            </w:pPr>
            <w:r>
              <w:rPr>
                <w:rFonts w:eastAsia="Malgun Gothic"/>
                <w:lang w:eastAsia="ko-KR"/>
              </w:rPr>
              <w:t>We agree in principle</w:t>
            </w:r>
          </w:p>
          <w:p>
            <w:pPr>
              <w:widowControl w:val="0"/>
              <w:rPr>
                <w:rFonts w:eastAsia="Malgun Gothic"/>
                <w:sz w:val="20"/>
                <w:lang w:eastAsia="ko-KR"/>
              </w:rPr>
            </w:pPr>
            <w:r>
              <w:rPr>
                <w:rFonts w:eastAsia="Malgun Gothic"/>
                <w:lang w:eastAsia="ko-KR"/>
              </w:rPr>
              <w:t xml:space="preserve">However, we think the question needs to be reformulated regarding the pending question on if the 52.6 – 71 GHz band is an extension of FR2 or if it is defined as a new FR.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rFonts w:eastAsia="Malgun Gothic"/>
                <w:lang w:eastAsia="ko-KR"/>
              </w:rPr>
            </w:pPr>
            <w:r>
              <w:t>CATT</w:t>
            </w:r>
          </w:p>
        </w:tc>
        <w:tc>
          <w:tcPr>
            <w:tcW w:w="12176" w:type="dxa"/>
            <w:vAlign w:val="center"/>
          </w:tcPr>
          <w:p>
            <w:pPr>
              <w:widowControl w:val="0"/>
              <w:rPr>
                <w:rFonts w:eastAsia="Malgun Gothic"/>
                <w:lang w:eastAsia="ko-KR"/>
              </w:rPr>
            </w:pPr>
            <w:r>
              <w:t>We are OK with the proposal.</w:t>
            </w:r>
          </w:p>
        </w:tc>
      </w:tr>
    </w:tbl>
    <w:p>
      <w:pPr>
        <w:rPr>
          <w:highlight w:val="cyan"/>
          <w:lang w:eastAsia="zh-CN"/>
        </w:rPr>
      </w:pPr>
    </w:p>
    <w:p>
      <w:pPr>
        <w:rPr>
          <w:lang w:eastAsia="zh-CN"/>
        </w:rPr>
      </w:pPr>
      <w:r>
        <w:rPr>
          <w:highlight w:val="cyan"/>
          <w:lang w:eastAsia="zh-CN"/>
        </w:rPr>
        <w:t>First Round FL Summary:</w:t>
      </w:r>
      <w:r>
        <w:rPr>
          <w:lang w:eastAsia="zh-CN"/>
        </w:rPr>
        <w:t xml:space="preserve"> Most companies support the FL's proposal, with some suggestion to clarify the terminology.  One company points out that </w:t>
      </w:r>
      <w:r>
        <w:t>the timeline discussion for the new SCSs (i.e., cross-carrier PDSCH and aperiodic CSI-RS preparation time) should not be deprioritized (see also Question D-1). Another company points out that there could be CCS restrictions depending on the SCS.</w:t>
      </w:r>
    </w:p>
    <w:p>
      <w:pPr>
        <w:rPr>
          <w:lang w:eastAsia="zh-CN"/>
        </w:rPr>
      </w:pPr>
      <w:r>
        <w:rPr>
          <w:highlight w:val="cyan"/>
          <w:lang w:eastAsia="zh-CN"/>
        </w:rPr>
        <w:t>First Round FL Suggestion:</w:t>
      </w:r>
      <w:r>
        <w:rPr>
          <w:lang w:eastAsia="zh-CN"/>
        </w:rPr>
        <w:t xml:space="preserve"> Agree on FL Proposal A1-3.1 and continue discussion on CCS restrictions depending on SCS in the second round.</w:t>
      </w:r>
    </w:p>
    <w:p>
      <w:pPr>
        <w:rPr>
          <w:u w:val="single"/>
          <w:lang w:eastAsia="zh-CN"/>
        </w:rPr>
      </w:pPr>
      <w:r>
        <w:rPr>
          <w:highlight w:val="yellow"/>
          <w:u w:val="single"/>
          <w:lang w:eastAsia="zh-CN"/>
        </w:rPr>
        <w:t>First Round FL Proposal A1-3.1:</w:t>
      </w:r>
      <w:r>
        <w:rPr>
          <w:u w:val="single"/>
          <w:lang w:eastAsia="zh-CN"/>
        </w:rPr>
        <w:t xml:space="preserve"> </w:t>
      </w:r>
    </w:p>
    <w:p>
      <w:pPr>
        <w:pStyle w:val="73"/>
        <w:numPr>
          <w:ilvl w:val="0"/>
          <w:numId w:val="19"/>
        </w:numPr>
      </w:pPr>
      <w:r>
        <w:t>Cross-carrier scheduling of a cell within 52.6-71 GHz from/to a cell outside 52.6-71 GHz is supported. FFS: cross-carrier scheduling limitations depending on the applicable SCS on the scheduling and scheduled cells/BWPs.</w:t>
      </w:r>
    </w:p>
    <w:p>
      <w:pPr>
        <w:pStyle w:val="73"/>
        <w:numPr>
          <w:ilvl w:val="0"/>
          <w:numId w:val="19"/>
        </w:numPr>
      </w:pPr>
      <w:r>
        <w:t>Deprioritize discussion on other cross-scheduling aspects except related to timeline for cross-carrier PDSCH and aperiodic CSI-RS preparation time.</w:t>
      </w:r>
    </w:p>
    <w:p>
      <w:pPr>
        <w:rPr>
          <w:lang w:eastAsia="zh-CN"/>
        </w:rPr>
      </w:pPr>
    </w:p>
    <w:p>
      <w:pPr>
        <w:pStyle w:val="3"/>
      </w:pPr>
      <w:r>
        <w:t>Topic A2: PDCCH Extensions for e.g. Coverage, Reliability</w:t>
      </w:r>
    </w:p>
    <w:p>
      <w:pPr>
        <w:pStyle w:val="4"/>
        <w:rPr>
          <w:lang w:val="en-GB" w:eastAsia="zh-CN"/>
        </w:rPr>
      </w:pPr>
      <w:r>
        <w:rPr>
          <w:lang w:val="en-GB" w:eastAsia="zh-CN"/>
        </w:rPr>
        <w:t>First Round (A2-1)</w:t>
      </w:r>
    </w:p>
    <w:p>
      <w:pPr>
        <w:rPr>
          <w:b/>
        </w:rPr>
      </w:pPr>
      <w:r>
        <w:rPr>
          <w:b/>
        </w:rPr>
        <w:t>Question A2-1: Do you see a need to improve coverage or reliability of PDCCH compared to Rel-15/16? Please provide a motivation.</w:t>
      </w:r>
    </w:p>
    <w:p>
      <w:pPr>
        <w:rPr>
          <w:lang w:val="en-GB" w:eastAsia="zh-CN"/>
        </w:rPr>
      </w:pPr>
    </w:p>
    <w:tbl>
      <w:tblPr>
        <w:tblStyle w:val="52"/>
        <w:tblW w:w="145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5"/>
        <w:gridCol w:w="121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shd w:val="clear" w:color="auto" w:fill="FFC000"/>
            <w:vAlign w:val="center"/>
          </w:tcPr>
          <w:p>
            <w:pPr>
              <w:widowControl w:val="0"/>
              <w:rPr>
                <w:b/>
                <w:bCs/>
              </w:rPr>
            </w:pPr>
            <w:r>
              <w:rPr>
                <w:b/>
                <w:bCs/>
              </w:rPr>
              <w:t>Company</w:t>
            </w:r>
          </w:p>
        </w:tc>
        <w:tc>
          <w:tcPr>
            <w:tcW w:w="12176" w:type="dxa"/>
            <w:shd w:val="clear" w:color="auto" w:fill="FFC000"/>
            <w:vAlign w:val="center"/>
          </w:tcPr>
          <w:p>
            <w:pPr>
              <w:widowControl w:val="0"/>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rFonts w:hint="eastAsia"/>
                <w:lang w:eastAsia="zh-CN"/>
              </w:rPr>
              <w:t>X</w:t>
            </w:r>
            <w:r>
              <w:rPr>
                <w:lang w:eastAsia="zh-CN"/>
              </w:rPr>
              <w:t>iaomi</w:t>
            </w:r>
          </w:p>
        </w:tc>
        <w:tc>
          <w:tcPr>
            <w:tcW w:w="12176" w:type="dxa"/>
            <w:vAlign w:val="center"/>
          </w:tcPr>
          <w:p>
            <w:pPr>
              <w:widowControl w:val="0"/>
              <w:rPr>
                <w:lang w:eastAsia="zh-CN"/>
              </w:rPr>
            </w:pPr>
            <w:r>
              <w:rPr>
                <w:lang w:eastAsia="zh-CN"/>
              </w:rPr>
              <w:t>Currently, we don’t see the need but open to discuss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t>Qualcomm</w:t>
            </w:r>
          </w:p>
        </w:tc>
        <w:tc>
          <w:tcPr>
            <w:tcW w:w="12176" w:type="dxa"/>
            <w:vAlign w:val="center"/>
          </w:tcPr>
          <w:p>
            <w:pPr>
              <w:widowControl w:val="0"/>
            </w:pPr>
            <w:r>
              <w:t>As it was already decided in the WID not to pursue the SSB coverage enhancement in Rel-17, we think PDCCH coverage enhancement should also be deprioritized. It may be considered in the future releases.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pPr>
            <w:r>
              <w:t>Futurewei</w:t>
            </w:r>
          </w:p>
        </w:tc>
        <w:tc>
          <w:tcPr>
            <w:tcW w:w="12176" w:type="dxa"/>
            <w:vAlign w:val="center"/>
          </w:tcPr>
          <w:p>
            <w:pPr>
              <w:widowControl w:val="0"/>
            </w:pPr>
            <w:r>
              <w:t>We expect UL coverage limitation therefore we do not see a need to increase the DL coverage. Additional mechanisms such as beamforming will do the job. The usage of lower SCS (120kHz) also will provide enough coverage.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pPr>
            <w:r>
              <w:rPr>
                <w:rFonts w:hint="eastAsia"/>
                <w:lang w:eastAsia="zh-CN"/>
              </w:rPr>
              <w:t>OPPO</w:t>
            </w:r>
          </w:p>
        </w:tc>
        <w:tc>
          <w:tcPr>
            <w:tcW w:w="12176" w:type="dxa"/>
            <w:vAlign w:val="center"/>
          </w:tcPr>
          <w:p>
            <w:pPr>
              <w:widowControl w:val="0"/>
            </w:pPr>
            <w:r>
              <w:rPr>
                <w:lang w:eastAsia="zh-CN"/>
              </w:rPr>
              <w:t>If time permits</w:t>
            </w:r>
            <w:r>
              <w:rPr>
                <w:rFonts w:hint="eastAsia"/>
                <w:lang w:eastAsia="zh-CN"/>
              </w:rPr>
              <w:t xml:space="preserve">, </w:t>
            </w:r>
            <w:r>
              <w:rPr>
                <w:lang w:eastAsia="zh-CN"/>
              </w:rPr>
              <w:t xml:space="preserve">in spectrum with PSD-limit requirement, the coverage enhancement for PDCCH with 120kHz may be investigated.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pPr>
            <w:r>
              <w:rPr>
                <w:rFonts w:hint="eastAsia"/>
              </w:rPr>
              <w:t>H</w:t>
            </w:r>
            <w:r>
              <w:t>uawei, HiSilicon</w:t>
            </w:r>
          </w:p>
        </w:tc>
        <w:tc>
          <w:tcPr>
            <w:tcW w:w="12176" w:type="dxa"/>
            <w:vAlign w:val="center"/>
          </w:tcPr>
          <w:p>
            <w:pPr>
              <w:widowControl w:val="0"/>
            </w:pPr>
            <w:r>
              <w:rPr>
                <w:rFonts w:hint="eastAsia"/>
              </w:rPr>
              <w:t xml:space="preserve">We do not see a need to </w:t>
            </w:r>
            <w:r>
              <w:t>improve coverage or reliability of PDCCH for the range of [52.6-71] GHz. Coverage enhancements are excluded from the WID for SSB and for multi-PDSCH/PUSCH. There is no WID objective to enhance the coverage of uplink channels. Therefore it is not clear why PDCCH would be considered the coverage bottleneck given the scope of the WID.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pPr>
            <w:r>
              <w:rPr>
                <w:lang w:eastAsia="zh-CN"/>
              </w:rPr>
              <w:t>Apple</w:t>
            </w:r>
          </w:p>
        </w:tc>
        <w:tc>
          <w:tcPr>
            <w:tcW w:w="12176" w:type="dxa"/>
            <w:vAlign w:val="center"/>
          </w:tcPr>
          <w:p>
            <w:pPr>
              <w:widowControl w:val="0"/>
            </w:pPr>
            <w:r>
              <w:rPr>
                <w:lang w:eastAsia="zh-CN"/>
              </w:rPr>
              <w:t xml:space="preserve">There may be a need to (a) increase the reliability or (b) have an indication to the gNB whether a PDCCH was received. This is because with multi-PxSCH transmission signaled by a single DCI, loss of that DCI can be catastrophic to the system performance especially if HARQ-ACK feedback is based on the entire transmission.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rFonts w:hint="eastAsia"/>
                <w:lang w:eastAsia="zh-CN"/>
              </w:rPr>
              <w:t>ZTE, Sanechips</w:t>
            </w:r>
          </w:p>
        </w:tc>
        <w:tc>
          <w:tcPr>
            <w:tcW w:w="12176" w:type="dxa"/>
            <w:vAlign w:val="center"/>
          </w:tcPr>
          <w:p>
            <w:pPr>
              <w:widowControl w:val="0"/>
              <w:rPr>
                <w:lang w:eastAsia="zh-CN"/>
              </w:rPr>
            </w:pPr>
            <w:r>
              <w:rPr>
                <w:rFonts w:hint="eastAsia"/>
                <w:lang w:eastAsia="zh-CN"/>
              </w:rPr>
              <w:t xml:space="preserve">We think improving </w:t>
            </w:r>
            <w:r>
              <w:rPr>
                <w:lang w:eastAsia="zh-CN"/>
              </w:rPr>
              <w:t>coverage or reliability of PDCCH</w:t>
            </w:r>
            <w:r>
              <w:rPr>
                <w:rFonts w:hint="eastAsia"/>
                <w:lang w:eastAsia="zh-CN"/>
              </w:rPr>
              <w:t xml:space="preserve"> especially for SCS 480kHz/960kHz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lang w:eastAsia="zh-CN"/>
              </w:rPr>
              <w:t>Samsung</w:t>
            </w:r>
          </w:p>
        </w:tc>
        <w:tc>
          <w:tcPr>
            <w:tcW w:w="12176" w:type="dxa"/>
            <w:vAlign w:val="center"/>
          </w:tcPr>
          <w:p>
            <w:pPr>
              <w:widowControl w:val="0"/>
              <w:rPr>
                <w:lang w:eastAsia="zh-CN"/>
              </w:rPr>
            </w:pPr>
            <w:r>
              <w:rPr>
                <w:lang w:eastAsia="zh-CN"/>
              </w:rPr>
              <w:t xml:space="preserve">We didn’t see a coverage issue for PDCCH in the SI, so this topic can be deprioritized.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t>Intel</w:t>
            </w:r>
          </w:p>
        </w:tc>
        <w:tc>
          <w:tcPr>
            <w:tcW w:w="12176" w:type="dxa"/>
            <w:vAlign w:val="center"/>
          </w:tcPr>
          <w:p>
            <w:pPr>
              <w:widowControl w:val="0"/>
              <w:rPr>
                <w:lang w:eastAsia="zh-CN"/>
              </w:rPr>
            </w:pPr>
            <w:r>
              <w:t>Coverage or reliability enhancement is not in the scope of current WID. For a small cell in high frequency, it is enough to rely on high PDCCH AL e.g.16, high beamforming gain and power boosting to achieve a reasonable link performance of PDCCH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pPr>
            <w:r>
              <w:rPr>
                <w:lang w:eastAsia="zh-CN"/>
              </w:rPr>
              <w:t>MediaTek</w:t>
            </w:r>
          </w:p>
        </w:tc>
        <w:tc>
          <w:tcPr>
            <w:tcW w:w="12176" w:type="dxa"/>
            <w:vAlign w:val="center"/>
          </w:tcPr>
          <w:p>
            <w:pPr>
              <w:widowControl w:val="0"/>
            </w:pPr>
            <w:r>
              <w:rPr>
                <w:lang w:eastAsia="zh-CN"/>
              </w:rPr>
              <w:t>We don’t see the strong need to support it since SSB and PDSCH coverage enhancement are excluded in WID. However, we are open to discuss it if this issue can be validated.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lang w:eastAsia="zh-CN"/>
              </w:rPr>
              <w:t>InterDigital</w:t>
            </w:r>
          </w:p>
        </w:tc>
        <w:tc>
          <w:tcPr>
            <w:tcW w:w="12176" w:type="dxa"/>
            <w:vAlign w:val="center"/>
          </w:tcPr>
          <w:p>
            <w:pPr>
              <w:widowControl w:val="0"/>
              <w:rPr>
                <w:lang w:eastAsia="zh-CN"/>
              </w:rPr>
            </w:pPr>
            <w:r>
              <w:rPr>
                <w:lang w:eastAsia="zh-CN"/>
              </w:rPr>
              <w:t xml:space="preserve">No. As CovEnh WI is already doing their work, we don’t see a need to improve coverage or reliability of PDCCH.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rFonts w:hint="eastAsia"/>
                <w:lang w:eastAsia="zh-CN"/>
              </w:rPr>
              <w:t>v</w:t>
            </w:r>
            <w:r>
              <w:rPr>
                <w:lang w:eastAsia="zh-CN"/>
              </w:rPr>
              <w:t>ivo</w:t>
            </w:r>
          </w:p>
        </w:tc>
        <w:tc>
          <w:tcPr>
            <w:tcW w:w="12176" w:type="dxa"/>
            <w:vAlign w:val="center"/>
          </w:tcPr>
          <w:p>
            <w:pPr>
              <w:widowControl w:val="0"/>
              <w:rPr>
                <w:lang w:eastAsia="zh-CN"/>
              </w:rPr>
            </w:pPr>
            <w:r>
              <w:rPr>
                <w:rFonts w:hint="eastAsia"/>
                <w:lang w:eastAsia="zh-CN"/>
              </w:rPr>
              <w:t>W</w:t>
            </w:r>
            <w:r>
              <w:rPr>
                <w:lang w:eastAsia="zh-CN"/>
              </w:rPr>
              <w:t>e agree to study and discuss coverage or reliability of PDCCH especially when using higher SCS with much shorter duration. Actually, we don’t have much study on this in the SI phase. As apple indicates, loss of DCI will impact the performance a lot especially when we schedule multiple PDSCH/PUSCH with a single DCI.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rFonts w:hint="eastAsia" w:eastAsia="MS Mincho"/>
                <w:lang w:eastAsia="ja-JP"/>
              </w:rPr>
              <w:t>NTT DOCOMO</w:t>
            </w:r>
          </w:p>
        </w:tc>
        <w:tc>
          <w:tcPr>
            <w:tcW w:w="12176" w:type="dxa"/>
            <w:vAlign w:val="center"/>
          </w:tcPr>
          <w:p>
            <w:pPr>
              <w:widowControl w:val="0"/>
              <w:rPr>
                <w:lang w:eastAsia="zh-CN"/>
              </w:rPr>
            </w:pPr>
            <w:r>
              <w:rPr>
                <w:rFonts w:eastAsia="MS Mincho"/>
                <w:lang w:eastAsia="ja-JP"/>
              </w:rPr>
              <w:t>W</w:t>
            </w:r>
            <w:r>
              <w:rPr>
                <w:rFonts w:hint="eastAsia" w:eastAsia="MS Mincho"/>
                <w:lang w:eastAsia="ja-JP"/>
              </w:rPr>
              <w:t xml:space="preserve">e </w:t>
            </w:r>
            <w:r>
              <w:rPr>
                <w:rFonts w:eastAsia="MS Mincho"/>
                <w:lang w:eastAsia="ja-JP"/>
              </w:rPr>
              <w:t>don’t see any clear motivation or necessity for coverage/reliability enhancement, but open to discuss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rFonts w:eastAsia="MS Mincho"/>
                <w:lang w:eastAsia="ja-JP"/>
              </w:rPr>
            </w:pPr>
            <w:r>
              <w:rPr>
                <w:lang w:eastAsia="zh-CN"/>
              </w:rPr>
              <w:t>Lenovo, Motorola Mobility</w:t>
            </w:r>
          </w:p>
        </w:tc>
        <w:tc>
          <w:tcPr>
            <w:tcW w:w="12176" w:type="dxa"/>
            <w:vAlign w:val="center"/>
          </w:tcPr>
          <w:p>
            <w:pPr>
              <w:widowControl w:val="0"/>
              <w:rPr>
                <w:rFonts w:eastAsia="MS Mincho"/>
                <w:lang w:eastAsia="ja-JP"/>
              </w:rPr>
            </w:pPr>
            <w:r>
              <w:rPr>
                <w:lang w:eastAsia="zh-CN"/>
              </w:rPr>
              <w:t xml:space="preserve">We think that coverage/reliability enhancements can be considered for PDCCH. In our view, as also discussed in our contribution, increasing the number of symbols for CORESET is a straightforward solution.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pPr>
            <w:r>
              <w:t>Nokia, NSB</w:t>
            </w:r>
          </w:p>
        </w:tc>
        <w:tc>
          <w:tcPr>
            <w:tcW w:w="12176" w:type="dxa"/>
            <w:vAlign w:val="center"/>
          </w:tcPr>
          <w:p>
            <w:pPr>
              <w:widowControl w:val="0"/>
              <w:rPr>
                <w:rStyle w:val="207"/>
              </w:rPr>
            </w:pPr>
            <w:r>
              <w:t xml:space="preserve">Yes. </w:t>
            </w:r>
            <w:r>
              <w:rPr>
                <w:rStyle w:val="207"/>
                <w:sz w:val="20"/>
                <w:szCs w:val="20"/>
              </w:rPr>
              <w:t xml:space="preserve">High SCSs suffer from reduced MCS and MIL compared to 120 kHz SCS.  Time domain repetitions are supported already for PDSCH, PUSCH and PUCCH but repetition for PDCCH has not been even considered. When considering PDSCH repetition (slot aggregation), PDCCH can easily become the bottleneck (higher aggregation level alone does not improve the link budget/coverage). Furthermore, it is noted that the DCI size of multi-PDSCH/PUSCH is larger compared to that of single slot scheduling. </w:t>
            </w:r>
          </w:p>
          <w:p>
            <w:pPr>
              <w:pStyle w:val="206"/>
              <w:widowControl w:val="0"/>
              <w:spacing w:before="0" w:beforeAutospacing="0" w:after="0" w:afterAutospacing="0"/>
              <w:textAlignment w:val="baseline"/>
              <w:rPr>
                <w:rStyle w:val="207"/>
                <w:sz w:val="20"/>
                <w:szCs w:val="20"/>
              </w:rPr>
            </w:pPr>
          </w:p>
          <w:p>
            <w:pPr>
              <w:pStyle w:val="206"/>
              <w:widowControl w:val="0"/>
              <w:spacing w:before="0" w:beforeAutospacing="0" w:after="0" w:afterAutospacing="0"/>
              <w:textAlignment w:val="baseline"/>
              <w:rPr>
                <w:rStyle w:val="208"/>
                <w:sz w:val="20"/>
                <w:szCs w:val="20"/>
              </w:rPr>
            </w:pPr>
            <w:r>
              <w:rPr>
                <w:rStyle w:val="208"/>
                <w:sz w:val="20"/>
                <w:szCs w:val="20"/>
              </w:rPr>
              <w:t>There are two basic solutions to balance the PDCCH coverage with the repeated PDSCH: </w:t>
            </w:r>
          </w:p>
          <w:p>
            <w:pPr>
              <w:pStyle w:val="206"/>
              <w:widowControl w:val="0"/>
              <w:numPr>
                <w:ilvl w:val="0"/>
                <w:numId w:val="28"/>
              </w:numPr>
              <w:spacing w:before="0" w:beforeAutospacing="0" w:after="0" w:afterAutospacing="0" w:line="240" w:lineRule="auto"/>
              <w:ind w:left="709" w:hanging="349"/>
              <w:textAlignment w:val="baseline"/>
              <w:rPr>
                <w:sz w:val="20"/>
                <w:szCs w:val="20"/>
              </w:rPr>
            </w:pPr>
            <w:r>
              <w:rPr>
                <w:rStyle w:val="207"/>
                <w:sz w:val="20"/>
                <w:szCs w:val="20"/>
                <w:u w:val="single"/>
                <w:lang w:val="en-US"/>
              </w:rPr>
              <w:t>Option 1: Mixed numerology between PDCCH and PDSCH</w:t>
            </w:r>
            <w:r>
              <w:rPr>
                <w:rStyle w:val="207"/>
                <w:sz w:val="20"/>
                <w:szCs w:val="20"/>
                <w:lang w:val="en-US"/>
              </w:rPr>
              <w:t>: use a lower SCS, such as 120 kHz, for PDCCH. This is not allowed in Rel. 15/16 NR.</w:t>
            </w:r>
            <w:r>
              <w:rPr>
                <w:rStyle w:val="208"/>
                <w:sz w:val="20"/>
                <w:szCs w:val="20"/>
              </w:rPr>
              <w:t> </w:t>
            </w:r>
          </w:p>
          <w:p>
            <w:pPr>
              <w:pStyle w:val="206"/>
              <w:widowControl w:val="0"/>
              <w:numPr>
                <w:ilvl w:val="0"/>
                <w:numId w:val="28"/>
              </w:numPr>
              <w:spacing w:before="0" w:beforeAutospacing="0" w:after="0" w:afterAutospacing="0" w:line="240" w:lineRule="auto"/>
              <w:ind w:left="709" w:hanging="349"/>
              <w:textAlignment w:val="baseline"/>
              <w:rPr>
                <w:sz w:val="20"/>
                <w:szCs w:val="20"/>
              </w:rPr>
            </w:pPr>
            <w:r>
              <w:rPr>
                <w:rStyle w:val="207"/>
                <w:sz w:val="20"/>
                <w:szCs w:val="20"/>
                <w:u w:val="single"/>
              </w:rPr>
              <w:t xml:space="preserve">Option 2: </w:t>
            </w:r>
            <w:r>
              <w:rPr>
                <w:rStyle w:val="207"/>
                <w:sz w:val="20"/>
                <w:szCs w:val="20"/>
                <w:u w:val="single"/>
                <w:lang w:val="en-US"/>
              </w:rPr>
              <w:t>Increased number of symbols available for PDCCH</w:t>
            </w:r>
            <w:r>
              <w:rPr>
                <w:rStyle w:val="207"/>
                <w:sz w:val="20"/>
                <w:szCs w:val="20"/>
                <w:lang w:val="en-US"/>
              </w:rPr>
              <w:t>: This can be done either by defining a CORESET with increased length, or by means of CORESET repetition (of existing length).</w:t>
            </w:r>
            <w:r>
              <w:rPr>
                <w:rStyle w:val="208"/>
                <w:sz w:val="20"/>
                <w:szCs w:val="20"/>
              </w:rPr>
              <w:t> </w:t>
            </w:r>
          </w:p>
          <w:p>
            <w:pPr>
              <w:widowControl w:val="0"/>
              <w:rPr>
                <w:lang w:val="en-GB"/>
              </w:rPr>
            </w:pPr>
          </w:p>
          <w:p>
            <w:pPr>
              <w:widowControl w:val="0"/>
              <w:rPr>
                <w:lang w:val="en-GB"/>
              </w:rPr>
            </w:pPr>
            <w:r>
              <w:rPr>
                <w:lang w:val="en-GB"/>
              </w:rPr>
              <w:t>We think that one of those options needs to be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pPr>
            <w:r>
              <w:rPr>
                <w:lang w:val="en-GB" w:eastAsia="zh-CN"/>
              </w:rPr>
              <w:t>Spreadtrum</w:t>
            </w:r>
          </w:p>
        </w:tc>
        <w:tc>
          <w:tcPr>
            <w:tcW w:w="12176" w:type="dxa"/>
            <w:vAlign w:val="center"/>
          </w:tcPr>
          <w:p>
            <w:pPr>
              <w:widowControl w:val="0"/>
            </w:pPr>
            <w:r>
              <w:rPr>
                <w:rFonts w:hint="eastAsia"/>
              </w:rPr>
              <w:t xml:space="preserve">We do not see a need to </w:t>
            </w:r>
            <w:r>
              <w:t>improve coverage or reliability of PDCCH for beyond 52.6 GHz.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rFonts w:hint="eastAsia" w:eastAsia="Malgun Gothic"/>
                <w:lang w:eastAsia="ko-KR"/>
              </w:rPr>
              <w:t>L</w:t>
            </w:r>
            <w:r>
              <w:rPr>
                <w:rFonts w:eastAsia="Malgun Gothic"/>
                <w:lang w:eastAsia="ko-KR"/>
              </w:rPr>
              <w:t>G Electronics</w:t>
            </w:r>
          </w:p>
        </w:tc>
        <w:tc>
          <w:tcPr>
            <w:tcW w:w="12176" w:type="dxa"/>
            <w:vAlign w:val="center"/>
          </w:tcPr>
          <w:p>
            <w:pPr>
              <w:widowControl w:val="0"/>
              <w:rPr>
                <w:rFonts w:eastAsia="Malgun Gothic"/>
                <w:lang w:eastAsia="ko-KR"/>
              </w:rPr>
            </w:pPr>
            <w:r>
              <w:rPr>
                <w:rFonts w:hint="eastAsia" w:eastAsia="Malgun Gothic"/>
                <w:lang w:eastAsia="ko-KR"/>
              </w:rPr>
              <w:t>We don</w:t>
            </w:r>
            <w:r>
              <w:rPr>
                <w:rFonts w:eastAsia="Malgun Gothic"/>
                <w:lang w:eastAsia="ko-KR"/>
              </w:rPr>
              <w:t>’t see a need for it. Any DL coverage issues can be deprioritized in this sub-agenda.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rFonts w:eastAsia="Malgun Gothic"/>
                <w:sz w:val="20"/>
                <w:lang w:eastAsia="ko-KR"/>
              </w:rPr>
            </w:pPr>
            <w:r>
              <w:rPr>
                <w:rFonts w:eastAsia="Malgun Gothic"/>
                <w:lang w:eastAsia="ko-KR"/>
              </w:rPr>
              <w:t>Ericsson</w:t>
            </w:r>
          </w:p>
        </w:tc>
        <w:tc>
          <w:tcPr>
            <w:tcW w:w="12176" w:type="dxa"/>
            <w:vAlign w:val="center"/>
          </w:tcPr>
          <w:p>
            <w:pPr>
              <w:widowControl w:val="0"/>
              <w:rPr>
                <w:rFonts w:eastAsia="Malgun Gothic"/>
                <w:lang w:eastAsia="ko-KR"/>
              </w:rPr>
            </w:pPr>
            <w:r>
              <w:rPr>
                <w:rFonts w:eastAsia="Malgun Gothic"/>
                <w:lang w:eastAsia="ko-KR"/>
              </w:rPr>
              <w:t>We do not see a need for coverage enhancement for PDCCH for 480/960 kHz, and this is out of scope in our understanding.</w:t>
            </w:r>
          </w:p>
          <w:p>
            <w:pPr>
              <w:widowControl w:val="0"/>
              <w:rPr>
                <w:rFonts w:eastAsia="Malgun Gothic"/>
                <w:sz w:val="20"/>
                <w:lang w:eastAsia="ko-KR"/>
              </w:rPr>
            </w:pPr>
            <w:r>
              <w:rPr>
                <w:rFonts w:eastAsia="Malgun Gothic"/>
                <w:lang w:eastAsia="ko-KR"/>
              </w:rPr>
              <w:t>120 kHz should be used for coverage demanding scenarios.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rFonts w:eastAsia="Malgun Gothic"/>
                <w:lang w:eastAsia="ko-KR"/>
              </w:rPr>
            </w:pPr>
            <w:r>
              <w:rPr>
                <w:lang w:eastAsia="zh-CN"/>
              </w:rPr>
              <w:t>CATT</w:t>
            </w:r>
          </w:p>
        </w:tc>
        <w:tc>
          <w:tcPr>
            <w:tcW w:w="12176" w:type="dxa"/>
            <w:vAlign w:val="center"/>
          </w:tcPr>
          <w:p>
            <w:pPr>
              <w:widowControl w:val="0"/>
              <w:rPr>
                <w:rFonts w:eastAsia="Malgun Gothic"/>
                <w:lang w:eastAsia="ko-KR"/>
              </w:rPr>
            </w:pPr>
            <w:r>
              <w:rPr>
                <w:lang w:eastAsia="zh-CN"/>
              </w:rPr>
              <w:t>No need for enhancement.</w:t>
            </w:r>
          </w:p>
        </w:tc>
      </w:tr>
    </w:tbl>
    <w:p>
      <w:pPr>
        <w:rPr>
          <w:lang w:eastAsia="zh-CN"/>
        </w:rPr>
      </w:pPr>
    </w:p>
    <w:p>
      <w:pPr>
        <w:rPr>
          <w:lang w:eastAsia="zh-CN"/>
        </w:rPr>
      </w:pPr>
      <w:r>
        <w:rPr>
          <w:highlight w:val="cyan"/>
          <w:lang w:eastAsia="zh-CN"/>
        </w:rPr>
        <w:t>First Round FL Summary:</w:t>
      </w:r>
      <w:r>
        <w:rPr>
          <w:lang w:eastAsia="zh-CN"/>
        </w:rPr>
        <w:t xml:space="preserve"> Several companies do not identify a need for discussing PDCCH coverage enhancements, while some companies think that increasing the number of symbols available for PDCCH (being discussed as part of the multi-slot monitoring issue) could also serve this purpose. </w:t>
      </w:r>
    </w:p>
    <w:p>
      <w:pPr>
        <w:rPr>
          <w:lang w:eastAsia="zh-CN"/>
        </w:rPr>
      </w:pPr>
      <w:r>
        <w:rPr>
          <w:highlight w:val="yellow"/>
          <w:lang w:eastAsia="zh-CN"/>
        </w:rPr>
        <w:t>First Round FL Suggestion:</w:t>
      </w:r>
      <w:r>
        <w:rPr>
          <w:lang w:eastAsia="zh-CN"/>
        </w:rPr>
        <w:t xml:space="preserve"> Include discussion of increasing the number of symbols available for PDCCH in the multi-slot monitoring discussion. Further discussion of other proposals may be (re-)considered in future meetings.</w:t>
      </w:r>
    </w:p>
    <w:p>
      <w:pPr>
        <w:rPr>
          <w:lang w:eastAsia="zh-CN"/>
        </w:rPr>
      </w:pPr>
    </w:p>
    <w:p>
      <w:pPr>
        <w:pStyle w:val="3"/>
      </w:pPr>
      <w:r>
        <w:t>Topic B: Multiple PDSCH/PUSCH by a single DCI</w:t>
      </w:r>
    </w:p>
    <w:p>
      <w:pPr>
        <w:rPr>
          <w:b/>
          <w:u w:val="single"/>
        </w:rPr>
      </w:pPr>
      <w:r>
        <w:rPr>
          <w:b/>
          <w:highlight w:val="cyan"/>
          <w:u w:val="single"/>
        </w:rPr>
        <w:t>FL NOTE: Decisions on BD limitations/capabilities for potential new DCI formats should come after corresponding decisions on support of such scheduling in AI 8.2.5.</w:t>
      </w:r>
    </w:p>
    <w:p/>
    <w:p>
      <w:pPr>
        <w:pStyle w:val="4"/>
        <w:rPr>
          <w:lang w:val="en-GB" w:eastAsia="zh-CN"/>
        </w:rPr>
      </w:pPr>
      <w:r>
        <w:rPr>
          <w:lang w:val="en-GB" w:eastAsia="zh-CN"/>
        </w:rPr>
        <w:t>First Round (B-1)</w:t>
      </w:r>
    </w:p>
    <w:p>
      <w:pPr>
        <w:rPr>
          <w:b/>
        </w:rPr>
      </w:pPr>
      <w:r>
        <w:rPr>
          <w:b/>
        </w:rPr>
        <w:t>Question B-1: Do you see a need for PDCCH monitoring restriction in terms of SS configuration with specific DCI formats?</w:t>
      </w:r>
    </w:p>
    <w:p>
      <w:pPr>
        <w:rPr>
          <w:lang w:eastAsia="zh-CN"/>
        </w:rPr>
      </w:pPr>
    </w:p>
    <w:tbl>
      <w:tblPr>
        <w:tblStyle w:val="52"/>
        <w:tblW w:w="145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5"/>
        <w:gridCol w:w="121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shd w:val="clear" w:color="auto" w:fill="FFC000"/>
            <w:vAlign w:val="center"/>
          </w:tcPr>
          <w:p>
            <w:pPr>
              <w:widowControl w:val="0"/>
              <w:rPr>
                <w:b/>
                <w:bCs/>
              </w:rPr>
            </w:pPr>
            <w:r>
              <w:rPr>
                <w:b/>
                <w:bCs/>
              </w:rPr>
              <w:t>Company</w:t>
            </w:r>
          </w:p>
        </w:tc>
        <w:tc>
          <w:tcPr>
            <w:tcW w:w="12176" w:type="dxa"/>
            <w:shd w:val="clear" w:color="auto" w:fill="FFC000"/>
            <w:vAlign w:val="center"/>
          </w:tcPr>
          <w:p>
            <w:pPr>
              <w:widowControl w:val="0"/>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rFonts w:hint="eastAsia"/>
                <w:lang w:eastAsia="zh-CN"/>
              </w:rPr>
              <w:t>X</w:t>
            </w:r>
            <w:r>
              <w:rPr>
                <w:lang w:eastAsia="zh-CN"/>
              </w:rPr>
              <w:t xml:space="preserve">iaomi </w:t>
            </w:r>
          </w:p>
        </w:tc>
        <w:tc>
          <w:tcPr>
            <w:tcW w:w="12176" w:type="dxa"/>
            <w:vAlign w:val="center"/>
          </w:tcPr>
          <w:p>
            <w:pPr>
              <w:widowControl w:val="0"/>
              <w:rPr>
                <w:lang w:eastAsia="zh-CN"/>
              </w:rPr>
            </w:pPr>
            <w:r>
              <w:rPr>
                <w:lang w:eastAsia="zh-CN"/>
              </w:rPr>
              <w:t>We are not clear about this question. What kind of PDCCH monitoring restrictions? And which specific DCI formats?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t>Qualcomm</w:t>
            </w:r>
          </w:p>
        </w:tc>
        <w:tc>
          <w:tcPr>
            <w:tcW w:w="12176" w:type="dxa"/>
            <w:vAlign w:val="center"/>
          </w:tcPr>
          <w:p>
            <w:pPr>
              <w:widowControl w:val="0"/>
              <w:rPr>
                <w:lang w:eastAsia="zh-CN"/>
              </w:rPr>
            </w:pPr>
            <w:r>
              <w:t>Any restriction on the PDCCH monitoring configuration (e.g., periodicity, AL, number of candidates, etc.) should be up to network, as long as it fulfills UE’s PDCCH monitoring capability.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pPr>
            <w:r>
              <w:rPr>
                <w:lang w:eastAsia="zh-CN"/>
              </w:rPr>
              <w:t>Futurewei</w:t>
            </w:r>
          </w:p>
        </w:tc>
        <w:tc>
          <w:tcPr>
            <w:tcW w:w="12176" w:type="dxa"/>
            <w:vAlign w:val="center"/>
          </w:tcPr>
          <w:p>
            <w:pPr>
              <w:widowControl w:val="0"/>
            </w:pPr>
            <w:r>
              <w:rPr>
                <w:lang w:eastAsia="zh-CN"/>
              </w:rPr>
              <w:t>Agree with Xiaomi. The question needs further clarifications.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rFonts w:hint="eastAsia"/>
                <w:lang w:eastAsia="zh-CN"/>
              </w:rPr>
              <w:t>OPPO</w:t>
            </w:r>
          </w:p>
        </w:tc>
        <w:tc>
          <w:tcPr>
            <w:tcW w:w="12176" w:type="dxa"/>
            <w:vAlign w:val="center"/>
          </w:tcPr>
          <w:p>
            <w:pPr>
              <w:widowControl w:val="0"/>
              <w:rPr>
                <w:lang w:eastAsia="zh-CN"/>
              </w:rPr>
            </w:pPr>
            <w:r>
              <w:rPr>
                <w:rFonts w:hint="eastAsia"/>
                <w:lang w:eastAsia="zh-CN"/>
              </w:rPr>
              <w:t>We should further investigate this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pPr>
            <w:r>
              <w:rPr>
                <w:rFonts w:hint="eastAsia"/>
              </w:rPr>
              <w:t>H</w:t>
            </w:r>
            <w:r>
              <w:t>uawei, HiSilicon</w:t>
            </w:r>
          </w:p>
        </w:tc>
        <w:tc>
          <w:tcPr>
            <w:tcW w:w="12176" w:type="dxa"/>
            <w:vAlign w:val="center"/>
          </w:tcPr>
          <w:p>
            <w:pPr>
              <w:widowControl w:val="0"/>
            </w:pPr>
            <w:r>
              <w:rPr>
                <w:rFonts w:hint="eastAsia"/>
              </w:rPr>
              <w:t xml:space="preserve">This discussion should probably wait for progress on supported SCS for initial access, and </w:t>
            </w:r>
            <w:r>
              <w:t>for the discussion on whether to support single-slot PDCCH monitoring for 480 and 960 kHz SCS under topic A1.</w:t>
            </w:r>
          </w:p>
          <w:p>
            <w:pPr>
              <w:widowControl w:val="0"/>
            </w:pPr>
            <w:r>
              <w:t>At least for 120 kHz SCS, we don’t see any need to change what is already specified for FR2 in terms of SS configuration for the various DCI formats, which can be directly reused in 52.6-71 GHz.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pPr>
            <w:r>
              <w:rPr>
                <w:lang w:eastAsia="zh-CN"/>
              </w:rPr>
              <w:t>Apple</w:t>
            </w:r>
          </w:p>
        </w:tc>
        <w:tc>
          <w:tcPr>
            <w:tcW w:w="12176" w:type="dxa"/>
            <w:vAlign w:val="center"/>
          </w:tcPr>
          <w:p>
            <w:pPr>
              <w:widowControl w:val="0"/>
            </w:pPr>
            <w:r>
              <w:rPr>
                <w:lang w:eastAsia="zh-CN"/>
              </w:rPr>
              <w:t>The use of a new DCI for multi-PxSCH transmission needs to be answered first.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rFonts w:hint="eastAsia"/>
                <w:lang w:eastAsia="zh-CN"/>
              </w:rPr>
              <w:t>ZTE, Sanechips</w:t>
            </w:r>
          </w:p>
        </w:tc>
        <w:tc>
          <w:tcPr>
            <w:tcW w:w="12176" w:type="dxa"/>
            <w:vAlign w:val="center"/>
          </w:tcPr>
          <w:p>
            <w:pPr>
              <w:widowControl w:val="0"/>
              <w:rPr>
                <w:lang w:eastAsia="zh-CN"/>
              </w:rPr>
            </w:pPr>
            <w:r>
              <w:rPr>
                <w:rFonts w:hint="eastAsia"/>
                <w:lang w:eastAsia="zh-CN"/>
              </w:rPr>
              <w:t xml:space="preserve">This issue needs to be clarified further. Besides, we understand that it should be discussed </w:t>
            </w:r>
            <w:r>
              <w:rPr>
                <w:lang w:eastAsia="zh-CN"/>
              </w:rPr>
              <w:t>“</w:t>
            </w:r>
            <w:r>
              <w:t>after corresponding decisions on support of such scheduling in AI 8.2.5</w:t>
            </w:r>
            <w:r>
              <w:rPr>
                <w:lang w:eastAsia="zh-CN"/>
              </w:rPr>
              <w:t>”</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lang w:eastAsia="zh-CN"/>
              </w:rPr>
              <w:t>Samsung</w:t>
            </w:r>
          </w:p>
        </w:tc>
        <w:tc>
          <w:tcPr>
            <w:tcW w:w="12176" w:type="dxa"/>
            <w:vAlign w:val="center"/>
          </w:tcPr>
          <w:p>
            <w:pPr>
              <w:widowControl w:val="0"/>
              <w:rPr>
                <w:lang w:eastAsia="zh-CN"/>
              </w:rPr>
            </w:pPr>
            <w:r>
              <w:rPr>
                <w:lang w:eastAsia="zh-CN"/>
              </w:rPr>
              <w:t xml:space="preserve">Yes, in order to support the multi-slot span based monitoring, there could be restrictions on SS configuration based on the supported value of X and Y, but this can be discussed later (including whether applicable to specific DCI formats) after the framework of multi-slot span based monitoring is done.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t>Intel</w:t>
            </w:r>
          </w:p>
        </w:tc>
        <w:tc>
          <w:tcPr>
            <w:tcW w:w="12176" w:type="dxa"/>
            <w:vAlign w:val="center"/>
          </w:tcPr>
          <w:p>
            <w:pPr>
              <w:widowControl w:val="0"/>
            </w:pPr>
            <w:r>
              <w:t>M</w:t>
            </w:r>
            <w:r>
              <w:rPr>
                <w:lang w:eastAsia="ja-JP"/>
              </w:rPr>
              <w:t>ultiple PDSCH/PUSCH by a single DCI</w:t>
            </w:r>
            <w:r>
              <w:t xml:space="preserve"> is supported based on WID. So it is fine to discuss how to handle the related DCI format in PDCCH monitoring. We prefer to reuse existing configuration of SS set. The supported DCI format for a SS set is extended to cover fallback DCI, single-TTI DCI and multi-TTI DCI. </w:t>
            </w:r>
          </w:p>
          <w:p>
            <w:pPr>
              <w:widowControl w:val="0"/>
              <w:rPr>
                <w:lang w:eastAsia="zh-CN"/>
              </w:rPr>
            </w:pPr>
            <w:r>
              <w:t>When mul</w:t>
            </w:r>
            <w:r>
              <w:rPr>
                <w:rFonts w:hint="eastAsia"/>
                <w:lang w:eastAsia="zh-CN"/>
              </w:rPr>
              <w:t>ti</w:t>
            </w:r>
            <w:r>
              <w:t xml:space="preserve">-TTI DCI is configured for a SS set, it up to gNB to configure proper parameters.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pPr>
            <w:r>
              <w:t>InterDigital</w:t>
            </w:r>
          </w:p>
        </w:tc>
        <w:tc>
          <w:tcPr>
            <w:tcW w:w="12176" w:type="dxa"/>
            <w:vAlign w:val="center"/>
          </w:tcPr>
          <w:p>
            <w:pPr>
              <w:widowControl w:val="0"/>
            </w:pPr>
            <w:r>
              <w:t>We prefer to discuss this issue after having enough details on multi-slot scheduling.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rFonts w:hint="eastAsia"/>
                <w:lang w:eastAsia="zh-CN"/>
              </w:rPr>
              <w:t>v</w:t>
            </w:r>
            <w:r>
              <w:rPr>
                <w:lang w:eastAsia="zh-CN"/>
              </w:rPr>
              <w:t>ivo</w:t>
            </w:r>
          </w:p>
        </w:tc>
        <w:tc>
          <w:tcPr>
            <w:tcW w:w="12176" w:type="dxa"/>
            <w:vAlign w:val="center"/>
          </w:tcPr>
          <w:p>
            <w:pPr>
              <w:widowControl w:val="0"/>
              <w:rPr>
                <w:lang w:eastAsia="zh-CN"/>
              </w:rPr>
            </w:pPr>
            <w:r>
              <w:rPr>
                <w:rFonts w:hint="eastAsia"/>
                <w:lang w:eastAsia="zh-CN"/>
              </w:rPr>
              <w:t>A</w:t>
            </w:r>
            <w:r>
              <w:rPr>
                <w:lang w:eastAsia="zh-CN"/>
              </w:rPr>
              <w:t>gree with 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rFonts w:hint="eastAsia" w:eastAsia="MS Mincho"/>
                <w:lang w:eastAsia="ja-JP"/>
              </w:rPr>
              <w:t>NTT DOCOMO</w:t>
            </w:r>
          </w:p>
        </w:tc>
        <w:tc>
          <w:tcPr>
            <w:tcW w:w="12176" w:type="dxa"/>
            <w:vAlign w:val="center"/>
          </w:tcPr>
          <w:p>
            <w:pPr>
              <w:widowControl w:val="0"/>
              <w:rPr>
                <w:lang w:eastAsia="zh-CN"/>
              </w:rPr>
            </w:pPr>
            <w:r>
              <w:rPr>
                <w:rFonts w:eastAsia="MS Mincho"/>
                <w:lang w:eastAsia="ja-JP"/>
              </w:rPr>
              <w:t>W</w:t>
            </w:r>
            <w:r>
              <w:rPr>
                <w:rFonts w:hint="eastAsia" w:eastAsia="MS Mincho"/>
                <w:lang w:eastAsia="ja-JP"/>
              </w:rPr>
              <w:t xml:space="preserve">e </w:t>
            </w:r>
            <w:r>
              <w:rPr>
                <w:rFonts w:eastAsia="MS Mincho"/>
                <w:lang w:eastAsia="ja-JP"/>
              </w:rPr>
              <w:t>think this discussion should be postponed after the corresponding discussion on support of such scheduling in AI 8.2.5, as noted by the moderator.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rFonts w:eastAsia="MS Mincho"/>
                <w:lang w:eastAsia="ja-JP"/>
              </w:rPr>
            </w:pPr>
            <w:r>
              <w:rPr>
                <w:lang w:eastAsia="zh-CN"/>
              </w:rPr>
              <w:t>Lenovo, Motorola Mobility</w:t>
            </w:r>
          </w:p>
        </w:tc>
        <w:tc>
          <w:tcPr>
            <w:tcW w:w="12176" w:type="dxa"/>
            <w:vAlign w:val="center"/>
          </w:tcPr>
          <w:p>
            <w:pPr>
              <w:widowControl w:val="0"/>
              <w:rPr>
                <w:rFonts w:eastAsia="MS Mincho"/>
                <w:lang w:eastAsia="ja-JP"/>
              </w:rPr>
            </w:pPr>
            <w:r>
              <w:rPr>
                <w:lang w:eastAsia="zh-CN"/>
              </w:rPr>
              <w:t>In our view, PDDCH monitoring restrictions should be considered in terms of at least SS set configuration where the SS is allowed to be configured with only certain combinations of DCI formats for 480kHz and 960kHz SCS. This is further motivated if new DCI is specified for multiple PDSCH scheduling.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pPr>
            <w:r>
              <w:t>Nokia, NSB</w:t>
            </w:r>
          </w:p>
        </w:tc>
        <w:tc>
          <w:tcPr>
            <w:tcW w:w="12176" w:type="dxa"/>
            <w:vAlign w:val="center"/>
          </w:tcPr>
          <w:p>
            <w:pPr>
              <w:pStyle w:val="206"/>
              <w:widowControl w:val="0"/>
              <w:spacing w:before="0" w:beforeAutospacing="0" w:after="0" w:afterAutospacing="0"/>
              <w:textAlignment w:val="baseline"/>
            </w:pPr>
            <w:r>
              <w:t>Too early to decide.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pPr>
            <w:r>
              <w:rPr>
                <w:lang w:val="en-GB" w:eastAsia="zh-CN"/>
              </w:rPr>
              <w:t>Spreadtrum</w:t>
            </w:r>
          </w:p>
        </w:tc>
        <w:tc>
          <w:tcPr>
            <w:tcW w:w="12176" w:type="dxa"/>
            <w:vAlign w:val="center"/>
          </w:tcPr>
          <w:p>
            <w:pPr>
              <w:widowControl w:val="0"/>
            </w:pPr>
            <w:r>
              <w:rPr>
                <w:lang w:eastAsia="zh-CN"/>
              </w:rPr>
              <w:t>We agree with Futurewei .The question needs further clarifications.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val="en-GB" w:eastAsia="zh-CN"/>
              </w:rPr>
            </w:pPr>
            <w:r>
              <w:rPr>
                <w:lang w:val="en-GB" w:eastAsia="zh-CN"/>
              </w:rPr>
              <w:t>Convida Wireless</w:t>
            </w:r>
          </w:p>
        </w:tc>
        <w:tc>
          <w:tcPr>
            <w:tcW w:w="12176" w:type="dxa"/>
            <w:vAlign w:val="center"/>
          </w:tcPr>
          <w:p>
            <w:pPr>
              <w:widowControl w:val="0"/>
              <w:rPr>
                <w:lang w:eastAsia="zh-CN"/>
              </w:rPr>
            </w:pPr>
            <w:r>
              <w:rPr>
                <w:lang w:eastAsia="zh-CN"/>
              </w:rPr>
              <w:t>We agree with Qualcomm’s comments. The restriction can be up to network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rFonts w:hint="eastAsia" w:eastAsia="Malgun Gothic"/>
                <w:lang w:eastAsia="ko-KR"/>
              </w:rPr>
              <w:t>L</w:t>
            </w:r>
            <w:r>
              <w:rPr>
                <w:rFonts w:eastAsia="Malgun Gothic"/>
                <w:lang w:eastAsia="ko-KR"/>
              </w:rPr>
              <w:t>G Electronics</w:t>
            </w:r>
          </w:p>
        </w:tc>
        <w:tc>
          <w:tcPr>
            <w:tcW w:w="12176" w:type="dxa"/>
            <w:vAlign w:val="center"/>
          </w:tcPr>
          <w:p>
            <w:pPr>
              <w:widowControl w:val="0"/>
              <w:rPr>
                <w:rFonts w:eastAsia="Malgun Gothic"/>
                <w:lang w:eastAsia="ko-KR"/>
              </w:rPr>
            </w:pPr>
            <w:r>
              <w:rPr>
                <w:rFonts w:eastAsia="Malgun Gothic"/>
                <w:lang w:eastAsia="ko-KR"/>
              </w:rPr>
              <w:t>T</w:t>
            </w:r>
            <w:r>
              <w:rPr>
                <w:rFonts w:hint="eastAsia" w:eastAsia="Malgun Gothic"/>
                <w:lang w:eastAsia="ko-KR"/>
              </w:rPr>
              <w:t xml:space="preserve">his issue may be needed to further discuss after </w:t>
            </w:r>
            <w:r>
              <w:rPr>
                <w:rFonts w:eastAsia="Malgun Gothic"/>
                <w:lang w:eastAsia="ko-KR"/>
              </w:rPr>
              <w:t>a new DCI format is adopted for multi-PxSCH scheduling in AI 8.2.5. It may be premature to conclude at this moment.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rFonts w:eastAsia="Malgun Gothic"/>
                <w:sz w:val="20"/>
                <w:lang w:eastAsia="ko-KR"/>
              </w:rPr>
            </w:pPr>
            <w:r>
              <w:rPr>
                <w:rFonts w:eastAsia="Malgun Gothic"/>
                <w:sz w:val="20"/>
                <w:lang w:eastAsia="ko-KR"/>
              </w:rPr>
              <w:t>Ericsson</w:t>
            </w:r>
          </w:p>
        </w:tc>
        <w:tc>
          <w:tcPr>
            <w:tcW w:w="12176" w:type="dxa"/>
            <w:vAlign w:val="center"/>
          </w:tcPr>
          <w:p>
            <w:pPr>
              <w:widowControl w:val="0"/>
              <w:rPr>
                <w:rFonts w:eastAsia="Malgun Gothic"/>
                <w:lang w:eastAsia="ko-KR"/>
              </w:rPr>
            </w:pPr>
            <w:r>
              <w:rPr>
                <w:rFonts w:eastAsia="Malgun Gothic"/>
                <w:lang w:eastAsia="ko-KR"/>
              </w:rPr>
              <w:t>This discussion can be deferred until more progress is made in multi-PDSCH design.</w:t>
            </w:r>
          </w:p>
          <w:p>
            <w:pPr>
              <w:widowControl w:val="0"/>
              <w:rPr>
                <w:rFonts w:eastAsia="Malgun Gothic"/>
                <w:sz w:val="20"/>
                <w:lang w:eastAsia="ko-KR"/>
              </w:rPr>
            </w:pPr>
            <w:r>
              <w:rPr>
                <w:rFonts w:eastAsia="Malgun Gothic"/>
                <w:lang w:eastAsia="ko-KR"/>
              </w:rPr>
              <w:t>That being said, our understanding is that we are targeting non-fallback DCI (like for multi-PUSCH scheduling in Rel-16).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rFonts w:eastAsia="Malgun Gothic"/>
                <w:sz w:val="20"/>
                <w:lang w:eastAsia="ko-KR"/>
              </w:rPr>
            </w:pPr>
            <w:r>
              <w:t>CATT</w:t>
            </w:r>
          </w:p>
        </w:tc>
        <w:tc>
          <w:tcPr>
            <w:tcW w:w="12176" w:type="dxa"/>
            <w:vAlign w:val="center"/>
          </w:tcPr>
          <w:p>
            <w:pPr>
              <w:widowControl w:val="0"/>
              <w:rPr>
                <w:rFonts w:eastAsia="Malgun Gothic"/>
                <w:lang w:eastAsia="zh-CN"/>
              </w:rPr>
            </w:pPr>
            <w:r>
              <w:t>Current SearchSpace can support new DCI format for multi-PDSCH/PUSCH scheduling</w:t>
            </w:r>
            <w:r>
              <w:rPr>
                <w:rFonts w:hint="eastAsia"/>
                <w:lang w:eastAsia="zh-CN"/>
              </w:rPr>
              <w:t>.</w:t>
            </w:r>
          </w:p>
        </w:tc>
      </w:tr>
    </w:tbl>
    <w:p>
      <w:pPr>
        <w:rPr>
          <w:lang w:eastAsia="zh-CN"/>
        </w:rPr>
      </w:pPr>
    </w:p>
    <w:p>
      <w:pPr>
        <w:rPr>
          <w:lang w:eastAsia="zh-CN"/>
        </w:rPr>
      </w:pPr>
      <w:r>
        <w:rPr>
          <w:highlight w:val="cyan"/>
          <w:lang w:eastAsia="zh-CN"/>
        </w:rPr>
        <w:t>First Round FL Summary:</w:t>
      </w:r>
      <w:r>
        <w:rPr>
          <w:lang w:eastAsia="zh-CN"/>
        </w:rPr>
        <w:t xml:space="preserve"> Several companies agree that this issue should be postponed until discussion on multi-slot scheduling has made progress (AI 8.2.5). Some companies think that any </w:t>
      </w:r>
      <w:r>
        <w:t>restriction on the PDCCH monitoring configuration (e.g., periodicity, AL, number of candidates, etc.) should be up to network, as long as it fulfills UE’s PDCCH monitoring capability.</w:t>
      </w:r>
    </w:p>
    <w:p>
      <w:pPr>
        <w:rPr>
          <w:lang w:eastAsia="zh-CN"/>
        </w:rPr>
      </w:pPr>
      <w:r>
        <w:rPr>
          <w:highlight w:val="yellow"/>
          <w:lang w:eastAsia="zh-CN"/>
        </w:rPr>
        <w:t>First Round FL Suggestion:</w:t>
      </w:r>
      <w:r>
        <w:rPr>
          <w:lang w:eastAsia="zh-CN"/>
        </w:rPr>
        <w:t xml:space="preserve"> Discussion may continue in future meetings.</w:t>
      </w:r>
    </w:p>
    <w:p>
      <w:pPr>
        <w:rPr>
          <w:lang w:eastAsia="zh-CN"/>
        </w:rPr>
      </w:pPr>
    </w:p>
    <w:p>
      <w:pPr>
        <w:pStyle w:val="3"/>
      </w:pPr>
      <w:r>
        <w:t>Topic C: Multi-Beam Aspects</w:t>
      </w:r>
    </w:p>
    <w:p/>
    <w:p>
      <w:pPr>
        <w:pStyle w:val="4"/>
        <w:rPr>
          <w:lang w:val="en-GB" w:eastAsia="zh-CN"/>
        </w:rPr>
      </w:pPr>
      <w:r>
        <w:rPr>
          <w:lang w:val="en-GB" w:eastAsia="zh-CN"/>
        </w:rPr>
        <w:t>First Round (C-1)</w:t>
      </w:r>
    </w:p>
    <w:p>
      <w:pPr>
        <w:rPr>
          <w:b/>
        </w:rPr>
      </w:pPr>
      <w:r>
        <w:rPr>
          <w:b/>
        </w:rPr>
        <w:t>Question C-1: Do you have any views on the need for enhancing PDCCH w.r.t. multiple beams?</w:t>
      </w:r>
    </w:p>
    <w:p>
      <w:pPr>
        <w:rPr>
          <w:lang w:eastAsia="zh-CN"/>
        </w:rPr>
      </w:pPr>
    </w:p>
    <w:tbl>
      <w:tblPr>
        <w:tblStyle w:val="52"/>
        <w:tblW w:w="145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5"/>
        <w:gridCol w:w="121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shd w:val="clear" w:color="auto" w:fill="FFC000"/>
            <w:vAlign w:val="center"/>
          </w:tcPr>
          <w:p>
            <w:pPr>
              <w:widowControl w:val="0"/>
              <w:rPr>
                <w:b/>
                <w:bCs/>
              </w:rPr>
            </w:pPr>
            <w:r>
              <w:rPr>
                <w:b/>
                <w:bCs/>
              </w:rPr>
              <w:t>Company</w:t>
            </w:r>
          </w:p>
        </w:tc>
        <w:tc>
          <w:tcPr>
            <w:tcW w:w="12176" w:type="dxa"/>
            <w:shd w:val="clear" w:color="auto" w:fill="FFC000"/>
            <w:vAlign w:val="center"/>
          </w:tcPr>
          <w:p>
            <w:pPr>
              <w:widowControl w:val="0"/>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lang w:eastAsia="zh-CN"/>
              </w:rPr>
              <w:t xml:space="preserve">Xiaomi </w:t>
            </w:r>
          </w:p>
        </w:tc>
        <w:tc>
          <w:tcPr>
            <w:tcW w:w="12176" w:type="dxa"/>
            <w:vAlign w:val="center"/>
          </w:tcPr>
          <w:p>
            <w:pPr>
              <w:widowControl w:val="0"/>
              <w:rPr>
                <w:lang w:eastAsia="zh-CN"/>
              </w:rPr>
            </w:pPr>
            <w:r>
              <w:rPr>
                <w:lang w:eastAsia="zh-CN"/>
              </w:rPr>
              <w:t>We are open to discuss. Currently only a few companies have mentioned this topic. Maybe we can wait for more input and discuss later.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t>Qualcomm</w:t>
            </w:r>
          </w:p>
        </w:tc>
        <w:tc>
          <w:tcPr>
            <w:tcW w:w="12176" w:type="dxa"/>
            <w:vAlign w:val="center"/>
          </w:tcPr>
          <w:p>
            <w:pPr>
              <w:widowControl w:val="0"/>
              <w:rPr>
                <w:lang w:eastAsia="zh-CN"/>
              </w:rPr>
            </w:pPr>
            <w:r>
              <w:t>PDCCH enhancement associated with multi-beam transmission is already under discussion in eMIMO WI. We don’t think separate discussion is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pPr>
            <w:r>
              <w:rPr>
                <w:lang w:eastAsia="zh-CN"/>
              </w:rPr>
              <w:t>Futurewei</w:t>
            </w:r>
          </w:p>
        </w:tc>
        <w:tc>
          <w:tcPr>
            <w:tcW w:w="12176" w:type="dxa"/>
            <w:vAlign w:val="center"/>
          </w:tcPr>
          <w:p>
            <w:pPr>
              <w:widowControl w:val="0"/>
            </w:pPr>
            <w:r>
              <w:rPr>
                <w:lang w:eastAsia="zh-CN"/>
              </w:rPr>
              <w:t>This discussion may be deprioritized for later.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rFonts w:hint="eastAsia"/>
                <w:lang w:eastAsia="zh-CN"/>
              </w:rPr>
              <w:t>OPPO</w:t>
            </w:r>
          </w:p>
        </w:tc>
        <w:tc>
          <w:tcPr>
            <w:tcW w:w="12176" w:type="dxa"/>
            <w:vAlign w:val="center"/>
          </w:tcPr>
          <w:p>
            <w:pPr>
              <w:widowControl w:val="0"/>
              <w:rPr>
                <w:lang w:eastAsia="zh-CN"/>
              </w:rPr>
            </w:pPr>
            <w:r>
              <w:rPr>
                <w:lang w:eastAsia="zh-CN"/>
              </w:rPr>
              <w:t>We are open for PDCCH enhancement including supporting multiple beams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pPr>
            <w:r>
              <w:rPr>
                <w:rFonts w:hint="eastAsia"/>
              </w:rPr>
              <w:t>H</w:t>
            </w:r>
            <w:r>
              <w:t>uawei, HiSilicon</w:t>
            </w:r>
          </w:p>
        </w:tc>
        <w:tc>
          <w:tcPr>
            <w:tcW w:w="12176" w:type="dxa"/>
            <w:vAlign w:val="center"/>
          </w:tcPr>
          <w:p>
            <w:pPr>
              <w:widowControl w:val="0"/>
            </w:pPr>
            <w:r>
              <w:t>The</w:t>
            </w:r>
            <w:r>
              <w:rPr>
                <w:rFonts w:hint="eastAsia"/>
              </w:rPr>
              <w:t xml:space="preserve"> </w:t>
            </w:r>
            <w:r>
              <w:t>discussion on the potential support of directional LBT should proceed first under the agenda on channel access mechanisms.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pPr>
            <w:r>
              <w:t>Apple</w:t>
            </w:r>
          </w:p>
        </w:tc>
        <w:tc>
          <w:tcPr>
            <w:tcW w:w="12176" w:type="dxa"/>
            <w:vAlign w:val="center"/>
          </w:tcPr>
          <w:p>
            <w:pPr>
              <w:widowControl w:val="0"/>
            </w:pPr>
            <w:r>
              <w:t>This should be discussed as a secondary priority.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pPr>
            <w:r>
              <w:rPr>
                <w:rFonts w:hint="eastAsia"/>
                <w:lang w:eastAsia="zh-CN"/>
              </w:rPr>
              <w:t>ZTE, Sanechips</w:t>
            </w:r>
          </w:p>
        </w:tc>
        <w:tc>
          <w:tcPr>
            <w:tcW w:w="12176" w:type="dxa"/>
            <w:vAlign w:val="center"/>
          </w:tcPr>
          <w:p>
            <w:pPr>
              <w:widowControl w:val="0"/>
            </w:pPr>
            <w:r>
              <w:rPr>
                <w:rFonts w:hint="eastAsia"/>
                <w:lang w:eastAsia="zh-CN"/>
              </w:rPr>
              <w:t>We think that there is a need for enhancements on multi-beam aspects for PDCCH, but this issue should be discussed later e.g. after AI 8.2.6 makes some related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lang w:eastAsia="zh-CN"/>
              </w:rPr>
              <w:t>Samsung</w:t>
            </w:r>
          </w:p>
        </w:tc>
        <w:tc>
          <w:tcPr>
            <w:tcW w:w="12176" w:type="dxa"/>
            <w:vAlign w:val="center"/>
          </w:tcPr>
          <w:p>
            <w:pPr>
              <w:widowControl w:val="0"/>
              <w:rPr>
                <w:lang w:eastAsia="zh-CN"/>
              </w:rPr>
            </w:pPr>
            <w:r>
              <w:rPr>
                <w:lang w:eastAsia="zh-CN"/>
              </w:rPr>
              <w:t xml:space="preserve">Support. We proposed this proposal in channel access agenda.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t>Intel</w:t>
            </w:r>
          </w:p>
        </w:tc>
        <w:tc>
          <w:tcPr>
            <w:tcW w:w="12176" w:type="dxa"/>
            <w:vAlign w:val="center"/>
          </w:tcPr>
          <w:p>
            <w:pPr>
              <w:widowControl w:val="0"/>
              <w:rPr>
                <w:lang w:eastAsia="zh-CN"/>
              </w:rPr>
            </w:pPr>
            <w:r>
              <w:t>We are open to discuss beam related operation, especially DCI 2_0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pPr>
            <w:r>
              <w:t>InterDigital</w:t>
            </w:r>
          </w:p>
        </w:tc>
        <w:tc>
          <w:tcPr>
            <w:tcW w:w="12176" w:type="dxa"/>
            <w:vAlign w:val="center"/>
          </w:tcPr>
          <w:p>
            <w:pPr>
              <w:widowControl w:val="0"/>
            </w:pPr>
            <w:r>
              <w:t xml:space="preserve">We think that this is out of scope.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pPr>
            <w:r>
              <w:rPr>
                <w:rFonts w:hint="eastAsia"/>
                <w:lang w:eastAsia="zh-CN"/>
              </w:rPr>
              <w:t>v</w:t>
            </w:r>
            <w:r>
              <w:rPr>
                <w:lang w:eastAsia="zh-CN"/>
              </w:rPr>
              <w:t>ivo</w:t>
            </w:r>
          </w:p>
        </w:tc>
        <w:tc>
          <w:tcPr>
            <w:tcW w:w="12176" w:type="dxa"/>
            <w:vAlign w:val="center"/>
          </w:tcPr>
          <w:p>
            <w:pPr>
              <w:widowControl w:val="0"/>
            </w:pPr>
            <w:r>
              <w:rPr>
                <w:lang w:eastAsia="zh-CN"/>
              </w:rPr>
              <w:t>We are open to discuss the special part other than that in eMIMO WI.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rFonts w:hint="eastAsia" w:eastAsia="MS Mincho"/>
                <w:lang w:eastAsia="ja-JP"/>
              </w:rPr>
              <w:t>NTT DOCOMO</w:t>
            </w:r>
          </w:p>
        </w:tc>
        <w:tc>
          <w:tcPr>
            <w:tcW w:w="12176" w:type="dxa"/>
            <w:vAlign w:val="center"/>
          </w:tcPr>
          <w:p>
            <w:pPr>
              <w:widowControl w:val="0"/>
              <w:rPr>
                <w:lang w:eastAsia="zh-CN"/>
              </w:rPr>
            </w:pPr>
            <w:r>
              <w:rPr>
                <w:rFonts w:eastAsia="MS Mincho"/>
                <w:lang w:eastAsia="ja-JP"/>
              </w:rPr>
              <w:t>W</w:t>
            </w:r>
            <w:r>
              <w:rPr>
                <w:rFonts w:hint="eastAsia" w:eastAsia="MS Mincho"/>
                <w:lang w:eastAsia="ja-JP"/>
              </w:rPr>
              <w:t xml:space="preserve">e </w:t>
            </w:r>
            <w:r>
              <w:rPr>
                <w:rFonts w:eastAsia="MS Mincho"/>
                <w:lang w:eastAsia="ja-JP"/>
              </w:rPr>
              <w:t xml:space="preserve">are open to discuss but this topic can be deprioritized. We agree with ZTE that it depends on the progress in AI 8.2.6.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rFonts w:eastAsia="MS Mincho"/>
                <w:lang w:eastAsia="ja-JP"/>
              </w:rPr>
            </w:pPr>
            <w:r>
              <w:rPr>
                <w:rFonts w:eastAsia="MS Mincho"/>
                <w:lang w:eastAsia="ja-JP"/>
              </w:rPr>
              <w:t>Sony</w:t>
            </w:r>
          </w:p>
        </w:tc>
        <w:tc>
          <w:tcPr>
            <w:tcW w:w="12176" w:type="dxa"/>
            <w:vAlign w:val="center"/>
          </w:tcPr>
          <w:p>
            <w:pPr>
              <w:widowControl w:val="0"/>
              <w:rPr>
                <w:rFonts w:eastAsia="MS Mincho"/>
                <w:lang w:eastAsia="ja-JP"/>
              </w:rPr>
            </w:pPr>
            <w:r>
              <w:t xml:space="preserve">We support the proposals from Nokia and LG on making changes to DCI format 2_0, to facilitate the per beam indication on </w:t>
            </w:r>
            <w:r>
              <w:rPr>
                <w:rFonts w:eastAsia="Times New Roman"/>
                <w:lang w:eastAsia="en-GB"/>
              </w:rPr>
              <w:t xml:space="preserve">COT or SS-group switching trigger, RB-sets.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rFonts w:eastAsia="MS Mincho"/>
                <w:lang w:eastAsia="ja-JP"/>
              </w:rPr>
            </w:pPr>
            <w:r>
              <w:rPr>
                <w:lang w:eastAsia="zh-CN"/>
              </w:rPr>
              <w:t>Lenovo, Motorola Mobility</w:t>
            </w:r>
          </w:p>
        </w:tc>
        <w:tc>
          <w:tcPr>
            <w:tcW w:w="12176" w:type="dxa"/>
            <w:vAlign w:val="center"/>
          </w:tcPr>
          <w:p>
            <w:pPr>
              <w:widowControl w:val="0"/>
              <w:rPr>
                <w:lang w:eastAsia="zh-CN"/>
              </w:rPr>
            </w:pPr>
            <w:r>
              <w:rPr>
                <w:lang w:eastAsia="zh-CN"/>
              </w:rPr>
              <w:t>In our view, PDCCH monitoring for multi-beam aspects in channel access should be considered.</w:t>
            </w:r>
          </w:p>
          <w:p>
            <w:pPr>
              <w:widowControl w:val="0"/>
            </w:pPr>
            <w:r>
              <w:rPr>
                <w:lang w:eastAsia="zh-CN"/>
              </w:rPr>
              <w:t>Especially, PDCCH monitoring can be restricted based on beam-specific CORESET(s) monitoring within a COT</w:t>
            </w:r>
            <w:r>
              <w:rPr>
                <w:rFonts w:hint="eastAsia"/>
                <w:lang w:eastAsia="zh-CN"/>
              </w:rPr>
              <w:t>,</w:t>
            </w:r>
            <w:r>
              <w:rPr>
                <w:lang w:eastAsia="zh-CN"/>
              </w:rPr>
              <w:t xml:space="preserve"> that is to say, within a COT initiated by a gNB using directional LBT, the Tx beam configured for a CORESET may be outside the spatial region of the current COT, so that the UE can stop monitoring the PDCCH occasions in such CORESET(s) until the COT ends.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pPr>
            <w:r>
              <w:t>Nokia, NSB</w:t>
            </w:r>
          </w:p>
        </w:tc>
        <w:tc>
          <w:tcPr>
            <w:tcW w:w="12176" w:type="dxa"/>
            <w:vAlign w:val="center"/>
          </w:tcPr>
          <w:p>
            <w:pPr>
              <w:widowControl w:val="0"/>
            </w:pPr>
            <w:r>
              <w:t>GC-PDCCH is an essential part of unlicensed band system, and there seems to be a need to support beam-dependent information, particularly if some form of directional LBT is chosen as coexistence mechanism.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lang w:val="en-GB" w:eastAsia="zh-CN"/>
              </w:rPr>
              <w:t>Spreadtrum</w:t>
            </w:r>
          </w:p>
        </w:tc>
        <w:tc>
          <w:tcPr>
            <w:tcW w:w="12176" w:type="dxa"/>
            <w:vAlign w:val="center"/>
          </w:tcPr>
          <w:p>
            <w:pPr>
              <w:widowControl w:val="0"/>
              <w:rPr>
                <w:lang w:eastAsia="zh-CN"/>
              </w:rPr>
            </w:pPr>
            <w:r>
              <w:rPr>
                <w:lang w:eastAsia="zh-CN"/>
              </w:rPr>
              <w:t>We are open to enhance PDCCH to support multiple beams.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val="en-GB" w:eastAsia="zh-CN"/>
              </w:rPr>
            </w:pPr>
            <w:r>
              <w:rPr>
                <w:lang w:val="en-GB" w:eastAsia="zh-CN"/>
              </w:rPr>
              <w:t>Convida Wireless</w:t>
            </w:r>
          </w:p>
        </w:tc>
        <w:tc>
          <w:tcPr>
            <w:tcW w:w="12176" w:type="dxa"/>
            <w:vAlign w:val="center"/>
          </w:tcPr>
          <w:p>
            <w:pPr>
              <w:widowControl w:val="0"/>
              <w:rPr>
                <w:lang w:eastAsia="zh-CN"/>
              </w:rPr>
            </w:pPr>
            <w:r>
              <w:rPr>
                <w:lang w:eastAsia="zh-CN"/>
              </w:rPr>
              <w:t>We are open for discussion. In addition, Rel-17 FeMIMO has agreed to support PDCCH with multi-beams.</w:t>
            </w:r>
            <w:r>
              <w:rPr>
                <w:color w:val="4F81BD" w:themeColor="accent1"/>
                <w14:textFill>
                  <w14:solidFill>
                    <w14:schemeClr w14:val="accent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rFonts w:hint="eastAsia" w:eastAsia="Malgun Gothic"/>
                <w:lang w:eastAsia="ko-KR"/>
              </w:rPr>
              <w:t>L</w:t>
            </w:r>
            <w:r>
              <w:rPr>
                <w:rFonts w:eastAsia="Malgun Gothic"/>
                <w:lang w:eastAsia="ko-KR"/>
              </w:rPr>
              <w:t>G Electronics</w:t>
            </w:r>
          </w:p>
        </w:tc>
        <w:tc>
          <w:tcPr>
            <w:tcW w:w="12176" w:type="dxa"/>
            <w:vAlign w:val="center"/>
          </w:tcPr>
          <w:p>
            <w:pPr>
              <w:widowControl w:val="0"/>
              <w:rPr>
                <w:rFonts w:eastAsia="Malgun Gothic"/>
                <w:lang w:eastAsia="ko-KR"/>
              </w:rPr>
            </w:pPr>
            <w:r>
              <w:rPr>
                <w:rFonts w:eastAsia="Malgun Gothic"/>
                <w:lang w:eastAsia="ko-KR"/>
              </w:rPr>
              <w:t xml:space="preserve">For efficient utilization of GC-PDCCH in unlicensed operation, we can consider per beam indication of available RB set, CO duration, and/or SS set switching by using DCI format 2_0.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rFonts w:eastAsia="Malgun Gothic"/>
                <w:sz w:val="20"/>
                <w:lang w:eastAsia="ko-KR"/>
              </w:rPr>
            </w:pPr>
            <w:r>
              <w:rPr>
                <w:rFonts w:eastAsia="Malgun Gothic"/>
                <w:lang w:eastAsia="ko-KR"/>
              </w:rPr>
              <w:t>Ericsson</w:t>
            </w:r>
          </w:p>
        </w:tc>
        <w:tc>
          <w:tcPr>
            <w:tcW w:w="12176" w:type="dxa"/>
            <w:vAlign w:val="center"/>
          </w:tcPr>
          <w:p>
            <w:pPr>
              <w:widowControl w:val="0"/>
              <w:rPr>
                <w:rFonts w:eastAsia="Malgun Gothic"/>
                <w:lang w:eastAsia="ko-KR"/>
              </w:rPr>
            </w:pPr>
            <w:r>
              <w:rPr>
                <w:rFonts w:eastAsia="Malgun Gothic"/>
                <w:lang w:eastAsia="ko-KR"/>
              </w:rPr>
              <w:t>We agree with the comments from Qualcomm. It seems out of scope.</w:t>
            </w:r>
          </w:p>
          <w:p>
            <w:pPr>
              <w:widowControl w:val="0"/>
              <w:rPr>
                <w:rFonts w:eastAsia="Malgun Gothic"/>
                <w:sz w:val="20"/>
                <w:lang w:eastAsia="ko-KR"/>
              </w:rPr>
            </w:pPr>
            <w:r>
              <w:rPr>
                <w:rFonts w:eastAsia="Malgun Gothic"/>
                <w:lang w:eastAsia="ko-KR"/>
              </w:rPr>
              <w:t>For companies suggesting beam indication for Type-3 CSS (GC-PDCCH) it is not at all clear what scope of enhancements are being suggested. How should this work given that GC-PDCCH needs to address multiple users in different directions?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rFonts w:eastAsia="Malgun Gothic"/>
                <w:lang w:eastAsia="ko-KR"/>
              </w:rPr>
            </w:pPr>
            <w:r>
              <w:t>CATT</w:t>
            </w:r>
          </w:p>
        </w:tc>
        <w:tc>
          <w:tcPr>
            <w:tcW w:w="12176" w:type="dxa"/>
            <w:vAlign w:val="center"/>
          </w:tcPr>
          <w:p>
            <w:pPr>
              <w:widowControl w:val="0"/>
              <w:rPr>
                <w:rFonts w:eastAsia="Malgun Gothic"/>
                <w:lang w:eastAsia="zh-CN"/>
              </w:rPr>
            </w:pPr>
            <w:r>
              <w:t>The TCI state of each CORESET could be enhanced to support dynamically updated through DCI</w:t>
            </w:r>
            <w:r>
              <w:rPr>
                <w:rFonts w:hint="eastAsia"/>
                <w:lang w:eastAsia="zh-CN"/>
              </w:rPr>
              <w:t>.</w:t>
            </w:r>
          </w:p>
        </w:tc>
      </w:tr>
    </w:tbl>
    <w:p>
      <w:pPr>
        <w:rPr>
          <w:lang w:eastAsia="zh-CN"/>
        </w:rPr>
      </w:pPr>
    </w:p>
    <w:p>
      <w:pPr>
        <w:rPr>
          <w:lang w:eastAsia="zh-CN"/>
        </w:rPr>
      </w:pPr>
      <w:r>
        <w:rPr>
          <w:highlight w:val="cyan"/>
          <w:lang w:eastAsia="zh-CN"/>
        </w:rPr>
        <w:t>First Round FL Summary:</w:t>
      </w:r>
      <w:r>
        <w:rPr>
          <w:lang w:eastAsia="zh-CN"/>
        </w:rPr>
        <w:t xml:space="preserve"> Several companies pointed out that they are open to discuss multi-beam PDCCH aspects/enhancements. Companies also noted that the main discussion for multi-beam scheduling may happen in Rel-17 FeMIMO, and discussion of specific issues for unlicensed channel may need to wait for progress in 8.2.6 (Channel Access). One company identified specific issue is the use of GC-PDCCH indication of beam-specific indication of </w:t>
      </w:r>
      <w:r>
        <w:rPr>
          <w:rFonts w:eastAsia="Malgun Gothic"/>
          <w:lang w:eastAsia="ko-KR"/>
        </w:rPr>
        <w:t xml:space="preserve">available RB set, CO duration, and/or SS set switching. One company suggests that </w:t>
      </w:r>
      <w:r>
        <w:t>the TCI state of each CORESET could be enhanced to support dynamically updated through DCI.</w:t>
      </w:r>
    </w:p>
    <w:p>
      <w:pPr>
        <w:rPr>
          <w:lang w:eastAsia="zh-CN"/>
        </w:rPr>
      </w:pPr>
      <w:r>
        <w:rPr>
          <w:highlight w:val="yellow"/>
          <w:lang w:eastAsia="zh-CN"/>
        </w:rPr>
        <w:t>First Round FL Suggestion:</w:t>
      </w:r>
      <w:r>
        <w:rPr>
          <w:lang w:eastAsia="zh-CN"/>
        </w:rPr>
        <w:t xml:space="preserve"> Discussion on specific PDCCH issues for unlicensed channel operation with multi-beam operation can be discussed in this AI in future meetings, but may be depending on progress in AI 8.2.6 (Channel Access) and therefore deprioritized for the time being.</w:t>
      </w:r>
    </w:p>
    <w:p>
      <w:pPr>
        <w:rPr>
          <w:lang w:eastAsia="zh-CN"/>
        </w:rPr>
      </w:pPr>
    </w:p>
    <w:p>
      <w:pPr>
        <w:pStyle w:val="3"/>
      </w:pPr>
      <w:r>
        <w:t>Topic D: Cross-carrier scheduling</w:t>
      </w:r>
    </w:p>
    <w:p/>
    <w:p>
      <w:pPr>
        <w:pStyle w:val="4"/>
        <w:rPr>
          <w:lang w:val="en-GB" w:eastAsia="zh-CN"/>
        </w:rPr>
      </w:pPr>
      <w:r>
        <w:rPr>
          <w:lang w:val="en-GB" w:eastAsia="zh-CN"/>
        </w:rPr>
        <w:t>First Round (D-1)</w:t>
      </w:r>
    </w:p>
    <w:p>
      <w:pPr>
        <w:rPr>
          <w:b/>
        </w:rPr>
      </w:pPr>
      <w:r>
        <w:rPr>
          <w:b/>
        </w:rPr>
        <w:t>Question D-1: Would you like to provide any views on the documents and proposals listed under Topic D?</w:t>
      </w:r>
    </w:p>
    <w:p>
      <w:pPr>
        <w:rPr>
          <w:lang w:eastAsia="zh-CN"/>
        </w:rPr>
      </w:pPr>
    </w:p>
    <w:tbl>
      <w:tblPr>
        <w:tblStyle w:val="52"/>
        <w:tblW w:w="145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5"/>
        <w:gridCol w:w="121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405" w:type="dxa"/>
            <w:shd w:val="clear" w:color="auto" w:fill="FFC000"/>
            <w:vAlign w:val="center"/>
          </w:tcPr>
          <w:p>
            <w:pPr>
              <w:widowControl w:val="0"/>
              <w:rPr>
                <w:b/>
                <w:bCs/>
              </w:rPr>
            </w:pPr>
            <w:r>
              <w:rPr>
                <w:b/>
                <w:bCs/>
              </w:rPr>
              <w:t>Company</w:t>
            </w:r>
          </w:p>
        </w:tc>
        <w:tc>
          <w:tcPr>
            <w:tcW w:w="12176" w:type="dxa"/>
            <w:shd w:val="clear" w:color="auto" w:fill="FFC000"/>
            <w:vAlign w:val="center"/>
          </w:tcPr>
          <w:p>
            <w:pPr>
              <w:widowControl w:val="0"/>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pPr>
            <w:r>
              <w:t>Qualcomm</w:t>
            </w:r>
          </w:p>
        </w:tc>
        <w:tc>
          <w:tcPr>
            <w:tcW w:w="12176" w:type="dxa"/>
            <w:vAlign w:val="center"/>
          </w:tcPr>
          <w:p>
            <w:pPr>
              <w:widowControl w:val="0"/>
            </w:pPr>
            <w:r>
              <w:t>As we commented in Question A1-3, the preparation time for cross-carrier PDSCH and aperiodic CSI-RS/SRS, should be discussed. Unlike other processing timeline issues for PDSCH/PUSCH, which will be discussed in sub-agenda 8.2.5, the cross-carrier preparation time has implications with PDCCH processing time. Therefore, it should be discussed in this sub-agenda.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pPr>
            <w:r>
              <w:t>Futurewei</w:t>
            </w:r>
          </w:p>
        </w:tc>
        <w:tc>
          <w:tcPr>
            <w:tcW w:w="12176" w:type="dxa"/>
            <w:vAlign w:val="center"/>
          </w:tcPr>
          <w:p>
            <w:pPr>
              <w:widowControl w:val="0"/>
            </w:pPr>
            <w:r>
              <w:t>Support reuse of the existing cross-carrier scheduling specs. Further enhancement may not be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pPr>
            <w:r>
              <w:rPr>
                <w:rFonts w:hint="eastAsia"/>
              </w:rPr>
              <w:t>H</w:t>
            </w:r>
            <w:r>
              <w:t>uawei, HiSilicon</w:t>
            </w:r>
          </w:p>
        </w:tc>
        <w:tc>
          <w:tcPr>
            <w:tcW w:w="12176" w:type="dxa"/>
            <w:vAlign w:val="center"/>
          </w:tcPr>
          <w:p>
            <w:pPr>
              <w:widowControl w:val="0"/>
            </w:pPr>
            <w:r>
              <w:t>We support Proposal 4 in R1-2101321 (Single DCI schedule multiple PDSCH across multiple CCs should be studied for NR operation from 52.6 to 71 GHz). Note that this is being discussed in the DSS enhancements WI, so if it is specified as part of DSS enhancements (WID clarifies that enhancements would be applicable to CA in general with or without DSS), then we see no reason not to support those enhancements also in 52.6 to 71 GHz.</w:t>
            </w:r>
          </w:p>
          <w:p>
            <w:pPr>
              <w:widowControl w:val="0"/>
            </w:pPr>
            <w:r>
              <w:t>Proposal 6 in R1-2101454 would normally be handled as part of the necessary discussions on processing timelines.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pPr>
            <w:r>
              <w:rPr>
                <w:rFonts w:hint="eastAsia"/>
                <w:lang w:eastAsia="zh-CN"/>
              </w:rPr>
              <w:t>ZTE, Sanechips</w:t>
            </w:r>
          </w:p>
        </w:tc>
        <w:tc>
          <w:tcPr>
            <w:tcW w:w="12176" w:type="dxa"/>
            <w:vAlign w:val="center"/>
          </w:tcPr>
          <w:p>
            <w:pPr>
              <w:widowControl w:val="0"/>
            </w:pPr>
            <w:r>
              <w:rPr>
                <w:rFonts w:hint="eastAsia"/>
                <w:lang w:eastAsia="zh-CN"/>
              </w:rPr>
              <w:t>We think that b</w:t>
            </w:r>
            <w:r>
              <w:rPr>
                <w:rFonts w:hint="eastAsia"/>
              </w:rPr>
              <w:t xml:space="preserve">oth </w:t>
            </w:r>
            <w:r>
              <w:rPr>
                <w:rFonts w:hint="eastAsia"/>
                <w:lang w:eastAsia="zh-CN"/>
              </w:rPr>
              <w:t>c</w:t>
            </w:r>
            <w:r>
              <w:rPr>
                <w:rFonts w:hint="eastAsia"/>
              </w:rPr>
              <w:t>ross-carrier scheduling and PDSCH reception preparation time</w:t>
            </w:r>
            <w:r>
              <w:rPr>
                <w:rFonts w:hint="eastAsia"/>
                <w:lang w:eastAsia="zh-CN"/>
              </w:rPr>
              <w:t xml:space="preserve"> should be discussed in AI 8.2.5 HARQ/scheduling and timeline. Besides, it may be </w:t>
            </w:r>
            <w:r>
              <w:rPr>
                <w:lang w:eastAsia="zh-CN"/>
              </w:rPr>
              <w:t>deprioritized</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pPr>
            <w:r>
              <w:t>Samsung</w:t>
            </w:r>
          </w:p>
        </w:tc>
        <w:tc>
          <w:tcPr>
            <w:tcW w:w="12176" w:type="dxa"/>
            <w:vAlign w:val="center"/>
          </w:tcPr>
          <w:p>
            <w:pPr>
              <w:widowControl w:val="0"/>
            </w:pPr>
            <w:r>
              <w:t xml:space="preserve">This topic can be deprioritized unless issues are identified.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pPr>
            <w:r>
              <w:t>Intel</w:t>
            </w:r>
          </w:p>
        </w:tc>
        <w:tc>
          <w:tcPr>
            <w:tcW w:w="12176" w:type="dxa"/>
            <w:vAlign w:val="center"/>
          </w:tcPr>
          <w:p>
            <w:pPr>
              <w:widowControl w:val="0"/>
            </w:pPr>
            <w:r>
              <w:t xml:space="preserve">Multi-cell scheduling is out-of-scope. </w:t>
            </w:r>
          </w:p>
          <w:p>
            <w:pPr>
              <w:widowControl w:val="0"/>
            </w:pPr>
            <w:r>
              <w:t xml:space="preserve">We share QC’s views to define new values for minimum PDSCH scheduling delay and Minimum A-CSI RS triggering offset for SCS 480 and 960kHz.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rFonts w:hint="eastAsia"/>
                <w:lang w:eastAsia="zh-CN"/>
              </w:rPr>
              <w:t>v</w:t>
            </w:r>
            <w:r>
              <w:rPr>
                <w:lang w:eastAsia="zh-CN"/>
              </w:rPr>
              <w:t>ivo</w:t>
            </w:r>
          </w:p>
        </w:tc>
        <w:tc>
          <w:tcPr>
            <w:tcW w:w="12176" w:type="dxa"/>
            <w:vAlign w:val="center"/>
          </w:tcPr>
          <w:p>
            <w:pPr>
              <w:widowControl w:val="0"/>
              <w:rPr>
                <w:lang w:eastAsia="zh-CN"/>
              </w:rPr>
            </w:pPr>
            <w:r>
              <w:rPr>
                <w:rFonts w:hint="eastAsia"/>
                <w:lang w:eastAsia="zh-CN"/>
              </w:rPr>
              <w:t>I</w:t>
            </w:r>
            <w:r>
              <w:rPr>
                <w:lang w:eastAsia="zh-CN"/>
              </w:rPr>
              <w:t>t can be discussed as long as the issues are identified.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pPr>
            <w:r>
              <w:t>Nokia, NSB</w:t>
            </w:r>
          </w:p>
        </w:tc>
        <w:tc>
          <w:tcPr>
            <w:tcW w:w="12176" w:type="dxa"/>
            <w:vAlign w:val="center"/>
          </w:tcPr>
          <w:p>
            <w:pPr>
              <w:widowControl w:val="0"/>
            </w:pPr>
            <w:r>
              <w:t>Agree with Intel’s view: additional enhancements are deprioritized unless a clear motivation is identified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lang w:eastAsia="zh-CN"/>
              </w:rPr>
              <w:t>Convida Wireless</w:t>
            </w:r>
          </w:p>
        </w:tc>
        <w:tc>
          <w:tcPr>
            <w:tcW w:w="12176" w:type="dxa"/>
            <w:vAlign w:val="center"/>
          </w:tcPr>
          <w:p>
            <w:pPr>
              <w:widowControl w:val="0"/>
              <w:rPr>
                <w:lang w:eastAsia="zh-CN"/>
              </w:rPr>
            </w:pPr>
            <w:r>
              <w:rPr>
                <w:lang w:eastAsia="zh-CN"/>
              </w:rPr>
              <w:t>We support single DCI schedule multiple PDSCH across multiple CC. Like the case that a single DCI scheduling multiple PDSCHs in a serving cell, there are several advantages to introduce a single DCI format scheduling multiple PDSCHs across multiple CCs.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sz w:val="20"/>
                <w:lang w:eastAsia="zh-CN"/>
              </w:rPr>
            </w:pPr>
            <w:r>
              <w:rPr>
                <w:lang w:eastAsia="zh-CN"/>
              </w:rPr>
              <w:t>Ericsson</w:t>
            </w:r>
          </w:p>
        </w:tc>
        <w:tc>
          <w:tcPr>
            <w:tcW w:w="12176" w:type="dxa"/>
            <w:vAlign w:val="center"/>
          </w:tcPr>
          <w:p>
            <w:pPr>
              <w:widowControl w:val="0"/>
              <w:rPr>
                <w:sz w:val="20"/>
                <w:lang w:eastAsia="zh-CN"/>
              </w:rPr>
            </w:pPr>
            <w:r>
              <w:rPr>
                <w:lang w:eastAsia="zh-CN"/>
              </w:rPr>
              <w:t>We agree with Qualcomm's comment. It is important to consider the processing times such that cross-carrier scheduling is functional, e.g., CC in current FR2 scheduling a CC in 52.6 to 71 GHz.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t>CATT</w:t>
            </w:r>
          </w:p>
        </w:tc>
        <w:tc>
          <w:tcPr>
            <w:tcW w:w="12176" w:type="dxa"/>
            <w:vAlign w:val="center"/>
          </w:tcPr>
          <w:p>
            <w:pPr>
              <w:widowControl w:val="0"/>
              <w:rPr>
                <w:lang w:eastAsia="zh-CN"/>
              </w:rPr>
            </w:pPr>
            <w:r>
              <w:t>Rel-16 cross-carrier scheduling with different numerology should be reused.</w:t>
            </w:r>
          </w:p>
        </w:tc>
      </w:tr>
    </w:tbl>
    <w:p>
      <w:pPr>
        <w:rPr>
          <w:lang w:eastAsia="zh-CN"/>
        </w:rPr>
      </w:pPr>
    </w:p>
    <w:p>
      <w:pPr>
        <w:rPr>
          <w:lang w:eastAsia="zh-CN"/>
        </w:rPr>
      </w:pPr>
      <w:r>
        <w:rPr>
          <w:highlight w:val="cyan"/>
          <w:lang w:eastAsia="zh-CN"/>
        </w:rPr>
        <w:t>First Round FL Summary:</w:t>
      </w:r>
      <w:r>
        <w:rPr>
          <w:lang w:eastAsia="zh-CN"/>
        </w:rPr>
        <w:t xml:space="preserve"> Several companies expressed the need to discuss </w:t>
      </w:r>
      <w:r>
        <w:t>minimum PDSCH scheduling delay and Minimum A-CSI RS triggering offset for SCS 480 and 960kHz. However it seems further discussion in this meeting is not likely to result in more progress. For other topics, it would be beneficial to hear views from more companies before arriving at a conclusion.</w:t>
      </w:r>
    </w:p>
    <w:p>
      <w:pPr>
        <w:rPr>
          <w:lang w:eastAsia="zh-CN"/>
        </w:rPr>
      </w:pPr>
      <w:r>
        <w:rPr>
          <w:highlight w:val="yellow"/>
          <w:lang w:eastAsia="zh-CN"/>
        </w:rPr>
        <w:t>First Round FL Suggestion:</w:t>
      </w:r>
      <w:r>
        <w:rPr>
          <w:lang w:eastAsia="zh-CN"/>
        </w:rPr>
        <w:t xml:space="preserve"> Continue discussion at least on </w:t>
      </w:r>
      <w:r>
        <w:t>minimum PDSCH scheduling delay and Minimum A-CSI RS triggering offset for SCS 480 and 960kHz</w:t>
      </w:r>
      <w:r>
        <w:rPr>
          <w:lang w:eastAsia="zh-CN"/>
        </w:rPr>
        <w:t xml:space="preserve"> in RAN1#104bis-e (or later); other topics can be further discussed but may be deprioritized.</w:t>
      </w:r>
    </w:p>
    <w:p>
      <w:pPr>
        <w:rPr>
          <w:lang w:eastAsia="zh-CN"/>
        </w:rPr>
      </w:pPr>
    </w:p>
    <w:p>
      <w:pPr>
        <w:pStyle w:val="3"/>
      </w:pPr>
      <w:r>
        <w:t>Topic E: Other</w:t>
      </w:r>
    </w:p>
    <w:p/>
    <w:p>
      <w:pPr>
        <w:pStyle w:val="4"/>
        <w:rPr>
          <w:lang w:val="en-GB" w:eastAsia="zh-CN"/>
        </w:rPr>
      </w:pPr>
      <w:r>
        <w:rPr>
          <w:lang w:val="en-GB" w:eastAsia="zh-CN"/>
        </w:rPr>
        <w:t>First Round (E-1)</w:t>
      </w:r>
    </w:p>
    <w:p>
      <w:pPr>
        <w:rPr>
          <w:b/>
        </w:rPr>
      </w:pPr>
      <w:r>
        <w:rPr>
          <w:b/>
        </w:rPr>
        <w:t>Question E-1: Would you like to provide any views on the documents and proposals listed under Topic E?</w:t>
      </w:r>
    </w:p>
    <w:p>
      <w:pPr>
        <w:rPr>
          <w:lang w:eastAsia="zh-CN"/>
        </w:rPr>
      </w:pPr>
    </w:p>
    <w:tbl>
      <w:tblPr>
        <w:tblStyle w:val="52"/>
        <w:tblW w:w="145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5"/>
        <w:gridCol w:w="121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405" w:type="dxa"/>
            <w:shd w:val="clear" w:color="auto" w:fill="FFC000"/>
            <w:vAlign w:val="center"/>
          </w:tcPr>
          <w:p>
            <w:pPr>
              <w:widowControl w:val="0"/>
              <w:rPr>
                <w:b/>
                <w:bCs/>
              </w:rPr>
            </w:pPr>
            <w:r>
              <w:rPr>
                <w:b/>
                <w:bCs/>
              </w:rPr>
              <w:t>Company</w:t>
            </w:r>
          </w:p>
        </w:tc>
        <w:tc>
          <w:tcPr>
            <w:tcW w:w="12176" w:type="dxa"/>
            <w:shd w:val="clear" w:color="auto" w:fill="FFC000"/>
            <w:vAlign w:val="center"/>
          </w:tcPr>
          <w:p>
            <w:pPr>
              <w:widowControl w:val="0"/>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pPr>
            <w:r>
              <w:rPr>
                <w:rFonts w:hint="eastAsia"/>
                <w:lang w:eastAsia="zh-CN"/>
              </w:rPr>
              <w:t>Xiaomi</w:t>
            </w:r>
          </w:p>
        </w:tc>
        <w:tc>
          <w:tcPr>
            <w:tcW w:w="12176" w:type="dxa"/>
            <w:vAlign w:val="center"/>
          </w:tcPr>
          <w:p>
            <w:pPr>
              <w:widowControl w:val="0"/>
            </w:pPr>
            <w:r>
              <w:rPr>
                <w:lang w:eastAsia="zh-CN"/>
              </w:rPr>
              <w:t>F</w:t>
            </w:r>
            <w:r>
              <w:rPr>
                <w:rFonts w:hint="eastAsia"/>
                <w:lang w:eastAsia="zh-CN"/>
              </w:rPr>
              <w:t>or</w:t>
            </w:r>
            <w:r>
              <w:t xml:space="preserve"> our proposals below, we consider they are necessary, and need to discussed for the new SCS 480/960khz. </w:t>
            </w:r>
          </w:p>
          <w:p>
            <w:pPr>
              <w:pStyle w:val="30"/>
              <w:widowControl w:val="0"/>
              <w:rPr>
                <w:rFonts w:cs="Calibri"/>
                <w:iCs/>
                <w:lang w:val="en-GB" w:eastAsia="zh-CN"/>
              </w:rPr>
            </w:pPr>
            <w:r>
              <w:rPr>
                <w:rFonts w:cs="Calibri"/>
                <w:iCs/>
                <w:lang w:val="en-GB" w:eastAsia="zh-CN"/>
              </w:rPr>
              <w:t xml:space="preserve">Search space </w:t>
            </w:r>
            <w:r>
              <w:t>set group switching</w:t>
            </w:r>
            <w:r>
              <w:rPr>
                <w:rFonts w:cs="Calibri"/>
                <w:iCs/>
                <w:lang w:val="en-GB" w:eastAsia="zh-CN"/>
              </w:rPr>
              <w:t xml:space="preserve"> is introduced in R16 NR-U for power saving propose and group switching time </w:t>
            </w:r>
            <w:r>
              <w:t xml:space="preserve"> </w:t>
            </w:r>
            <m:oMath>
              <m:sSub>
                <m:sSubPr>
                  <m:ctrlPr>
                    <w:rPr>
                      <w:rFonts w:ascii="Cambria Math" w:hAnsi="Cambria Math"/>
                      <w:i/>
                    </w:rPr>
                  </m:ctrlPr>
                </m:sSubPr>
                <m:e>
                  <m:r>
                    <w:rPr>
                      <w:rFonts w:ascii="Cambria Math" w:hAnsi="Cambria Math"/>
                    </w:rPr>
                    <m:t>P</m:t>
                  </m:r>
                  <m:ctrlPr>
                    <w:rPr>
                      <w:rFonts w:ascii="Cambria Math" w:hAnsi="Cambria Math"/>
                      <w:i/>
                    </w:rPr>
                  </m:ctrlPr>
                </m:e>
                <m:sub>
                  <m:r>
                    <w:rPr>
                      <w:rFonts w:ascii="Cambria Math" w:hAnsi="Cambria Math"/>
                    </w:rPr>
                    <m:t>switch</m:t>
                  </m:r>
                  <m:ctrlPr>
                    <w:rPr>
                      <w:rFonts w:ascii="Cambria Math" w:hAnsi="Cambria Math"/>
                      <w:i/>
                    </w:rPr>
                  </m:ctrlPr>
                </m:sub>
              </m:sSub>
            </m:oMath>
            <w:r>
              <w:t xml:space="preserve"> is defined for SCS 15-60kHz</w:t>
            </w:r>
            <w:r>
              <w:rPr>
                <w:rFonts w:hint="eastAsia"/>
                <w:lang w:eastAsia="zh-CN"/>
              </w:rPr>
              <w:t>.</w:t>
            </w:r>
            <w:r>
              <w:rPr>
                <w:lang w:eastAsia="zh-CN"/>
              </w:rPr>
              <w:t xml:space="preserve"> To facilitate unlicensed band operation for </w:t>
            </w:r>
            <w:r>
              <w:rPr>
                <w:rFonts w:cs="Calibri"/>
                <w:iCs/>
                <w:lang w:eastAsia="zh-CN"/>
              </w:rPr>
              <w:t>NR 52.6-71GH</w:t>
            </w:r>
            <w:r>
              <w:rPr>
                <w:rFonts w:hint="eastAsia" w:cs="Calibri"/>
                <w:iCs/>
                <w:lang w:eastAsia="zh-CN"/>
              </w:rPr>
              <w:t>z</w:t>
            </w:r>
            <w:r>
              <w:rPr>
                <w:rFonts w:cs="Calibri"/>
                <w:iCs/>
                <w:lang w:eastAsia="zh-CN"/>
              </w:rPr>
              <w:t xml:space="preserve">, </w:t>
            </w:r>
            <w:r>
              <w:rPr>
                <w:rFonts w:cs="Calibri"/>
                <w:iCs/>
                <w:lang w:val="en-GB" w:eastAsia="zh-CN"/>
              </w:rPr>
              <w:t xml:space="preserve">group switching time </w:t>
            </w:r>
            <w:r>
              <w:t xml:space="preserve"> </w:t>
            </w:r>
            <m:oMath>
              <m:sSub>
                <m:sSubPr>
                  <m:ctrlPr>
                    <w:rPr>
                      <w:rFonts w:ascii="Cambria Math" w:hAnsi="Cambria Math"/>
                      <w:i/>
                    </w:rPr>
                  </m:ctrlPr>
                </m:sSubPr>
                <m:e>
                  <m:r>
                    <w:rPr>
                      <w:rFonts w:ascii="Cambria Math" w:hAnsi="Cambria Math"/>
                    </w:rPr>
                    <m:t>P</m:t>
                  </m:r>
                  <m:ctrlPr>
                    <w:rPr>
                      <w:rFonts w:ascii="Cambria Math" w:hAnsi="Cambria Math"/>
                      <w:i/>
                    </w:rPr>
                  </m:ctrlPr>
                </m:e>
                <m:sub>
                  <m:r>
                    <w:rPr>
                      <w:rFonts w:ascii="Cambria Math" w:hAnsi="Cambria Math"/>
                    </w:rPr>
                    <m:t>switch</m:t>
                  </m:r>
                  <m:ctrlPr>
                    <w:rPr>
                      <w:rFonts w:ascii="Cambria Math" w:hAnsi="Cambria Math"/>
                      <w:i/>
                    </w:rPr>
                  </m:ctrlPr>
                </m:sub>
              </m:sSub>
            </m:oMath>
            <w:r>
              <w:t xml:space="preserve">  should also be defined </w:t>
            </w:r>
            <w:r>
              <w:rPr>
                <w:rFonts w:cs="Calibri"/>
                <w:iCs/>
                <w:lang w:eastAsia="zh-CN"/>
              </w:rPr>
              <w:t>for 120</w:t>
            </w:r>
            <w:r>
              <w:rPr>
                <w:rFonts w:hint="eastAsia" w:cs="Calibri"/>
                <w:iCs/>
                <w:lang w:eastAsia="zh-CN"/>
              </w:rPr>
              <w:t>/</w:t>
            </w:r>
            <w:r>
              <w:rPr>
                <w:rFonts w:cs="Calibri"/>
                <w:iCs/>
                <w:lang w:eastAsia="zh-CN"/>
              </w:rPr>
              <w:t>480/960kHz</w:t>
            </w:r>
            <w:r>
              <w:rPr>
                <w:rFonts w:cs="Calibri"/>
                <w:iCs/>
                <w:lang w:val="en-GB" w:eastAsia="zh-CN"/>
              </w:rPr>
              <w:t xml:space="preserve"> </w:t>
            </w:r>
          </w:p>
          <w:p>
            <w:pPr>
              <w:widowControl w:val="0"/>
              <w:jc w:val="both"/>
              <w:rPr>
                <w:b/>
                <w:i/>
                <w:lang w:eastAsia="zh-CN"/>
              </w:rPr>
            </w:pPr>
            <w:r>
              <w:rPr>
                <w:b/>
                <w:i/>
                <w:lang w:eastAsia="zh-CN"/>
              </w:rPr>
              <w:t xml:space="preserve">Proposal 6: Search space set group switching time </w:t>
            </w:r>
            <m:oMath>
              <m:sSub>
                <m:sSubPr>
                  <m:ctrlPr>
                    <w:rPr>
                      <w:rFonts w:ascii="Cambria Math" w:hAnsi="Cambria Math"/>
                      <w:i/>
                    </w:rPr>
                  </m:ctrlPr>
                </m:sSubPr>
                <m:e>
                  <m:r>
                    <w:rPr>
                      <w:rFonts w:ascii="Cambria Math" w:hAnsi="Cambria Math"/>
                    </w:rPr>
                    <m:t>P</m:t>
                  </m:r>
                  <m:ctrlPr>
                    <w:rPr>
                      <w:rFonts w:ascii="Cambria Math" w:hAnsi="Cambria Math"/>
                      <w:i/>
                    </w:rPr>
                  </m:ctrlPr>
                </m:e>
                <m:sub>
                  <m:r>
                    <w:rPr>
                      <w:rFonts w:ascii="Cambria Math" w:hAnsi="Cambria Math"/>
                    </w:rPr>
                    <m:t>switch</m:t>
                  </m:r>
                  <m:ctrlPr>
                    <w:rPr>
                      <w:rFonts w:ascii="Cambria Math" w:hAnsi="Cambria Math"/>
                      <w:i/>
                    </w:rPr>
                  </m:ctrlPr>
                </m:sub>
              </m:sSub>
            </m:oMath>
            <w:r>
              <w:rPr>
                <w:position w:val="-5"/>
              </w:rPr>
              <w:t xml:space="preserve"> </w:t>
            </w:r>
            <w:r>
              <w:rPr>
                <w:b/>
                <w:i/>
                <w:lang w:eastAsia="zh-CN"/>
              </w:rPr>
              <w:t>should be defined for 120/480/960kHz.</w:t>
            </w:r>
          </w:p>
          <w:p>
            <w:pPr>
              <w:pStyle w:val="30"/>
              <w:widowControl w:val="0"/>
              <w:rPr>
                <w:rFonts w:cs="Calibri"/>
                <w:iCs/>
                <w:lang w:val="en-GB" w:eastAsia="zh-CN"/>
              </w:rPr>
            </w:pPr>
            <w:r>
              <w:rPr>
                <w:rFonts w:cs="Calibri"/>
                <w:iCs/>
                <w:lang w:val="en-GB" w:eastAsia="zh-CN"/>
              </w:rPr>
              <w:t xml:space="preserve">The maximum search space periodicity in current spec is 2560 slots, and with SCS increased to 960kHz, </w:t>
            </w:r>
            <w:r>
              <w:rPr>
                <w:rFonts w:hint="eastAsia" w:cs="Calibri"/>
                <w:iCs/>
                <w:lang w:val="en-GB" w:eastAsia="zh-CN"/>
              </w:rPr>
              <w:t>the</w:t>
            </w:r>
            <w:r>
              <w:rPr>
                <w:rFonts w:cs="Calibri"/>
                <w:iCs/>
                <w:lang w:val="en-GB" w:eastAsia="zh-CN"/>
              </w:rPr>
              <w:t xml:space="preserve"> absolute time of the maximum search space periodicity will be decreased by 8 time</w:t>
            </w:r>
            <w:r>
              <w:rPr>
                <w:rFonts w:hint="eastAsia" w:cs="Calibri"/>
                <w:iCs/>
                <w:lang w:val="en-GB" w:eastAsia="zh-CN"/>
              </w:rPr>
              <w:t>s</w:t>
            </w:r>
            <w:r>
              <w:rPr>
                <w:rFonts w:cs="Calibri"/>
                <w:iCs/>
                <w:lang w:val="en-GB" w:eastAsia="zh-CN"/>
              </w:rPr>
              <w:t>. So new periodicity parameters may need to be introduced for the new SCSs, as well as the search space offset/duration parameters.</w:t>
            </w:r>
          </w:p>
          <w:p>
            <w:pPr>
              <w:widowControl w:val="0"/>
              <w:jc w:val="both"/>
              <w:rPr>
                <w:b/>
                <w:i/>
                <w:lang w:eastAsia="zh-CN"/>
              </w:rPr>
            </w:pPr>
            <w:r>
              <w:rPr>
                <w:b/>
                <w:i/>
                <w:lang w:eastAsia="zh-CN"/>
              </w:rPr>
              <w:t>Proposal 7:</w:t>
            </w:r>
            <w:r>
              <w:t xml:space="preserve"> </w:t>
            </w:r>
            <w:r>
              <w:rPr>
                <w:b/>
                <w:i/>
                <w:lang w:eastAsia="zh-CN"/>
              </w:rPr>
              <w:t>New search space periodicity parameters, as well as the search space offset/duration parameters, may need to be introduced for the new SCSs.</w:t>
            </w:r>
          </w:p>
          <w:p>
            <w:pPr>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pPr>
            <w:r>
              <w:t>Nokia, NSB</w:t>
            </w:r>
          </w:p>
        </w:tc>
        <w:tc>
          <w:tcPr>
            <w:tcW w:w="12176" w:type="dxa"/>
            <w:vAlign w:val="center"/>
          </w:tcPr>
          <w:p>
            <w:pPr>
              <w:widowControl w:val="0"/>
            </w:pPr>
            <w:r>
              <w:t>We don’t see a need for these. These can be deprioritized.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rFonts w:hint="eastAsia" w:eastAsia="Malgun Gothic"/>
                <w:lang w:eastAsia="ko-KR"/>
              </w:rPr>
              <w:t>L</w:t>
            </w:r>
            <w:r>
              <w:rPr>
                <w:rFonts w:eastAsia="Malgun Gothic"/>
                <w:lang w:eastAsia="ko-KR"/>
              </w:rPr>
              <w:t>G Electronics</w:t>
            </w:r>
          </w:p>
        </w:tc>
        <w:tc>
          <w:tcPr>
            <w:tcW w:w="12176" w:type="dxa"/>
            <w:vAlign w:val="center"/>
          </w:tcPr>
          <w:p>
            <w:pPr>
              <w:widowControl w:val="0"/>
              <w:rPr>
                <w:rFonts w:eastAsia="Malgun Gothic"/>
                <w:lang w:eastAsia="ko-KR"/>
              </w:rPr>
            </w:pPr>
            <w:r>
              <w:rPr>
                <w:rFonts w:eastAsia="Malgun Gothic"/>
                <w:lang w:eastAsia="ko-KR"/>
              </w:rPr>
              <w:t>Carrier-group based GC-PDCCH could reduce the amount of signaling of RB-set, CO duration and SS set switching to consecutive carriers whose are overlapped to any coexisting RATs in unlicensed band.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rFonts w:eastAsia="Malgun Gothic"/>
                <w:sz w:val="20"/>
                <w:lang w:eastAsia="ko-KR"/>
              </w:rPr>
            </w:pPr>
            <w:r>
              <w:rPr>
                <w:rFonts w:eastAsia="Malgun Gothic"/>
                <w:lang w:eastAsia="ko-KR"/>
              </w:rPr>
              <w:t>Ericsson</w:t>
            </w:r>
          </w:p>
        </w:tc>
        <w:tc>
          <w:tcPr>
            <w:tcW w:w="12176" w:type="dxa"/>
            <w:vAlign w:val="center"/>
          </w:tcPr>
          <w:p>
            <w:pPr>
              <w:widowControl w:val="0"/>
              <w:rPr>
                <w:rFonts w:eastAsia="Malgun Gothic"/>
                <w:sz w:val="20"/>
                <w:lang w:eastAsia="ko-KR"/>
              </w:rPr>
            </w:pPr>
            <w:r>
              <w:rPr>
                <w:rFonts w:eastAsia="Malgun Gothic"/>
                <w:lang w:eastAsia="ko-KR"/>
              </w:rPr>
              <w:t>It would be useful to revisit the timeline for search space set group switching to see if new values are needed for 480/960 kHz SCS. SCS.</w:t>
            </w:r>
          </w:p>
        </w:tc>
      </w:tr>
    </w:tbl>
    <w:p>
      <w:pPr>
        <w:rPr>
          <w:lang w:eastAsia="zh-CN"/>
        </w:rPr>
      </w:pPr>
    </w:p>
    <w:p>
      <w:pPr>
        <w:rPr>
          <w:lang w:eastAsia="zh-CN"/>
        </w:rPr>
      </w:pPr>
      <w:r>
        <w:rPr>
          <w:highlight w:val="cyan"/>
          <w:lang w:eastAsia="zh-CN"/>
        </w:rPr>
        <w:t>First Round FL Summary:</w:t>
      </w:r>
      <w:r>
        <w:rPr>
          <w:lang w:eastAsia="zh-CN"/>
        </w:rPr>
        <w:t xml:space="preserve"> Only a few companies commented on these proposals, so it seems better to defer such discussion to later meetings.</w:t>
      </w:r>
    </w:p>
    <w:p>
      <w:pPr>
        <w:rPr>
          <w:lang w:eastAsia="zh-CN"/>
        </w:rPr>
      </w:pPr>
      <w:r>
        <w:rPr>
          <w:highlight w:val="yellow"/>
          <w:lang w:eastAsia="zh-CN"/>
        </w:rPr>
        <w:t>First Round FL Suggestion:</w:t>
      </w:r>
      <w:r>
        <w:rPr>
          <w:lang w:eastAsia="zh-CN"/>
        </w:rPr>
        <w:t xml:space="preserve"> Continue discussion on these topics in future meetings.</w:t>
      </w:r>
    </w:p>
    <w:p>
      <w:pPr>
        <w:pStyle w:val="2"/>
      </w:pPr>
      <w:r>
        <w:t>Contribution Details</w:t>
      </w:r>
    </w:p>
    <w:p>
      <w:pPr>
        <w:rPr>
          <w:lang w:val="en-GB" w:eastAsia="zh-CN"/>
        </w:rPr>
      </w:pPr>
      <w:r>
        <w:rPr>
          <w:lang w:val="en-GB" w:eastAsia="zh-CN"/>
        </w:rPr>
        <w:t>The following sections show extracted discussion and proposals from the contributions submitted to this AI.</w:t>
      </w:r>
    </w:p>
    <w:p>
      <w:pPr>
        <w:pStyle w:val="3"/>
      </w:pPr>
      <w:r>
        <w:t>Topic A1: Blind Decoding Capability, Multi-slot span monitoring</w:t>
      </w:r>
    </w:p>
    <w:p>
      <w:pPr>
        <w:rPr>
          <w:lang w:val="en-GB" w:eastAsia="zh-CN"/>
        </w:rPr>
      </w:pPr>
      <w:r>
        <w:rPr>
          <w:lang w:val="en-GB" w:eastAsia="zh-CN"/>
        </w:rPr>
        <w:t>List of issues, proposals, and suggestions for handling in the email discussion phase.</w:t>
      </w:r>
    </w:p>
    <w:p>
      <w:pPr>
        <w:pStyle w:val="4"/>
        <w:jc w:val="both"/>
        <w:rPr>
          <w:lang w:val="en-GB" w:eastAsia="zh-CN"/>
        </w:rPr>
      </w:pPr>
      <w:r>
        <w:rPr>
          <w:lang w:val="en-GB" w:eastAsia="zh-CN"/>
        </w:rPr>
        <w:t>R1-2100058 (Lenovo, Motorola Mobility)</w:t>
      </w:r>
    </w:p>
    <w:tbl>
      <w:tblPr>
        <w:tblStyle w:val="52"/>
        <w:tblW w:w="145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vAlign w:val="center"/>
          </w:tcPr>
          <w:p>
            <w:pPr>
              <w:widowControl w:val="0"/>
              <w:jc w:val="both"/>
              <w:rPr>
                <w:bCs/>
                <w:lang w:eastAsia="ja-JP"/>
              </w:rPr>
            </w:pPr>
            <w:r>
              <w:rPr>
                <w:bCs/>
                <w:lang w:eastAsia="ja-JP"/>
              </w:rPr>
              <w:t>In RAN1#103-e and in the WID, it has been agreed to specify enhancements to schedule multiple PDSCH/PUSCH by a single DCI. One of the main motivations for this is to avoid the need for UE to monitor PDCCH scheduling PDSCH/PUSCH in every slot as it may not be feasible to monitor and decode by UE due to very short slot duration for higher SCS values such as 480kHz and 960kHz. Therefore, it is quite straightforward extension to allow the possibility for a UE to be configured with multi-slot PDCCH monitoring span, where the UE is not required to monitor PDCCH in every slot.</w:t>
            </w:r>
          </w:p>
          <w:p>
            <w:pPr>
              <w:widowControl w:val="0"/>
              <w:jc w:val="both"/>
              <w:rPr>
                <w:b/>
                <w:i/>
                <w:iCs/>
              </w:rPr>
            </w:pPr>
            <w:r>
              <w:rPr>
                <w:b/>
                <w:i/>
                <w:iCs/>
                <w:lang w:eastAsia="ja-JP"/>
              </w:rPr>
              <w:t xml:space="preserve">Proposal 1: </w:t>
            </w:r>
            <w:r>
              <w:rPr>
                <w:b/>
                <w:i/>
                <w:iCs/>
              </w:rPr>
              <w:t>For supporting NR between 52.6 GHz and 71 GHz with high subcarrier spacing values including 480kHz and 960kHz, multi-slot PDCCH monitoring span should be supported.</w:t>
            </w:r>
          </w:p>
          <w:p>
            <w:pPr>
              <w:widowControl w:val="0"/>
              <w:jc w:val="both"/>
              <w:rPr>
                <w:bCs/>
              </w:rPr>
            </w:pPr>
            <w:r>
              <w:rPr>
                <w:bCs/>
              </w:rPr>
              <w:t xml:space="preserve">Furthermore, exact duration of the multi-slot PDCCH monitoring span can be configurable with different values in terms of number of slots depending upon the SCS values. For example, with 480kHz SCS value, multi-slot PDCCH monitoring span is 4 slots and with 960kHz SCS value, multi-slot PDCCH monitoring span is 8 slots. </w:t>
            </w:r>
          </w:p>
          <w:p>
            <w:pPr>
              <w:widowControl w:val="0"/>
              <w:jc w:val="both"/>
              <w:rPr>
                <w:b/>
                <w:i/>
                <w:iCs/>
              </w:rPr>
            </w:pPr>
            <w:r>
              <w:rPr>
                <w:b/>
                <w:i/>
                <w:iCs/>
                <w:lang w:eastAsia="ja-JP"/>
              </w:rPr>
              <w:t xml:space="preserve">Proposal 2: </w:t>
            </w:r>
            <w:r>
              <w:rPr>
                <w:b/>
                <w:i/>
                <w:iCs/>
              </w:rPr>
              <w:t>For supporting NR between 52.6 GHz and 71 GHz with high subcarrier spacing values including 480kHz and 960kHz, if multi-slot PDCCH monitoring span should be supported, then the exact duration of the span can be configured depending upon the subcarrier spacing value.</w:t>
            </w:r>
          </w:p>
          <w:p>
            <w:pPr>
              <w:widowControl w:val="0"/>
              <w:jc w:val="both"/>
              <w:rPr>
                <w:bCs/>
                <w:lang w:eastAsia="ja-JP"/>
              </w:rPr>
            </w:pPr>
            <w:r>
              <w:rPr>
                <w:bCs/>
                <w:lang w:eastAsia="ja-JP"/>
              </w:rPr>
              <w:t>With high SCS values, the absolute duration of the slot is greatly reduced and moreover, when single DCI can schedule multi-PDSCH/PUSCH over multiple slots, it might be beneficial to consider longer duration than 3 symbols for CORESETs. Multiple benefits can be associated with longer duration:</w:t>
            </w:r>
          </w:p>
          <w:p>
            <w:pPr>
              <w:pStyle w:val="73"/>
              <w:widowControl w:val="0"/>
              <w:numPr>
                <w:ilvl w:val="0"/>
                <w:numId w:val="29"/>
              </w:numPr>
              <w:overflowPunct w:val="0"/>
              <w:autoSpaceDE w:val="0"/>
              <w:autoSpaceDN w:val="0"/>
              <w:adjustRightInd w:val="0"/>
              <w:snapToGrid/>
              <w:spacing w:after="180"/>
              <w:contextualSpacing/>
              <w:jc w:val="both"/>
              <w:textAlignment w:val="baseline"/>
              <w:rPr>
                <w:bCs/>
                <w:lang w:eastAsia="ja-JP"/>
              </w:rPr>
            </w:pPr>
            <w:r>
              <w:rPr>
                <w:bCs/>
                <w:lang w:eastAsia="ja-JP"/>
              </w:rPr>
              <w:t>Better support for higher aggregation levels for better reliability</w:t>
            </w:r>
          </w:p>
          <w:p>
            <w:pPr>
              <w:pStyle w:val="73"/>
              <w:widowControl w:val="0"/>
              <w:numPr>
                <w:ilvl w:val="0"/>
                <w:numId w:val="29"/>
              </w:numPr>
              <w:overflowPunct w:val="0"/>
              <w:autoSpaceDE w:val="0"/>
              <w:autoSpaceDN w:val="0"/>
              <w:adjustRightInd w:val="0"/>
              <w:snapToGrid/>
              <w:spacing w:after="180"/>
              <w:contextualSpacing/>
              <w:jc w:val="both"/>
              <w:textAlignment w:val="baseline"/>
              <w:rPr>
                <w:bCs/>
                <w:lang w:eastAsia="ja-JP"/>
              </w:rPr>
            </w:pPr>
            <w:r>
              <w:rPr>
                <w:bCs/>
                <w:lang w:eastAsia="ja-JP"/>
              </w:rPr>
              <w:t>More resources available for CORESET, but with same or even reduced duration in absolute time</w:t>
            </w:r>
          </w:p>
          <w:p>
            <w:pPr>
              <w:pStyle w:val="73"/>
              <w:widowControl w:val="0"/>
              <w:numPr>
                <w:ilvl w:val="0"/>
                <w:numId w:val="29"/>
              </w:numPr>
              <w:overflowPunct w:val="0"/>
              <w:autoSpaceDE w:val="0"/>
              <w:autoSpaceDN w:val="0"/>
              <w:adjustRightInd w:val="0"/>
              <w:snapToGrid/>
              <w:spacing w:after="180"/>
              <w:contextualSpacing/>
              <w:jc w:val="both"/>
              <w:textAlignment w:val="baseline"/>
              <w:rPr>
                <w:bCs/>
                <w:lang w:eastAsia="ja-JP"/>
              </w:rPr>
            </w:pPr>
            <w:r>
              <w:rPr>
                <w:bCs/>
                <w:lang w:eastAsia="ja-JP"/>
              </w:rPr>
              <w:t>More symbols available to allow TDM multiplexing between DM-RS and control information</w:t>
            </w:r>
          </w:p>
          <w:p>
            <w:pPr>
              <w:pStyle w:val="73"/>
              <w:widowControl w:val="0"/>
              <w:numPr>
                <w:ilvl w:val="1"/>
                <w:numId w:val="29"/>
              </w:numPr>
              <w:overflowPunct w:val="0"/>
              <w:autoSpaceDE w:val="0"/>
              <w:autoSpaceDN w:val="0"/>
              <w:adjustRightInd w:val="0"/>
              <w:snapToGrid/>
              <w:spacing w:after="180"/>
              <w:contextualSpacing/>
              <w:jc w:val="both"/>
              <w:textAlignment w:val="baseline"/>
              <w:rPr>
                <w:bCs/>
                <w:lang w:eastAsia="ja-JP"/>
              </w:rPr>
            </w:pPr>
            <w:r>
              <w:rPr>
                <w:bCs/>
                <w:lang w:eastAsia="ja-JP"/>
              </w:rPr>
              <w:t>Benefit of a DM-RS symbol with continuous frequency resources will account for better channel estimation with higher SCS values.</w:t>
            </w:r>
          </w:p>
          <w:p>
            <w:pPr>
              <w:widowControl w:val="0"/>
              <w:jc w:val="both"/>
              <w:rPr>
                <w:bCs/>
                <w:lang w:eastAsia="ja-JP"/>
              </w:rPr>
            </w:pPr>
            <w:r>
              <w:rPr>
                <w:bCs/>
                <w:lang w:eastAsia="ja-JP"/>
              </w:rPr>
              <w:t>In fact, for very high SCS value such as 960kHz, even an entire slot for PDCCH can be considered to allow for only single PDCCH monitoring occasion within a slot.</w:t>
            </w:r>
          </w:p>
          <w:p>
            <w:pPr>
              <w:widowControl w:val="0"/>
              <w:spacing w:after="0"/>
              <w:jc w:val="both"/>
              <w:rPr>
                <w:b/>
                <w:i/>
                <w:iCs/>
              </w:rPr>
            </w:pPr>
            <w:r>
              <w:rPr>
                <w:b/>
                <w:i/>
                <w:iCs/>
                <w:lang w:eastAsia="ja-JP"/>
              </w:rPr>
              <w:t xml:space="preserve">Proposal 5: </w:t>
            </w:r>
            <w:r>
              <w:rPr>
                <w:b/>
                <w:i/>
                <w:iCs/>
              </w:rPr>
              <w:t>For supporting NR between 52.6 GHz and 71 GHz with high subcarrier spacing values including 480kHz and 960kHz, CORESET duration longer than 3 symbols should be supported:</w:t>
            </w:r>
          </w:p>
          <w:p>
            <w:pPr>
              <w:pStyle w:val="73"/>
              <w:widowControl w:val="0"/>
              <w:numPr>
                <w:ilvl w:val="0"/>
                <w:numId w:val="30"/>
              </w:numPr>
              <w:overflowPunct w:val="0"/>
              <w:autoSpaceDE w:val="0"/>
              <w:autoSpaceDN w:val="0"/>
              <w:adjustRightInd w:val="0"/>
              <w:snapToGrid/>
              <w:spacing w:after="180"/>
              <w:contextualSpacing/>
              <w:jc w:val="both"/>
              <w:textAlignment w:val="baseline"/>
              <w:rPr>
                <w:b/>
                <w:i/>
                <w:iCs/>
              </w:rPr>
            </w:pPr>
            <w:r>
              <w:rPr>
                <w:b/>
                <w:i/>
                <w:iCs/>
              </w:rPr>
              <w:t>FFS: Maximum duration up to 14 symbols in a slot.</w:t>
            </w:r>
          </w:p>
        </w:tc>
      </w:tr>
    </w:tbl>
    <w:p>
      <w:pPr>
        <w:pStyle w:val="4"/>
        <w:jc w:val="both"/>
        <w:rPr>
          <w:lang w:val="en-GB" w:eastAsia="zh-CN"/>
        </w:rPr>
      </w:pPr>
      <w:r>
        <w:rPr>
          <w:lang w:val="en-GB" w:eastAsia="zh-CN"/>
        </w:rPr>
        <w:t>R1-2100074 (ZTE, Sanechips)</w:t>
      </w:r>
    </w:p>
    <w:tbl>
      <w:tblPr>
        <w:tblStyle w:val="52"/>
        <w:tblW w:w="145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vAlign w:val="center"/>
          </w:tcPr>
          <w:p>
            <w:pPr>
              <w:widowControl w:val="0"/>
              <w:jc w:val="both"/>
              <w:rPr>
                <w:rFonts w:eastAsia="宋体"/>
                <w:b/>
                <w:lang w:eastAsia="zh-CN"/>
              </w:rPr>
            </w:pPr>
            <w:r>
              <w:rPr>
                <w:b/>
                <w:lang w:eastAsia="ja-JP"/>
              </w:rPr>
              <w:t xml:space="preserve">Observation </w:t>
            </w:r>
            <w:r>
              <w:rPr>
                <w:rFonts w:hint="eastAsia" w:eastAsia="宋体"/>
                <w:b/>
                <w:lang w:eastAsia="zh-CN"/>
              </w:rPr>
              <w:t>1</w:t>
            </w:r>
            <w:r>
              <w:rPr>
                <w:b/>
                <w:lang w:eastAsia="ja-JP"/>
              </w:rPr>
              <w:t xml:space="preserve">: </w:t>
            </w:r>
            <w:r>
              <w:rPr>
                <w:b/>
              </w:rPr>
              <w:t xml:space="preserve">For supporting NR </w:t>
            </w:r>
            <w:r>
              <w:rPr>
                <w:rFonts w:hint="eastAsia" w:eastAsia="宋体"/>
                <w:b/>
                <w:lang w:eastAsia="zh-CN"/>
              </w:rPr>
              <w:t>operation in 52.6 GHz ~ 71 GHz</w:t>
            </w:r>
            <w:r>
              <w:rPr>
                <w:b/>
              </w:rPr>
              <w:t xml:space="preserve"> with </w:t>
            </w:r>
            <w:r>
              <w:rPr>
                <w:rFonts w:hint="eastAsia" w:eastAsia="宋体"/>
                <w:b/>
                <w:lang w:eastAsia="zh-CN"/>
              </w:rPr>
              <w:t>SCS 480 kHz &amp; 960 kHz,</w:t>
            </w:r>
            <w:r>
              <w:rPr>
                <w:b/>
              </w:rPr>
              <w:t xml:space="preserve"> the PDCCH monitoring capability </w:t>
            </w:r>
            <w:r>
              <w:rPr>
                <w:rFonts w:hint="eastAsia" w:eastAsia="宋体"/>
                <w:b/>
                <w:lang w:eastAsia="zh-CN"/>
              </w:rPr>
              <w:t xml:space="preserve">will be further </w:t>
            </w:r>
            <w:r>
              <w:rPr>
                <w:rFonts w:eastAsia="宋体"/>
                <w:b/>
                <w:lang w:eastAsia="zh-CN"/>
              </w:rPr>
              <w:t>relaxed</w:t>
            </w:r>
            <w:r>
              <w:rPr>
                <w:rFonts w:hint="eastAsia" w:eastAsia="宋体"/>
                <w:b/>
                <w:lang w:eastAsia="zh-CN"/>
              </w:rPr>
              <w:t xml:space="preserve">, the maximum number of non-overlapped CCEs and PDCCH candidates per slot could </w:t>
            </w:r>
            <w:r>
              <w:rPr>
                <w:rFonts w:eastAsia="宋体"/>
                <w:b/>
                <w:lang w:eastAsia="zh-CN"/>
              </w:rPr>
              <w:t xml:space="preserve">be </w:t>
            </w:r>
            <w:r>
              <w:rPr>
                <w:rFonts w:hint="eastAsia" w:eastAsia="宋体"/>
                <w:b/>
                <w:lang w:eastAsia="zh-CN"/>
              </w:rPr>
              <w:t xml:space="preserve">further </w:t>
            </w:r>
            <w:r>
              <w:rPr>
                <w:rFonts w:eastAsia="宋体"/>
                <w:b/>
                <w:lang w:eastAsia="zh-CN"/>
              </w:rPr>
              <w:t>limited</w:t>
            </w:r>
            <w:r>
              <w:rPr>
                <w:rFonts w:hint="eastAsia" w:eastAsia="宋体"/>
                <w:b/>
                <w:lang w:eastAsia="zh-CN"/>
              </w:rPr>
              <w:t>, and the use of the highest CCE aggregation level may be affected.</w:t>
            </w:r>
          </w:p>
          <w:p>
            <w:pPr>
              <w:widowControl w:val="0"/>
              <w:rPr>
                <w:bCs/>
                <w:sz w:val="18"/>
                <w:szCs w:val="18"/>
              </w:rPr>
            </w:pPr>
          </w:p>
          <w:p>
            <w:pPr>
              <w:widowControl w:val="0"/>
              <w:jc w:val="both"/>
              <w:rPr>
                <w:rFonts w:eastAsia="宋体"/>
                <w:bCs/>
                <w:lang w:eastAsia="zh-CN"/>
              </w:rPr>
            </w:pPr>
            <w:r>
              <w:rPr>
                <w:rFonts w:hint="eastAsia" w:eastAsia="宋体"/>
                <w:b/>
                <w:lang w:eastAsia="zh-CN"/>
              </w:rPr>
              <w:t xml:space="preserve">Option 1: </w:t>
            </w:r>
            <w:r>
              <w:rPr>
                <w:rFonts w:hint="eastAsia" w:eastAsia="宋体"/>
                <w:bCs/>
                <w:lang w:eastAsia="zh-CN"/>
              </w:rPr>
              <w:t xml:space="preserve">Define PDCCH BD capability based on a reference period. For example, define PDCCH BD capability according to a slot length of a reference SCS 120 kHz. When configuring the search space set by higher layer parameter </w:t>
            </w:r>
            <w:r>
              <w:rPr>
                <w:rFonts w:hint="eastAsia" w:eastAsia="宋体"/>
                <w:bCs/>
                <w:i/>
                <w:iCs/>
                <w:lang w:eastAsia="zh-CN"/>
              </w:rPr>
              <w:t>monitoringSlotPeriodicityAndOffset</w:t>
            </w:r>
            <w:r>
              <w:rPr>
                <w:rFonts w:hint="eastAsia" w:eastAsia="宋体"/>
                <w:bCs/>
                <w:lang w:eastAsia="zh-CN"/>
              </w:rPr>
              <w:t xml:space="preserve">, the gNB needs to ensure that the duration </w:t>
            </w:r>
            <w:r>
              <w:rPr>
                <w:rFonts w:hint="eastAsia" w:eastAsia="宋体"/>
                <w:bCs/>
                <w:i/>
                <w:iCs/>
                <w:lang w:eastAsia="zh-CN"/>
              </w:rPr>
              <w:t>T</w:t>
            </w:r>
            <w:r>
              <w:rPr>
                <w:rFonts w:hint="eastAsia" w:eastAsia="宋体"/>
                <w:bCs/>
                <w:i/>
                <w:iCs/>
                <w:vertAlign w:val="subscript"/>
                <w:lang w:eastAsia="zh-CN"/>
              </w:rPr>
              <w:t>S</w:t>
            </w:r>
            <w:r>
              <w:rPr>
                <w:rFonts w:hint="eastAsia" w:eastAsia="宋体"/>
                <w:bCs/>
                <w:lang w:eastAsia="zh-CN"/>
              </w:rPr>
              <w:t xml:space="preserve"> is an integral multiple of the slot length of 120 kHz SCS.</w:t>
            </w:r>
          </w:p>
          <w:p>
            <w:pPr>
              <w:widowControl w:val="0"/>
              <w:jc w:val="both"/>
              <w:rPr>
                <w:rFonts w:eastAsia="宋体"/>
                <w:bCs/>
                <w:lang w:eastAsia="zh-CN"/>
              </w:rPr>
            </w:pPr>
            <w:r>
              <w:rPr>
                <w:rFonts w:hint="eastAsia" w:eastAsia="宋体"/>
                <w:b/>
                <w:lang w:eastAsia="zh-CN"/>
              </w:rPr>
              <w:t>Option 2:</w:t>
            </w:r>
            <w:r>
              <w:rPr>
                <w:rFonts w:hint="eastAsia" w:eastAsia="宋体"/>
                <w:bCs/>
                <w:lang w:eastAsia="zh-CN"/>
              </w:rPr>
              <w:t xml:space="preserve"> Define PDCCH BD capability based on a slot group and PDCCH monitoring is performed on multiple slots. When configuring the search space set by higher layer parameter </w:t>
            </w:r>
            <w:r>
              <w:rPr>
                <w:rFonts w:hint="eastAsia" w:eastAsia="宋体"/>
                <w:bCs/>
                <w:i/>
                <w:iCs/>
                <w:lang w:eastAsia="zh-CN"/>
              </w:rPr>
              <w:t>monitoringSlotPeriodicityAndOffset</w:t>
            </w:r>
            <w:r>
              <w:rPr>
                <w:rFonts w:hint="eastAsia" w:eastAsia="宋体"/>
                <w:bCs/>
                <w:lang w:eastAsia="zh-CN"/>
              </w:rPr>
              <w:t xml:space="preserve">, the gNB needs to ensure that the duration </w:t>
            </w:r>
            <w:r>
              <w:rPr>
                <w:rFonts w:hint="eastAsia" w:eastAsia="宋体"/>
                <w:bCs/>
                <w:i/>
                <w:iCs/>
                <w:lang w:eastAsia="zh-CN"/>
              </w:rPr>
              <w:t>T</w:t>
            </w:r>
            <w:r>
              <w:rPr>
                <w:rFonts w:hint="eastAsia" w:eastAsia="宋体"/>
                <w:bCs/>
                <w:i/>
                <w:iCs/>
                <w:vertAlign w:val="subscript"/>
                <w:lang w:eastAsia="zh-CN"/>
              </w:rPr>
              <w:t>S</w:t>
            </w:r>
            <w:r>
              <w:rPr>
                <w:rFonts w:hint="eastAsia" w:eastAsia="宋体"/>
                <w:bCs/>
                <w:lang w:eastAsia="zh-CN"/>
              </w:rPr>
              <w:t xml:space="preserve"> is a multiple of n slots (n equals to the number of slots contained in the slot group), or a multiple of slot groups in the basic unit of slot group. For example, if a slot group includes four slots, the duration </w:t>
            </w:r>
            <w:r>
              <w:rPr>
                <w:rFonts w:hint="eastAsia" w:eastAsia="宋体"/>
                <w:bCs/>
                <w:i/>
                <w:iCs/>
                <w:lang w:eastAsia="zh-CN"/>
              </w:rPr>
              <w:t>T</w:t>
            </w:r>
            <w:r>
              <w:rPr>
                <w:rFonts w:hint="eastAsia" w:eastAsia="宋体"/>
                <w:bCs/>
                <w:i/>
                <w:iCs/>
                <w:vertAlign w:val="subscript"/>
                <w:lang w:eastAsia="zh-CN"/>
              </w:rPr>
              <w:t>S</w:t>
            </w:r>
            <w:r>
              <w:rPr>
                <w:rFonts w:hint="eastAsia" w:eastAsia="宋体"/>
                <w:bCs/>
                <w:lang w:eastAsia="zh-CN"/>
              </w:rPr>
              <w:t xml:space="preserve"> can be configured as 4, 8, 12, 16, ... of slots. Alternatively, the duration </w:t>
            </w:r>
            <w:r>
              <w:rPr>
                <w:rFonts w:hint="eastAsia" w:eastAsia="宋体"/>
                <w:bCs/>
                <w:i/>
                <w:iCs/>
                <w:lang w:eastAsia="zh-CN"/>
              </w:rPr>
              <w:t>T</w:t>
            </w:r>
            <w:r>
              <w:rPr>
                <w:rFonts w:hint="eastAsia" w:eastAsia="宋体"/>
                <w:bCs/>
                <w:i/>
                <w:iCs/>
                <w:vertAlign w:val="subscript"/>
                <w:lang w:eastAsia="zh-CN"/>
              </w:rPr>
              <w:t>S</w:t>
            </w:r>
            <w:r>
              <w:rPr>
                <w:rFonts w:hint="eastAsia" w:eastAsia="宋体"/>
                <w:bCs/>
                <w:lang w:eastAsia="zh-CN"/>
              </w:rPr>
              <w:t xml:space="preserve"> can be configured as 1, 2, 3, 4, ... of slot groups, i.e. the basic granularity of the duration </w:t>
            </w:r>
            <w:r>
              <w:rPr>
                <w:rFonts w:hint="eastAsia" w:eastAsia="宋体"/>
                <w:bCs/>
                <w:i/>
                <w:iCs/>
                <w:lang w:eastAsia="zh-CN"/>
              </w:rPr>
              <w:t>T</w:t>
            </w:r>
            <w:r>
              <w:rPr>
                <w:rFonts w:hint="eastAsia" w:eastAsia="宋体"/>
                <w:bCs/>
                <w:i/>
                <w:iCs/>
                <w:vertAlign w:val="subscript"/>
                <w:lang w:eastAsia="zh-CN"/>
              </w:rPr>
              <w:t>S</w:t>
            </w:r>
            <w:r>
              <w:rPr>
                <w:rFonts w:hint="eastAsia" w:eastAsia="宋体"/>
                <w:bCs/>
                <w:lang w:eastAsia="zh-CN"/>
              </w:rPr>
              <w:t xml:space="preserve"> should be defined as a slot group. Figure 1 gives two configuration types in a slot group for Option 2.</w:t>
            </w:r>
          </w:p>
          <w:p>
            <w:pPr>
              <w:widowControl w:val="0"/>
              <w:jc w:val="both"/>
            </w:pPr>
            <w:r>
              <w:rPr>
                <w:lang w:eastAsia="zh-CN"/>
              </w:rPr>
              <w:drawing>
                <wp:inline distT="0" distB="0" distL="0" distR="0">
                  <wp:extent cx="5969000" cy="966470"/>
                  <wp:effectExtent l="0" t="0" r="12700" b="508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5969002" cy="966470"/>
                          </a:xfrm>
                          <a:prstGeom prst="rect">
                            <a:avLst/>
                          </a:prstGeom>
                        </pic:spPr>
                      </pic:pic>
                    </a:graphicData>
                  </a:graphic>
                </wp:inline>
              </w:drawing>
            </w:r>
          </w:p>
          <w:p>
            <w:pPr>
              <w:widowControl w:val="0"/>
              <w:jc w:val="center"/>
              <w:rPr>
                <w:rFonts w:eastAsia="宋体"/>
                <w:lang w:eastAsia="zh-CN"/>
              </w:rPr>
            </w:pPr>
            <w:r>
              <w:rPr>
                <w:rFonts w:hint="eastAsia" w:eastAsia="宋体"/>
                <w:lang w:eastAsia="zh-CN"/>
              </w:rPr>
              <w:t>(a) Configuration 1 in Option 2</w:t>
            </w:r>
          </w:p>
          <w:p>
            <w:pPr>
              <w:widowControl w:val="0"/>
              <w:jc w:val="both"/>
            </w:pPr>
            <w:r>
              <w:rPr>
                <w:lang w:eastAsia="zh-CN"/>
              </w:rPr>
              <w:drawing>
                <wp:inline distT="0" distB="0" distL="0" distR="0">
                  <wp:extent cx="5963285" cy="978535"/>
                  <wp:effectExtent l="0" t="0" r="18415" b="12065"/>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5963287" cy="978535"/>
                          </a:xfrm>
                          <a:prstGeom prst="rect">
                            <a:avLst/>
                          </a:prstGeom>
                        </pic:spPr>
                      </pic:pic>
                    </a:graphicData>
                  </a:graphic>
                </wp:inline>
              </w:drawing>
            </w:r>
          </w:p>
          <w:p>
            <w:pPr>
              <w:widowControl w:val="0"/>
              <w:jc w:val="center"/>
              <w:rPr>
                <w:rFonts w:eastAsia="宋体"/>
                <w:lang w:eastAsia="zh-CN"/>
              </w:rPr>
            </w:pPr>
            <w:r>
              <w:rPr>
                <w:rFonts w:hint="eastAsia" w:eastAsia="宋体"/>
                <w:lang w:eastAsia="zh-CN"/>
              </w:rPr>
              <w:t>(b) Configuration 2 in Option 2</w:t>
            </w:r>
          </w:p>
          <w:p>
            <w:pPr>
              <w:widowControl w:val="0"/>
              <w:jc w:val="center"/>
              <w:rPr>
                <w:b/>
                <w:bCs/>
                <w:lang w:eastAsia="zh-CN"/>
              </w:rPr>
            </w:pPr>
            <w:r>
              <w:rPr>
                <w:rFonts w:hint="eastAsia" w:eastAsia="宋体"/>
                <w:b/>
                <w:bCs/>
                <w:lang w:eastAsia="zh-CN"/>
              </w:rPr>
              <w:t>Figure 1: Define PDCCH BD capability based on a slot group in Option 2</w:t>
            </w:r>
          </w:p>
          <w:p>
            <w:pPr>
              <w:widowControl w:val="0"/>
              <w:jc w:val="both"/>
              <w:rPr>
                <w:rFonts w:eastAsia="宋体"/>
                <w:bCs/>
                <w:lang w:eastAsia="zh-CN"/>
              </w:rPr>
            </w:pPr>
            <w:r>
              <w:rPr>
                <w:rFonts w:hint="eastAsia" w:eastAsia="宋体"/>
                <w:b/>
                <w:lang w:eastAsia="zh-CN"/>
              </w:rPr>
              <w:t xml:space="preserve">Option 3: </w:t>
            </w:r>
            <w:r>
              <w:rPr>
                <w:rFonts w:hint="eastAsia" w:eastAsia="宋体"/>
                <w:bCs/>
                <w:lang w:eastAsia="zh-CN"/>
              </w:rPr>
              <w:t xml:space="preserve">Reduce the monitoring frequency by limiting the configuration of CORESET and/or search space set, such as configuring a larger </w:t>
            </w:r>
            <w:r>
              <w:t xml:space="preserve">PDCCH monitoring periodicity </w:t>
            </w:r>
            <w:r>
              <w:rPr>
                <w:rFonts w:hint="eastAsia" w:eastAsia="宋体"/>
                <w:i/>
                <w:iCs/>
                <w:lang w:eastAsia="zh-CN"/>
              </w:rPr>
              <w:t>K</w:t>
            </w:r>
            <w:r>
              <w:rPr>
                <w:rFonts w:hint="eastAsia" w:eastAsia="宋体"/>
                <w:i/>
                <w:iCs/>
                <w:vertAlign w:val="subscript"/>
                <w:lang w:eastAsia="zh-CN"/>
              </w:rPr>
              <w:t>S</w:t>
            </w:r>
            <w:r>
              <w:rPr>
                <w:rFonts w:hint="eastAsia" w:eastAsia="宋体"/>
                <w:bCs/>
                <w:lang w:eastAsia="zh-CN"/>
              </w:rPr>
              <w:t xml:space="preserve"> and a smaller PDCCH detection duration, e.g. </w:t>
            </w:r>
            <w:r>
              <w:rPr>
                <w:rFonts w:hint="eastAsia" w:eastAsia="宋体"/>
                <w:bCs/>
                <w:i/>
                <w:iCs/>
                <w:lang w:eastAsia="zh-CN"/>
              </w:rPr>
              <w:t>T</w:t>
            </w:r>
            <w:r>
              <w:rPr>
                <w:rFonts w:hint="eastAsia" w:eastAsia="宋体"/>
                <w:bCs/>
                <w:i/>
                <w:iCs/>
                <w:vertAlign w:val="subscript"/>
                <w:lang w:eastAsia="zh-CN"/>
              </w:rPr>
              <w:t>S</w:t>
            </w:r>
            <w:r>
              <w:rPr>
                <w:rFonts w:hint="eastAsia" w:eastAsia="宋体"/>
                <w:bCs/>
                <w:lang w:eastAsia="zh-CN"/>
              </w:rPr>
              <w:t xml:space="preserve"> = 1. Option 3 </w:t>
            </w:r>
            <w:r>
              <w:rPr>
                <w:rFonts w:eastAsia="宋体"/>
                <w:bCs/>
                <w:lang w:eastAsia="zh-CN"/>
              </w:rPr>
              <w:t>can be</w:t>
            </w:r>
            <w:r>
              <w:rPr>
                <w:rFonts w:hint="eastAsia" w:eastAsia="宋体"/>
                <w:bCs/>
                <w:lang w:eastAsia="zh-CN"/>
              </w:rPr>
              <w:t xml:space="preserve"> </w:t>
            </w:r>
            <w:r>
              <w:rPr>
                <w:rFonts w:eastAsia="宋体"/>
                <w:bCs/>
                <w:lang w:eastAsia="zh-CN"/>
              </w:rPr>
              <w:t>considered as an</w:t>
            </w:r>
            <w:r>
              <w:rPr>
                <w:rFonts w:hint="eastAsia" w:eastAsia="宋体"/>
                <w:bCs/>
                <w:lang w:eastAsia="zh-CN"/>
              </w:rPr>
              <w:t xml:space="preserve"> implementation</w:t>
            </w:r>
            <w:r>
              <w:rPr>
                <w:rFonts w:eastAsia="宋体"/>
                <w:bCs/>
                <w:lang w:eastAsia="zh-CN"/>
              </w:rPr>
              <w:t xml:space="preserve"> issue, i.e. left to gNB </w:t>
            </w:r>
            <w:r>
              <w:rPr>
                <w:rFonts w:hint="eastAsia" w:eastAsia="宋体"/>
                <w:bCs/>
                <w:lang w:eastAsia="zh-CN"/>
              </w:rPr>
              <w:t>configuration.</w:t>
            </w:r>
          </w:p>
          <w:p>
            <w:pPr>
              <w:widowControl w:val="0"/>
              <w:jc w:val="both"/>
              <w:rPr>
                <w:rFonts w:eastAsia="宋体"/>
                <w:bCs/>
                <w:lang w:eastAsia="zh-CN"/>
              </w:rPr>
            </w:pPr>
            <w:r>
              <w:rPr>
                <w:rFonts w:hint="eastAsia" w:eastAsia="宋体"/>
                <w:bCs/>
                <w:lang w:eastAsia="zh-CN"/>
              </w:rPr>
              <w:t xml:space="preserve">However, Option 3 obviously limits the scheduling flexibility and also may lead to PDCCH congestion. Therefore, a better way is the combination of Option 3 and </w:t>
            </w:r>
            <w:r>
              <w:rPr>
                <w:rFonts w:hint="eastAsia" w:eastAsia="宋体"/>
                <w:b/>
                <w:lang w:eastAsia="zh-CN"/>
              </w:rPr>
              <w:t>Option 4</w:t>
            </w:r>
            <w:r>
              <w:rPr>
                <w:rFonts w:hint="eastAsia" w:eastAsia="宋体"/>
                <w:bCs/>
                <w:lang w:eastAsia="zh-CN"/>
              </w:rPr>
              <w:t xml:space="preserve"> that can schedule multiple PDSCH/PUSCH via a single DCI. Multiple PDSCH/PUSCH scheduling with a single DCI can not only save DCI overhead, but also reduce PDCCH monitoring frequency without sacrificing scheduling flexibility.</w:t>
            </w:r>
          </w:p>
          <w:p>
            <w:pPr>
              <w:widowControl w:val="0"/>
              <w:jc w:val="both"/>
              <w:rPr>
                <w:rFonts w:eastAsia="宋体"/>
                <w:bCs/>
                <w:lang w:eastAsia="zh-CN"/>
              </w:rPr>
            </w:pPr>
            <w:r>
              <w:rPr>
                <w:rFonts w:hint="eastAsia" w:eastAsia="宋体"/>
                <w:bCs/>
                <w:lang w:eastAsia="zh-CN"/>
              </w:rPr>
              <w:t>In addition to the combination of Option 3 and Option 4, other options can also be combined to enhance PDCCH monitoring, such as Option 1 and Option 4, Option 2 and Option 4, etc.</w:t>
            </w:r>
          </w:p>
          <w:p>
            <w:pPr>
              <w:widowControl w:val="0"/>
              <w:spacing w:after="60"/>
              <w:jc w:val="both"/>
              <w:rPr>
                <w:rFonts w:eastAsia="宋体"/>
                <w:b/>
                <w:lang w:eastAsia="zh-CN"/>
              </w:rPr>
            </w:pPr>
            <w:r>
              <w:rPr>
                <w:rFonts w:hint="eastAsia" w:eastAsia="宋体"/>
                <w:b/>
                <w:lang w:eastAsia="zh-CN"/>
              </w:rPr>
              <w:t xml:space="preserve">Proposal 1: The following options can be considered to enhance PDCCH monitoring for </w:t>
            </w:r>
            <w:r>
              <w:rPr>
                <w:b/>
              </w:rPr>
              <w:t xml:space="preserve">NR </w:t>
            </w:r>
            <w:r>
              <w:rPr>
                <w:rFonts w:hint="eastAsia" w:eastAsia="宋体"/>
                <w:b/>
                <w:lang w:eastAsia="zh-CN"/>
              </w:rPr>
              <w:t>operation in 52.6 GHz ~ 71 GHz with</w:t>
            </w:r>
            <w:r>
              <w:rPr>
                <w:rFonts w:eastAsia="宋体"/>
                <w:b/>
                <w:lang w:eastAsia="zh-CN"/>
              </w:rPr>
              <w:t xml:space="preserve"> the newly introduced SCS i.e. 480 kHz</w:t>
            </w:r>
            <w:r>
              <w:rPr>
                <w:rFonts w:hint="eastAsia" w:eastAsia="宋体"/>
                <w:b/>
                <w:lang w:eastAsia="zh-CN"/>
              </w:rPr>
              <w:t xml:space="preserve"> &amp; </w:t>
            </w:r>
            <w:r>
              <w:rPr>
                <w:rFonts w:eastAsia="宋体"/>
                <w:b/>
                <w:lang w:eastAsia="zh-CN"/>
              </w:rPr>
              <w:t>960 kHz</w:t>
            </w:r>
            <w:r>
              <w:rPr>
                <w:rFonts w:hint="eastAsia" w:eastAsia="宋体"/>
                <w:b/>
                <w:lang w:eastAsia="zh-CN"/>
              </w:rPr>
              <w:t>:</w:t>
            </w:r>
          </w:p>
          <w:p>
            <w:pPr>
              <w:widowControl w:val="0"/>
              <w:numPr>
                <w:ilvl w:val="0"/>
                <w:numId w:val="31"/>
              </w:numPr>
              <w:autoSpaceDE/>
              <w:autoSpaceDN/>
              <w:adjustRightInd/>
              <w:snapToGrid/>
              <w:spacing w:after="60"/>
              <w:ind w:left="1260"/>
              <w:jc w:val="both"/>
              <w:rPr>
                <w:rFonts w:eastAsia="宋体"/>
                <w:b/>
                <w:lang w:eastAsia="zh-CN"/>
              </w:rPr>
            </w:pPr>
            <w:r>
              <w:rPr>
                <w:rFonts w:hint="eastAsia" w:eastAsia="宋体"/>
                <w:b/>
                <w:lang w:eastAsia="zh-CN"/>
              </w:rPr>
              <w:t>Option 1: Define PDCCH BD capability based on a reference period</w:t>
            </w:r>
          </w:p>
          <w:p>
            <w:pPr>
              <w:widowControl w:val="0"/>
              <w:numPr>
                <w:ilvl w:val="0"/>
                <w:numId w:val="31"/>
              </w:numPr>
              <w:autoSpaceDE/>
              <w:autoSpaceDN/>
              <w:adjustRightInd/>
              <w:snapToGrid/>
              <w:spacing w:after="60"/>
              <w:ind w:left="1260"/>
              <w:jc w:val="both"/>
              <w:rPr>
                <w:rFonts w:eastAsia="宋体"/>
                <w:b/>
                <w:lang w:eastAsia="zh-CN"/>
              </w:rPr>
            </w:pPr>
            <w:r>
              <w:rPr>
                <w:rFonts w:hint="eastAsia" w:eastAsia="宋体"/>
                <w:b/>
                <w:lang w:eastAsia="zh-CN"/>
              </w:rPr>
              <w:t>Option 2: Define PDCCH BD capability based on a slot group</w:t>
            </w:r>
          </w:p>
          <w:p>
            <w:pPr>
              <w:widowControl w:val="0"/>
              <w:numPr>
                <w:ilvl w:val="0"/>
                <w:numId w:val="31"/>
              </w:numPr>
              <w:autoSpaceDE/>
              <w:autoSpaceDN/>
              <w:adjustRightInd/>
              <w:snapToGrid/>
              <w:spacing w:after="60"/>
              <w:ind w:left="1260"/>
              <w:jc w:val="both"/>
              <w:rPr>
                <w:rFonts w:eastAsia="宋体"/>
                <w:b/>
                <w:lang w:eastAsia="zh-CN"/>
              </w:rPr>
            </w:pPr>
            <w:r>
              <w:rPr>
                <w:rFonts w:hint="eastAsia" w:eastAsia="宋体"/>
                <w:b/>
                <w:lang w:eastAsia="zh-CN"/>
              </w:rPr>
              <w:t>Option 3: Reduce PDCCH monitoring frequency by limiting the configuration of CORESET and/or search space set</w:t>
            </w:r>
          </w:p>
          <w:p>
            <w:pPr>
              <w:widowControl w:val="0"/>
              <w:numPr>
                <w:ilvl w:val="0"/>
                <w:numId w:val="31"/>
              </w:numPr>
              <w:autoSpaceDE/>
              <w:autoSpaceDN/>
              <w:adjustRightInd/>
              <w:snapToGrid/>
              <w:spacing w:after="60"/>
              <w:ind w:left="1260"/>
              <w:jc w:val="both"/>
              <w:rPr>
                <w:rFonts w:eastAsia="宋体"/>
                <w:b/>
                <w:lang w:eastAsia="zh-CN"/>
              </w:rPr>
            </w:pPr>
            <w:r>
              <w:rPr>
                <w:rFonts w:hint="eastAsia" w:eastAsia="宋体"/>
                <w:b/>
                <w:lang w:eastAsia="zh-CN"/>
              </w:rPr>
              <w:t>Option 4: Schedule multiple PDSCH/PUSCH with a single DCI</w:t>
            </w:r>
          </w:p>
          <w:p>
            <w:pPr>
              <w:widowControl w:val="0"/>
              <w:numPr>
                <w:ilvl w:val="0"/>
                <w:numId w:val="31"/>
              </w:numPr>
              <w:autoSpaceDE/>
              <w:autoSpaceDN/>
              <w:adjustRightInd/>
              <w:snapToGrid/>
              <w:spacing w:after="60" w:line="260" w:lineRule="auto"/>
              <w:ind w:left="1260"/>
              <w:jc w:val="both"/>
              <w:rPr>
                <w:rFonts w:eastAsia="宋体"/>
                <w:b/>
                <w:lang w:eastAsia="zh-CN"/>
              </w:rPr>
            </w:pPr>
            <w:r>
              <w:rPr>
                <w:rFonts w:hint="eastAsia" w:eastAsia="宋体"/>
                <w:b/>
                <w:lang w:eastAsia="zh-CN"/>
              </w:rPr>
              <w:t>Option 5: The combination of two or more options from the above</w:t>
            </w:r>
          </w:p>
          <w:p>
            <w:pPr>
              <w:widowControl w:val="0"/>
              <w:rPr>
                <w:bCs/>
                <w:sz w:val="18"/>
                <w:szCs w:val="18"/>
              </w:rPr>
            </w:pPr>
          </w:p>
        </w:tc>
      </w:tr>
    </w:tbl>
    <w:p>
      <w:pPr>
        <w:rPr>
          <w:lang w:eastAsia="zh-CN"/>
        </w:rPr>
      </w:pPr>
    </w:p>
    <w:p>
      <w:pPr>
        <w:pStyle w:val="4"/>
        <w:jc w:val="both"/>
        <w:rPr>
          <w:lang w:val="en-GB" w:eastAsia="zh-CN"/>
        </w:rPr>
      </w:pPr>
      <w:r>
        <w:rPr>
          <w:lang w:val="en-GB" w:eastAsia="zh-CN"/>
        </w:rPr>
        <w:t>R1-2100150 (OPPO)</w:t>
      </w:r>
    </w:p>
    <w:tbl>
      <w:tblPr>
        <w:tblStyle w:val="52"/>
        <w:tblW w:w="145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vAlign w:val="center"/>
          </w:tcPr>
          <w:p>
            <w:pPr>
              <w:pStyle w:val="30"/>
              <w:widowControl w:val="0"/>
              <w:rPr>
                <w:rFonts w:eastAsia="宋体"/>
                <w:lang w:eastAsia="zh-CN"/>
              </w:rPr>
            </w:pPr>
            <w:r>
              <w:rPr>
                <w:rFonts w:eastAsia="宋体"/>
                <w:lang w:eastAsia="zh-CN"/>
              </w:rPr>
              <w:t>With the introduction of 480kHz and 960kHz for data and control transmission, the capabilities for PDCCH monitoring should be reduced. For simplicity, we use the capability for combination (2, 2) as the reference, and by scaling the numbers we can roughly calculate the blind detection/CCE budget for PDCCH monitoring with higher SCSs. Table 1 and Table 2 show the examples of the scaled values for PDCCH monitoring with 480kHz and 960kHz for PDCCH candidates and CCE budgets respectively. Here we considered PDCCH monitoring per slot, per 2-slot, per 4-slot and per 8-slot.</w:t>
            </w:r>
          </w:p>
          <w:p>
            <w:pPr>
              <w:pStyle w:val="30"/>
              <w:widowControl w:val="0"/>
              <w:jc w:val="center"/>
              <w:rPr>
                <w:rFonts w:eastAsia="宋体"/>
                <w:b/>
                <w:sz w:val="18"/>
                <w:szCs w:val="18"/>
                <w:lang w:eastAsia="zh-CN"/>
              </w:rPr>
            </w:pPr>
            <w:r>
              <w:rPr>
                <w:rFonts w:eastAsia="宋体"/>
                <w:b/>
                <w:sz w:val="18"/>
                <w:szCs w:val="18"/>
                <w:lang w:eastAsia="zh-CN"/>
              </w:rPr>
              <w:t>Table 1: Maximum number of monitored PDCCH candidates</w:t>
            </w:r>
          </w:p>
          <w:tbl>
            <w:tblPr>
              <w:tblStyle w:val="5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94"/>
              <w:gridCol w:w="1541"/>
              <w:gridCol w:w="1530"/>
              <w:gridCol w:w="1530"/>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jc w:val="center"/>
              </w:trPr>
              <w:tc>
                <w:tcPr>
                  <w:tcW w:w="794" w:type="dxa"/>
                  <w:shd w:val="clear" w:color="auto" w:fill="E0E0E0"/>
                  <w:vAlign w:val="center"/>
                </w:tcPr>
                <w:p>
                  <w:pPr>
                    <w:keepNext/>
                    <w:keepLines/>
                    <w:jc w:val="center"/>
                    <w:rPr>
                      <w:rFonts w:eastAsia="宋体"/>
                      <w:b/>
                      <w:szCs w:val="20"/>
                      <w:lang w:val="en-GB"/>
                    </w:rPr>
                  </w:pPr>
                </w:p>
              </w:tc>
              <w:tc>
                <w:tcPr>
                  <w:tcW w:w="6221" w:type="dxa"/>
                  <w:gridSpan w:val="4"/>
                  <w:shd w:val="clear" w:color="auto" w:fill="E0E0E0"/>
                </w:tcPr>
                <w:p>
                  <w:pPr>
                    <w:keepNext/>
                    <w:keepLines/>
                    <w:jc w:val="center"/>
                    <w:rPr>
                      <w:rFonts w:ascii="Arial" w:hAnsi="Arial" w:eastAsia="宋体"/>
                      <w:b/>
                      <w:sz w:val="18"/>
                      <w:szCs w:val="20"/>
                      <w:lang w:val="en-GB"/>
                    </w:rPr>
                  </w:pPr>
                  <w:r>
                    <w:rPr>
                      <w:rFonts w:ascii="Arial" w:hAnsi="Arial" w:eastAsia="宋体"/>
                      <w:b/>
                      <w:sz w:val="18"/>
                      <w:szCs w:val="20"/>
                      <w:lang w:val="en-GB"/>
                    </w:rPr>
                    <w:t xml:space="preserve">Maximum number </w:t>
                  </w:r>
                  <m:oMath>
                    <m:sSubSup>
                      <m:sSubSupPr>
                        <m:ctrlPr>
                          <w:rPr>
                            <w:rFonts w:ascii="Cambria Math" w:hAnsi="Cambria Math" w:eastAsia="宋体"/>
                            <w:b/>
                            <w:i/>
                            <w:sz w:val="18"/>
                            <w:szCs w:val="20"/>
                            <w:lang w:val="en-GB" w:eastAsia="zh-CN"/>
                          </w:rPr>
                        </m:ctrlPr>
                      </m:sSubSupPr>
                      <m:e>
                        <m:r>
                          <m:rPr>
                            <m:sty m:val="bi"/>
                          </m:rPr>
                          <w:rPr>
                            <w:rFonts w:ascii="Cambria Math" w:hAnsi="Cambria Math" w:eastAsia="宋体"/>
                            <w:sz w:val="18"/>
                            <w:szCs w:val="20"/>
                            <w:lang w:val="en-GB" w:eastAsia="zh-CN"/>
                          </w:rPr>
                          <m:t>M</m:t>
                        </m:r>
                        <m:ctrlPr>
                          <w:rPr>
                            <w:rFonts w:ascii="Cambria Math" w:hAnsi="Cambria Math" w:eastAsia="宋体"/>
                            <w:b/>
                            <w:i/>
                            <w:sz w:val="18"/>
                            <w:szCs w:val="20"/>
                            <w:lang w:val="en-GB" w:eastAsia="zh-CN"/>
                          </w:rPr>
                        </m:ctrlPr>
                      </m:e>
                      <m:sub>
                        <m:r>
                          <m:rPr>
                            <m:sty m:val="b"/>
                          </m:rPr>
                          <w:rPr>
                            <w:rFonts w:ascii="Cambria Math" w:hAnsi="Cambria Math" w:eastAsia="宋体"/>
                            <w:sz w:val="18"/>
                            <w:szCs w:val="20"/>
                            <w:lang w:val="en-GB" w:eastAsia="zh-CN"/>
                          </w:rPr>
                          <m:t>PDCCH</m:t>
                        </m:r>
                        <m:ctrlPr>
                          <w:rPr>
                            <w:rFonts w:ascii="Cambria Math" w:hAnsi="Cambria Math" w:eastAsia="宋体"/>
                            <w:b/>
                            <w:i/>
                            <w:sz w:val="18"/>
                            <w:szCs w:val="20"/>
                            <w:lang w:val="en-GB" w:eastAsia="zh-CN"/>
                          </w:rPr>
                        </m:ctrlPr>
                      </m:sub>
                      <m:sup>
                        <m:r>
                          <m:rPr>
                            <m:sty m:val="bi"/>
                          </m:rPr>
                          <w:rPr>
                            <w:rFonts w:ascii="Cambria Math" w:hAnsi="Cambria Math" w:eastAsia="宋体"/>
                            <w:sz w:val="18"/>
                            <w:szCs w:val="20"/>
                            <w:lang w:val="en-GB" w:eastAsia="zh-CN"/>
                          </w:rPr>
                          <m:t>max,</m:t>
                        </m:r>
                        <m:d>
                          <m:dPr>
                            <m:ctrlPr>
                              <w:rPr>
                                <w:rFonts w:ascii="Cambria Math" w:hAnsi="Cambria Math" w:eastAsia="宋体"/>
                                <w:b/>
                                <w:i/>
                                <w:sz w:val="18"/>
                                <w:szCs w:val="20"/>
                                <w:lang w:val="en-GB" w:eastAsia="zh-CN"/>
                              </w:rPr>
                            </m:ctrlPr>
                          </m:dPr>
                          <m:e>
                            <m:r>
                              <m:rPr>
                                <m:sty m:val="bi"/>
                              </m:rPr>
                              <w:rPr>
                                <w:rFonts w:ascii="Cambria Math" w:hAnsi="Cambria Math" w:eastAsia="宋体"/>
                                <w:sz w:val="18"/>
                                <w:szCs w:val="20"/>
                                <w:lang w:val="en-GB" w:eastAsia="zh-CN"/>
                              </w:rPr>
                              <m:t>X,Y</m:t>
                            </m:r>
                            <m:ctrlPr>
                              <w:rPr>
                                <w:rFonts w:ascii="Cambria Math" w:hAnsi="Cambria Math" w:eastAsia="宋体"/>
                                <w:b/>
                                <w:i/>
                                <w:sz w:val="18"/>
                                <w:szCs w:val="20"/>
                                <w:lang w:val="en-GB" w:eastAsia="zh-CN"/>
                              </w:rPr>
                            </m:ctrlPr>
                          </m:e>
                        </m:d>
                        <m:r>
                          <m:rPr>
                            <m:sty m:val="bi"/>
                          </m:rPr>
                          <w:rPr>
                            <w:rFonts w:ascii="Cambria Math" w:hAnsi="Cambria Math" w:eastAsia="宋体"/>
                            <w:sz w:val="18"/>
                            <w:szCs w:val="20"/>
                            <w:lang w:val="en-GB" w:eastAsia="zh-CN"/>
                          </w:rPr>
                          <m:t>,μ</m:t>
                        </m:r>
                        <m:ctrlPr>
                          <w:rPr>
                            <w:rFonts w:ascii="Cambria Math" w:hAnsi="Cambria Math" w:eastAsia="宋体"/>
                            <w:b/>
                            <w:i/>
                            <w:sz w:val="18"/>
                            <w:szCs w:val="20"/>
                            <w:lang w:val="en-GB" w:eastAsia="zh-CN"/>
                          </w:rPr>
                        </m:ctrlPr>
                      </m:sup>
                    </m:sSubSup>
                  </m:oMath>
                  <w:r>
                    <w:rPr>
                      <w:rFonts w:ascii="Arial" w:hAnsi="Arial" w:eastAsia="宋体"/>
                      <w:b/>
                      <w:sz w:val="18"/>
                      <w:szCs w:val="20"/>
                      <w:lang w:val="en-GB"/>
                    </w:rPr>
                    <w:t xml:space="preserve"> of monitored PDCCH candidates per serving cell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jc w:val="center"/>
              </w:trPr>
              <w:tc>
                <w:tcPr>
                  <w:tcW w:w="794" w:type="dxa"/>
                  <w:shd w:val="clear" w:color="auto" w:fill="E0E0E0"/>
                  <w:vAlign w:val="center"/>
                </w:tcPr>
                <w:p>
                  <w:pPr>
                    <w:keepNext/>
                    <w:keepLines/>
                    <w:jc w:val="center"/>
                    <w:rPr>
                      <w:rFonts w:ascii="Arial" w:hAnsi="Arial" w:eastAsia="宋体"/>
                      <w:sz w:val="18"/>
                      <w:szCs w:val="20"/>
                      <w:lang w:val="en-GB"/>
                    </w:rPr>
                  </w:pPr>
                  <m:oMathPara>
                    <m:oMath>
                      <m:r>
                        <m:rPr>
                          <m:sty m:val="bi"/>
                        </m:rPr>
                        <w:rPr>
                          <w:rFonts w:ascii="Cambria Math" w:hAnsi="Cambria Math" w:eastAsia="宋体"/>
                          <w:sz w:val="18"/>
                          <w:szCs w:val="20"/>
                          <w:lang w:val="en-GB" w:eastAsia="zh-CN"/>
                        </w:rPr>
                        <m:t>μ</m:t>
                      </m:r>
                    </m:oMath>
                  </m:oMathPara>
                </w:p>
              </w:tc>
              <w:tc>
                <w:tcPr>
                  <w:tcW w:w="1541" w:type="dxa"/>
                  <w:vAlign w:val="center"/>
                </w:tcPr>
                <w:p>
                  <w:pPr>
                    <w:keepNext/>
                    <w:keepLines/>
                    <w:jc w:val="center"/>
                    <w:rPr>
                      <w:rFonts w:ascii="Arial" w:hAnsi="Arial" w:eastAsia="宋体"/>
                      <w:sz w:val="18"/>
                      <w:szCs w:val="20"/>
                      <w:lang w:val="en-GB"/>
                    </w:rPr>
                  </w:pPr>
                  <w:r>
                    <w:rPr>
                      <w:rFonts w:ascii="Arial" w:hAnsi="Arial" w:eastAsia="宋体"/>
                      <w:sz w:val="18"/>
                      <w:szCs w:val="20"/>
                      <w:lang w:val="en-GB"/>
                    </w:rPr>
                    <w:t>Per slot</w:t>
                  </w:r>
                </w:p>
              </w:tc>
              <w:tc>
                <w:tcPr>
                  <w:tcW w:w="1530" w:type="dxa"/>
                </w:tcPr>
                <w:p>
                  <w:pPr>
                    <w:keepNext/>
                    <w:keepLines/>
                    <w:jc w:val="center"/>
                    <w:rPr>
                      <w:rFonts w:ascii="Arial" w:hAnsi="Arial" w:eastAsia="宋体"/>
                      <w:sz w:val="18"/>
                      <w:szCs w:val="20"/>
                      <w:lang w:val="en-GB" w:eastAsia="zh-CN"/>
                    </w:rPr>
                  </w:pPr>
                  <w:r>
                    <w:rPr>
                      <w:rFonts w:hint="eastAsia" w:ascii="Arial" w:hAnsi="Arial" w:eastAsia="宋体"/>
                      <w:sz w:val="18"/>
                      <w:szCs w:val="20"/>
                      <w:lang w:val="en-GB" w:eastAsia="zh-CN"/>
                    </w:rPr>
                    <w:t>Per 2-slot</w:t>
                  </w:r>
                </w:p>
              </w:tc>
              <w:tc>
                <w:tcPr>
                  <w:tcW w:w="1530" w:type="dxa"/>
                </w:tcPr>
                <w:p>
                  <w:pPr>
                    <w:keepNext/>
                    <w:keepLines/>
                    <w:jc w:val="center"/>
                    <w:rPr>
                      <w:rFonts w:ascii="Arial" w:hAnsi="Arial" w:eastAsia="宋体"/>
                      <w:sz w:val="18"/>
                      <w:szCs w:val="20"/>
                      <w:lang w:val="en-GB"/>
                    </w:rPr>
                  </w:pPr>
                  <w:r>
                    <w:rPr>
                      <w:rFonts w:hint="eastAsia" w:ascii="Arial" w:hAnsi="Arial" w:eastAsia="宋体"/>
                      <w:sz w:val="18"/>
                      <w:szCs w:val="20"/>
                      <w:lang w:val="en-GB" w:eastAsia="zh-CN"/>
                    </w:rPr>
                    <w:t xml:space="preserve">Per </w:t>
                  </w:r>
                  <w:r>
                    <w:rPr>
                      <w:rFonts w:ascii="Arial" w:hAnsi="Arial" w:eastAsia="宋体"/>
                      <w:sz w:val="18"/>
                      <w:szCs w:val="20"/>
                      <w:lang w:val="en-GB" w:eastAsia="zh-CN"/>
                    </w:rPr>
                    <w:t>4</w:t>
                  </w:r>
                  <w:r>
                    <w:rPr>
                      <w:rFonts w:hint="eastAsia" w:ascii="Arial" w:hAnsi="Arial" w:eastAsia="宋体"/>
                      <w:sz w:val="18"/>
                      <w:szCs w:val="20"/>
                      <w:lang w:val="en-GB" w:eastAsia="zh-CN"/>
                    </w:rPr>
                    <w:t>-slot</w:t>
                  </w:r>
                </w:p>
              </w:tc>
              <w:tc>
                <w:tcPr>
                  <w:tcW w:w="1620" w:type="dxa"/>
                </w:tcPr>
                <w:p>
                  <w:pPr>
                    <w:keepNext/>
                    <w:keepLines/>
                    <w:jc w:val="center"/>
                    <w:rPr>
                      <w:rFonts w:ascii="Arial" w:hAnsi="Arial" w:eastAsia="宋体"/>
                      <w:sz w:val="18"/>
                      <w:szCs w:val="20"/>
                      <w:lang w:val="en-GB"/>
                    </w:rPr>
                  </w:pPr>
                  <w:r>
                    <w:rPr>
                      <w:rFonts w:hint="eastAsia" w:ascii="Arial" w:hAnsi="Arial" w:eastAsia="宋体"/>
                      <w:sz w:val="18"/>
                      <w:szCs w:val="20"/>
                      <w:lang w:val="en-GB" w:eastAsia="zh-CN"/>
                    </w:rPr>
                    <w:t>Per 8-slot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jc w:val="center"/>
              </w:trPr>
              <w:tc>
                <w:tcPr>
                  <w:tcW w:w="794" w:type="dxa"/>
                  <w:vAlign w:val="center"/>
                </w:tcPr>
                <w:p>
                  <w:pPr>
                    <w:keepNext/>
                    <w:keepLines/>
                    <w:jc w:val="center"/>
                    <w:rPr>
                      <w:rFonts w:ascii="Arial" w:hAnsi="Arial" w:eastAsia="宋体"/>
                      <w:sz w:val="18"/>
                      <w:szCs w:val="20"/>
                      <w:lang w:val="en-GB"/>
                    </w:rPr>
                  </w:pPr>
                  <w:r>
                    <w:rPr>
                      <w:rFonts w:ascii="Arial" w:hAnsi="Arial" w:eastAsia="宋体"/>
                      <w:sz w:val="18"/>
                      <w:szCs w:val="20"/>
                      <w:lang w:val="en-GB"/>
                    </w:rPr>
                    <w:t>5</w:t>
                  </w:r>
                </w:p>
              </w:tc>
              <w:tc>
                <w:tcPr>
                  <w:tcW w:w="1541" w:type="dxa"/>
                  <w:vAlign w:val="center"/>
                </w:tcPr>
                <w:p>
                  <w:pPr>
                    <w:keepNext/>
                    <w:keepLines/>
                    <w:jc w:val="center"/>
                    <w:rPr>
                      <w:rFonts w:ascii="Arial" w:hAnsi="Arial" w:eastAsia="宋体"/>
                      <w:sz w:val="18"/>
                      <w:szCs w:val="20"/>
                      <w:lang w:val="en-GB"/>
                    </w:rPr>
                  </w:pPr>
                  <w:r>
                    <w:rPr>
                      <w:rFonts w:ascii="Arial" w:hAnsi="Arial" w:eastAsia="宋体"/>
                      <w:sz w:val="18"/>
                      <w:szCs w:val="20"/>
                      <w:lang w:val="en-GB"/>
                    </w:rPr>
                    <w:t>6</w:t>
                  </w:r>
                </w:p>
              </w:tc>
              <w:tc>
                <w:tcPr>
                  <w:tcW w:w="1530" w:type="dxa"/>
                </w:tcPr>
                <w:p>
                  <w:pPr>
                    <w:keepNext/>
                    <w:keepLines/>
                    <w:jc w:val="center"/>
                    <w:rPr>
                      <w:rFonts w:ascii="Arial" w:hAnsi="Arial" w:eastAsia="宋体"/>
                      <w:sz w:val="18"/>
                      <w:szCs w:val="20"/>
                      <w:lang w:val="en-GB" w:eastAsia="zh-CN"/>
                    </w:rPr>
                  </w:pPr>
                  <w:r>
                    <w:rPr>
                      <w:rFonts w:hint="eastAsia" w:ascii="Arial" w:hAnsi="Arial" w:eastAsia="宋体"/>
                      <w:sz w:val="18"/>
                      <w:szCs w:val="20"/>
                      <w:lang w:val="en-GB" w:eastAsia="zh-CN"/>
                    </w:rPr>
                    <w:t>12</w:t>
                  </w:r>
                </w:p>
              </w:tc>
              <w:tc>
                <w:tcPr>
                  <w:tcW w:w="1530" w:type="dxa"/>
                </w:tcPr>
                <w:p>
                  <w:pPr>
                    <w:keepNext/>
                    <w:keepLines/>
                    <w:jc w:val="center"/>
                    <w:rPr>
                      <w:rFonts w:ascii="Arial" w:hAnsi="Arial" w:eastAsia="宋体"/>
                      <w:sz w:val="18"/>
                      <w:szCs w:val="20"/>
                      <w:lang w:val="en-GB"/>
                    </w:rPr>
                  </w:pPr>
                  <w:r>
                    <w:rPr>
                      <w:rFonts w:ascii="Arial" w:hAnsi="Arial" w:eastAsia="宋体"/>
                      <w:sz w:val="18"/>
                      <w:szCs w:val="20"/>
                      <w:lang w:val="en-GB"/>
                    </w:rPr>
                    <w:t>24</w:t>
                  </w:r>
                </w:p>
              </w:tc>
              <w:tc>
                <w:tcPr>
                  <w:tcW w:w="1620" w:type="dxa"/>
                </w:tcPr>
                <w:p>
                  <w:pPr>
                    <w:keepNext/>
                    <w:keepLines/>
                    <w:jc w:val="center"/>
                    <w:rPr>
                      <w:rFonts w:ascii="Arial" w:hAnsi="Arial" w:eastAsia="宋体"/>
                      <w:sz w:val="18"/>
                      <w:szCs w:val="20"/>
                      <w:lang w:val="en-GB"/>
                    </w:rPr>
                  </w:pPr>
                  <w:r>
                    <w:rPr>
                      <w:rFonts w:ascii="Arial" w:hAnsi="Arial" w:eastAsia="宋体"/>
                      <w:sz w:val="18"/>
                      <w:szCs w:val="20"/>
                      <w:lang w:val="en-GB"/>
                    </w:rPr>
                    <w:t>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jc w:val="center"/>
              </w:trPr>
              <w:tc>
                <w:tcPr>
                  <w:tcW w:w="794" w:type="dxa"/>
                  <w:vAlign w:val="center"/>
                </w:tcPr>
                <w:p>
                  <w:pPr>
                    <w:keepNext/>
                    <w:keepLines/>
                    <w:jc w:val="center"/>
                    <w:rPr>
                      <w:rFonts w:ascii="Arial" w:hAnsi="Arial" w:eastAsia="宋体"/>
                      <w:sz w:val="18"/>
                      <w:szCs w:val="20"/>
                      <w:lang w:val="en-GB"/>
                    </w:rPr>
                  </w:pPr>
                  <w:r>
                    <w:rPr>
                      <w:rFonts w:ascii="Arial" w:hAnsi="Arial" w:eastAsia="宋体"/>
                      <w:sz w:val="18"/>
                      <w:szCs w:val="20"/>
                      <w:lang w:val="en-GB"/>
                    </w:rPr>
                    <w:t>6</w:t>
                  </w:r>
                </w:p>
              </w:tc>
              <w:tc>
                <w:tcPr>
                  <w:tcW w:w="1541" w:type="dxa"/>
                  <w:vAlign w:val="center"/>
                </w:tcPr>
                <w:p>
                  <w:pPr>
                    <w:keepNext/>
                    <w:keepLines/>
                    <w:jc w:val="center"/>
                    <w:rPr>
                      <w:rFonts w:ascii="Arial" w:hAnsi="Arial" w:eastAsia="宋体"/>
                      <w:sz w:val="18"/>
                      <w:szCs w:val="20"/>
                      <w:lang w:val="en-GB"/>
                    </w:rPr>
                  </w:pPr>
                  <w:r>
                    <w:rPr>
                      <w:rFonts w:ascii="Arial" w:hAnsi="Arial" w:eastAsia="宋体"/>
                      <w:sz w:val="18"/>
                      <w:szCs w:val="20"/>
                      <w:lang w:val="en-GB"/>
                    </w:rPr>
                    <w:t>3</w:t>
                  </w:r>
                </w:p>
              </w:tc>
              <w:tc>
                <w:tcPr>
                  <w:tcW w:w="1530" w:type="dxa"/>
                </w:tcPr>
                <w:p>
                  <w:pPr>
                    <w:keepNext/>
                    <w:keepLines/>
                    <w:jc w:val="center"/>
                    <w:rPr>
                      <w:rFonts w:ascii="Arial" w:hAnsi="Arial" w:eastAsia="宋体"/>
                      <w:sz w:val="18"/>
                      <w:szCs w:val="20"/>
                      <w:lang w:val="en-GB" w:eastAsia="zh-CN"/>
                    </w:rPr>
                  </w:pPr>
                  <w:r>
                    <w:rPr>
                      <w:rFonts w:hint="eastAsia" w:ascii="Arial" w:hAnsi="Arial" w:eastAsia="宋体"/>
                      <w:sz w:val="18"/>
                      <w:szCs w:val="20"/>
                      <w:lang w:val="en-GB" w:eastAsia="zh-CN"/>
                    </w:rPr>
                    <w:t>6</w:t>
                  </w:r>
                </w:p>
              </w:tc>
              <w:tc>
                <w:tcPr>
                  <w:tcW w:w="1530" w:type="dxa"/>
                </w:tcPr>
                <w:p>
                  <w:pPr>
                    <w:keepNext/>
                    <w:keepLines/>
                    <w:jc w:val="center"/>
                    <w:rPr>
                      <w:rFonts w:ascii="Arial" w:hAnsi="Arial" w:eastAsia="宋体"/>
                      <w:sz w:val="18"/>
                      <w:szCs w:val="20"/>
                      <w:lang w:val="en-GB"/>
                    </w:rPr>
                  </w:pPr>
                  <w:r>
                    <w:rPr>
                      <w:rFonts w:ascii="Arial" w:hAnsi="Arial" w:eastAsia="宋体"/>
                      <w:sz w:val="18"/>
                      <w:szCs w:val="20"/>
                      <w:lang w:val="en-GB"/>
                    </w:rPr>
                    <w:t>12</w:t>
                  </w:r>
                </w:p>
              </w:tc>
              <w:tc>
                <w:tcPr>
                  <w:tcW w:w="1620" w:type="dxa"/>
                </w:tcPr>
                <w:p>
                  <w:pPr>
                    <w:keepNext/>
                    <w:keepLines/>
                    <w:jc w:val="center"/>
                    <w:rPr>
                      <w:rFonts w:ascii="Arial" w:hAnsi="Arial" w:eastAsia="宋体"/>
                      <w:sz w:val="18"/>
                      <w:szCs w:val="20"/>
                      <w:lang w:val="en-GB"/>
                    </w:rPr>
                  </w:pPr>
                  <w:r>
                    <w:rPr>
                      <w:rFonts w:ascii="Arial" w:hAnsi="Arial" w:eastAsia="宋体"/>
                      <w:sz w:val="18"/>
                      <w:szCs w:val="20"/>
                      <w:lang w:val="en-GB"/>
                    </w:rPr>
                    <w:t>24</w:t>
                  </w:r>
                </w:p>
              </w:tc>
            </w:tr>
          </w:tbl>
          <w:p>
            <w:pPr>
              <w:pStyle w:val="30"/>
              <w:widowControl w:val="0"/>
              <w:rPr>
                <w:rFonts w:eastAsia="宋体"/>
                <w:lang w:eastAsia="zh-CN"/>
              </w:rPr>
            </w:pPr>
          </w:p>
          <w:p>
            <w:pPr>
              <w:pStyle w:val="30"/>
              <w:widowControl w:val="0"/>
              <w:jc w:val="center"/>
              <w:rPr>
                <w:rFonts w:eastAsia="宋体"/>
                <w:b/>
                <w:sz w:val="18"/>
                <w:szCs w:val="18"/>
                <w:lang w:eastAsia="zh-CN"/>
              </w:rPr>
            </w:pPr>
            <w:r>
              <w:rPr>
                <w:rFonts w:eastAsia="宋体"/>
                <w:b/>
                <w:sz w:val="18"/>
                <w:szCs w:val="18"/>
                <w:lang w:eastAsia="zh-CN"/>
              </w:rPr>
              <w:t>Table 2: Maximum number of non-overlapped CCEs</w:t>
            </w:r>
          </w:p>
          <w:tbl>
            <w:tblPr>
              <w:tblStyle w:val="5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94"/>
              <w:gridCol w:w="1541"/>
              <w:gridCol w:w="1530"/>
              <w:gridCol w:w="1530"/>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jc w:val="center"/>
              </w:trPr>
              <w:tc>
                <w:tcPr>
                  <w:tcW w:w="794" w:type="dxa"/>
                  <w:shd w:val="clear" w:color="auto" w:fill="E0E0E0"/>
                  <w:vAlign w:val="center"/>
                </w:tcPr>
                <w:p>
                  <w:pPr>
                    <w:keepNext/>
                    <w:keepLines/>
                    <w:jc w:val="center"/>
                    <w:rPr>
                      <w:rFonts w:eastAsia="宋体"/>
                      <w:b/>
                      <w:szCs w:val="20"/>
                      <w:lang w:val="en-GB"/>
                    </w:rPr>
                  </w:pPr>
                </w:p>
              </w:tc>
              <w:tc>
                <w:tcPr>
                  <w:tcW w:w="6221" w:type="dxa"/>
                  <w:gridSpan w:val="4"/>
                  <w:shd w:val="clear" w:color="auto" w:fill="E0E0E0"/>
                </w:tcPr>
                <w:p>
                  <w:pPr>
                    <w:keepNext/>
                    <w:keepLines/>
                    <w:jc w:val="center"/>
                    <w:rPr>
                      <w:rFonts w:ascii="Arial" w:hAnsi="Arial" w:eastAsia="宋体"/>
                      <w:b/>
                      <w:sz w:val="18"/>
                      <w:szCs w:val="20"/>
                      <w:lang w:val="en-GB"/>
                    </w:rPr>
                  </w:pPr>
                  <w:r>
                    <w:rPr>
                      <w:rFonts w:ascii="Arial" w:hAnsi="Arial" w:eastAsia="宋体"/>
                      <w:b/>
                      <w:sz w:val="18"/>
                      <w:szCs w:val="20"/>
                      <w:lang w:val="en-GB"/>
                    </w:rPr>
                    <w:t xml:space="preserve">Maximum number </w:t>
                  </w:r>
                  <m:oMath>
                    <m:sSubSup>
                      <m:sSubSupPr>
                        <m:ctrlPr>
                          <w:rPr>
                            <w:rFonts w:ascii="Cambria Math" w:hAnsi="Cambria Math" w:eastAsia="宋体"/>
                            <w:b/>
                            <w:i/>
                            <w:sz w:val="18"/>
                            <w:szCs w:val="20"/>
                            <w:lang w:val="en-GB" w:eastAsia="zh-CN"/>
                          </w:rPr>
                        </m:ctrlPr>
                      </m:sSubSupPr>
                      <m:e>
                        <m:r>
                          <m:rPr>
                            <m:sty m:val="bi"/>
                          </m:rPr>
                          <w:rPr>
                            <w:rFonts w:ascii="Cambria Math" w:hAnsi="Cambria Math" w:eastAsia="宋体"/>
                            <w:sz w:val="18"/>
                            <w:szCs w:val="20"/>
                            <w:lang w:val="en-GB" w:eastAsia="zh-CN"/>
                          </w:rPr>
                          <m:t>C</m:t>
                        </m:r>
                        <m:ctrlPr>
                          <w:rPr>
                            <w:rFonts w:ascii="Cambria Math" w:hAnsi="Cambria Math" w:eastAsia="宋体"/>
                            <w:b/>
                            <w:i/>
                            <w:sz w:val="18"/>
                            <w:szCs w:val="20"/>
                            <w:lang w:val="en-GB" w:eastAsia="zh-CN"/>
                          </w:rPr>
                        </m:ctrlPr>
                      </m:e>
                      <m:sub>
                        <m:r>
                          <m:rPr>
                            <m:sty m:val="b"/>
                          </m:rPr>
                          <w:rPr>
                            <w:rFonts w:ascii="Cambria Math" w:hAnsi="Cambria Math" w:eastAsia="宋体"/>
                            <w:sz w:val="18"/>
                            <w:szCs w:val="20"/>
                            <w:lang w:val="en-GB" w:eastAsia="zh-CN"/>
                          </w:rPr>
                          <m:t>PDCCH</m:t>
                        </m:r>
                        <m:ctrlPr>
                          <w:rPr>
                            <w:rFonts w:ascii="Cambria Math" w:hAnsi="Cambria Math" w:eastAsia="宋体"/>
                            <w:b/>
                            <w:i/>
                            <w:sz w:val="18"/>
                            <w:szCs w:val="20"/>
                            <w:lang w:val="en-GB" w:eastAsia="zh-CN"/>
                          </w:rPr>
                        </m:ctrlPr>
                      </m:sub>
                      <m:sup>
                        <m:r>
                          <m:rPr>
                            <m:sty m:val="bi"/>
                          </m:rPr>
                          <w:rPr>
                            <w:rFonts w:ascii="Cambria Math" w:hAnsi="Cambria Math" w:eastAsia="宋体"/>
                            <w:sz w:val="18"/>
                            <w:szCs w:val="20"/>
                            <w:lang w:val="en-GB" w:eastAsia="zh-CN"/>
                          </w:rPr>
                          <m:t>max,</m:t>
                        </m:r>
                        <m:d>
                          <m:dPr>
                            <m:ctrlPr>
                              <w:rPr>
                                <w:rFonts w:ascii="Cambria Math" w:hAnsi="Cambria Math" w:eastAsia="宋体"/>
                                <w:b/>
                                <w:i/>
                                <w:sz w:val="18"/>
                                <w:szCs w:val="20"/>
                                <w:lang w:val="en-GB" w:eastAsia="zh-CN"/>
                              </w:rPr>
                            </m:ctrlPr>
                          </m:dPr>
                          <m:e>
                            <m:r>
                              <m:rPr>
                                <m:sty m:val="bi"/>
                              </m:rPr>
                              <w:rPr>
                                <w:rFonts w:ascii="Cambria Math" w:hAnsi="Cambria Math" w:eastAsia="宋体"/>
                                <w:sz w:val="18"/>
                                <w:szCs w:val="20"/>
                                <w:lang w:val="en-GB" w:eastAsia="zh-CN"/>
                              </w:rPr>
                              <m:t>X,Y</m:t>
                            </m:r>
                            <m:ctrlPr>
                              <w:rPr>
                                <w:rFonts w:ascii="Cambria Math" w:hAnsi="Cambria Math" w:eastAsia="宋体"/>
                                <w:b/>
                                <w:i/>
                                <w:sz w:val="18"/>
                                <w:szCs w:val="20"/>
                                <w:lang w:val="en-GB" w:eastAsia="zh-CN"/>
                              </w:rPr>
                            </m:ctrlPr>
                          </m:e>
                        </m:d>
                        <m:r>
                          <m:rPr>
                            <m:sty m:val="bi"/>
                          </m:rPr>
                          <w:rPr>
                            <w:rFonts w:ascii="Cambria Math" w:hAnsi="Cambria Math" w:eastAsia="宋体"/>
                            <w:sz w:val="18"/>
                            <w:szCs w:val="20"/>
                            <w:lang w:val="en-GB" w:eastAsia="zh-CN"/>
                          </w:rPr>
                          <m:t>,μ</m:t>
                        </m:r>
                        <m:ctrlPr>
                          <w:rPr>
                            <w:rFonts w:ascii="Cambria Math" w:hAnsi="Cambria Math" w:eastAsia="宋体"/>
                            <w:b/>
                            <w:i/>
                            <w:sz w:val="18"/>
                            <w:szCs w:val="20"/>
                            <w:lang w:val="en-GB" w:eastAsia="zh-CN"/>
                          </w:rPr>
                        </m:ctrlPr>
                      </m:sup>
                    </m:sSubSup>
                  </m:oMath>
                  <w:r>
                    <w:rPr>
                      <w:rFonts w:ascii="Arial" w:hAnsi="Arial" w:eastAsia="宋体"/>
                      <w:b/>
                      <w:sz w:val="18"/>
                      <w:szCs w:val="20"/>
                      <w:lang w:val="en-GB"/>
                    </w:rPr>
                    <w:t xml:space="preserve"> of non-overlapped CCEs per serving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jc w:val="center"/>
              </w:trPr>
              <w:tc>
                <w:tcPr>
                  <w:tcW w:w="794" w:type="dxa"/>
                  <w:shd w:val="clear" w:color="auto" w:fill="E0E0E0"/>
                  <w:vAlign w:val="center"/>
                </w:tcPr>
                <w:p>
                  <w:pPr>
                    <w:keepNext/>
                    <w:keepLines/>
                    <w:jc w:val="center"/>
                    <w:rPr>
                      <w:rFonts w:ascii="Arial" w:hAnsi="Arial" w:eastAsia="宋体"/>
                      <w:sz w:val="18"/>
                      <w:szCs w:val="20"/>
                      <w:lang w:val="en-GB"/>
                    </w:rPr>
                  </w:pPr>
                  <m:oMathPara>
                    <m:oMath>
                      <m:r>
                        <m:rPr>
                          <m:sty m:val="bi"/>
                        </m:rPr>
                        <w:rPr>
                          <w:rFonts w:ascii="Cambria Math" w:hAnsi="Cambria Math" w:eastAsia="宋体"/>
                          <w:sz w:val="18"/>
                          <w:szCs w:val="20"/>
                          <w:lang w:val="en-GB" w:eastAsia="zh-CN"/>
                        </w:rPr>
                        <m:t>μ</m:t>
                      </m:r>
                    </m:oMath>
                  </m:oMathPara>
                </w:p>
              </w:tc>
              <w:tc>
                <w:tcPr>
                  <w:tcW w:w="1541" w:type="dxa"/>
                  <w:vAlign w:val="center"/>
                </w:tcPr>
                <w:p>
                  <w:pPr>
                    <w:keepNext/>
                    <w:keepLines/>
                    <w:jc w:val="center"/>
                    <w:rPr>
                      <w:rFonts w:ascii="Arial" w:hAnsi="Arial" w:eastAsia="宋体"/>
                      <w:sz w:val="18"/>
                      <w:szCs w:val="20"/>
                      <w:lang w:val="en-GB"/>
                    </w:rPr>
                  </w:pPr>
                  <w:r>
                    <w:rPr>
                      <w:rFonts w:ascii="Arial" w:hAnsi="Arial" w:eastAsia="宋体"/>
                      <w:sz w:val="18"/>
                      <w:szCs w:val="20"/>
                      <w:lang w:val="en-GB"/>
                    </w:rPr>
                    <w:t>Per slot</w:t>
                  </w:r>
                </w:p>
              </w:tc>
              <w:tc>
                <w:tcPr>
                  <w:tcW w:w="1530" w:type="dxa"/>
                </w:tcPr>
                <w:p>
                  <w:pPr>
                    <w:keepNext/>
                    <w:keepLines/>
                    <w:jc w:val="center"/>
                    <w:rPr>
                      <w:rFonts w:ascii="Arial" w:hAnsi="Arial" w:eastAsia="宋体"/>
                      <w:sz w:val="18"/>
                      <w:szCs w:val="20"/>
                      <w:lang w:val="en-GB" w:eastAsia="zh-CN"/>
                    </w:rPr>
                  </w:pPr>
                  <w:r>
                    <w:rPr>
                      <w:rFonts w:hint="eastAsia" w:ascii="Arial" w:hAnsi="Arial" w:eastAsia="宋体"/>
                      <w:sz w:val="18"/>
                      <w:szCs w:val="20"/>
                      <w:lang w:val="en-GB" w:eastAsia="zh-CN"/>
                    </w:rPr>
                    <w:t>Per 2-slot</w:t>
                  </w:r>
                </w:p>
              </w:tc>
              <w:tc>
                <w:tcPr>
                  <w:tcW w:w="1530" w:type="dxa"/>
                </w:tcPr>
                <w:p>
                  <w:pPr>
                    <w:keepNext/>
                    <w:keepLines/>
                    <w:jc w:val="center"/>
                    <w:rPr>
                      <w:rFonts w:ascii="Arial" w:hAnsi="Arial" w:eastAsia="宋体"/>
                      <w:sz w:val="18"/>
                      <w:szCs w:val="20"/>
                      <w:lang w:val="en-GB"/>
                    </w:rPr>
                  </w:pPr>
                  <w:r>
                    <w:rPr>
                      <w:rFonts w:hint="eastAsia" w:ascii="Arial" w:hAnsi="Arial" w:eastAsia="宋体"/>
                      <w:sz w:val="18"/>
                      <w:szCs w:val="20"/>
                      <w:lang w:val="en-GB" w:eastAsia="zh-CN"/>
                    </w:rPr>
                    <w:t xml:space="preserve">Per </w:t>
                  </w:r>
                  <w:r>
                    <w:rPr>
                      <w:rFonts w:ascii="Arial" w:hAnsi="Arial" w:eastAsia="宋体"/>
                      <w:sz w:val="18"/>
                      <w:szCs w:val="20"/>
                      <w:lang w:val="en-GB" w:eastAsia="zh-CN"/>
                    </w:rPr>
                    <w:t>4</w:t>
                  </w:r>
                  <w:r>
                    <w:rPr>
                      <w:rFonts w:hint="eastAsia" w:ascii="Arial" w:hAnsi="Arial" w:eastAsia="宋体"/>
                      <w:sz w:val="18"/>
                      <w:szCs w:val="20"/>
                      <w:lang w:val="en-GB" w:eastAsia="zh-CN"/>
                    </w:rPr>
                    <w:t>-slot</w:t>
                  </w:r>
                </w:p>
              </w:tc>
              <w:tc>
                <w:tcPr>
                  <w:tcW w:w="1620" w:type="dxa"/>
                </w:tcPr>
                <w:p>
                  <w:pPr>
                    <w:keepNext/>
                    <w:keepLines/>
                    <w:jc w:val="center"/>
                    <w:rPr>
                      <w:rFonts w:ascii="Arial" w:hAnsi="Arial" w:eastAsia="宋体"/>
                      <w:sz w:val="18"/>
                      <w:szCs w:val="20"/>
                      <w:lang w:val="en-GB"/>
                    </w:rPr>
                  </w:pPr>
                  <w:r>
                    <w:rPr>
                      <w:rFonts w:hint="eastAsia" w:ascii="Arial" w:hAnsi="Arial" w:eastAsia="宋体"/>
                      <w:sz w:val="18"/>
                      <w:szCs w:val="20"/>
                      <w:lang w:val="en-GB" w:eastAsia="zh-CN"/>
                    </w:rPr>
                    <w:t>Per 8-slot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jc w:val="center"/>
              </w:trPr>
              <w:tc>
                <w:tcPr>
                  <w:tcW w:w="794" w:type="dxa"/>
                  <w:vAlign w:val="center"/>
                </w:tcPr>
                <w:p>
                  <w:pPr>
                    <w:keepNext/>
                    <w:keepLines/>
                    <w:jc w:val="center"/>
                    <w:rPr>
                      <w:rFonts w:ascii="Arial" w:hAnsi="Arial" w:eastAsia="宋体"/>
                      <w:sz w:val="18"/>
                      <w:szCs w:val="20"/>
                      <w:lang w:val="en-GB"/>
                    </w:rPr>
                  </w:pPr>
                  <w:r>
                    <w:rPr>
                      <w:rFonts w:ascii="Arial" w:hAnsi="Arial" w:eastAsia="宋体"/>
                      <w:sz w:val="18"/>
                      <w:szCs w:val="20"/>
                      <w:lang w:val="en-GB"/>
                    </w:rPr>
                    <w:t>5</w:t>
                  </w:r>
                </w:p>
              </w:tc>
              <w:tc>
                <w:tcPr>
                  <w:tcW w:w="1541" w:type="dxa"/>
                  <w:vAlign w:val="center"/>
                </w:tcPr>
                <w:p>
                  <w:pPr>
                    <w:keepNext/>
                    <w:keepLines/>
                    <w:jc w:val="center"/>
                    <w:rPr>
                      <w:rFonts w:ascii="Arial" w:hAnsi="Arial" w:eastAsia="宋体"/>
                      <w:sz w:val="18"/>
                      <w:szCs w:val="20"/>
                      <w:lang w:val="en-GB"/>
                    </w:rPr>
                  </w:pPr>
                  <w:r>
                    <w:rPr>
                      <w:rFonts w:ascii="Arial" w:hAnsi="Arial" w:eastAsia="宋体"/>
                      <w:sz w:val="18"/>
                      <w:szCs w:val="20"/>
                      <w:lang w:val="en-GB"/>
                    </w:rPr>
                    <w:t>6</w:t>
                  </w:r>
                </w:p>
              </w:tc>
              <w:tc>
                <w:tcPr>
                  <w:tcW w:w="1530" w:type="dxa"/>
                </w:tcPr>
                <w:p>
                  <w:pPr>
                    <w:keepNext/>
                    <w:keepLines/>
                    <w:jc w:val="center"/>
                    <w:rPr>
                      <w:rFonts w:ascii="Arial" w:hAnsi="Arial" w:eastAsia="宋体"/>
                      <w:sz w:val="18"/>
                      <w:szCs w:val="20"/>
                      <w:lang w:val="en-GB" w:eastAsia="zh-CN"/>
                    </w:rPr>
                  </w:pPr>
                  <w:r>
                    <w:rPr>
                      <w:rFonts w:ascii="Arial" w:hAnsi="Arial" w:eastAsia="宋体"/>
                      <w:sz w:val="18"/>
                      <w:szCs w:val="20"/>
                      <w:lang w:val="en-GB" w:eastAsia="zh-CN"/>
                    </w:rPr>
                    <w:t>12</w:t>
                  </w:r>
                </w:p>
              </w:tc>
              <w:tc>
                <w:tcPr>
                  <w:tcW w:w="1530" w:type="dxa"/>
                </w:tcPr>
                <w:p>
                  <w:pPr>
                    <w:keepNext/>
                    <w:keepLines/>
                    <w:jc w:val="center"/>
                    <w:rPr>
                      <w:rFonts w:ascii="Arial" w:hAnsi="Arial" w:eastAsia="宋体"/>
                      <w:sz w:val="18"/>
                      <w:szCs w:val="20"/>
                      <w:lang w:val="en-GB"/>
                    </w:rPr>
                  </w:pPr>
                  <w:r>
                    <w:rPr>
                      <w:rFonts w:ascii="Arial" w:hAnsi="Arial" w:eastAsia="宋体"/>
                      <w:sz w:val="18"/>
                      <w:szCs w:val="20"/>
                      <w:lang w:val="en-GB"/>
                    </w:rPr>
                    <w:t>18</w:t>
                  </w:r>
                </w:p>
              </w:tc>
              <w:tc>
                <w:tcPr>
                  <w:tcW w:w="1620" w:type="dxa"/>
                </w:tcPr>
                <w:p>
                  <w:pPr>
                    <w:keepNext/>
                    <w:keepLines/>
                    <w:jc w:val="center"/>
                    <w:rPr>
                      <w:rFonts w:ascii="Arial" w:hAnsi="Arial" w:eastAsia="宋体"/>
                      <w:sz w:val="18"/>
                      <w:szCs w:val="20"/>
                      <w:lang w:val="en-GB"/>
                    </w:rPr>
                  </w:pPr>
                  <w:r>
                    <w:rPr>
                      <w:rFonts w:ascii="Arial" w:hAnsi="Arial" w:eastAsia="宋体"/>
                      <w:sz w:val="18"/>
                      <w:szCs w:val="20"/>
                      <w:lang w:val="en-GB"/>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jc w:val="center"/>
              </w:trPr>
              <w:tc>
                <w:tcPr>
                  <w:tcW w:w="794" w:type="dxa"/>
                  <w:vAlign w:val="center"/>
                </w:tcPr>
                <w:p>
                  <w:pPr>
                    <w:keepNext/>
                    <w:keepLines/>
                    <w:jc w:val="center"/>
                    <w:rPr>
                      <w:rFonts w:ascii="Arial" w:hAnsi="Arial" w:eastAsia="宋体"/>
                      <w:sz w:val="18"/>
                      <w:szCs w:val="20"/>
                      <w:lang w:val="en-GB"/>
                    </w:rPr>
                  </w:pPr>
                  <w:r>
                    <w:rPr>
                      <w:rFonts w:ascii="Arial" w:hAnsi="Arial" w:eastAsia="宋体"/>
                      <w:sz w:val="18"/>
                      <w:szCs w:val="20"/>
                      <w:lang w:val="en-GB"/>
                    </w:rPr>
                    <w:t>6</w:t>
                  </w:r>
                </w:p>
              </w:tc>
              <w:tc>
                <w:tcPr>
                  <w:tcW w:w="1541" w:type="dxa"/>
                  <w:vAlign w:val="center"/>
                </w:tcPr>
                <w:p>
                  <w:pPr>
                    <w:keepNext/>
                    <w:keepLines/>
                    <w:jc w:val="center"/>
                    <w:rPr>
                      <w:rFonts w:ascii="Arial" w:hAnsi="Arial" w:eastAsia="宋体"/>
                      <w:sz w:val="18"/>
                      <w:szCs w:val="20"/>
                      <w:lang w:val="en-GB"/>
                    </w:rPr>
                  </w:pPr>
                  <w:r>
                    <w:rPr>
                      <w:rFonts w:ascii="Arial" w:hAnsi="Arial" w:eastAsia="宋体"/>
                      <w:sz w:val="18"/>
                      <w:szCs w:val="20"/>
                      <w:lang w:val="en-GB"/>
                    </w:rPr>
                    <w:t>6</w:t>
                  </w:r>
                </w:p>
              </w:tc>
              <w:tc>
                <w:tcPr>
                  <w:tcW w:w="1530" w:type="dxa"/>
                </w:tcPr>
                <w:p>
                  <w:pPr>
                    <w:keepNext/>
                    <w:keepLines/>
                    <w:jc w:val="center"/>
                    <w:rPr>
                      <w:rFonts w:ascii="Arial" w:hAnsi="Arial" w:eastAsia="宋体"/>
                      <w:sz w:val="18"/>
                      <w:szCs w:val="20"/>
                      <w:lang w:val="en-GB" w:eastAsia="zh-CN"/>
                    </w:rPr>
                  </w:pPr>
                  <w:r>
                    <w:rPr>
                      <w:rFonts w:hint="eastAsia" w:ascii="Arial" w:hAnsi="Arial" w:eastAsia="宋体"/>
                      <w:sz w:val="18"/>
                      <w:szCs w:val="20"/>
                      <w:lang w:val="en-GB" w:eastAsia="zh-CN"/>
                    </w:rPr>
                    <w:t>12</w:t>
                  </w:r>
                </w:p>
              </w:tc>
              <w:tc>
                <w:tcPr>
                  <w:tcW w:w="1530" w:type="dxa"/>
                </w:tcPr>
                <w:p>
                  <w:pPr>
                    <w:keepNext/>
                    <w:keepLines/>
                    <w:jc w:val="center"/>
                    <w:rPr>
                      <w:rFonts w:ascii="Arial" w:hAnsi="Arial" w:eastAsia="宋体"/>
                      <w:sz w:val="18"/>
                      <w:szCs w:val="20"/>
                      <w:lang w:val="en-GB"/>
                    </w:rPr>
                  </w:pPr>
                  <w:r>
                    <w:rPr>
                      <w:rFonts w:ascii="Arial" w:hAnsi="Arial" w:eastAsia="宋体"/>
                      <w:sz w:val="18"/>
                      <w:szCs w:val="20"/>
                      <w:lang w:val="en-GB"/>
                    </w:rPr>
                    <w:t>18</w:t>
                  </w:r>
                </w:p>
              </w:tc>
              <w:tc>
                <w:tcPr>
                  <w:tcW w:w="1620" w:type="dxa"/>
                </w:tcPr>
                <w:p>
                  <w:pPr>
                    <w:keepNext/>
                    <w:keepLines/>
                    <w:jc w:val="center"/>
                    <w:rPr>
                      <w:rFonts w:ascii="Arial" w:hAnsi="Arial" w:eastAsia="宋体"/>
                      <w:sz w:val="18"/>
                      <w:szCs w:val="20"/>
                      <w:lang w:val="en-GB"/>
                    </w:rPr>
                  </w:pPr>
                  <w:r>
                    <w:rPr>
                      <w:rFonts w:ascii="Arial" w:hAnsi="Arial" w:eastAsia="宋体"/>
                      <w:sz w:val="18"/>
                      <w:szCs w:val="20"/>
                      <w:lang w:val="en-GB"/>
                    </w:rPr>
                    <w:t>36</w:t>
                  </w:r>
                </w:p>
              </w:tc>
            </w:tr>
          </w:tbl>
          <w:p>
            <w:pPr>
              <w:pStyle w:val="30"/>
              <w:widowControl w:val="0"/>
              <w:rPr>
                <w:rFonts w:eastAsia="宋体"/>
                <w:lang w:eastAsia="zh-CN"/>
              </w:rPr>
            </w:pPr>
          </w:p>
          <w:p>
            <w:pPr>
              <w:pStyle w:val="30"/>
              <w:widowControl w:val="0"/>
              <w:rPr>
                <w:b/>
              </w:rPr>
            </w:pPr>
            <w:r>
              <w:rPr>
                <w:b/>
              </w:rPr>
              <w:t>Proposal 1: The maximum number of monitored PDCCH candidates and the maximum number of non-overlapped CCEs can be roughly calculated from the PDCCH monitoring capability of combination (2, 2).</w:t>
            </w:r>
          </w:p>
          <w:p>
            <w:pPr>
              <w:pStyle w:val="30"/>
              <w:widowControl w:val="0"/>
              <w:rPr>
                <w:rFonts w:eastAsia="宋体"/>
                <w:lang w:eastAsia="zh-CN"/>
              </w:rPr>
            </w:pPr>
            <w:r>
              <w:rPr>
                <w:rFonts w:eastAsia="宋体"/>
                <w:lang w:eastAsia="zh-CN"/>
              </w:rPr>
              <w:t xml:space="preserve">As discussed above, with the introduction of 480kHz and 960kHz for data and control transmission in the high frequency range, compared to existing SCS, the symbols become much shorter and the frequency range will be much larger for a given CORESET configuration. Figure 1 compares the CORESET configuration of {12RBs, 2symbols} for 120kHz and 480kHz respectively. </w:t>
            </w:r>
          </w:p>
          <w:p>
            <w:pPr>
              <w:pStyle w:val="30"/>
              <w:widowControl w:val="0"/>
              <w:jc w:val="center"/>
              <w:rPr>
                <w:rFonts w:eastAsia="宋体"/>
                <w:b/>
                <w:sz w:val="18"/>
                <w:szCs w:val="18"/>
                <w:lang w:eastAsia="zh-CN"/>
              </w:rPr>
            </w:pPr>
            <w:r>
              <w:object>
                <v:shape id="_x0000_i1026" o:spt="75" type="#_x0000_t75" style="height:367.5pt;width:206.25pt;" o:ole="t" filled="f" o:preferrelative="t" stroked="f" coordsize="21600,21600">
                  <v:path/>
                  <v:fill on="f" focussize="0,0"/>
                  <v:stroke on="f" joinstyle="miter"/>
                  <v:imagedata r:id="rId14" o:title=""/>
                  <o:lock v:ext="edit" aspectratio="t"/>
                  <w10:wrap type="none"/>
                  <w10:anchorlock/>
                </v:shape>
                <o:OLEObject Type="Embed" ProgID="Visio.Drawing.15" ShapeID="_x0000_i1026" DrawAspect="Content" ObjectID="_1468075726" r:id="rId13">
                  <o:LockedField>false</o:LockedField>
                </o:OLEObject>
              </w:object>
            </w:r>
          </w:p>
          <w:p>
            <w:pPr>
              <w:pStyle w:val="30"/>
              <w:widowControl w:val="0"/>
              <w:jc w:val="center"/>
              <w:rPr>
                <w:rFonts w:eastAsia="宋体"/>
                <w:b/>
                <w:sz w:val="18"/>
                <w:szCs w:val="18"/>
                <w:lang w:eastAsia="zh-CN"/>
              </w:rPr>
            </w:pPr>
            <w:r>
              <w:rPr>
                <w:rFonts w:eastAsia="宋体"/>
                <w:b/>
                <w:sz w:val="18"/>
                <w:szCs w:val="18"/>
                <w:lang w:eastAsia="zh-CN"/>
              </w:rPr>
              <w:t>Figure 1: CORESET configuration of {12RBs, 2symbols} for 120kHz and 480kHz</w:t>
            </w:r>
          </w:p>
          <w:p>
            <w:pPr>
              <w:pStyle w:val="30"/>
              <w:widowControl w:val="0"/>
              <w:rPr>
                <w:rFonts w:eastAsia="宋体"/>
                <w:lang w:eastAsia="zh-CN"/>
              </w:rPr>
            </w:pPr>
            <w:r>
              <w:rPr>
                <w:rFonts w:hint="eastAsia" w:eastAsia="宋体"/>
                <w:lang w:eastAsia="zh-CN"/>
              </w:rPr>
              <w:t xml:space="preserve">From Figure 1, it can be observed that </w:t>
            </w:r>
            <w:r>
              <w:rPr>
                <w:rFonts w:eastAsia="宋体"/>
                <w:lang w:eastAsia="zh-CN"/>
              </w:rPr>
              <w:t>to keep</w:t>
            </w:r>
            <w:r>
              <w:rPr>
                <w:rFonts w:hint="eastAsia" w:eastAsia="宋体"/>
                <w:lang w:eastAsia="zh-CN"/>
              </w:rPr>
              <w:t xml:space="preserve"> </w:t>
            </w:r>
            <w:r>
              <w:rPr>
                <w:rFonts w:eastAsia="宋体"/>
                <w:lang w:eastAsia="zh-CN"/>
              </w:rPr>
              <w:t>same CORESET configurations and</w:t>
            </w:r>
            <w:r>
              <w:rPr>
                <w:rFonts w:hint="eastAsia" w:eastAsia="宋体"/>
                <w:lang w:eastAsia="zh-CN"/>
              </w:rPr>
              <w:t xml:space="preserve"> same PDCCH candidates</w:t>
            </w:r>
            <w:r>
              <w:rPr>
                <w:rFonts w:eastAsia="宋体"/>
                <w:lang w:eastAsia="zh-CN"/>
              </w:rPr>
              <w:t xml:space="preserve"> being monitored, compared to 120kHz SCS, the coverage of PDCCH transmission would be impacted due to the reduced transmission duration, and UE is required to estimate much higher frequency range with the SCS of 480kHz. While the maximum number of non-overlapped CCEs would be smaller for 480kHz SCS than 120kHz SCS. The difference would be much larger if 120kHz and 960kHz SCSs are compared. Therefore, enhancements to CORESET configuration, i.e., reducing CORESET RBs and increasing CORESET symbols for a given higher SCS, seem beneficial. </w:t>
            </w:r>
          </w:p>
          <w:p>
            <w:pPr>
              <w:pStyle w:val="30"/>
              <w:widowControl w:val="0"/>
            </w:pPr>
            <w:r>
              <w:rPr>
                <w:b/>
              </w:rPr>
              <w:t>Proposal 2: CORESET configuration with less RBs and more symbols for 480kHz and 960kHz SCS should be supported.</w:t>
            </w:r>
          </w:p>
        </w:tc>
      </w:tr>
    </w:tbl>
    <w:p>
      <w:pPr>
        <w:rPr>
          <w:lang w:eastAsia="zh-CN"/>
        </w:rPr>
      </w:pPr>
    </w:p>
    <w:p>
      <w:pPr>
        <w:pStyle w:val="4"/>
        <w:jc w:val="both"/>
        <w:rPr>
          <w:lang w:val="en-GB" w:eastAsia="zh-CN"/>
        </w:rPr>
      </w:pPr>
      <w:r>
        <w:rPr>
          <w:lang w:val="en-GB" w:eastAsia="zh-CN"/>
        </w:rPr>
        <w:t>R1-2100241 (Huawei, HiSilicon)</w:t>
      </w:r>
    </w:p>
    <w:tbl>
      <w:tblPr>
        <w:tblStyle w:val="52"/>
        <w:tblW w:w="145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vAlign w:val="center"/>
          </w:tcPr>
          <w:p>
            <w:pPr>
              <w:widowControl w:val="0"/>
              <w:autoSpaceDE/>
              <w:autoSpaceDN/>
              <w:adjustRightInd/>
              <w:snapToGrid/>
              <w:spacing w:before="180" w:after="180"/>
              <w:rPr>
                <w:i/>
                <w:color w:val="000000" w:themeColor="text1"/>
                <w:lang w:eastAsia="zh-CN"/>
                <w14:textFill>
                  <w14:solidFill>
                    <w14:schemeClr w14:val="tx1"/>
                  </w14:solidFill>
                </w14:textFill>
              </w:rPr>
            </w:pPr>
            <w:r>
              <w:rPr>
                <w:b/>
                <w:i/>
                <w:color w:val="000000" w:themeColor="text1"/>
                <w:lang w:eastAsia="zh-CN"/>
                <w14:textFill>
                  <w14:solidFill>
                    <w14:schemeClr w14:val="tx1"/>
                  </w14:solidFill>
                </w14:textFill>
              </w:rPr>
              <w:t>Observation 1</w:t>
            </w:r>
            <w:r>
              <w:rPr>
                <w:i/>
                <w:color w:val="000000" w:themeColor="text1"/>
                <w:lang w:eastAsia="zh-CN"/>
                <w14:textFill>
                  <w14:solidFill>
                    <w14:schemeClr w14:val="tx1"/>
                  </w14:solidFill>
                </w14:textFill>
              </w:rPr>
              <w:t>: Further reducing the slot-level PDCCH monitoring capabilities for 480/960 kHz SCSs will cause the numbers of PDCCH candidates and non-overlapped CCEs to become too small, which may result in lower achievable aggregation levels.</w:t>
            </w:r>
          </w:p>
          <w:p>
            <w:pPr>
              <w:widowControl w:val="0"/>
              <w:autoSpaceDE/>
              <w:autoSpaceDN/>
              <w:adjustRightInd/>
              <w:snapToGrid/>
              <w:spacing w:after="180"/>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T</w:t>
            </w:r>
            <w:r>
              <w:rPr>
                <w:color w:val="000000" w:themeColor="text1"/>
                <w:lang w:eastAsia="zh-CN"/>
                <w14:textFill>
                  <w14:solidFill>
                    <w14:schemeClr w14:val="tx1"/>
                  </w14:solidFill>
                </w14:textFill>
              </w:rPr>
              <w:t>o solve the issue, multi-slot span monitoring can be introduced, i.e., extending the PDCCH monitoring unit from slot to multi-slot. To specify the multi-slot span monitoring, we investigate the following aspects:</w:t>
            </w:r>
          </w:p>
          <w:p>
            <w:pPr>
              <w:pStyle w:val="73"/>
              <w:widowControl w:val="0"/>
              <w:numPr>
                <w:ilvl w:val="1"/>
                <w:numId w:val="29"/>
              </w:numPr>
              <w:snapToGrid/>
              <w:spacing w:after="180"/>
              <w:ind w:left="1505"/>
              <w:contextualSpacing/>
              <w:jc w:val="both"/>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Monitoring capabilities</w:t>
            </w:r>
          </w:p>
          <w:p>
            <w:pPr>
              <w:pStyle w:val="73"/>
              <w:widowControl w:val="0"/>
              <w:numPr>
                <w:ilvl w:val="1"/>
                <w:numId w:val="29"/>
              </w:numPr>
              <w:snapToGrid/>
              <w:spacing w:after="180"/>
              <w:ind w:left="1505"/>
              <w:contextualSpacing/>
              <w:jc w:val="both"/>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Search space set</w:t>
            </w:r>
          </w:p>
          <w:p>
            <w:pPr>
              <w:widowControl w:val="0"/>
              <w:autoSpaceDE/>
              <w:autoSpaceDN/>
              <w:adjustRightInd/>
              <w:snapToGrid/>
              <w:spacing w:after="18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First, the monitoring capabilities can be defined over multiple slots, i.e. the monitoring unit is defined as X slots where X &gt; 1. To save specification efforts, we suggest to support a common span for all SCSs supported above 52.6 GHz. A simple way is to align the span with one slot of 120 kHz SCS, i.e., for 480 kHz SCS, a PDCCH monitoring span can contain four slots, and for 960 kHz SCS, a PDCCH monitoring span can contain eight slots.</w:t>
            </w:r>
          </w:p>
          <w:p>
            <w:pPr>
              <w:widowControl w:val="0"/>
              <w:autoSpaceDE/>
              <w:autoSpaceDN/>
              <w:adjustRightInd/>
              <w:snapToGrid/>
              <w:spacing w:after="180"/>
              <w:rPr>
                <w:i/>
                <w:color w:val="000000" w:themeColor="text1"/>
                <w:lang w:eastAsia="zh-CN"/>
                <w14:textFill>
                  <w14:solidFill>
                    <w14:schemeClr w14:val="tx1"/>
                  </w14:solidFill>
                </w14:textFill>
              </w:rPr>
            </w:pPr>
            <w:r>
              <w:rPr>
                <w:b/>
                <w:i/>
                <w:color w:val="000000" w:themeColor="text1"/>
                <w:lang w:eastAsia="zh-CN"/>
                <w14:textFill>
                  <w14:solidFill>
                    <w14:schemeClr w14:val="tx1"/>
                  </w14:solidFill>
                </w14:textFill>
              </w:rPr>
              <w:t>Proposal 1</w:t>
            </w:r>
            <w:r>
              <w:rPr>
                <w:i/>
                <w:color w:val="000000" w:themeColor="text1"/>
                <w:lang w:eastAsia="zh-CN"/>
                <w14:textFill>
                  <w14:solidFill>
                    <w14:schemeClr w14:val="tx1"/>
                  </w14:solidFill>
                </w14:textFill>
              </w:rPr>
              <w:t>: Introduce the following PDCCH monitoring span for PDCCH monitoring, where the m</w:t>
            </w:r>
            <w:r>
              <w:rPr>
                <w:rFonts w:hint="eastAsia"/>
                <w:i/>
                <w:color w:val="000000" w:themeColor="text1"/>
                <w:lang w:eastAsia="zh-CN"/>
                <w14:textFill>
                  <w14:solidFill>
                    <w14:schemeClr w14:val="tx1"/>
                  </w14:solidFill>
                </w14:textFill>
              </w:rPr>
              <w:t>aximum number of monitored PDCCH candidates</w:t>
            </w:r>
            <w:r>
              <w:rPr>
                <w:i/>
                <w:strike/>
                <w:color w:val="000000" w:themeColor="text1"/>
                <w:lang w:eastAsia="zh-CN"/>
                <w14:textFill>
                  <w14:solidFill>
                    <w14:schemeClr w14:val="tx1"/>
                  </w14:solidFill>
                </w14:textFill>
              </w:rPr>
              <w:t xml:space="preserve"> </w:t>
            </w:r>
            <w:r>
              <w:rPr>
                <w:rFonts w:hint="eastAsia"/>
                <w:i/>
                <w:color w:val="000000" w:themeColor="text1"/>
                <w:lang w:eastAsia="zh-CN"/>
                <w14:textFill>
                  <w14:solidFill>
                    <w14:schemeClr w14:val="tx1"/>
                  </w14:solidFill>
                </w14:textFill>
              </w:rPr>
              <w:t>for a DL BWP for a single serving cell</w:t>
            </w:r>
            <w:r>
              <w:rPr>
                <w:i/>
                <w:color w:val="000000" w:themeColor="text1"/>
                <w:lang w:eastAsia="zh-CN"/>
                <w14:textFill>
                  <w14:solidFill>
                    <w14:schemeClr w14:val="tx1"/>
                  </w14:solidFill>
                </w14:textFill>
              </w:rPr>
              <w:t xml:space="preserve"> is defined over a PDCCH monitoring span, and the m</w:t>
            </w:r>
            <w:r>
              <w:rPr>
                <w:rFonts w:hint="eastAsia"/>
                <w:i/>
                <w:color w:val="000000" w:themeColor="text1"/>
                <w:lang w:eastAsia="zh-CN"/>
                <w14:textFill>
                  <w14:solidFill>
                    <w14:schemeClr w14:val="tx1"/>
                  </w14:solidFill>
                </w14:textFill>
              </w:rPr>
              <w:t>aximum number of non-overlapped CCEs</w:t>
            </w:r>
            <w:r>
              <w:rPr>
                <w:i/>
                <w:strike/>
                <w:color w:val="000000" w:themeColor="text1"/>
                <w:lang w:eastAsia="zh-CN"/>
                <w14:textFill>
                  <w14:solidFill>
                    <w14:schemeClr w14:val="tx1"/>
                  </w14:solidFill>
                </w14:textFill>
              </w:rPr>
              <w:t xml:space="preserve"> </w:t>
            </w:r>
            <w:r>
              <w:rPr>
                <w:rFonts w:hint="eastAsia"/>
                <w:i/>
                <w:color w:val="000000" w:themeColor="text1"/>
                <w:lang w:eastAsia="zh-CN"/>
                <w14:textFill>
                  <w14:solidFill>
                    <w14:schemeClr w14:val="tx1"/>
                  </w14:solidFill>
                </w14:textFill>
              </w:rPr>
              <w:t>for a DL BWP for a single serving cell</w:t>
            </w:r>
            <w:r>
              <w:rPr>
                <w:i/>
                <w:color w:val="000000" w:themeColor="text1"/>
                <w:lang w:eastAsia="zh-CN"/>
                <w14:textFill>
                  <w14:solidFill>
                    <w14:schemeClr w14:val="tx1"/>
                  </w14:solidFill>
                </w14:textFill>
              </w:rPr>
              <w:t xml:space="preserve"> is defined over a PDCCH monitoring span, for SCS configurations of 480 and 960 kHz:</w:t>
            </w:r>
          </w:p>
          <w:p>
            <w:pPr>
              <w:pStyle w:val="73"/>
              <w:widowControl w:val="0"/>
              <w:numPr>
                <w:ilvl w:val="1"/>
                <w:numId w:val="29"/>
              </w:numPr>
              <w:snapToGrid/>
              <w:spacing w:after="180"/>
              <w:ind w:left="1505"/>
              <w:contextualSpacing/>
              <w:jc w:val="both"/>
              <w:rPr>
                <w:i/>
                <w:color w:val="000000" w:themeColor="text1"/>
                <w:lang w:eastAsia="zh-CN"/>
                <w14:textFill>
                  <w14:solidFill>
                    <w14:schemeClr w14:val="tx1"/>
                  </w14:solidFill>
                </w14:textFill>
              </w:rPr>
            </w:pPr>
            <w:r>
              <w:rPr>
                <w:i/>
                <w:color w:val="000000" w:themeColor="text1"/>
                <w:lang w:eastAsia="zh-CN"/>
                <w14:textFill>
                  <w14:solidFill>
                    <w14:schemeClr w14:val="tx1"/>
                  </w14:solidFill>
                </w14:textFill>
              </w:rPr>
              <w:t>for 480 kHz SCS, a PDCCH monitoring span contains four slots</w:t>
            </w:r>
          </w:p>
          <w:p>
            <w:pPr>
              <w:pStyle w:val="73"/>
              <w:widowControl w:val="0"/>
              <w:numPr>
                <w:ilvl w:val="1"/>
                <w:numId w:val="29"/>
              </w:numPr>
              <w:snapToGrid/>
              <w:spacing w:after="180"/>
              <w:ind w:left="1505"/>
              <w:contextualSpacing/>
              <w:jc w:val="both"/>
              <w:rPr>
                <w:i/>
                <w:color w:val="000000" w:themeColor="text1"/>
                <w:lang w:eastAsia="zh-CN"/>
                <w14:textFill>
                  <w14:solidFill>
                    <w14:schemeClr w14:val="tx1"/>
                  </w14:solidFill>
                </w14:textFill>
              </w:rPr>
            </w:pPr>
            <w:r>
              <w:rPr>
                <w:i/>
                <w:color w:val="000000" w:themeColor="text1"/>
                <w:lang w:eastAsia="zh-CN"/>
                <w14:textFill>
                  <w14:solidFill>
                    <w14:schemeClr w14:val="tx1"/>
                  </w14:solidFill>
                </w14:textFill>
              </w:rPr>
              <w:t>for 960 kHz SCS, a PDCCH monitoring span contains eight slots</w:t>
            </w:r>
          </w:p>
          <w:p>
            <w:pPr>
              <w:widowControl w:val="0"/>
              <w:autoSpaceDE/>
              <w:autoSpaceDN/>
              <w:adjustRightInd/>
              <w:snapToGrid/>
              <w:spacing w:before="180" w:after="180"/>
              <w:rPr>
                <w:i/>
                <w:color w:val="000000" w:themeColor="text1"/>
                <w:lang w:eastAsia="zh-CN"/>
                <w14:textFill>
                  <w14:solidFill>
                    <w14:schemeClr w14:val="tx1"/>
                  </w14:solidFill>
                </w14:textFill>
              </w:rPr>
            </w:pPr>
            <w:r>
              <w:rPr>
                <w:b/>
                <w:i/>
                <w:color w:val="000000" w:themeColor="text1"/>
                <w:lang w:eastAsia="zh-CN"/>
                <w14:textFill>
                  <w14:solidFill>
                    <w14:schemeClr w14:val="tx1"/>
                  </w14:solidFill>
                </w14:textFill>
              </w:rPr>
              <w:t xml:space="preserve">Proposal 2: </w:t>
            </w:r>
            <w:r>
              <w:rPr>
                <w:i/>
                <w:color w:val="000000" w:themeColor="text1"/>
                <w:lang w:eastAsia="zh-CN"/>
                <w14:textFill>
                  <w14:solidFill>
                    <w14:schemeClr w14:val="tx1"/>
                  </w14:solidFill>
                </w14:textFill>
              </w:rPr>
              <w:t>The time domain parameters of search space set configuration should be enhanced to adapt to the multi-slot span monitoring by</w:t>
            </w:r>
          </w:p>
          <w:p>
            <w:pPr>
              <w:pStyle w:val="73"/>
              <w:widowControl w:val="0"/>
              <w:numPr>
                <w:ilvl w:val="1"/>
                <w:numId w:val="29"/>
              </w:numPr>
              <w:snapToGrid/>
              <w:spacing w:before="180" w:after="180"/>
              <w:ind w:left="1505"/>
              <w:contextualSpacing/>
              <w:jc w:val="both"/>
              <w:rPr>
                <w:i/>
                <w:color w:val="000000" w:themeColor="text1"/>
                <w:lang w:eastAsia="zh-CN"/>
                <w14:textFill>
                  <w14:solidFill>
                    <w14:schemeClr w14:val="tx1"/>
                  </w14:solidFill>
                </w14:textFill>
              </w:rPr>
            </w:pPr>
            <w:r>
              <w:rPr>
                <w:i/>
                <w:color w:val="000000" w:themeColor="text1"/>
                <w:lang w:eastAsia="zh-CN"/>
                <w14:textFill>
                  <w14:solidFill>
                    <w14:schemeClr w14:val="tx1"/>
                  </w14:solidFill>
                </w14:textFill>
              </w:rPr>
              <w:t>adding new periodicities to increase the flexibility of search space set configuration</w:t>
            </w:r>
          </w:p>
          <w:p>
            <w:pPr>
              <w:pStyle w:val="73"/>
              <w:widowControl w:val="0"/>
              <w:numPr>
                <w:ilvl w:val="1"/>
                <w:numId w:val="29"/>
              </w:numPr>
              <w:snapToGrid/>
              <w:spacing w:before="180" w:after="180"/>
              <w:ind w:left="1505"/>
              <w:contextualSpacing/>
              <w:jc w:val="both"/>
              <w:rPr>
                <w:i/>
                <w:color w:val="000000" w:themeColor="text1"/>
                <w:lang w:eastAsia="zh-CN"/>
                <w14:textFill>
                  <w14:solidFill>
                    <w14:schemeClr w14:val="tx1"/>
                  </w14:solidFill>
                </w14:textFill>
              </w:rPr>
            </w:pPr>
            <w:r>
              <w:rPr>
                <w:i/>
                <w:color w:val="000000" w:themeColor="text1"/>
                <w:lang w:eastAsia="zh-CN"/>
                <w14:textFill>
                  <w14:solidFill>
                    <w14:schemeClr w14:val="tx1"/>
                  </w14:solidFill>
                </w14:textFill>
              </w:rPr>
              <w:t>changing the unit of duration to multi-slot span</w:t>
            </w:r>
          </w:p>
          <w:p>
            <w:pPr>
              <w:widowControl w:val="0"/>
              <w:autoSpaceDE/>
              <w:autoSpaceDN/>
              <w:adjustRightInd/>
              <w:snapToGrid/>
              <w:spacing w:after="18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In Rel-15, the following PDCCH monitoring cases are defined:</w:t>
            </w:r>
          </w:p>
          <w:p>
            <w:pPr>
              <w:pStyle w:val="73"/>
              <w:widowControl w:val="0"/>
              <w:numPr>
                <w:ilvl w:val="0"/>
                <w:numId w:val="29"/>
              </w:numPr>
              <w:snapToGrid/>
              <w:ind w:left="785"/>
              <w:contextualSpacing/>
              <w:rPr>
                <w:szCs w:val="20"/>
              </w:rPr>
            </w:pPr>
            <w:r>
              <w:rPr>
                <w:szCs w:val="20"/>
              </w:rPr>
              <w:t>Case 1: PDCCH monitoring periodicity of 14 or more symbols</w:t>
            </w:r>
          </w:p>
          <w:p>
            <w:pPr>
              <w:pStyle w:val="73"/>
              <w:widowControl w:val="0"/>
              <w:numPr>
                <w:ilvl w:val="1"/>
                <w:numId w:val="32"/>
              </w:numPr>
              <w:snapToGrid/>
              <w:contextualSpacing/>
              <w:rPr>
                <w:szCs w:val="20"/>
              </w:rPr>
            </w:pPr>
            <w:r>
              <w:rPr>
                <w:szCs w:val="20"/>
              </w:rPr>
              <w:t>Case 1-1: PDCCH monitoring on up to three OFDM symbols at the beginning of a slot</w:t>
            </w:r>
          </w:p>
          <w:p>
            <w:pPr>
              <w:pStyle w:val="73"/>
              <w:widowControl w:val="0"/>
              <w:numPr>
                <w:ilvl w:val="1"/>
                <w:numId w:val="32"/>
              </w:numPr>
              <w:snapToGrid/>
              <w:contextualSpacing/>
              <w:rPr>
                <w:szCs w:val="20"/>
              </w:rPr>
            </w:pPr>
            <w:r>
              <w:rPr>
                <w:szCs w:val="20"/>
              </w:rPr>
              <w:t>Case 1-2: PDCCH monitoring on any span of up to 3 consecutive OFDM symbols of a slot</w:t>
            </w:r>
          </w:p>
          <w:p>
            <w:pPr>
              <w:pStyle w:val="73"/>
              <w:widowControl w:val="0"/>
              <w:numPr>
                <w:ilvl w:val="0"/>
                <w:numId w:val="29"/>
              </w:numPr>
              <w:snapToGrid/>
              <w:ind w:left="785"/>
              <w:contextualSpacing/>
              <w:rPr>
                <w:szCs w:val="20"/>
              </w:rPr>
            </w:pPr>
            <w:r>
              <w:rPr>
                <w:szCs w:val="20"/>
              </w:rPr>
              <w:t>Case 2: PDCCH monitoring periodicity of less than 14 symbols</w:t>
            </w:r>
          </w:p>
          <w:p>
            <w:pPr>
              <w:widowControl w:val="0"/>
              <w:autoSpaceDE/>
              <w:autoSpaceDN/>
              <w:adjustRightInd/>
              <w:snapToGrid/>
              <w:spacing w:before="180" w:after="18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If multi-slot span monitoring is adopted, the current definition of the cases may not be able to be applied to 480 kHz/960 kHz SCS directly. Therefore, to facilitate further discussion, RAN1 should clarify the monitoring cases under the assumption of multi-slot monitoring.</w:t>
            </w:r>
            <w:r>
              <w:rPr>
                <w:rFonts w:hint="eastAsia"/>
                <w:color w:val="000000" w:themeColor="text1"/>
                <w:lang w:eastAsia="zh-CN"/>
                <w14:textFill>
                  <w14:solidFill>
                    <w14:schemeClr w14:val="tx1"/>
                  </w14:solidFill>
                </w14:textFill>
              </w:rPr>
              <w:t xml:space="preserve"> </w:t>
            </w:r>
            <w:r>
              <w:rPr>
                <w:color w:val="000000" w:themeColor="text1"/>
                <w:lang w:eastAsia="zh-CN"/>
                <w14:textFill>
                  <w14:solidFill>
                    <w14:schemeClr w14:val="tx1"/>
                  </w14:solidFill>
                </w14:textFill>
              </w:rPr>
              <w:t>The following definition can be a starting point for further discussion:</w:t>
            </w:r>
          </w:p>
          <w:p>
            <w:pPr>
              <w:pStyle w:val="73"/>
              <w:widowControl w:val="0"/>
              <w:numPr>
                <w:ilvl w:val="0"/>
                <w:numId w:val="29"/>
              </w:numPr>
              <w:snapToGrid/>
              <w:ind w:left="785"/>
              <w:contextualSpacing/>
              <w:rPr>
                <w:szCs w:val="20"/>
              </w:rPr>
            </w:pPr>
            <w:r>
              <w:rPr>
                <w:szCs w:val="20"/>
              </w:rPr>
              <w:t xml:space="preserve">Case 1: PDCCH monitoring periodicity of </w:t>
            </w:r>
            <w:r>
              <w:rPr>
                <w:szCs w:val="20"/>
                <w:highlight w:val="yellow"/>
              </w:rPr>
              <w:t>14*X</w:t>
            </w:r>
            <w:r>
              <w:rPr>
                <w:szCs w:val="20"/>
              </w:rPr>
              <w:t xml:space="preserve"> or more symbols</w:t>
            </w:r>
          </w:p>
          <w:p>
            <w:pPr>
              <w:pStyle w:val="73"/>
              <w:widowControl w:val="0"/>
              <w:numPr>
                <w:ilvl w:val="1"/>
                <w:numId w:val="32"/>
              </w:numPr>
              <w:snapToGrid/>
              <w:contextualSpacing/>
              <w:rPr>
                <w:szCs w:val="20"/>
              </w:rPr>
            </w:pPr>
            <w:r>
              <w:rPr>
                <w:szCs w:val="20"/>
              </w:rPr>
              <w:t xml:space="preserve">Case 1-1: PDCCH monitoring on up to three OFDM symbols at the beginning of a </w:t>
            </w:r>
            <w:r>
              <w:rPr>
                <w:szCs w:val="20"/>
                <w:highlight w:val="yellow"/>
              </w:rPr>
              <w:t>multi-slot span</w:t>
            </w:r>
          </w:p>
          <w:p>
            <w:pPr>
              <w:pStyle w:val="73"/>
              <w:widowControl w:val="0"/>
              <w:numPr>
                <w:ilvl w:val="1"/>
                <w:numId w:val="32"/>
              </w:numPr>
              <w:snapToGrid/>
              <w:contextualSpacing/>
              <w:rPr>
                <w:szCs w:val="20"/>
              </w:rPr>
            </w:pPr>
            <w:r>
              <w:rPr>
                <w:szCs w:val="20"/>
              </w:rPr>
              <w:t xml:space="preserve">Case 1-2: PDCCH monitoring on any span of up to 3 consecutive OFDM symbols of a </w:t>
            </w:r>
            <w:r>
              <w:rPr>
                <w:szCs w:val="20"/>
                <w:highlight w:val="yellow"/>
              </w:rPr>
              <w:t>multi-slot span</w:t>
            </w:r>
          </w:p>
          <w:p>
            <w:pPr>
              <w:pStyle w:val="73"/>
              <w:widowControl w:val="0"/>
              <w:numPr>
                <w:ilvl w:val="0"/>
                <w:numId w:val="29"/>
              </w:numPr>
              <w:snapToGrid/>
              <w:ind w:left="785"/>
              <w:contextualSpacing/>
              <w:rPr>
                <w:szCs w:val="20"/>
              </w:rPr>
            </w:pPr>
            <w:r>
              <w:rPr>
                <w:szCs w:val="20"/>
              </w:rPr>
              <w:t xml:space="preserve">Case 2: PDCCH monitoring periodicity of less than </w:t>
            </w:r>
            <w:r>
              <w:rPr>
                <w:szCs w:val="20"/>
                <w:highlight w:val="yellow"/>
              </w:rPr>
              <w:t>14*X</w:t>
            </w:r>
            <w:r>
              <w:rPr>
                <w:szCs w:val="20"/>
              </w:rPr>
              <w:t xml:space="preserve"> symbols</w:t>
            </w:r>
          </w:p>
          <w:p>
            <w:pPr>
              <w:pStyle w:val="73"/>
              <w:widowControl w:val="0"/>
              <w:numPr>
                <w:ilvl w:val="0"/>
                <w:numId w:val="29"/>
              </w:numPr>
              <w:snapToGrid/>
              <w:ind w:left="785"/>
              <w:contextualSpacing/>
              <w:rPr>
                <w:szCs w:val="20"/>
              </w:rPr>
            </w:pPr>
            <w:r>
              <w:rPr>
                <w:szCs w:val="20"/>
              </w:rPr>
              <w:t xml:space="preserve">Note: </w:t>
            </w:r>
            <w:r>
              <w:rPr>
                <w:szCs w:val="20"/>
                <w:highlight w:val="yellow"/>
              </w:rPr>
              <w:t>X is the number of slots in a span</w:t>
            </w:r>
          </w:p>
          <w:p>
            <w:pPr>
              <w:widowControl w:val="0"/>
              <w:autoSpaceDE/>
              <w:autoSpaceDN/>
              <w:adjustRightInd/>
              <w:snapToGrid/>
              <w:spacing w:before="180" w:after="18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In our view, similar to PDCCH monitoring in FR2, Case 1-1 should be the baseline for multi-slot monitoring, and RAN1 should further analyze whether the other cases are necessary or not.</w:t>
            </w:r>
          </w:p>
          <w:p>
            <w:pPr>
              <w:widowControl w:val="0"/>
              <w:rPr>
                <w:i/>
                <w:lang w:eastAsia="zh-CN"/>
              </w:rPr>
            </w:pPr>
            <w:r>
              <w:rPr>
                <w:b/>
                <w:i/>
                <w:color w:val="000000" w:themeColor="text1"/>
                <w:lang w:eastAsia="zh-CN"/>
                <w14:textFill>
                  <w14:solidFill>
                    <w14:schemeClr w14:val="tx1"/>
                  </w14:solidFill>
                </w14:textFill>
              </w:rPr>
              <w:t xml:space="preserve">Proposal 3: </w:t>
            </w:r>
            <w:r>
              <w:rPr>
                <w:i/>
                <w:color w:val="000000" w:themeColor="text1"/>
                <w:lang w:eastAsia="zh-CN"/>
                <w14:textFill>
                  <w14:solidFill>
                    <w14:schemeClr w14:val="tx1"/>
                  </w14:solidFill>
                </w14:textFill>
              </w:rPr>
              <w:t>For multi-slot monitoring in 52.6~71 GHz, RAN1 should clarify the definition of PDCCH monitoring cases, and further study which case(s) should be supported if the PDCCH monitoring periodicity is defined based on a span of 14*X symbols (instead of 14 symbols).</w:t>
            </w:r>
          </w:p>
        </w:tc>
      </w:tr>
    </w:tbl>
    <w:p>
      <w:pPr>
        <w:rPr>
          <w:lang w:eastAsia="zh-CN"/>
        </w:rPr>
      </w:pPr>
    </w:p>
    <w:p>
      <w:pPr>
        <w:pStyle w:val="4"/>
        <w:jc w:val="both"/>
        <w:rPr>
          <w:lang w:val="en-GB" w:eastAsia="zh-CN"/>
        </w:rPr>
      </w:pPr>
      <w:r>
        <w:rPr>
          <w:lang w:val="en-GB" w:eastAsia="zh-CN"/>
        </w:rPr>
        <w:t>R1-2100258 (Nokia, Nokia Shanghai Bell)</w:t>
      </w:r>
    </w:p>
    <w:tbl>
      <w:tblPr>
        <w:tblStyle w:val="52"/>
        <w:tblW w:w="145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vAlign w:val="center"/>
          </w:tcPr>
          <w:p>
            <w:pPr>
              <w:pStyle w:val="206"/>
              <w:widowControl w:val="0"/>
              <w:spacing w:before="0" w:beforeAutospacing="0" w:after="0" w:afterAutospacing="0"/>
              <w:textAlignment w:val="baseline"/>
              <w:rPr>
                <w:rStyle w:val="207"/>
                <w:sz w:val="20"/>
                <w:szCs w:val="20"/>
                <w:lang w:val="en-US"/>
              </w:rPr>
            </w:pPr>
            <w:r>
              <w:rPr>
                <w:rStyle w:val="207"/>
                <w:sz w:val="20"/>
                <w:szCs w:val="20"/>
                <w:lang w:val="en-US"/>
              </w:rPr>
              <w:t>NR Rel-16 supports PDCCH monitoring restriction according to span -based monitoring. It’s defined according to two parameters, X and Y:</w:t>
            </w:r>
          </w:p>
          <w:p>
            <w:pPr>
              <w:pStyle w:val="206"/>
              <w:widowControl w:val="0"/>
              <w:numPr>
                <w:ilvl w:val="0"/>
                <w:numId w:val="33"/>
              </w:numPr>
              <w:spacing w:before="0" w:beforeAutospacing="0" w:after="0" w:afterAutospacing="0"/>
              <w:textAlignment w:val="baseline"/>
              <w:rPr>
                <w:rStyle w:val="207"/>
                <w:sz w:val="20"/>
                <w:szCs w:val="20"/>
                <w:lang w:val="en-US"/>
              </w:rPr>
            </w:pPr>
            <w:r>
              <w:rPr>
                <w:rStyle w:val="207"/>
                <w:sz w:val="20"/>
                <w:szCs w:val="20"/>
                <w:lang w:val="en-US"/>
              </w:rPr>
              <w:t>X (symbols) is the minimum time separation between the first symbols of two consecutive spans</w:t>
            </w:r>
          </w:p>
          <w:p>
            <w:pPr>
              <w:pStyle w:val="206"/>
              <w:widowControl w:val="0"/>
              <w:numPr>
                <w:ilvl w:val="0"/>
                <w:numId w:val="33"/>
              </w:numPr>
              <w:spacing w:before="0" w:beforeAutospacing="0" w:after="0" w:afterAutospacing="0"/>
              <w:textAlignment w:val="baseline"/>
              <w:rPr>
                <w:rStyle w:val="207"/>
                <w:sz w:val="20"/>
                <w:szCs w:val="20"/>
                <w:lang w:val="en-US"/>
              </w:rPr>
            </w:pPr>
            <w:r>
              <w:rPr>
                <w:rStyle w:val="207"/>
                <w:sz w:val="20"/>
                <w:szCs w:val="20"/>
                <w:lang w:val="en-US"/>
              </w:rPr>
              <w:t>Y (symbols) is the maximum duration of the span.</w:t>
            </w:r>
          </w:p>
          <w:p>
            <w:pPr>
              <w:pStyle w:val="206"/>
              <w:widowControl w:val="0"/>
              <w:spacing w:before="0" w:beforeAutospacing="0" w:after="0" w:afterAutospacing="0"/>
              <w:textAlignment w:val="baseline"/>
              <w:rPr>
                <w:rStyle w:val="207"/>
                <w:sz w:val="20"/>
                <w:szCs w:val="20"/>
                <w:lang w:val="en-US"/>
              </w:rPr>
            </w:pPr>
          </w:p>
          <w:p>
            <w:pPr>
              <w:pStyle w:val="206"/>
              <w:widowControl w:val="0"/>
              <w:spacing w:before="0" w:beforeAutospacing="0" w:after="0" w:afterAutospacing="0"/>
              <w:textAlignment w:val="baseline"/>
              <w:rPr>
                <w:rStyle w:val="207"/>
                <w:sz w:val="20"/>
                <w:szCs w:val="20"/>
                <w:lang w:val="en-US"/>
              </w:rPr>
            </w:pPr>
            <w:r>
              <w:rPr>
                <w:rStyle w:val="207"/>
                <w:sz w:val="20"/>
                <w:szCs w:val="20"/>
                <w:lang w:val="en-US"/>
              </w:rPr>
              <w:t>The span -based monitoring defined in Rel-16 supports only scenarios with X≤7. This corresponds to span-based monitoring within a slot. However, the Rel-16 solution scales to multi-slot scenario as well, and it makes sense to define monitoring restriction for 60GHz scenario based on the same operation logic. This means that the number of monitored PDCCH candidates per span, and the number of non-overlapped CCEs needs to be determined not only per slot, but also per combination (X, Y).</w:t>
            </w:r>
          </w:p>
          <w:p>
            <w:pPr>
              <w:pStyle w:val="206"/>
              <w:widowControl w:val="0"/>
              <w:spacing w:before="0" w:beforeAutospacing="0" w:after="0" w:afterAutospacing="0"/>
              <w:textAlignment w:val="baseline"/>
              <w:rPr>
                <w:rStyle w:val="207"/>
                <w:sz w:val="20"/>
                <w:szCs w:val="20"/>
                <w:lang w:val="en-US"/>
              </w:rPr>
            </w:pPr>
          </w:p>
          <w:p>
            <w:pPr>
              <w:pStyle w:val="206"/>
              <w:widowControl w:val="0"/>
              <w:spacing w:before="0" w:beforeAutospacing="0" w:after="0" w:afterAutospacing="0"/>
              <w:textAlignment w:val="baseline"/>
              <w:rPr>
                <w:rStyle w:val="207"/>
                <w:i/>
                <w:iCs/>
                <w:sz w:val="20"/>
                <w:szCs w:val="20"/>
                <w:lang w:val="en-US"/>
              </w:rPr>
            </w:pPr>
            <w:r>
              <w:rPr>
                <w:rStyle w:val="207"/>
                <w:b/>
                <w:bCs/>
                <w:i/>
                <w:iCs/>
                <w:sz w:val="20"/>
                <w:szCs w:val="20"/>
                <w:lang w:val="en-US"/>
              </w:rPr>
              <w:t>Proposal 1:</w:t>
            </w:r>
            <w:r>
              <w:rPr>
                <w:rStyle w:val="207"/>
                <w:i/>
                <w:iCs/>
                <w:sz w:val="20"/>
                <w:szCs w:val="20"/>
                <w:lang w:val="en-US"/>
              </w:rPr>
              <w:t xml:space="preserve"> </w:t>
            </w:r>
          </w:p>
          <w:p>
            <w:pPr>
              <w:pStyle w:val="206"/>
              <w:widowControl w:val="0"/>
              <w:numPr>
                <w:ilvl w:val="0"/>
                <w:numId w:val="34"/>
              </w:numPr>
              <w:spacing w:before="0" w:beforeAutospacing="0" w:after="0" w:afterAutospacing="0"/>
              <w:textAlignment w:val="baseline"/>
              <w:rPr>
                <w:rStyle w:val="207"/>
                <w:i/>
                <w:iCs/>
                <w:sz w:val="20"/>
                <w:szCs w:val="20"/>
                <w:lang w:val="en-US"/>
              </w:rPr>
            </w:pPr>
            <w:r>
              <w:rPr>
                <w:rStyle w:val="207"/>
                <w:i/>
                <w:iCs/>
                <w:sz w:val="20"/>
                <w:szCs w:val="20"/>
                <w:lang w:val="en-US"/>
              </w:rPr>
              <w:t>Support both slot-based multi-slot span -based monitoring for 480 kHz and 960 kHz SCSs</w:t>
            </w:r>
          </w:p>
          <w:p>
            <w:pPr>
              <w:pStyle w:val="206"/>
              <w:widowControl w:val="0"/>
              <w:numPr>
                <w:ilvl w:val="0"/>
                <w:numId w:val="34"/>
              </w:numPr>
              <w:spacing w:before="0" w:beforeAutospacing="0" w:after="0" w:afterAutospacing="0"/>
              <w:textAlignment w:val="baseline"/>
              <w:rPr>
                <w:sz w:val="20"/>
                <w:szCs w:val="20"/>
              </w:rPr>
            </w:pPr>
            <w:r>
              <w:rPr>
                <w:rStyle w:val="207"/>
                <w:i/>
                <w:iCs/>
                <w:sz w:val="20"/>
                <w:szCs w:val="20"/>
              </w:rPr>
              <w:t>All UEs supporting 480 kHz or 960 kHz SCS should support multi-slot span -based monitoring.</w:t>
            </w:r>
          </w:p>
          <w:p>
            <w:pPr>
              <w:pStyle w:val="96"/>
              <w:widowControl w:val="0"/>
              <w:ind w:left="0" w:firstLine="0"/>
              <w:rPr>
                <w:rStyle w:val="207"/>
                <w:lang w:val="en-US"/>
              </w:rPr>
            </w:pPr>
          </w:p>
          <w:p>
            <w:pPr>
              <w:pStyle w:val="96"/>
              <w:widowControl w:val="0"/>
              <w:spacing w:after="0"/>
              <w:ind w:left="0" w:firstLine="0"/>
              <w:rPr>
                <w:lang w:eastAsia="zh-CN"/>
              </w:rPr>
            </w:pPr>
            <w:r>
              <w:rPr>
                <w:rStyle w:val="207"/>
                <w:lang w:val="en-US"/>
              </w:rPr>
              <w:t xml:space="preserve">The first question is how to determine values for parameter </w:t>
            </w:r>
            <w:r>
              <w:rPr>
                <w:rStyle w:val="207"/>
                <w:i/>
                <w:iCs/>
                <w:lang w:val="en-US"/>
              </w:rPr>
              <w:t>X</w:t>
            </w:r>
            <w:r>
              <w:rPr>
                <w:rStyle w:val="207"/>
                <w:lang w:val="en-US"/>
              </w:rPr>
              <w:t xml:space="preserve">? </w:t>
            </w:r>
            <w:r>
              <w:fldChar w:fldCharType="begin"/>
            </w:r>
            <w:r>
              <w:instrText xml:space="preserve"> REF _Ref60647596 \h </w:instrText>
            </w:r>
            <w:r>
              <w:fldChar w:fldCharType="separate"/>
            </w:r>
            <w:r>
              <w:t>Table 1</w:t>
            </w:r>
            <w:r>
              <w:fldChar w:fldCharType="end"/>
            </w:r>
            <w:r>
              <w:t xml:space="preserve"> shows the number of slots and OFDM symbols w.r.t. a slot with 120 kHz SCS. </w:t>
            </w:r>
            <w:r>
              <w:rPr>
                <w:rStyle w:val="207"/>
                <w:lang w:val="en-US"/>
              </w:rPr>
              <w:t xml:space="preserve">Based on </w:t>
            </w:r>
            <w:r>
              <w:rPr>
                <w:lang w:eastAsia="zh-CN"/>
              </w:rPr>
              <w:t>Note2 [2]“</w:t>
            </w:r>
            <w:r>
              <w:rPr>
                <w:i/>
                <w:iCs/>
                <w:lang w:eastAsia="zh-CN"/>
              </w:rPr>
              <w:t>UEs supporting a band in the range of 52.6GHz-71GHz are not required to support 480kHz SCS and 960kHz SCS</w:t>
            </w:r>
            <w:r>
              <w:rPr>
                <w:lang w:eastAsia="zh-CN"/>
              </w:rPr>
              <w:t xml:space="preserve">”. This means that 120 kHz SCS is supported by all UEs and all 60GHz deployments. </w:t>
            </w:r>
          </w:p>
          <w:p>
            <w:pPr>
              <w:pStyle w:val="96"/>
              <w:widowControl w:val="0"/>
              <w:numPr>
                <w:ilvl w:val="0"/>
                <w:numId w:val="35"/>
              </w:numPr>
              <w:spacing w:after="0"/>
              <w:ind w:left="714" w:hanging="357"/>
            </w:pPr>
            <w:r>
              <w:rPr>
                <w:lang w:eastAsia="zh-CN"/>
              </w:rPr>
              <w:t>We think that</w:t>
            </w:r>
            <w:r>
              <w:t xml:space="preserve"> the maximum number of PDCCH candidates and non-overlapping CCEs could be defined in terms of 120 kHz slots. This corresponds to 4 slots with 480 kHz SCS and 8 slots with 960 kHz SCS, respectively. </w:t>
            </w:r>
          </w:p>
          <w:p>
            <w:pPr>
              <w:pStyle w:val="96"/>
              <w:widowControl w:val="0"/>
              <w:numPr>
                <w:ilvl w:val="0"/>
                <w:numId w:val="35"/>
              </w:numPr>
            </w:pPr>
            <w:r>
              <w:t xml:space="preserve">Additionally, we think that span of [2] slots should be supported for 480 kHz SCS, and span of [2, 4] slots should be supported for 960 kHz SCS, respectively.    </w:t>
            </w:r>
          </w:p>
          <w:p>
            <w:pPr>
              <w:pStyle w:val="206"/>
              <w:widowControl w:val="0"/>
              <w:spacing w:before="0" w:beforeAutospacing="0" w:after="0" w:afterAutospacing="0"/>
              <w:textAlignment w:val="baseline"/>
              <w:rPr>
                <w:rStyle w:val="207"/>
                <w:b/>
                <w:bCs/>
                <w:sz w:val="20"/>
                <w:szCs w:val="20"/>
              </w:rPr>
            </w:pPr>
          </w:p>
          <w:p>
            <w:pPr>
              <w:pStyle w:val="206"/>
              <w:widowControl w:val="0"/>
              <w:spacing w:before="0" w:beforeAutospacing="0" w:after="0" w:afterAutospacing="0"/>
              <w:textAlignment w:val="baseline"/>
              <w:rPr>
                <w:rStyle w:val="207"/>
                <w:sz w:val="20"/>
                <w:szCs w:val="20"/>
              </w:rPr>
            </w:pPr>
            <w:r>
              <w:rPr>
                <w:rStyle w:val="207"/>
                <w:b/>
                <w:bCs/>
                <w:i/>
                <w:iCs/>
                <w:sz w:val="20"/>
                <w:szCs w:val="20"/>
              </w:rPr>
              <w:t>Proposal 2:</w:t>
            </w:r>
            <w:r>
              <w:rPr>
                <w:rStyle w:val="207"/>
                <w:b/>
                <w:bCs/>
                <w:sz w:val="20"/>
                <w:szCs w:val="20"/>
              </w:rPr>
              <w:t xml:space="preserve"> </w:t>
            </w:r>
            <w:r>
              <w:rPr>
                <w:rStyle w:val="207"/>
                <w:i/>
                <w:iCs/>
                <w:sz w:val="20"/>
                <w:szCs w:val="20"/>
              </w:rPr>
              <w:t>Support the following parameters for X</w:t>
            </w:r>
          </w:p>
          <w:p>
            <w:pPr>
              <w:pStyle w:val="206"/>
              <w:widowControl w:val="0"/>
              <w:numPr>
                <w:ilvl w:val="0"/>
                <w:numId w:val="36"/>
              </w:numPr>
              <w:spacing w:before="0" w:beforeAutospacing="0" w:after="0" w:afterAutospacing="0"/>
              <w:textAlignment w:val="baseline"/>
              <w:rPr>
                <w:rStyle w:val="207"/>
                <w:i/>
                <w:iCs/>
                <w:sz w:val="20"/>
                <w:szCs w:val="20"/>
              </w:rPr>
            </w:pPr>
            <w:r>
              <w:rPr>
                <w:rStyle w:val="207"/>
                <w:i/>
                <w:iCs/>
                <w:sz w:val="20"/>
                <w:szCs w:val="20"/>
              </w:rPr>
              <w:t>X=[28, 56] for 480 kHz SCS</w:t>
            </w:r>
          </w:p>
          <w:p>
            <w:pPr>
              <w:pStyle w:val="206"/>
              <w:widowControl w:val="0"/>
              <w:numPr>
                <w:ilvl w:val="0"/>
                <w:numId w:val="36"/>
              </w:numPr>
              <w:spacing w:before="0" w:beforeAutospacing="0" w:after="0" w:afterAutospacing="0"/>
              <w:textAlignment w:val="baseline"/>
              <w:rPr>
                <w:rStyle w:val="207"/>
                <w:i/>
                <w:iCs/>
                <w:sz w:val="20"/>
                <w:szCs w:val="20"/>
              </w:rPr>
            </w:pPr>
            <w:r>
              <w:rPr>
                <w:rStyle w:val="207"/>
                <w:i/>
                <w:iCs/>
                <w:sz w:val="20"/>
                <w:szCs w:val="20"/>
              </w:rPr>
              <w:t>X=[28, 56, 112] for 960 kHz SCS.</w:t>
            </w:r>
          </w:p>
          <w:p>
            <w:pPr>
              <w:pStyle w:val="206"/>
              <w:widowControl w:val="0"/>
              <w:spacing w:before="0" w:beforeAutospacing="0" w:after="0" w:afterAutospacing="0"/>
              <w:textAlignment w:val="baseline"/>
              <w:rPr>
                <w:rStyle w:val="207"/>
                <w:b/>
                <w:bCs/>
                <w:sz w:val="20"/>
                <w:szCs w:val="20"/>
              </w:rPr>
            </w:pPr>
          </w:p>
          <w:p>
            <w:pPr>
              <w:pStyle w:val="96"/>
              <w:widowControl w:val="0"/>
              <w:ind w:left="0" w:firstLine="0"/>
            </w:pPr>
            <w:bookmarkStart w:id="1" w:name="_Ref60647596"/>
            <w:r>
              <w:t xml:space="preserve">Table </w:t>
            </w:r>
            <w:r>
              <w:fldChar w:fldCharType="begin"/>
            </w:r>
            <w:r>
              <w:instrText xml:space="preserve"> SEQ Table \* ARABIC </w:instrText>
            </w:r>
            <w:r>
              <w:fldChar w:fldCharType="separate"/>
            </w:r>
            <w:r>
              <w:t>1</w:t>
            </w:r>
            <w:r>
              <w:fldChar w:fldCharType="end"/>
            </w:r>
            <w:bookmarkEnd w:id="1"/>
            <w:r>
              <w:t>. Number of slots and symbols / 120 kHz slot (~0.125ms)</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09"/>
              <w:gridCol w:w="3210"/>
              <w:gridCol w:w="32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shd w:val="clear" w:color="auto" w:fill="EEECE1" w:themeFill="background2"/>
                  <w:vAlign w:val="bottom"/>
                </w:tcPr>
                <w:p>
                  <w:pPr>
                    <w:pStyle w:val="206"/>
                    <w:widowControl w:val="0"/>
                    <w:spacing w:before="0" w:beforeAutospacing="0" w:after="0" w:afterAutospacing="0"/>
                    <w:textAlignment w:val="baseline"/>
                    <w:rPr>
                      <w:rStyle w:val="207"/>
                      <w:sz w:val="20"/>
                      <w:szCs w:val="20"/>
                    </w:rPr>
                  </w:pPr>
                  <w:r>
                    <w:rPr>
                      <w:rFonts w:ascii="Calibri" w:hAnsi="Calibri" w:cs="Calibri"/>
                      <w:color w:val="000000"/>
                      <w:sz w:val="22"/>
                      <w:szCs w:val="22"/>
                    </w:rPr>
                    <w:t>SCS (kHz)</w:t>
                  </w:r>
                </w:p>
              </w:tc>
              <w:tc>
                <w:tcPr>
                  <w:tcW w:w="3210" w:type="dxa"/>
                  <w:shd w:val="clear" w:color="auto" w:fill="EEECE1" w:themeFill="background2"/>
                  <w:vAlign w:val="bottom"/>
                </w:tcPr>
                <w:p>
                  <w:pPr>
                    <w:pStyle w:val="206"/>
                    <w:widowControl w:val="0"/>
                    <w:spacing w:before="0" w:beforeAutospacing="0" w:after="0" w:afterAutospacing="0"/>
                    <w:textAlignment w:val="baseline"/>
                    <w:rPr>
                      <w:rStyle w:val="207"/>
                      <w:sz w:val="20"/>
                      <w:szCs w:val="20"/>
                    </w:rPr>
                  </w:pPr>
                  <w:r>
                    <w:rPr>
                      <w:rFonts w:ascii="Calibri" w:hAnsi="Calibri" w:cs="Calibri"/>
                      <w:color w:val="000000"/>
                      <w:sz w:val="22"/>
                      <w:szCs w:val="22"/>
                    </w:rPr>
                    <w:t># of slots / 0.125ms</w:t>
                  </w:r>
                </w:p>
              </w:tc>
              <w:tc>
                <w:tcPr>
                  <w:tcW w:w="3210" w:type="dxa"/>
                  <w:shd w:val="clear" w:color="auto" w:fill="EEECE1" w:themeFill="background2"/>
                  <w:vAlign w:val="bottom"/>
                </w:tcPr>
                <w:p>
                  <w:pPr>
                    <w:pStyle w:val="206"/>
                    <w:widowControl w:val="0"/>
                    <w:spacing w:before="0" w:beforeAutospacing="0" w:after="0" w:afterAutospacing="0"/>
                    <w:textAlignment w:val="baseline"/>
                    <w:rPr>
                      <w:rStyle w:val="207"/>
                      <w:sz w:val="20"/>
                      <w:szCs w:val="20"/>
                    </w:rPr>
                  </w:pPr>
                  <w:r>
                    <w:rPr>
                      <w:rFonts w:ascii="Calibri" w:hAnsi="Calibri" w:cs="Calibri"/>
                      <w:color w:val="000000"/>
                      <w:sz w:val="22"/>
                      <w:szCs w:val="22"/>
                    </w:rPr>
                    <w:t>#of symbols / 0.125ms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vAlign w:val="bottom"/>
                </w:tcPr>
                <w:p>
                  <w:pPr>
                    <w:pStyle w:val="206"/>
                    <w:widowControl w:val="0"/>
                    <w:spacing w:before="0" w:beforeAutospacing="0" w:after="0" w:afterAutospacing="0"/>
                    <w:textAlignment w:val="baseline"/>
                    <w:rPr>
                      <w:rStyle w:val="207"/>
                      <w:sz w:val="20"/>
                      <w:szCs w:val="20"/>
                    </w:rPr>
                  </w:pPr>
                  <w:r>
                    <w:rPr>
                      <w:rFonts w:ascii="Calibri" w:hAnsi="Calibri" w:cs="Calibri"/>
                      <w:color w:val="000000"/>
                      <w:sz w:val="22"/>
                      <w:szCs w:val="22"/>
                    </w:rPr>
                    <w:t>120</w:t>
                  </w:r>
                </w:p>
              </w:tc>
              <w:tc>
                <w:tcPr>
                  <w:tcW w:w="3210" w:type="dxa"/>
                  <w:vAlign w:val="bottom"/>
                </w:tcPr>
                <w:p>
                  <w:pPr>
                    <w:pStyle w:val="206"/>
                    <w:widowControl w:val="0"/>
                    <w:spacing w:before="0" w:beforeAutospacing="0" w:after="0" w:afterAutospacing="0"/>
                    <w:textAlignment w:val="baseline"/>
                    <w:rPr>
                      <w:rStyle w:val="207"/>
                      <w:sz w:val="20"/>
                      <w:szCs w:val="20"/>
                    </w:rPr>
                  </w:pPr>
                  <w:r>
                    <w:rPr>
                      <w:rFonts w:ascii="Calibri" w:hAnsi="Calibri" w:cs="Calibri"/>
                      <w:color w:val="000000"/>
                      <w:sz w:val="22"/>
                      <w:szCs w:val="22"/>
                    </w:rPr>
                    <w:t>1</w:t>
                  </w:r>
                </w:p>
              </w:tc>
              <w:tc>
                <w:tcPr>
                  <w:tcW w:w="3210" w:type="dxa"/>
                  <w:vAlign w:val="bottom"/>
                </w:tcPr>
                <w:p>
                  <w:pPr>
                    <w:pStyle w:val="206"/>
                    <w:widowControl w:val="0"/>
                    <w:spacing w:before="0" w:beforeAutospacing="0" w:after="0" w:afterAutospacing="0"/>
                    <w:textAlignment w:val="baseline"/>
                    <w:rPr>
                      <w:rStyle w:val="207"/>
                      <w:sz w:val="20"/>
                      <w:szCs w:val="20"/>
                    </w:rPr>
                  </w:pPr>
                  <w:r>
                    <w:rPr>
                      <w:rFonts w:ascii="Calibri" w:hAnsi="Calibri" w:cs="Calibri"/>
                      <w:color w:val="000000"/>
                      <w:sz w:val="22"/>
                      <w:szCs w:val="22"/>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vAlign w:val="bottom"/>
                </w:tcPr>
                <w:p>
                  <w:pPr>
                    <w:pStyle w:val="206"/>
                    <w:widowControl w:val="0"/>
                    <w:spacing w:before="0" w:beforeAutospacing="0" w:after="0" w:afterAutospacing="0"/>
                    <w:textAlignment w:val="baseline"/>
                    <w:rPr>
                      <w:rStyle w:val="207"/>
                      <w:sz w:val="20"/>
                      <w:szCs w:val="20"/>
                    </w:rPr>
                  </w:pPr>
                  <w:r>
                    <w:rPr>
                      <w:rFonts w:ascii="Calibri" w:hAnsi="Calibri" w:cs="Calibri"/>
                      <w:color w:val="000000"/>
                      <w:sz w:val="22"/>
                      <w:szCs w:val="22"/>
                    </w:rPr>
                    <w:t>480</w:t>
                  </w:r>
                </w:p>
              </w:tc>
              <w:tc>
                <w:tcPr>
                  <w:tcW w:w="3210" w:type="dxa"/>
                  <w:vAlign w:val="bottom"/>
                </w:tcPr>
                <w:p>
                  <w:pPr>
                    <w:pStyle w:val="206"/>
                    <w:widowControl w:val="0"/>
                    <w:spacing w:before="0" w:beforeAutospacing="0" w:after="0" w:afterAutospacing="0"/>
                    <w:textAlignment w:val="baseline"/>
                    <w:rPr>
                      <w:rStyle w:val="207"/>
                      <w:sz w:val="20"/>
                      <w:szCs w:val="20"/>
                    </w:rPr>
                  </w:pPr>
                  <w:r>
                    <w:rPr>
                      <w:rFonts w:ascii="Calibri" w:hAnsi="Calibri" w:cs="Calibri"/>
                      <w:color w:val="000000"/>
                      <w:sz w:val="22"/>
                      <w:szCs w:val="22"/>
                    </w:rPr>
                    <w:t>4</w:t>
                  </w:r>
                </w:p>
              </w:tc>
              <w:tc>
                <w:tcPr>
                  <w:tcW w:w="3210" w:type="dxa"/>
                  <w:vAlign w:val="bottom"/>
                </w:tcPr>
                <w:p>
                  <w:pPr>
                    <w:pStyle w:val="206"/>
                    <w:widowControl w:val="0"/>
                    <w:spacing w:before="0" w:beforeAutospacing="0" w:after="0" w:afterAutospacing="0"/>
                    <w:textAlignment w:val="baseline"/>
                    <w:rPr>
                      <w:rStyle w:val="207"/>
                      <w:sz w:val="20"/>
                      <w:szCs w:val="20"/>
                    </w:rPr>
                  </w:pPr>
                  <w:r>
                    <w:rPr>
                      <w:rFonts w:ascii="Calibri" w:hAnsi="Calibri" w:cs="Calibri"/>
                      <w:color w:val="000000"/>
                      <w:sz w:val="22"/>
                      <w:szCs w:val="22"/>
                    </w:rPr>
                    <w:t>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vAlign w:val="bottom"/>
                </w:tcPr>
                <w:p>
                  <w:pPr>
                    <w:pStyle w:val="206"/>
                    <w:widowControl w:val="0"/>
                    <w:spacing w:before="0" w:beforeAutospacing="0" w:after="0" w:afterAutospacing="0"/>
                    <w:textAlignment w:val="baseline"/>
                    <w:rPr>
                      <w:rStyle w:val="207"/>
                      <w:sz w:val="20"/>
                      <w:szCs w:val="20"/>
                    </w:rPr>
                  </w:pPr>
                  <w:r>
                    <w:rPr>
                      <w:rFonts w:ascii="Calibri" w:hAnsi="Calibri" w:cs="Calibri"/>
                      <w:color w:val="000000"/>
                      <w:sz w:val="22"/>
                      <w:szCs w:val="22"/>
                    </w:rPr>
                    <w:t>960</w:t>
                  </w:r>
                </w:p>
              </w:tc>
              <w:tc>
                <w:tcPr>
                  <w:tcW w:w="3210" w:type="dxa"/>
                  <w:vAlign w:val="bottom"/>
                </w:tcPr>
                <w:p>
                  <w:pPr>
                    <w:pStyle w:val="206"/>
                    <w:widowControl w:val="0"/>
                    <w:spacing w:before="0" w:beforeAutospacing="0" w:after="0" w:afterAutospacing="0"/>
                    <w:textAlignment w:val="baseline"/>
                    <w:rPr>
                      <w:rStyle w:val="207"/>
                      <w:sz w:val="20"/>
                      <w:szCs w:val="20"/>
                    </w:rPr>
                  </w:pPr>
                  <w:r>
                    <w:rPr>
                      <w:rFonts w:ascii="Calibri" w:hAnsi="Calibri" w:cs="Calibri"/>
                      <w:color w:val="000000"/>
                      <w:sz w:val="22"/>
                      <w:szCs w:val="22"/>
                    </w:rPr>
                    <w:t>8</w:t>
                  </w:r>
                </w:p>
              </w:tc>
              <w:tc>
                <w:tcPr>
                  <w:tcW w:w="3210" w:type="dxa"/>
                  <w:vAlign w:val="bottom"/>
                </w:tcPr>
                <w:p>
                  <w:pPr>
                    <w:pStyle w:val="206"/>
                    <w:widowControl w:val="0"/>
                    <w:spacing w:before="0" w:beforeAutospacing="0" w:after="0" w:afterAutospacing="0"/>
                    <w:textAlignment w:val="baseline"/>
                    <w:rPr>
                      <w:rStyle w:val="207"/>
                      <w:sz w:val="20"/>
                      <w:szCs w:val="20"/>
                    </w:rPr>
                  </w:pPr>
                  <w:r>
                    <w:rPr>
                      <w:rFonts w:ascii="Calibri" w:hAnsi="Calibri" w:cs="Calibri"/>
                      <w:color w:val="000000"/>
                      <w:sz w:val="22"/>
                      <w:szCs w:val="22"/>
                    </w:rPr>
                    <w:t>112</w:t>
                  </w:r>
                </w:p>
              </w:tc>
            </w:tr>
          </w:tbl>
          <w:p>
            <w:pPr>
              <w:pStyle w:val="206"/>
              <w:widowControl w:val="0"/>
              <w:spacing w:before="0" w:beforeAutospacing="0" w:after="0" w:afterAutospacing="0"/>
              <w:textAlignment w:val="baseline"/>
              <w:rPr>
                <w:rStyle w:val="207"/>
                <w:sz w:val="20"/>
                <w:szCs w:val="20"/>
              </w:rPr>
            </w:pPr>
          </w:p>
          <w:p>
            <w:pPr>
              <w:pStyle w:val="206"/>
              <w:widowControl w:val="0"/>
              <w:spacing w:before="0" w:beforeAutospacing="0" w:after="0" w:afterAutospacing="0"/>
              <w:textAlignment w:val="baseline"/>
              <w:rPr>
                <w:rStyle w:val="207"/>
                <w:b/>
                <w:bCs/>
                <w:sz w:val="20"/>
                <w:szCs w:val="20"/>
              </w:rPr>
            </w:pPr>
          </w:p>
          <w:p>
            <w:pPr>
              <w:pStyle w:val="206"/>
              <w:widowControl w:val="0"/>
              <w:spacing w:before="0" w:beforeAutospacing="0" w:after="0" w:afterAutospacing="0"/>
              <w:textAlignment w:val="baseline"/>
              <w:rPr>
                <w:rStyle w:val="207"/>
                <w:sz w:val="20"/>
                <w:szCs w:val="20"/>
              </w:rPr>
            </w:pPr>
            <w:r>
              <w:rPr>
                <w:rStyle w:val="207"/>
                <w:sz w:val="20"/>
                <w:szCs w:val="20"/>
              </w:rPr>
              <w:t xml:space="preserve">For parameter Y, the natural starting point is Y=[1, 2, 3] (i.e. the size options currently available for CORESET duration). </w:t>
            </w:r>
          </w:p>
          <w:p>
            <w:pPr>
              <w:pStyle w:val="206"/>
              <w:widowControl w:val="0"/>
              <w:spacing w:before="0" w:beforeAutospacing="0" w:after="0" w:afterAutospacing="0"/>
              <w:textAlignment w:val="baseline"/>
              <w:rPr>
                <w:rStyle w:val="207"/>
                <w:sz w:val="20"/>
                <w:szCs w:val="20"/>
              </w:rPr>
            </w:pPr>
          </w:p>
          <w:p>
            <w:pPr>
              <w:pStyle w:val="206"/>
              <w:widowControl w:val="0"/>
              <w:spacing w:before="0" w:beforeAutospacing="0" w:after="0" w:afterAutospacing="0"/>
              <w:textAlignment w:val="baseline"/>
              <w:rPr>
                <w:sz w:val="20"/>
                <w:szCs w:val="20"/>
              </w:rPr>
            </w:pPr>
            <w:r>
              <w:rPr>
                <w:rStyle w:val="207"/>
                <w:b/>
                <w:bCs/>
                <w:i/>
                <w:iCs/>
                <w:sz w:val="20"/>
                <w:szCs w:val="20"/>
                <w:lang w:val="en-US"/>
              </w:rPr>
              <w:t>Proposal 3</w:t>
            </w:r>
            <w:r>
              <w:rPr>
                <w:rStyle w:val="207"/>
                <w:i/>
                <w:iCs/>
                <w:sz w:val="20"/>
                <w:szCs w:val="20"/>
                <w:lang w:val="en-US"/>
              </w:rPr>
              <w:t>: </w:t>
            </w:r>
            <w:r>
              <w:rPr>
                <w:rStyle w:val="207"/>
                <w:i/>
                <w:iCs/>
                <w:sz w:val="20"/>
                <w:szCs w:val="20"/>
              </w:rPr>
              <w:t>Support at least Y=[1, 2, 3] for multi-slot -span monitoring</w:t>
            </w:r>
          </w:p>
          <w:p>
            <w:pPr>
              <w:pStyle w:val="27"/>
              <w:widowControl w:val="0"/>
              <w:jc w:val="left"/>
              <w:rPr>
                <w:color w:val="000000" w:themeColor="text1"/>
                <w:lang w:eastAsia="zh-CN"/>
                <w14:textFill>
                  <w14:solidFill>
                    <w14:schemeClr w14:val="tx1"/>
                  </w14:solidFill>
                </w14:textFill>
              </w:rPr>
            </w:pPr>
          </w:p>
          <w:p>
            <w:pPr>
              <w:pStyle w:val="206"/>
              <w:widowControl w:val="0"/>
              <w:spacing w:before="0" w:beforeAutospacing="0" w:after="0" w:afterAutospacing="0"/>
              <w:textAlignment w:val="baseline"/>
              <w:rPr>
                <w:rStyle w:val="207"/>
                <w:sz w:val="20"/>
                <w:szCs w:val="20"/>
              </w:rPr>
            </w:pPr>
            <w:r>
              <w:rPr>
                <w:rStyle w:val="207"/>
                <w:sz w:val="20"/>
                <w:szCs w:val="20"/>
              </w:rPr>
              <w:t>Table 2 shows an example for defining PDCCH monitoring capabilities. When considering numerical values for the maximum number of PDCCH candidates per span, and the maximum number of non-overlapping CCEs per span, we think that the existing capabilities defined for 120 kHz SCS could be used as a baseline.</w:t>
            </w:r>
          </w:p>
          <w:p>
            <w:pPr>
              <w:pStyle w:val="206"/>
              <w:widowControl w:val="0"/>
              <w:numPr>
                <w:ilvl w:val="0"/>
                <w:numId w:val="37"/>
              </w:numPr>
              <w:spacing w:before="0" w:beforeAutospacing="0" w:after="0" w:afterAutospacing="0"/>
              <w:textAlignment w:val="baseline"/>
              <w:rPr>
                <w:rStyle w:val="207"/>
                <w:sz w:val="20"/>
                <w:szCs w:val="20"/>
              </w:rPr>
            </w:pPr>
            <w:r>
              <w:rPr>
                <w:rStyle w:val="207"/>
                <w:sz w:val="20"/>
                <w:szCs w:val="20"/>
              </w:rPr>
              <w:t>20 PDCCH candidates per 120 kHz slot duration</w:t>
            </w:r>
          </w:p>
          <w:p>
            <w:pPr>
              <w:pStyle w:val="206"/>
              <w:widowControl w:val="0"/>
              <w:numPr>
                <w:ilvl w:val="0"/>
                <w:numId w:val="37"/>
              </w:numPr>
              <w:spacing w:before="0" w:beforeAutospacing="0" w:after="0" w:afterAutospacing="0"/>
              <w:textAlignment w:val="baseline"/>
              <w:rPr>
                <w:rStyle w:val="207"/>
                <w:sz w:val="20"/>
                <w:szCs w:val="20"/>
              </w:rPr>
            </w:pPr>
            <w:r>
              <w:rPr>
                <w:rStyle w:val="207"/>
                <w:sz w:val="20"/>
                <w:szCs w:val="20"/>
              </w:rPr>
              <w:t>32 non-overlapped CCEs per (120 kHz) slot duration.</w:t>
            </w:r>
          </w:p>
          <w:p>
            <w:pPr>
              <w:pStyle w:val="206"/>
              <w:widowControl w:val="0"/>
              <w:spacing w:before="0" w:beforeAutospacing="0" w:after="0" w:afterAutospacing="0"/>
              <w:textAlignment w:val="baseline"/>
              <w:rPr>
                <w:rStyle w:val="207"/>
                <w:sz w:val="20"/>
                <w:szCs w:val="20"/>
              </w:rPr>
            </w:pPr>
          </w:p>
          <w:p>
            <w:pPr>
              <w:pStyle w:val="206"/>
              <w:widowControl w:val="0"/>
              <w:spacing w:before="0" w:beforeAutospacing="0" w:after="0" w:afterAutospacing="0"/>
              <w:textAlignment w:val="baseline"/>
              <w:rPr>
                <w:rStyle w:val="207"/>
                <w:sz w:val="20"/>
                <w:szCs w:val="20"/>
              </w:rPr>
            </w:pPr>
            <w:r>
              <w:rPr>
                <w:rStyle w:val="207"/>
                <w:sz w:val="20"/>
                <w:szCs w:val="20"/>
              </w:rPr>
              <w:t xml:space="preserve">In addition to multi-slot span -based monitoring, UEs with 480 kHz and 960 kHz SCSs should support slot-based monitoring. In order to support slot-based operation with reasonable coverage, one should support at least 8 non-overlapped CCEs (preferably 16) also for slot-based operation. </w:t>
            </w:r>
          </w:p>
          <w:p>
            <w:pPr>
              <w:pStyle w:val="206"/>
              <w:widowControl w:val="0"/>
              <w:spacing w:before="0" w:beforeAutospacing="0" w:after="0" w:afterAutospacing="0"/>
              <w:textAlignment w:val="baseline"/>
              <w:rPr>
                <w:rStyle w:val="207"/>
                <w:sz w:val="20"/>
                <w:szCs w:val="20"/>
              </w:rPr>
            </w:pPr>
          </w:p>
          <w:p>
            <w:pPr>
              <w:pStyle w:val="206"/>
              <w:widowControl w:val="0"/>
              <w:spacing w:before="0" w:beforeAutospacing="0" w:after="0" w:afterAutospacing="0"/>
              <w:textAlignment w:val="baseline"/>
              <w:rPr>
                <w:rStyle w:val="207"/>
                <w:sz w:val="20"/>
                <w:szCs w:val="20"/>
              </w:rPr>
            </w:pPr>
            <w:r>
              <w:rPr>
                <w:rStyle w:val="207"/>
                <w:sz w:val="20"/>
                <w:szCs w:val="20"/>
              </w:rPr>
              <w:t xml:space="preserve">There are number of </w:t>
            </w:r>
            <w:r>
              <w:rPr>
                <w:sz w:val="20"/>
                <w:szCs w:val="20"/>
                <w:highlight w:val="yellow"/>
                <w:lang w:val="en-US"/>
              </w:rPr>
              <w:t>TBD</w:t>
            </w:r>
            <w:r>
              <w:rPr>
                <w:sz w:val="20"/>
                <w:szCs w:val="20"/>
                <w:lang w:val="en-US"/>
              </w:rPr>
              <w:t>s in Table 2. The numerical values for these should be decided during the WI.</w:t>
            </w:r>
          </w:p>
          <w:p>
            <w:pPr>
              <w:pStyle w:val="206"/>
              <w:widowControl w:val="0"/>
              <w:spacing w:before="0" w:beforeAutospacing="0" w:after="0" w:afterAutospacing="0"/>
              <w:textAlignment w:val="baseline"/>
              <w:rPr>
                <w:rStyle w:val="207"/>
                <w:sz w:val="20"/>
                <w:szCs w:val="20"/>
              </w:rPr>
            </w:pPr>
          </w:p>
          <w:p>
            <w:pPr>
              <w:pStyle w:val="206"/>
              <w:widowControl w:val="0"/>
              <w:spacing w:before="0" w:beforeAutospacing="0" w:after="0" w:afterAutospacing="0"/>
              <w:textAlignment w:val="baseline"/>
              <w:rPr>
                <w:rStyle w:val="207"/>
                <w:i/>
                <w:iCs/>
                <w:sz w:val="20"/>
                <w:szCs w:val="20"/>
                <w:lang w:val="en-US"/>
              </w:rPr>
            </w:pPr>
            <w:r>
              <w:rPr>
                <w:rStyle w:val="207"/>
                <w:b/>
                <w:bCs/>
                <w:i/>
                <w:iCs/>
                <w:sz w:val="20"/>
                <w:szCs w:val="20"/>
                <w:lang w:val="en-US"/>
              </w:rPr>
              <w:t>Proposal 5</w:t>
            </w:r>
            <w:r>
              <w:rPr>
                <w:rStyle w:val="207"/>
                <w:i/>
                <w:iCs/>
                <w:sz w:val="20"/>
                <w:szCs w:val="20"/>
                <w:lang w:val="en-US"/>
              </w:rPr>
              <w:t>: Consdier PDCCH monitoring capabilities defined for 120 kHz SCS as a baseline for multi-slot -span based monitoring</w:t>
            </w:r>
          </w:p>
          <w:p>
            <w:pPr>
              <w:pStyle w:val="206"/>
              <w:widowControl w:val="0"/>
              <w:numPr>
                <w:ilvl w:val="0"/>
                <w:numId w:val="38"/>
              </w:numPr>
              <w:spacing w:before="0" w:beforeAutospacing="0" w:after="0" w:afterAutospacing="0"/>
              <w:ind w:left="998" w:hanging="357"/>
              <w:rPr>
                <w:rStyle w:val="207"/>
                <w:i/>
                <w:iCs/>
                <w:sz w:val="20"/>
                <w:szCs w:val="20"/>
                <w:lang w:val="en-US"/>
              </w:rPr>
            </w:pPr>
            <w:r>
              <w:rPr>
                <w:rStyle w:val="207"/>
                <w:i/>
                <w:iCs/>
                <w:sz w:val="20"/>
                <w:szCs w:val="20"/>
                <w:lang w:val="en-US"/>
              </w:rPr>
              <w:t>support at least 20 PDCCH candidates per 120 kHz slot duration</w:t>
            </w:r>
          </w:p>
          <w:p>
            <w:pPr>
              <w:pStyle w:val="206"/>
              <w:widowControl w:val="0"/>
              <w:numPr>
                <w:ilvl w:val="0"/>
                <w:numId w:val="38"/>
              </w:numPr>
              <w:spacing w:after="0"/>
              <w:rPr>
                <w:rStyle w:val="207"/>
                <w:i/>
                <w:iCs/>
                <w:sz w:val="20"/>
                <w:szCs w:val="20"/>
                <w:lang w:val="en-US"/>
              </w:rPr>
            </w:pPr>
            <w:r>
              <w:rPr>
                <w:rStyle w:val="207"/>
                <w:i/>
                <w:iCs/>
                <w:sz w:val="20"/>
                <w:szCs w:val="20"/>
                <w:lang w:val="en-US"/>
              </w:rPr>
              <w:t>support 32 non-overlapped CCEs per 120 kHz slot duration.</w:t>
            </w:r>
          </w:p>
          <w:p>
            <w:pPr>
              <w:pStyle w:val="206"/>
              <w:widowControl w:val="0"/>
              <w:numPr>
                <w:ilvl w:val="0"/>
                <w:numId w:val="38"/>
              </w:numPr>
              <w:spacing w:before="0" w:beforeAutospacing="0" w:after="0" w:afterAutospacing="0"/>
              <w:textAlignment w:val="baseline"/>
              <w:rPr>
                <w:rStyle w:val="207"/>
                <w:i/>
                <w:iCs/>
                <w:sz w:val="20"/>
                <w:szCs w:val="20"/>
                <w:lang w:val="en-US"/>
              </w:rPr>
            </w:pPr>
            <w:r>
              <w:rPr>
                <w:rStyle w:val="207"/>
                <w:i/>
                <w:iCs/>
                <w:sz w:val="20"/>
                <w:szCs w:val="20"/>
              </w:rPr>
              <w:t>support at least 8 non-overlapped CCEs also for slot-based operation.</w:t>
            </w:r>
          </w:p>
          <w:p>
            <w:pPr>
              <w:pStyle w:val="27"/>
              <w:widowControl w:val="0"/>
            </w:pPr>
          </w:p>
          <w:p>
            <w:pPr>
              <w:pStyle w:val="27"/>
              <w:keepNext/>
              <w:widowControl w:val="0"/>
            </w:pPr>
            <w:r>
              <w:t xml:space="preserve">Table </w:t>
            </w:r>
            <w:r>
              <w:fldChar w:fldCharType="begin"/>
            </w:r>
            <w:r>
              <w:instrText xml:space="preserve">SEQ Table \* ARABIC</w:instrText>
            </w:r>
            <w:r>
              <w:fldChar w:fldCharType="separate"/>
            </w:r>
            <w:r>
              <w:t>2</w:t>
            </w:r>
            <w:r>
              <w:fldChar w:fldCharType="end"/>
            </w:r>
            <w:r>
              <w:t>. Example table demonstrating UE capabilities for multi-slot span -monitoring</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274"/>
              <w:gridCol w:w="1095"/>
              <w:gridCol w:w="1095"/>
              <w:gridCol w:w="1097"/>
              <w:gridCol w:w="1083"/>
              <w:gridCol w:w="1044"/>
              <w:gridCol w:w="1044"/>
              <w:gridCol w:w="10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single" w:color="auto" w:sz="4" w:space="0"/>
                    <w:left w:val="single" w:color="auto" w:sz="4" w:space="0"/>
                    <w:bottom w:val="single" w:color="auto" w:sz="4" w:space="0"/>
                    <w:right w:val="single" w:color="auto" w:sz="12" w:space="0"/>
                  </w:tcBorders>
                  <w:shd w:val="clear" w:color="auto" w:fill="D8D8D8" w:themeFill="background1" w:themeFillShade="D9"/>
                  <w:vAlign w:val="center"/>
                </w:tcPr>
                <w:p>
                  <w:pPr>
                    <w:widowControl w:val="0"/>
                    <w:spacing w:after="60"/>
                    <w:jc w:val="center"/>
                  </w:pPr>
                </w:p>
              </w:tc>
              <w:tc>
                <w:tcPr>
                  <w:tcW w:w="4561" w:type="dxa"/>
                  <w:gridSpan w:val="4"/>
                  <w:tcBorders>
                    <w:top w:val="single" w:color="auto" w:sz="4" w:space="0"/>
                    <w:left w:val="single" w:color="auto" w:sz="12" w:space="0"/>
                    <w:bottom w:val="single" w:color="auto" w:sz="4" w:space="0"/>
                    <w:right w:val="single" w:color="auto" w:sz="12" w:space="0"/>
                  </w:tcBorders>
                  <w:shd w:val="clear" w:color="auto" w:fill="D8D8D8" w:themeFill="background1" w:themeFillShade="D9"/>
                  <w:vAlign w:val="center"/>
                </w:tcPr>
                <w:p>
                  <w:pPr>
                    <w:widowControl w:val="0"/>
                    <w:spacing w:after="60"/>
                    <w:jc w:val="center"/>
                  </w:pPr>
                  <w:r>
                    <w:t>Max. # of monitored PDCCH candidates per slot/span per combination (X,Y) and per serving cell</w:t>
                  </w:r>
                </w:p>
              </w:tc>
              <w:tc>
                <w:tcPr>
                  <w:tcW w:w="4222" w:type="dxa"/>
                  <w:gridSpan w:val="4"/>
                  <w:tcBorders>
                    <w:top w:val="single" w:color="auto" w:sz="4" w:space="0"/>
                    <w:left w:val="single" w:color="auto" w:sz="12" w:space="0"/>
                    <w:bottom w:val="single" w:color="auto" w:sz="4" w:space="0"/>
                    <w:right w:val="single" w:color="auto" w:sz="4" w:space="0"/>
                  </w:tcBorders>
                  <w:shd w:val="clear" w:color="auto" w:fill="D8D8D8" w:themeFill="background1" w:themeFillShade="D9"/>
                  <w:vAlign w:val="center"/>
                </w:tcPr>
                <w:p>
                  <w:pPr>
                    <w:widowControl w:val="0"/>
                    <w:spacing w:after="60"/>
                    <w:jc w:val="center"/>
                  </w:pPr>
                  <w:r>
                    <w:t>Max. # of non-overlapped CCEs per slot/span for per combination (X,Y) and per serving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single" w:color="auto" w:sz="4" w:space="0"/>
                    <w:left w:val="single" w:color="auto" w:sz="4" w:space="0"/>
                    <w:bottom w:val="single" w:color="auto" w:sz="12" w:space="0"/>
                    <w:right w:val="single" w:color="auto" w:sz="12" w:space="0"/>
                  </w:tcBorders>
                  <w:shd w:val="clear" w:color="auto" w:fill="D8D8D8" w:themeFill="background1" w:themeFillShade="D9"/>
                  <w:vAlign w:val="center"/>
                </w:tcPr>
                <w:p>
                  <w:pPr>
                    <w:widowControl w:val="0"/>
                    <w:spacing w:after="60"/>
                    <w:jc w:val="center"/>
                    <w:rPr>
                      <w:i/>
                      <w:iCs/>
                    </w:rPr>
                  </w:pPr>
                  <w:r>
                    <w:rPr>
                      <w:i/>
                      <w:iCs/>
                    </w:rPr>
                    <w:t>μ</w:t>
                  </w:r>
                </w:p>
              </w:tc>
              <w:tc>
                <w:tcPr>
                  <w:tcW w:w="1274" w:type="dxa"/>
                  <w:tcBorders>
                    <w:top w:val="single" w:color="auto" w:sz="4" w:space="0"/>
                    <w:left w:val="single" w:color="auto" w:sz="12" w:space="0"/>
                    <w:bottom w:val="single" w:color="auto" w:sz="12" w:space="0"/>
                    <w:right w:val="single" w:color="auto" w:sz="4" w:space="0"/>
                  </w:tcBorders>
                  <w:vAlign w:val="center"/>
                </w:tcPr>
                <w:p>
                  <w:pPr>
                    <w:widowControl w:val="0"/>
                    <w:spacing w:after="60"/>
                    <w:jc w:val="center"/>
                  </w:pPr>
                  <w:r>
                    <w:t>Slot-based</w:t>
                  </w:r>
                </w:p>
              </w:tc>
              <w:tc>
                <w:tcPr>
                  <w:tcW w:w="1095" w:type="dxa"/>
                  <w:tcBorders>
                    <w:top w:val="single" w:color="auto" w:sz="4" w:space="0"/>
                    <w:left w:val="single" w:color="auto" w:sz="4" w:space="0"/>
                    <w:bottom w:val="single" w:color="auto" w:sz="12" w:space="0"/>
                    <w:right w:val="single" w:color="auto" w:sz="4" w:space="0"/>
                  </w:tcBorders>
                  <w:vAlign w:val="center"/>
                </w:tcPr>
                <w:p>
                  <w:pPr>
                    <w:widowControl w:val="0"/>
                    <w:spacing w:after="60"/>
                    <w:jc w:val="center"/>
                  </w:pPr>
                  <w:r>
                    <w:t>(28, Y)</w:t>
                  </w:r>
                </w:p>
              </w:tc>
              <w:tc>
                <w:tcPr>
                  <w:tcW w:w="1095" w:type="dxa"/>
                  <w:tcBorders>
                    <w:top w:val="single" w:color="auto" w:sz="4" w:space="0"/>
                    <w:left w:val="single" w:color="auto" w:sz="4" w:space="0"/>
                    <w:bottom w:val="single" w:color="auto" w:sz="12" w:space="0"/>
                    <w:right w:val="single" w:color="auto" w:sz="4" w:space="0"/>
                  </w:tcBorders>
                  <w:vAlign w:val="center"/>
                </w:tcPr>
                <w:p>
                  <w:pPr>
                    <w:widowControl w:val="0"/>
                    <w:spacing w:after="60"/>
                    <w:jc w:val="center"/>
                  </w:pPr>
                  <w:r>
                    <w:t>(56, Y)</w:t>
                  </w:r>
                </w:p>
              </w:tc>
              <w:tc>
                <w:tcPr>
                  <w:tcW w:w="1097" w:type="dxa"/>
                  <w:tcBorders>
                    <w:top w:val="single" w:color="auto" w:sz="4" w:space="0"/>
                    <w:left w:val="single" w:color="auto" w:sz="4" w:space="0"/>
                    <w:bottom w:val="single" w:color="auto" w:sz="12" w:space="0"/>
                    <w:right w:val="single" w:color="auto" w:sz="12" w:space="0"/>
                  </w:tcBorders>
                  <w:vAlign w:val="center"/>
                </w:tcPr>
                <w:p>
                  <w:pPr>
                    <w:widowControl w:val="0"/>
                    <w:spacing w:after="60"/>
                    <w:jc w:val="center"/>
                  </w:pPr>
                  <w:r>
                    <w:t>(112, Y)</w:t>
                  </w:r>
                </w:p>
              </w:tc>
              <w:tc>
                <w:tcPr>
                  <w:tcW w:w="1083" w:type="dxa"/>
                  <w:tcBorders>
                    <w:top w:val="single" w:color="auto" w:sz="4" w:space="0"/>
                    <w:left w:val="single" w:color="auto" w:sz="12" w:space="0"/>
                    <w:bottom w:val="single" w:color="auto" w:sz="12" w:space="0"/>
                    <w:right w:val="single" w:color="auto" w:sz="4" w:space="0"/>
                  </w:tcBorders>
                  <w:vAlign w:val="center"/>
                </w:tcPr>
                <w:p>
                  <w:pPr>
                    <w:widowControl w:val="0"/>
                    <w:spacing w:after="60"/>
                    <w:jc w:val="center"/>
                  </w:pPr>
                  <w:r>
                    <w:t>Slot based</w:t>
                  </w:r>
                </w:p>
              </w:tc>
              <w:tc>
                <w:tcPr>
                  <w:tcW w:w="1044" w:type="dxa"/>
                  <w:tcBorders>
                    <w:top w:val="single" w:color="auto" w:sz="4" w:space="0"/>
                    <w:left w:val="single" w:color="auto" w:sz="4" w:space="0"/>
                    <w:bottom w:val="single" w:color="auto" w:sz="12" w:space="0"/>
                    <w:right w:val="single" w:color="auto" w:sz="4" w:space="0"/>
                  </w:tcBorders>
                  <w:vAlign w:val="center"/>
                </w:tcPr>
                <w:p>
                  <w:pPr>
                    <w:widowControl w:val="0"/>
                    <w:spacing w:after="60"/>
                    <w:jc w:val="center"/>
                  </w:pPr>
                  <w:r>
                    <w:t>(28, Y)</w:t>
                  </w:r>
                </w:p>
              </w:tc>
              <w:tc>
                <w:tcPr>
                  <w:tcW w:w="1044" w:type="dxa"/>
                  <w:tcBorders>
                    <w:top w:val="single" w:color="auto" w:sz="4" w:space="0"/>
                    <w:left w:val="single" w:color="auto" w:sz="4" w:space="0"/>
                    <w:bottom w:val="single" w:color="auto" w:sz="12" w:space="0"/>
                    <w:right w:val="single" w:color="auto" w:sz="4" w:space="0"/>
                  </w:tcBorders>
                  <w:vAlign w:val="center"/>
                </w:tcPr>
                <w:p>
                  <w:pPr>
                    <w:widowControl w:val="0"/>
                    <w:spacing w:after="60"/>
                    <w:jc w:val="center"/>
                  </w:pPr>
                  <w:r>
                    <w:t>(56, Y)</w:t>
                  </w:r>
                </w:p>
              </w:tc>
              <w:tc>
                <w:tcPr>
                  <w:tcW w:w="1051" w:type="dxa"/>
                  <w:tcBorders>
                    <w:top w:val="single" w:color="auto" w:sz="4" w:space="0"/>
                    <w:left w:val="single" w:color="auto" w:sz="4" w:space="0"/>
                    <w:bottom w:val="single" w:color="auto" w:sz="12" w:space="0"/>
                    <w:right w:val="single" w:color="auto" w:sz="4" w:space="0"/>
                  </w:tcBorders>
                  <w:vAlign w:val="center"/>
                </w:tcPr>
                <w:p>
                  <w:pPr>
                    <w:widowControl w:val="0"/>
                    <w:spacing w:after="60"/>
                    <w:jc w:val="center"/>
                  </w:pPr>
                  <w:r>
                    <w:t>(112,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single" w:color="auto" w:sz="12" w:space="0"/>
                    <w:left w:val="single" w:color="auto" w:sz="4" w:space="0"/>
                    <w:bottom w:val="single" w:color="auto" w:sz="4" w:space="0"/>
                    <w:right w:val="single" w:color="auto" w:sz="12" w:space="0"/>
                  </w:tcBorders>
                  <w:vAlign w:val="center"/>
                </w:tcPr>
                <w:p>
                  <w:pPr>
                    <w:widowControl w:val="0"/>
                    <w:spacing w:after="60"/>
                    <w:jc w:val="center"/>
                  </w:pPr>
                  <w:r>
                    <w:t>3</w:t>
                  </w:r>
                </w:p>
              </w:tc>
              <w:tc>
                <w:tcPr>
                  <w:tcW w:w="1274" w:type="dxa"/>
                  <w:tcBorders>
                    <w:top w:val="single" w:color="auto" w:sz="12" w:space="0"/>
                    <w:left w:val="single" w:color="auto" w:sz="12" w:space="0"/>
                    <w:bottom w:val="single" w:color="auto" w:sz="4" w:space="0"/>
                    <w:right w:val="single" w:color="auto" w:sz="4" w:space="0"/>
                  </w:tcBorders>
                  <w:vAlign w:val="center"/>
                </w:tcPr>
                <w:p>
                  <w:pPr>
                    <w:widowControl w:val="0"/>
                    <w:spacing w:after="60"/>
                    <w:jc w:val="center"/>
                  </w:pPr>
                  <w:r>
                    <w:t>20</w:t>
                  </w:r>
                </w:p>
              </w:tc>
              <w:tc>
                <w:tcPr>
                  <w:tcW w:w="1095" w:type="dxa"/>
                  <w:tcBorders>
                    <w:top w:val="single" w:color="auto" w:sz="12" w:space="0"/>
                    <w:left w:val="single" w:color="auto" w:sz="4" w:space="0"/>
                    <w:bottom w:val="single" w:color="auto" w:sz="4" w:space="0"/>
                    <w:right w:val="single" w:color="auto" w:sz="4" w:space="0"/>
                  </w:tcBorders>
                  <w:vAlign w:val="center"/>
                </w:tcPr>
                <w:p>
                  <w:pPr>
                    <w:widowControl w:val="0"/>
                    <w:spacing w:after="60"/>
                    <w:jc w:val="center"/>
                  </w:pPr>
                  <w:r>
                    <w:t>-</w:t>
                  </w:r>
                </w:p>
              </w:tc>
              <w:tc>
                <w:tcPr>
                  <w:tcW w:w="1095" w:type="dxa"/>
                  <w:tcBorders>
                    <w:top w:val="single" w:color="auto" w:sz="12" w:space="0"/>
                    <w:left w:val="single" w:color="auto" w:sz="4" w:space="0"/>
                    <w:bottom w:val="single" w:color="auto" w:sz="4" w:space="0"/>
                    <w:right w:val="single" w:color="auto" w:sz="4" w:space="0"/>
                  </w:tcBorders>
                  <w:vAlign w:val="center"/>
                </w:tcPr>
                <w:p>
                  <w:pPr>
                    <w:widowControl w:val="0"/>
                    <w:spacing w:after="60"/>
                    <w:jc w:val="center"/>
                  </w:pPr>
                  <w:r>
                    <w:t>-</w:t>
                  </w:r>
                </w:p>
              </w:tc>
              <w:tc>
                <w:tcPr>
                  <w:tcW w:w="1097" w:type="dxa"/>
                  <w:tcBorders>
                    <w:top w:val="single" w:color="auto" w:sz="12" w:space="0"/>
                    <w:left w:val="single" w:color="auto" w:sz="4" w:space="0"/>
                    <w:bottom w:val="single" w:color="auto" w:sz="4" w:space="0"/>
                    <w:right w:val="single" w:color="auto" w:sz="12" w:space="0"/>
                  </w:tcBorders>
                  <w:vAlign w:val="center"/>
                </w:tcPr>
                <w:p>
                  <w:pPr>
                    <w:widowControl w:val="0"/>
                    <w:spacing w:after="60"/>
                    <w:jc w:val="center"/>
                  </w:pPr>
                  <w:r>
                    <w:t>-</w:t>
                  </w:r>
                </w:p>
              </w:tc>
              <w:tc>
                <w:tcPr>
                  <w:tcW w:w="1083" w:type="dxa"/>
                  <w:tcBorders>
                    <w:top w:val="single" w:color="auto" w:sz="12" w:space="0"/>
                    <w:left w:val="single" w:color="auto" w:sz="12" w:space="0"/>
                    <w:bottom w:val="single" w:color="auto" w:sz="4" w:space="0"/>
                    <w:right w:val="single" w:color="auto" w:sz="4" w:space="0"/>
                  </w:tcBorders>
                  <w:vAlign w:val="center"/>
                </w:tcPr>
                <w:p>
                  <w:pPr>
                    <w:widowControl w:val="0"/>
                    <w:spacing w:after="60"/>
                    <w:jc w:val="center"/>
                  </w:pPr>
                  <w:r>
                    <w:t>32</w:t>
                  </w:r>
                </w:p>
              </w:tc>
              <w:tc>
                <w:tcPr>
                  <w:tcW w:w="1044" w:type="dxa"/>
                  <w:tcBorders>
                    <w:top w:val="single" w:color="auto" w:sz="12" w:space="0"/>
                    <w:left w:val="single" w:color="auto" w:sz="4" w:space="0"/>
                    <w:bottom w:val="single" w:color="auto" w:sz="4" w:space="0"/>
                    <w:right w:val="single" w:color="auto" w:sz="4" w:space="0"/>
                  </w:tcBorders>
                  <w:vAlign w:val="center"/>
                </w:tcPr>
                <w:p>
                  <w:pPr>
                    <w:widowControl w:val="0"/>
                    <w:spacing w:after="60"/>
                    <w:jc w:val="center"/>
                  </w:pPr>
                  <w:r>
                    <w:t>-</w:t>
                  </w:r>
                </w:p>
              </w:tc>
              <w:tc>
                <w:tcPr>
                  <w:tcW w:w="1044" w:type="dxa"/>
                  <w:tcBorders>
                    <w:top w:val="single" w:color="auto" w:sz="12" w:space="0"/>
                    <w:left w:val="single" w:color="auto" w:sz="4" w:space="0"/>
                    <w:bottom w:val="single" w:color="auto" w:sz="4" w:space="0"/>
                    <w:right w:val="single" w:color="auto" w:sz="4" w:space="0"/>
                  </w:tcBorders>
                  <w:vAlign w:val="center"/>
                </w:tcPr>
                <w:p>
                  <w:pPr>
                    <w:widowControl w:val="0"/>
                    <w:spacing w:after="60"/>
                    <w:jc w:val="center"/>
                  </w:pPr>
                  <w:r>
                    <w:t>-</w:t>
                  </w:r>
                </w:p>
              </w:tc>
              <w:tc>
                <w:tcPr>
                  <w:tcW w:w="1051" w:type="dxa"/>
                  <w:tcBorders>
                    <w:top w:val="single" w:color="auto" w:sz="12" w:space="0"/>
                    <w:left w:val="single" w:color="auto" w:sz="4" w:space="0"/>
                    <w:bottom w:val="single" w:color="auto" w:sz="4" w:space="0"/>
                    <w:right w:val="single" w:color="auto" w:sz="4" w:space="0"/>
                  </w:tcBorders>
                  <w:vAlign w:val="center"/>
                </w:tcPr>
                <w:p>
                  <w:pPr>
                    <w:widowControl w:val="0"/>
                    <w:spacing w:after="60"/>
                    <w:jc w:val="cente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trPr>
              <w:tc>
                <w:tcPr>
                  <w:tcW w:w="846" w:type="dxa"/>
                  <w:tcBorders>
                    <w:top w:val="single" w:color="auto" w:sz="4" w:space="0"/>
                    <w:left w:val="single" w:color="auto" w:sz="4" w:space="0"/>
                    <w:bottom w:val="single" w:color="auto" w:sz="4" w:space="0"/>
                    <w:right w:val="single" w:color="auto" w:sz="12" w:space="0"/>
                  </w:tcBorders>
                  <w:vAlign w:val="center"/>
                </w:tcPr>
                <w:p>
                  <w:pPr>
                    <w:widowControl w:val="0"/>
                    <w:spacing w:after="60"/>
                    <w:jc w:val="center"/>
                  </w:pPr>
                  <w:r>
                    <w:t>5</w:t>
                  </w:r>
                </w:p>
              </w:tc>
              <w:tc>
                <w:tcPr>
                  <w:tcW w:w="1274" w:type="dxa"/>
                  <w:tcBorders>
                    <w:top w:val="single" w:color="auto" w:sz="4" w:space="0"/>
                    <w:left w:val="single" w:color="auto" w:sz="12" w:space="0"/>
                    <w:bottom w:val="single" w:color="auto" w:sz="4" w:space="0"/>
                    <w:right w:val="single" w:color="auto" w:sz="4" w:space="0"/>
                  </w:tcBorders>
                  <w:vAlign w:val="center"/>
                </w:tcPr>
                <w:p>
                  <w:pPr>
                    <w:widowControl w:val="0"/>
                    <w:spacing w:after="60"/>
                    <w:jc w:val="center"/>
                    <w:rPr>
                      <w:highlight w:val="yellow"/>
                    </w:rPr>
                  </w:pPr>
                  <w:r>
                    <w:rPr>
                      <w:highlight w:val="yellow"/>
                    </w:rPr>
                    <w:t>TBD</w:t>
                  </w:r>
                </w:p>
              </w:tc>
              <w:tc>
                <w:tcPr>
                  <w:tcW w:w="1095" w:type="dxa"/>
                  <w:tcBorders>
                    <w:top w:val="single" w:color="auto" w:sz="4" w:space="0"/>
                    <w:left w:val="single" w:color="auto" w:sz="4" w:space="0"/>
                    <w:bottom w:val="single" w:color="auto" w:sz="4" w:space="0"/>
                    <w:right w:val="single" w:color="auto" w:sz="4" w:space="0"/>
                  </w:tcBorders>
                  <w:vAlign w:val="center"/>
                </w:tcPr>
                <w:p>
                  <w:pPr>
                    <w:widowControl w:val="0"/>
                    <w:spacing w:after="60"/>
                    <w:jc w:val="center"/>
                    <w:rPr>
                      <w:highlight w:val="yellow"/>
                    </w:rPr>
                  </w:pPr>
                  <w:r>
                    <w:rPr>
                      <w:highlight w:val="yellow"/>
                    </w:rPr>
                    <w:t>TBD</w:t>
                  </w:r>
                </w:p>
              </w:tc>
              <w:tc>
                <w:tcPr>
                  <w:tcW w:w="1095" w:type="dxa"/>
                  <w:tcBorders>
                    <w:top w:val="single" w:color="auto" w:sz="4" w:space="0"/>
                    <w:left w:val="single" w:color="auto" w:sz="4" w:space="0"/>
                    <w:bottom w:val="single" w:color="auto" w:sz="4" w:space="0"/>
                    <w:right w:val="single" w:color="auto" w:sz="4" w:space="0"/>
                  </w:tcBorders>
                  <w:vAlign w:val="center"/>
                </w:tcPr>
                <w:p>
                  <w:pPr>
                    <w:widowControl w:val="0"/>
                    <w:spacing w:after="60"/>
                    <w:jc w:val="center"/>
                    <w:rPr>
                      <w:highlight w:val="yellow"/>
                    </w:rPr>
                  </w:pPr>
                  <w:r>
                    <w:t>≥20</w:t>
                  </w:r>
                </w:p>
              </w:tc>
              <w:tc>
                <w:tcPr>
                  <w:tcW w:w="1097" w:type="dxa"/>
                  <w:tcBorders>
                    <w:top w:val="single" w:color="auto" w:sz="4" w:space="0"/>
                    <w:left w:val="single" w:color="auto" w:sz="4" w:space="0"/>
                    <w:bottom w:val="single" w:color="auto" w:sz="4" w:space="0"/>
                    <w:right w:val="single" w:color="auto" w:sz="12" w:space="0"/>
                  </w:tcBorders>
                  <w:vAlign w:val="center"/>
                </w:tcPr>
                <w:p>
                  <w:pPr>
                    <w:widowControl w:val="0"/>
                    <w:spacing w:after="60"/>
                    <w:jc w:val="center"/>
                  </w:pPr>
                  <w:r>
                    <w:t>-</w:t>
                  </w:r>
                </w:p>
              </w:tc>
              <w:tc>
                <w:tcPr>
                  <w:tcW w:w="1083" w:type="dxa"/>
                  <w:tcBorders>
                    <w:top w:val="single" w:color="auto" w:sz="4" w:space="0"/>
                    <w:left w:val="single" w:color="auto" w:sz="12" w:space="0"/>
                    <w:bottom w:val="single" w:color="auto" w:sz="4" w:space="0"/>
                    <w:right w:val="single" w:color="auto" w:sz="4" w:space="0"/>
                  </w:tcBorders>
                  <w:vAlign w:val="center"/>
                </w:tcPr>
                <w:p>
                  <w:pPr>
                    <w:widowControl w:val="0"/>
                    <w:spacing w:after="60"/>
                    <w:jc w:val="center"/>
                  </w:pPr>
                  <w:r>
                    <w:t>≥8</w:t>
                  </w:r>
                </w:p>
              </w:tc>
              <w:tc>
                <w:tcPr>
                  <w:tcW w:w="1044" w:type="dxa"/>
                  <w:tcBorders>
                    <w:top w:val="single" w:color="auto" w:sz="4" w:space="0"/>
                    <w:left w:val="single" w:color="auto" w:sz="4" w:space="0"/>
                    <w:bottom w:val="single" w:color="auto" w:sz="4" w:space="0"/>
                    <w:right w:val="single" w:color="auto" w:sz="4" w:space="0"/>
                  </w:tcBorders>
                  <w:vAlign w:val="center"/>
                </w:tcPr>
                <w:p>
                  <w:pPr>
                    <w:widowControl w:val="0"/>
                    <w:spacing w:after="60"/>
                    <w:jc w:val="center"/>
                    <w:rPr>
                      <w:highlight w:val="yellow"/>
                    </w:rPr>
                  </w:pPr>
                  <w:r>
                    <w:rPr>
                      <w:highlight w:val="yellow"/>
                    </w:rPr>
                    <w:t>TBD</w:t>
                  </w:r>
                </w:p>
              </w:tc>
              <w:tc>
                <w:tcPr>
                  <w:tcW w:w="1044" w:type="dxa"/>
                  <w:tcBorders>
                    <w:top w:val="single" w:color="auto" w:sz="4" w:space="0"/>
                    <w:left w:val="single" w:color="auto" w:sz="4" w:space="0"/>
                    <w:bottom w:val="single" w:color="auto" w:sz="4" w:space="0"/>
                    <w:right w:val="single" w:color="auto" w:sz="4" w:space="0"/>
                  </w:tcBorders>
                  <w:vAlign w:val="center"/>
                </w:tcPr>
                <w:p>
                  <w:pPr>
                    <w:widowControl w:val="0"/>
                    <w:spacing w:after="60"/>
                    <w:jc w:val="center"/>
                    <w:rPr>
                      <w:highlight w:val="yellow"/>
                    </w:rPr>
                  </w:pPr>
                  <w:r>
                    <w:t>≥32</w:t>
                  </w:r>
                </w:p>
              </w:tc>
              <w:tc>
                <w:tcPr>
                  <w:tcW w:w="1051" w:type="dxa"/>
                  <w:tcBorders>
                    <w:top w:val="single" w:color="auto" w:sz="4" w:space="0"/>
                    <w:left w:val="single" w:color="auto" w:sz="4" w:space="0"/>
                    <w:bottom w:val="single" w:color="auto" w:sz="4" w:space="0"/>
                    <w:right w:val="single" w:color="auto" w:sz="4" w:space="0"/>
                  </w:tcBorders>
                  <w:vAlign w:val="center"/>
                </w:tcPr>
                <w:p>
                  <w:pPr>
                    <w:widowControl w:val="0"/>
                    <w:spacing w:after="60"/>
                    <w:jc w:val="cente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trPr>
              <w:tc>
                <w:tcPr>
                  <w:tcW w:w="846" w:type="dxa"/>
                  <w:tcBorders>
                    <w:top w:val="single" w:color="auto" w:sz="4" w:space="0"/>
                    <w:left w:val="single" w:color="auto" w:sz="4" w:space="0"/>
                    <w:bottom w:val="single" w:color="auto" w:sz="4" w:space="0"/>
                    <w:right w:val="single" w:color="auto" w:sz="12" w:space="0"/>
                  </w:tcBorders>
                  <w:vAlign w:val="center"/>
                </w:tcPr>
                <w:p>
                  <w:pPr>
                    <w:widowControl w:val="0"/>
                    <w:spacing w:after="60"/>
                    <w:jc w:val="center"/>
                  </w:pPr>
                  <w:r>
                    <w:t>6</w:t>
                  </w:r>
                </w:p>
              </w:tc>
              <w:tc>
                <w:tcPr>
                  <w:tcW w:w="1274" w:type="dxa"/>
                  <w:tcBorders>
                    <w:top w:val="single" w:color="auto" w:sz="4" w:space="0"/>
                    <w:left w:val="single" w:color="auto" w:sz="12" w:space="0"/>
                    <w:bottom w:val="single" w:color="auto" w:sz="4" w:space="0"/>
                    <w:right w:val="single" w:color="auto" w:sz="4" w:space="0"/>
                  </w:tcBorders>
                  <w:vAlign w:val="center"/>
                </w:tcPr>
                <w:p>
                  <w:pPr>
                    <w:widowControl w:val="0"/>
                    <w:spacing w:after="60"/>
                    <w:jc w:val="center"/>
                    <w:rPr>
                      <w:highlight w:val="yellow"/>
                    </w:rPr>
                  </w:pPr>
                  <w:r>
                    <w:rPr>
                      <w:highlight w:val="yellow"/>
                    </w:rPr>
                    <w:t>TBD</w:t>
                  </w:r>
                </w:p>
              </w:tc>
              <w:tc>
                <w:tcPr>
                  <w:tcW w:w="1095" w:type="dxa"/>
                  <w:tcBorders>
                    <w:top w:val="single" w:color="auto" w:sz="4" w:space="0"/>
                    <w:left w:val="single" w:color="auto" w:sz="4" w:space="0"/>
                    <w:bottom w:val="single" w:color="auto" w:sz="4" w:space="0"/>
                    <w:right w:val="single" w:color="auto" w:sz="4" w:space="0"/>
                  </w:tcBorders>
                  <w:vAlign w:val="center"/>
                </w:tcPr>
                <w:p>
                  <w:pPr>
                    <w:widowControl w:val="0"/>
                    <w:spacing w:after="60"/>
                    <w:jc w:val="center"/>
                    <w:rPr>
                      <w:highlight w:val="yellow"/>
                    </w:rPr>
                  </w:pPr>
                  <w:r>
                    <w:rPr>
                      <w:highlight w:val="yellow"/>
                    </w:rPr>
                    <w:t>TBD</w:t>
                  </w:r>
                </w:p>
              </w:tc>
              <w:tc>
                <w:tcPr>
                  <w:tcW w:w="1095" w:type="dxa"/>
                  <w:tcBorders>
                    <w:top w:val="single" w:color="auto" w:sz="4" w:space="0"/>
                    <w:left w:val="single" w:color="auto" w:sz="4" w:space="0"/>
                    <w:bottom w:val="single" w:color="auto" w:sz="4" w:space="0"/>
                    <w:right w:val="single" w:color="auto" w:sz="4" w:space="0"/>
                  </w:tcBorders>
                  <w:vAlign w:val="center"/>
                </w:tcPr>
                <w:p>
                  <w:pPr>
                    <w:widowControl w:val="0"/>
                    <w:spacing w:after="60"/>
                    <w:jc w:val="center"/>
                    <w:rPr>
                      <w:highlight w:val="yellow"/>
                    </w:rPr>
                  </w:pPr>
                  <w:r>
                    <w:rPr>
                      <w:highlight w:val="yellow"/>
                    </w:rPr>
                    <w:t>TBD</w:t>
                  </w:r>
                </w:p>
              </w:tc>
              <w:tc>
                <w:tcPr>
                  <w:tcW w:w="1097" w:type="dxa"/>
                  <w:tcBorders>
                    <w:top w:val="single" w:color="auto" w:sz="4" w:space="0"/>
                    <w:left w:val="single" w:color="auto" w:sz="4" w:space="0"/>
                    <w:bottom w:val="single" w:color="auto" w:sz="4" w:space="0"/>
                    <w:right w:val="single" w:color="auto" w:sz="12" w:space="0"/>
                  </w:tcBorders>
                  <w:vAlign w:val="center"/>
                </w:tcPr>
                <w:p>
                  <w:pPr>
                    <w:widowControl w:val="0"/>
                    <w:spacing w:after="60"/>
                    <w:jc w:val="center"/>
                  </w:pPr>
                  <w:r>
                    <w:t>≥20</w:t>
                  </w:r>
                </w:p>
              </w:tc>
              <w:tc>
                <w:tcPr>
                  <w:tcW w:w="1083" w:type="dxa"/>
                  <w:tcBorders>
                    <w:top w:val="single" w:color="auto" w:sz="4" w:space="0"/>
                    <w:left w:val="single" w:color="auto" w:sz="12" w:space="0"/>
                    <w:bottom w:val="single" w:color="auto" w:sz="4" w:space="0"/>
                    <w:right w:val="single" w:color="auto" w:sz="4" w:space="0"/>
                  </w:tcBorders>
                  <w:vAlign w:val="center"/>
                </w:tcPr>
                <w:p>
                  <w:pPr>
                    <w:widowControl w:val="0"/>
                    <w:spacing w:after="60"/>
                    <w:jc w:val="center"/>
                  </w:pPr>
                  <w:r>
                    <w:t>≥8</w:t>
                  </w:r>
                </w:p>
              </w:tc>
              <w:tc>
                <w:tcPr>
                  <w:tcW w:w="1044" w:type="dxa"/>
                  <w:tcBorders>
                    <w:top w:val="single" w:color="auto" w:sz="4" w:space="0"/>
                    <w:left w:val="single" w:color="auto" w:sz="4" w:space="0"/>
                    <w:bottom w:val="single" w:color="auto" w:sz="4" w:space="0"/>
                    <w:right w:val="single" w:color="auto" w:sz="4" w:space="0"/>
                  </w:tcBorders>
                  <w:vAlign w:val="center"/>
                </w:tcPr>
                <w:p>
                  <w:pPr>
                    <w:widowControl w:val="0"/>
                    <w:spacing w:after="60"/>
                    <w:jc w:val="center"/>
                    <w:rPr>
                      <w:highlight w:val="yellow"/>
                    </w:rPr>
                  </w:pPr>
                  <w:r>
                    <w:rPr>
                      <w:highlight w:val="yellow"/>
                    </w:rPr>
                    <w:t>TBD</w:t>
                  </w:r>
                </w:p>
              </w:tc>
              <w:tc>
                <w:tcPr>
                  <w:tcW w:w="1044" w:type="dxa"/>
                  <w:tcBorders>
                    <w:top w:val="single" w:color="auto" w:sz="4" w:space="0"/>
                    <w:left w:val="single" w:color="auto" w:sz="4" w:space="0"/>
                    <w:bottom w:val="single" w:color="auto" w:sz="4" w:space="0"/>
                    <w:right w:val="single" w:color="auto" w:sz="4" w:space="0"/>
                  </w:tcBorders>
                  <w:vAlign w:val="center"/>
                </w:tcPr>
                <w:p>
                  <w:pPr>
                    <w:widowControl w:val="0"/>
                    <w:spacing w:after="60"/>
                    <w:jc w:val="center"/>
                    <w:rPr>
                      <w:highlight w:val="yellow"/>
                    </w:rPr>
                  </w:pPr>
                  <w:r>
                    <w:rPr>
                      <w:highlight w:val="yellow"/>
                    </w:rPr>
                    <w:t>TBD</w:t>
                  </w:r>
                </w:p>
              </w:tc>
              <w:tc>
                <w:tcPr>
                  <w:tcW w:w="1051" w:type="dxa"/>
                  <w:tcBorders>
                    <w:top w:val="single" w:color="auto" w:sz="4" w:space="0"/>
                    <w:left w:val="single" w:color="auto" w:sz="4" w:space="0"/>
                    <w:bottom w:val="single" w:color="auto" w:sz="4" w:space="0"/>
                    <w:right w:val="single" w:color="auto" w:sz="4" w:space="0"/>
                  </w:tcBorders>
                  <w:vAlign w:val="center"/>
                </w:tcPr>
                <w:p>
                  <w:pPr>
                    <w:widowControl w:val="0"/>
                    <w:spacing w:after="60"/>
                    <w:jc w:val="center"/>
                  </w:pPr>
                  <w:r>
                    <w:t>≥32</w:t>
                  </w:r>
                </w:p>
              </w:tc>
            </w:tr>
          </w:tbl>
          <w:p>
            <w:pPr>
              <w:widowControl w:val="0"/>
              <w:rPr>
                <w:lang w:eastAsia="zh-CN"/>
              </w:rPr>
            </w:pPr>
          </w:p>
        </w:tc>
      </w:tr>
    </w:tbl>
    <w:p>
      <w:pPr>
        <w:rPr>
          <w:lang w:eastAsia="zh-CN"/>
        </w:rPr>
      </w:pPr>
    </w:p>
    <w:p>
      <w:pPr>
        <w:pStyle w:val="4"/>
        <w:jc w:val="both"/>
        <w:rPr>
          <w:lang w:val="en-GB" w:eastAsia="zh-CN"/>
        </w:rPr>
      </w:pPr>
      <w:r>
        <w:rPr>
          <w:lang w:val="en-GB" w:eastAsia="zh-CN"/>
        </w:rPr>
        <w:t>R1-2100371 (CATT)</w:t>
      </w:r>
    </w:p>
    <w:tbl>
      <w:tblPr>
        <w:tblStyle w:val="52"/>
        <w:tblW w:w="145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vAlign w:val="center"/>
          </w:tcPr>
          <w:p>
            <w:pPr>
              <w:widowControl w:val="0"/>
              <w:jc w:val="both"/>
              <w:rPr>
                <w:lang w:val="en-GB" w:eastAsia="zh-CN"/>
              </w:rPr>
            </w:pPr>
            <w:r>
              <w:rPr>
                <w:lang w:val="en-GB" w:eastAsia="zh-CN"/>
              </w:rPr>
              <w:t>One example of a time span cross multiple slots for 480 and 960 kHz SCS is to define a duration, such as t</w:t>
            </w:r>
            <w:r>
              <w:rPr>
                <w:rFonts w:hint="eastAsia"/>
                <w:lang w:val="en-GB" w:eastAsia="zh-CN"/>
              </w:rPr>
              <w:t xml:space="preserve">he slot duration </w:t>
            </w:r>
            <w:r>
              <w:rPr>
                <w:lang w:val="en-GB" w:eastAsia="zh-CN"/>
              </w:rPr>
              <w:t xml:space="preserve">0.125 ms </w:t>
            </w:r>
            <w:r>
              <w:rPr>
                <w:rFonts w:hint="eastAsia"/>
                <w:lang w:val="en-GB" w:eastAsia="zh-CN"/>
              </w:rPr>
              <w:t xml:space="preserve">of SCS =120KHz, </w:t>
            </w:r>
            <w:r>
              <w:rPr>
                <w:lang w:val="en-GB" w:eastAsia="zh-CN"/>
              </w:rPr>
              <w:t xml:space="preserve">There are 4 and 8 slots within a 0.125 ms time span for 480 and 960 kHz SCS respectively.  The maximum number of monitored PDCCH candidates are increased in proportioned but with ceiling bounded at 44 as shown in Table 1.  </w:t>
            </w:r>
          </w:p>
          <w:p>
            <w:pPr>
              <w:widowControl w:val="0"/>
              <w:rPr>
                <w:lang w:val="en-GB" w:eastAsia="zh-CN"/>
              </w:rPr>
            </w:pPr>
          </w:p>
          <w:p>
            <w:pPr>
              <w:pStyle w:val="27"/>
              <w:widowControl w:val="0"/>
              <w:rPr>
                <w:rFonts w:cstheme="majorBidi"/>
                <w:bCs w:val="0"/>
                <w:kern w:val="2"/>
                <w:lang w:eastAsia="zh-CN"/>
              </w:rPr>
            </w:pPr>
            <w:r>
              <w:rPr>
                <w:rFonts w:cstheme="majorBidi"/>
                <w:bCs w:val="0"/>
                <w:kern w:val="2"/>
                <w:lang w:eastAsia="zh-CN"/>
              </w:rPr>
              <w:t xml:space="preserve">Table </w:t>
            </w:r>
            <w:r>
              <w:rPr>
                <w:rFonts w:hint="eastAsia" w:cstheme="majorBidi"/>
                <w:bCs w:val="0"/>
                <w:kern w:val="2"/>
                <w:lang w:eastAsia="zh-CN"/>
              </w:rPr>
              <w:t xml:space="preserve">1: </w:t>
            </w:r>
            <w:r>
              <w:rPr>
                <w:rFonts w:cstheme="majorBidi"/>
                <w:bCs w:val="0"/>
                <w:kern w:val="2"/>
                <w:lang w:eastAsia="zh-CN"/>
              </w:rPr>
              <w:t xml:space="preserve">Maximum number </w:t>
            </w:r>
            <m:oMath>
              <m:sSubSup>
                <m:sSubSupPr>
                  <m:ctrlPr>
                    <w:rPr>
                      <w:rFonts w:ascii="Cambria Math" w:hAnsi="Cambria Math" w:cstheme="majorBidi"/>
                      <w:bCs w:val="0"/>
                      <w:kern w:val="2"/>
                      <w:lang w:eastAsia="zh-CN"/>
                    </w:rPr>
                  </m:ctrlPr>
                </m:sSubSupPr>
                <m:e>
                  <m:r>
                    <m:rPr>
                      <m:sty m:val="b"/>
                    </m:rPr>
                    <w:rPr>
                      <w:rFonts w:ascii="Cambria Math" w:hAnsi="Cambria Math" w:cstheme="majorBidi"/>
                      <w:kern w:val="2"/>
                      <w:lang w:eastAsia="zh-CN"/>
                    </w:rPr>
                    <m:t>M</m:t>
                  </m:r>
                  <m:ctrlPr>
                    <w:rPr>
                      <w:rFonts w:ascii="Cambria Math" w:hAnsi="Cambria Math" w:cstheme="majorBidi"/>
                      <w:bCs w:val="0"/>
                      <w:kern w:val="2"/>
                      <w:lang w:eastAsia="zh-CN"/>
                    </w:rPr>
                  </m:ctrlPr>
                </m:e>
                <m:sub>
                  <m:r>
                    <m:rPr>
                      <m:sty m:val="b"/>
                    </m:rPr>
                    <w:rPr>
                      <w:rFonts w:ascii="Cambria Math" w:hAnsi="Cambria Math" w:cstheme="majorBidi"/>
                      <w:kern w:val="2"/>
                      <w:lang w:eastAsia="zh-CN"/>
                    </w:rPr>
                    <m:t>PDCCH</m:t>
                  </m:r>
                  <m:ctrlPr>
                    <w:rPr>
                      <w:rFonts w:ascii="Cambria Math" w:hAnsi="Cambria Math" w:cstheme="majorBidi"/>
                      <w:bCs w:val="0"/>
                      <w:kern w:val="2"/>
                      <w:lang w:eastAsia="zh-CN"/>
                    </w:rPr>
                  </m:ctrlPr>
                </m:sub>
                <m:sup>
                  <m:r>
                    <m:rPr>
                      <m:sty m:val="b"/>
                    </m:rPr>
                    <w:rPr>
                      <w:rFonts w:ascii="Cambria Math" w:hAnsi="Cambria Math" w:cstheme="majorBidi"/>
                      <w:kern w:val="2"/>
                      <w:lang w:eastAsia="zh-CN"/>
                    </w:rPr>
                    <m:t>max,slot,μ</m:t>
                  </m:r>
                  <m:ctrlPr>
                    <w:rPr>
                      <w:rFonts w:ascii="Cambria Math" w:hAnsi="Cambria Math" w:cstheme="majorBidi"/>
                      <w:bCs w:val="0"/>
                      <w:kern w:val="2"/>
                      <w:lang w:eastAsia="zh-CN"/>
                    </w:rPr>
                  </m:ctrlPr>
                </m:sup>
              </m:sSubSup>
            </m:oMath>
            <w:r>
              <w:rPr>
                <w:rFonts w:cstheme="majorBidi"/>
                <w:bCs w:val="0"/>
                <w:kern w:val="2"/>
                <w:lang w:eastAsia="zh-CN"/>
              </w:rPr>
              <w:t xml:space="preserve"> of monitored PDCCH candidates per</w:t>
            </w:r>
            <w:r>
              <w:rPr>
                <w:rFonts w:hint="eastAsia" w:cstheme="majorBidi"/>
                <w:bCs w:val="0"/>
                <w:kern w:val="2"/>
                <w:lang w:eastAsia="zh-CN"/>
              </w:rPr>
              <w:t xml:space="preserve"> </w:t>
            </w:r>
            <w:r>
              <w:rPr>
                <w:rFonts w:cstheme="majorBidi"/>
                <w:bCs w:val="0"/>
                <w:kern w:val="2"/>
                <w:lang w:eastAsia="zh-CN"/>
              </w:rPr>
              <w:t xml:space="preserve">time span for a DL BWP with SCS configuration </w:t>
            </w:r>
            <m:oMath>
              <m:r>
                <m:rPr>
                  <m:sty m:val="b"/>
                </m:rPr>
                <w:rPr>
                  <w:rFonts w:ascii="Cambria Math" w:hAnsi="Cambria Math" w:cstheme="majorBidi"/>
                  <w:kern w:val="2"/>
                  <w:lang w:eastAsia="zh-CN"/>
                </w:rPr>
                <m:t>μ∈</m:t>
              </m:r>
              <m:d>
                <m:dPr>
                  <m:begChr m:val="{"/>
                  <m:endChr m:val="}"/>
                  <m:ctrlPr>
                    <w:rPr>
                      <w:rFonts w:ascii="Cambria Math" w:hAnsi="Cambria Math" w:cstheme="majorBidi"/>
                      <w:bCs w:val="0"/>
                      <w:kern w:val="2"/>
                      <w:lang w:eastAsia="zh-CN"/>
                    </w:rPr>
                  </m:ctrlPr>
                </m:dPr>
                <m:e>
                  <m:r>
                    <m:rPr>
                      <m:sty m:val="b"/>
                    </m:rPr>
                    <w:rPr>
                      <w:rFonts w:ascii="Cambria Math" w:hAnsi="Cambria Math" w:cstheme="majorBidi"/>
                      <w:kern w:val="2"/>
                      <w:lang w:eastAsia="zh-CN"/>
                    </w:rPr>
                    <m:t>0, 1,2,3,5,6</m:t>
                  </m:r>
                  <m:ctrlPr>
                    <w:rPr>
                      <w:rFonts w:ascii="Cambria Math" w:hAnsi="Cambria Math" w:cstheme="majorBidi"/>
                      <w:bCs w:val="0"/>
                      <w:kern w:val="2"/>
                      <w:lang w:eastAsia="zh-CN"/>
                    </w:rPr>
                  </m:ctrlPr>
                </m:e>
              </m:d>
            </m:oMath>
            <w:r>
              <w:rPr>
                <w:rFonts w:cstheme="majorBidi"/>
                <w:bCs w:val="0"/>
                <w:kern w:val="2"/>
                <w:lang w:eastAsia="zh-CN"/>
              </w:rPr>
              <w:t xml:space="preserve"> for a single serving cell based on that in Clause 10.1 of TS38.213</w:t>
            </w:r>
          </w:p>
          <w:tbl>
            <w:tblPr>
              <w:tblStyle w:val="5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15"/>
              <w:gridCol w:w="4100"/>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jc w:val="center"/>
              </w:trPr>
              <w:tc>
                <w:tcPr>
                  <w:tcW w:w="815" w:type="dxa"/>
                  <w:shd w:val="clear" w:color="auto" w:fill="E0E0E0"/>
                  <w:vAlign w:val="center"/>
                </w:tcPr>
                <w:p>
                  <w:pPr>
                    <w:pStyle w:val="81"/>
                    <w:rPr>
                      <w:rFonts w:ascii="Times New Roman" w:hAnsi="Times New Roman"/>
                      <w:sz w:val="20"/>
                    </w:rPr>
                  </w:pPr>
                  <m:oMathPara>
                    <m:oMath>
                      <m:r>
                        <m:rPr>
                          <m:sty m:val="bi"/>
                        </m:rPr>
                        <w:rPr>
                          <w:rFonts w:ascii="Cambria Math" w:hAnsi="Cambria Math"/>
                          <w:lang w:eastAsia="zh-CN"/>
                        </w:rPr>
                        <m:t>μ</m:t>
                      </m:r>
                    </m:oMath>
                  </m:oMathPara>
                </w:p>
              </w:tc>
              <w:tc>
                <w:tcPr>
                  <w:tcW w:w="4100" w:type="dxa"/>
                  <w:shd w:val="clear" w:color="auto" w:fill="E0E0E0"/>
                  <w:vAlign w:val="center"/>
                </w:tcPr>
                <w:p>
                  <w:pPr>
                    <w:pStyle w:val="81"/>
                    <w:rPr>
                      <w:rFonts w:ascii="Times New Roman" w:hAnsi="Times New Roman"/>
                      <w:sz w:val="20"/>
                    </w:rPr>
                  </w:pPr>
                  <w:r>
                    <w:t xml:space="preserve">Maximum number of monitored PDCCH candidates per </w:t>
                  </w:r>
                  <w:r>
                    <w:rPr>
                      <w:rFonts w:eastAsiaTheme="minorEastAsia"/>
                      <w:lang w:eastAsia="zh-CN"/>
                    </w:rPr>
                    <w:t>time span</w:t>
                  </w:r>
                  <w:r>
                    <w:t xml:space="preserve">t and per serving cell </w:t>
                  </w:r>
                  <m:oMath>
                    <m:sSubSup>
                      <m:sSubSupPr>
                        <m:ctrlPr>
                          <w:rPr>
                            <w:rFonts w:ascii="Cambria Math" w:hAnsi="Cambria Math"/>
                            <w:i/>
                            <w:sz w:val="24"/>
                            <w:szCs w:val="24"/>
                            <w:lang w:eastAsia="zh-CN"/>
                          </w:rPr>
                        </m:ctrlPr>
                      </m:sSubSupPr>
                      <m:e>
                        <m:r>
                          <m:rPr>
                            <m:sty m:val="bi"/>
                          </m:rPr>
                          <w:rPr>
                            <w:rFonts w:ascii="Cambria Math" w:hAnsi="Cambria Math"/>
                            <w:lang w:eastAsia="zh-CN"/>
                          </w:rPr>
                          <m:t>M</m:t>
                        </m:r>
                        <m:ctrlPr>
                          <w:rPr>
                            <w:rFonts w:ascii="Cambria Math" w:hAnsi="Cambria Math"/>
                            <w:i/>
                            <w:sz w:val="24"/>
                            <w:szCs w:val="24"/>
                            <w:lang w:eastAsia="zh-CN"/>
                          </w:rPr>
                        </m:ctrlPr>
                      </m:e>
                      <m:sub>
                        <m:r>
                          <m:rPr>
                            <m:sty m:val="b"/>
                          </m:rPr>
                          <w:rPr>
                            <w:rFonts w:ascii="Cambria Math" w:hAnsi="Cambria Math"/>
                            <w:lang w:eastAsia="zh-CN"/>
                          </w:rPr>
                          <m:t>PDCCH</m:t>
                        </m:r>
                        <m:ctrlPr>
                          <w:rPr>
                            <w:rFonts w:ascii="Cambria Math" w:hAnsi="Cambria Math"/>
                            <w:i/>
                            <w:sz w:val="24"/>
                            <w:szCs w:val="24"/>
                            <w:lang w:eastAsia="zh-CN"/>
                          </w:rPr>
                        </m:ctrlPr>
                      </m:sub>
                      <m:sup>
                        <m:r>
                          <m:rPr>
                            <m:sty m:val="bi"/>
                          </m:rPr>
                          <w:rPr>
                            <w:rFonts w:ascii="Cambria Math" w:hAnsi="Cambria Math"/>
                            <w:lang w:eastAsia="zh-CN"/>
                          </w:rPr>
                          <m:t>max,slot,μ</m:t>
                        </m:r>
                        <m:ctrlPr>
                          <w:rPr>
                            <w:rFonts w:ascii="Cambria Math" w:hAnsi="Cambria Math"/>
                            <w:i/>
                            <w:sz w:val="24"/>
                            <w:szCs w:val="24"/>
                            <w:lang w:eastAsia="zh-CN"/>
                          </w:rPr>
                        </m:ctrlPr>
                      </m:sup>
                    </m:sSubSup>
                  </m:oMath>
                </w:p>
              </w:tc>
              <w:tc>
                <w:tcPr>
                  <w:tcW w:w="2835" w:type="dxa"/>
                  <w:shd w:val="clear" w:color="auto" w:fill="E0E0E0"/>
                </w:tcPr>
                <w:p>
                  <w:pPr>
                    <w:pStyle w:val="81"/>
                    <w:rPr>
                      <w:rFonts w:eastAsiaTheme="minorEastAsia"/>
                      <w:lang w:eastAsia="zh-CN"/>
                    </w:rPr>
                  </w:pPr>
                  <w:r>
                    <w:rPr>
                      <w:rFonts w:eastAsiaTheme="minorEastAsia"/>
                      <w:lang w:eastAsia="zh-CN"/>
                    </w:rPr>
                    <w:t>S</w:t>
                  </w:r>
                  <w:r>
                    <w:rPr>
                      <w:rFonts w:hint="eastAsia" w:eastAsiaTheme="minorEastAsia"/>
                      <w:lang w:eastAsia="zh-CN"/>
                    </w:rPr>
                    <w:t>lot number of</w:t>
                  </w:r>
                  <w:r>
                    <w:rPr>
                      <w:rFonts w:eastAsiaTheme="minorEastAsia"/>
                      <w:lang w:eastAsia="zh-CN"/>
                    </w:rPr>
                    <w:t xml:space="preserve"> a time span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jc w:val="center"/>
              </w:trPr>
              <w:tc>
                <w:tcPr>
                  <w:tcW w:w="815" w:type="dxa"/>
                  <w:vAlign w:val="center"/>
                </w:tcPr>
                <w:p>
                  <w:pPr>
                    <w:pStyle w:val="105"/>
                  </w:pPr>
                  <w:r>
                    <w:t>0</w:t>
                  </w:r>
                </w:p>
              </w:tc>
              <w:tc>
                <w:tcPr>
                  <w:tcW w:w="4100" w:type="dxa"/>
                  <w:vAlign w:val="center"/>
                </w:tcPr>
                <w:p>
                  <w:pPr>
                    <w:pStyle w:val="105"/>
                  </w:pPr>
                  <w:r>
                    <w:t>44</w:t>
                  </w:r>
                </w:p>
              </w:tc>
              <w:tc>
                <w:tcPr>
                  <w:tcW w:w="2835" w:type="dxa"/>
                </w:tcPr>
                <w:p>
                  <w:pPr>
                    <w:pStyle w:val="105"/>
                  </w:pPr>
                  <w:r>
                    <w:rPr>
                      <w:rFonts w:hint="eastAsi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jc w:val="center"/>
              </w:trPr>
              <w:tc>
                <w:tcPr>
                  <w:tcW w:w="815" w:type="dxa"/>
                  <w:vAlign w:val="center"/>
                </w:tcPr>
                <w:p>
                  <w:pPr>
                    <w:pStyle w:val="105"/>
                  </w:pPr>
                  <w:r>
                    <w:t>1</w:t>
                  </w:r>
                </w:p>
              </w:tc>
              <w:tc>
                <w:tcPr>
                  <w:tcW w:w="4100" w:type="dxa"/>
                  <w:vAlign w:val="center"/>
                </w:tcPr>
                <w:p>
                  <w:pPr>
                    <w:pStyle w:val="105"/>
                  </w:pPr>
                  <w:r>
                    <w:t>36</w:t>
                  </w:r>
                </w:p>
              </w:tc>
              <w:tc>
                <w:tcPr>
                  <w:tcW w:w="2835" w:type="dxa"/>
                </w:tcPr>
                <w:p>
                  <w:pPr>
                    <w:pStyle w:val="105"/>
                  </w:pPr>
                  <w:r>
                    <w:rPr>
                      <w:rFonts w:hint="eastAsi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jc w:val="center"/>
              </w:trPr>
              <w:tc>
                <w:tcPr>
                  <w:tcW w:w="815" w:type="dxa"/>
                  <w:vAlign w:val="center"/>
                </w:tcPr>
                <w:p>
                  <w:pPr>
                    <w:pStyle w:val="105"/>
                  </w:pPr>
                  <w:r>
                    <w:t>2</w:t>
                  </w:r>
                </w:p>
              </w:tc>
              <w:tc>
                <w:tcPr>
                  <w:tcW w:w="4100" w:type="dxa"/>
                  <w:vAlign w:val="center"/>
                </w:tcPr>
                <w:p>
                  <w:pPr>
                    <w:pStyle w:val="105"/>
                  </w:pPr>
                  <w:r>
                    <w:t>22</w:t>
                  </w:r>
                </w:p>
              </w:tc>
              <w:tc>
                <w:tcPr>
                  <w:tcW w:w="2835" w:type="dxa"/>
                </w:tcPr>
                <w:p>
                  <w:pPr>
                    <w:pStyle w:val="105"/>
                  </w:pPr>
                  <w:r>
                    <w:rPr>
                      <w:rFonts w:hint="eastAsi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jc w:val="center"/>
              </w:trPr>
              <w:tc>
                <w:tcPr>
                  <w:tcW w:w="815" w:type="dxa"/>
                  <w:vAlign w:val="center"/>
                </w:tcPr>
                <w:p>
                  <w:pPr>
                    <w:pStyle w:val="105"/>
                  </w:pPr>
                  <w:r>
                    <w:t>3</w:t>
                  </w:r>
                </w:p>
              </w:tc>
              <w:tc>
                <w:tcPr>
                  <w:tcW w:w="4100" w:type="dxa"/>
                  <w:vAlign w:val="center"/>
                </w:tcPr>
                <w:p>
                  <w:pPr>
                    <w:pStyle w:val="105"/>
                  </w:pPr>
                  <w:r>
                    <w:t>20</w:t>
                  </w:r>
                </w:p>
              </w:tc>
              <w:tc>
                <w:tcPr>
                  <w:tcW w:w="2835" w:type="dxa"/>
                </w:tcPr>
                <w:p>
                  <w:pPr>
                    <w:pStyle w:val="105"/>
                  </w:pPr>
                  <w:r>
                    <w:rPr>
                      <w:rFonts w:hint="eastAsi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jc w:val="center"/>
              </w:trPr>
              <w:tc>
                <w:tcPr>
                  <w:tcW w:w="815" w:type="dxa"/>
                  <w:vAlign w:val="center"/>
                </w:tcPr>
                <w:p>
                  <w:pPr>
                    <w:pStyle w:val="105"/>
                  </w:pPr>
                  <w:r>
                    <w:rPr>
                      <w:rFonts w:hint="eastAsia"/>
                    </w:rPr>
                    <w:t>5</w:t>
                  </w:r>
                </w:p>
              </w:tc>
              <w:tc>
                <w:tcPr>
                  <w:tcW w:w="4100" w:type="dxa"/>
                  <w:vAlign w:val="center"/>
                </w:tcPr>
                <w:p>
                  <w:pPr>
                    <w:pStyle w:val="105"/>
                    <w:rPr>
                      <w:b/>
                      <w:color w:val="FF0000"/>
                    </w:rPr>
                  </w:pPr>
                  <w:r>
                    <w:rPr>
                      <w:b/>
                      <w:color w:val="FF0000"/>
                    </w:rPr>
                    <w:t>11/44</w:t>
                  </w:r>
                </w:p>
              </w:tc>
              <w:tc>
                <w:tcPr>
                  <w:tcW w:w="2835" w:type="dxa"/>
                </w:tcPr>
                <w:p>
                  <w:pPr>
                    <w:pStyle w:val="105"/>
                    <w:rPr>
                      <w:b/>
                      <w:color w:val="FF0000"/>
                    </w:rPr>
                  </w:pPr>
                  <w:r>
                    <w:rPr>
                      <w:b/>
                      <w:color w:val="FF0000"/>
                    </w:rPr>
                    <w:t>1/</w:t>
                  </w:r>
                  <w:r>
                    <w:rPr>
                      <w:rFonts w:hint="eastAsia"/>
                      <w:b/>
                      <w:color w:val="FF0000"/>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jc w:val="center"/>
              </w:trPr>
              <w:tc>
                <w:tcPr>
                  <w:tcW w:w="815" w:type="dxa"/>
                  <w:vAlign w:val="center"/>
                </w:tcPr>
                <w:p>
                  <w:pPr>
                    <w:pStyle w:val="105"/>
                  </w:pPr>
                  <w:r>
                    <w:rPr>
                      <w:rFonts w:hint="eastAsia"/>
                    </w:rPr>
                    <w:t>6</w:t>
                  </w:r>
                </w:p>
              </w:tc>
              <w:tc>
                <w:tcPr>
                  <w:tcW w:w="4100" w:type="dxa"/>
                  <w:vAlign w:val="center"/>
                </w:tcPr>
                <w:p>
                  <w:pPr>
                    <w:pStyle w:val="105"/>
                    <w:rPr>
                      <w:b/>
                      <w:color w:val="FF0000"/>
                    </w:rPr>
                  </w:pPr>
                  <w:r>
                    <w:rPr>
                      <w:b/>
                      <w:color w:val="FF0000"/>
                    </w:rPr>
                    <w:t xml:space="preserve"> 10/44</w:t>
                  </w:r>
                </w:p>
              </w:tc>
              <w:tc>
                <w:tcPr>
                  <w:tcW w:w="2835" w:type="dxa"/>
                </w:tcPr>
                <w:p>
                  <w:pPr>
                    <w:pStyle w:val="105"/>
                    <w:rPr>
                      <w:b/>
                      <w:color w:val="FF0000"/>
                    </w:rPr>
                  </w:pPr>
                  <w:r>
                    <w:rPr>
                      <w:b/>
                      <w:color w:val="FF0000"/>
                    </w:rPr>
                    <w:t>1/</w:t>
                  </w:r>
                  <w:r>
                    <w:rPr>
                      <w:rFonts w:hint="eastAsia"/>
                      <w:b/>
                      <w:color w:val="FF0000"/>
                    </w:rPr>
                    <w:t>8</w:t>
                  </w:r>
                </w:p>
              </w:tc>
            </w:tr>
          </w:tbl>
          <w:p>
            <w:pPr>
              <w:widowControl w:val="0"/>
              <w:jc w:val="both"/>
              <w:rPr>
                <w:szCs w:val="20"/>
                <w:lang w:val="en-GB" w:eastAsia="zh-CN"/>
              </w:rPr>
            </w:pPr>
          </w:p>
          <w:p>
            <w:pPr>
              <w:pStyle w:val="111"/>
              <w:widowControl w:val="0"/>
              <w:rPr>
                <w:rFonts w:ascii="Times New Roman" w:hAnsi="Times New Roman"/>
              </w:rPr>
            </w:pPr>
            <w:r>
              <w:rPr>
                <w:rFonts w:ascii="Times New Roman" w:hAnsi="Times New Roman"/>
              </w:rPr>
              <w:t xml:space="preserve">Table 2: Maximum number </w:t>
            </w:r>
            <m:oMath>
              <m:sSubSup>
                <m:sSubSupPr>
                  <m:ctrlPr>
                    <w:rPr>
                      <w:rFonts w:ascii="Cambria Math" w:hAnsi="Cambria Math"/>
                      <w:i/>
                      <w:sz w:val="18"/>
                      <w:lang w:eastAsia="zh-CN"/>
                    </w:rPr>
                  </m:ctrlPr>
                </m:sSubSupPr>
                <m:e>
                  <m:r>
                    <m:rPr>
                      <m:sty m:val="bi"/>
                    </m:rPr>
                    <w:rPr>
                      <w:rFonts w:ascii="Cambria Math" w:hAnsi="Cambria Math"/>
                      <w:lang w:eastAsia="zh-CN"/>
                    </w:rPr>
                    <m:t>M</m:t>
                  </m:r>
                  <m:ctrlPr>
                    <w:rPr>
                      <w:rFonts w:ascii="Cambria Math" w:hAnsi="Cambria Math"/>
                      <w:i/>
                      <w:sz w:val="18"/>
                      <w:lang w:eastAsia="zh-CN"/>
                    </w:rPr>
                  </m:ctrlPr>
                </m:e>
                <m:sub>
                  <m:r>
                    <m:rPr>
                      <m:sty m:val="b"/>
                    </m:rPr>
                    <w:rPr>
                      <w:rFonts w:ascii="Cambria Math" w:hAnsi="Cambria Math"/>
                      <w:lang w:eastAsia="zh-CN"/>
                    </w:rPr>
                    <m:t>PDCCH</m:t>
                  </m:r>
                  <m:ctrlPr>
                    <w:rPr>
                      <w:rFonts w:ascii="Cambria Math" w:hAnsi="Cambria Math"/>
                      <w:i/>
                      <w:sz w:val="18"/>
                      <w:lang w:eastAsia="zh-CN"/>
                    </w:rPr>
                  </m:ctrlPr>
                </m:sub>
                <m:sup>
                  <m:r>
                    <m:rPr>
                      <m:sty m:val="bi"/>
                    </m:rPr>
                    <w:rPr>
                      <w:rFonts w:ascii="Cambria Math" w:hAnsi="Cambria Math"/>
                      <w:lang w:eastAsia="zh-CN"/>
                    </w:rPr>
                    <m:t>max,</m:t>
                  </m:r>
                  <m:d>
                    <m:dPr>
                      <m:ctrlPr>
                        <w:rPr>
                          <w:rFonts w:ascii="Cambria Math" w:hAnsi="Cambria Math"/>
                          <w:i/>
                          <w:lang w:eastAsia="zh-CN"/>
                        </w:rPr>
                      </m:ctrlPr>
                    </m:dPr>
                    <m:e>
                      <m:r>
                        <m:rPr>
                          <m:sty m:val="bi"/>
                        </m:rPr>
                        <w:rPr>
                          <w:rFonts w:ascii="Cambria Math" w:hAnsi="Cambria Math"/>
                          <w:lang w:eastAsia="zh-CN"/>
                        </w:rPr>
                        <m:t>X,Y</m:t>
                      </m:r>
                      <m:ctrlPr>
                        <w:rPr>
                          <w:rFonts w:ascii="Cambria Math" w:hAnsi="Cambria Math"/>
                          <w:i/>
                          <w:lang w:eastAsia="zh-CN"/>
                        </w:rPr>
                      </m:ctrlPr>
                    </m:e>
                  </m:d>
                  <m:r>
                    <m:rPr>
                      <m:sty m:val="bi"/>
                    </m:rPr>
                    <w:rPr>
                      <w:rFonts w:ascii="Cambria Math" w:hAnsi="Cambria Math"/>
                      <w:lang w:eastAsia="zh-CN"/>
                    </w:rPr>
                    <m:t>,μ</m:t>
                  </m:r>
                  <m:ctrlPr>
                    <w:rPr>
                      <w:rFonts w:ascii="Cambria Math" w:hAnsi="Cambria Math"/>
                      <w:i/>
                      <w:sz w:val="18"/>
                      <w:lang w:eastAsia="zh-CN"/>
                    </w:rPr>
                  </m:ctrlPr>
                </m:sup>
              </m:sSubSup>
            </m:oMath>
            <w:r>
              <w:rPr>
                <w:rFonts w:ascii="Times New Roman" w:hAnsi="Times New Roman"/>
              </w:rPr>
              <w:t xml:space="preserve"> of monitored PDCCH candidates in a span for combination (X, Y) for a DL BWP with SCS configuration </w:t>
            </w:r>
            <m:oMath>
              <m:r>
                <m:rPr>
                  <m:sty m:val="bi"/>
                </m:rPr>
                <w:rPr>
                  <w:rFonts w:ascii="Cambria Math" w:hAnsi="Cambria Math"/>
                  <w:lang w:eastAsia="zh-CN"/>
                </w:rPr>
                <m:t>μ∈</m:t>
              </m:r>
              <m:d>
                <m:dPr>
                  <m:begChr m:val="{"/>
                  <m:endChr m:val="}"/>
                  <m:ctrlPr>
                    <w:rPr>
                      <w:rFonts w:ascii="Cambria Math" w:hAnsi="Cambria Math"/>
                      <w:i/>
                      <w:lang w:eastAsia="zh-CN"/>
                    </w:rPr>
                  </m:ctrlPr>
                </m:dPr>
                <m:e>
                  <m:r>
                    <m:rPr>
                      <m:sty m:val="bi"/>
                    </m:rPr>
                    <w:rPr>
                      <w:rFonts w:ascii="Cambria Math" w:hAnsi="Cambria Math"/>
                      <w:lang w:eastAsia="zh-CN"/>
                    </w:rPr>
                    <m:t>0, 1</m:t>
                  </m:r>
                  <m:ctrlPr>
                    <w:rPr>
                      <w:rFonts w:ascii="Cambria Math" w:hAnsi="Cambria Math"/>
                      <w:i/>
                      <w:lang w:eastAsia="zh-CN"/>
                    </w:rPr>
                  </m:ctrlPr>
                </m:e>
              </m:d>
            </m:oMath>
            <w:r>
              <w:rPr>
                <w:rFonts w:ascii="Times New Roman" w:hAnsi="Times New Roman"/>
              </w:rPr>
              <w:t xml:space="preserve"> for a single serving cell in Clause 10.1 of TS38.213</w:t>
            </w:r>
          </w:p>
          <w:tbl>
            <w:tblPr>
              <w:tblStyle w:val="5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94"/>
              <w:gridCol w:w="1541"/>
              <w:gridCol w:w="1530"/>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jc w:val="center"/>
              </w:trPr>
              <w:tc>
                <w:tcPr>
                  <w:tcW w:w="794" w:type="dxa"/>
                  <w:shd w:val="clear" w:color="auto" w:fill="E0E0E0"/>
                  <w:vAlign w:val="center"/>
                </w:tcPr>
                <w:p>
                  <w:pPr>
                    <w:pStyle w:val="81"/>
                    <w:rPr>
                      <w:rFonts w:ascii="Times New Roman" w:hAnsi="Times New Roman"/>
                      <w:sz w:val="20"/>
                    </w:rPr>
                  </w:pPr>
                </w:p>
              </w:tc>
              <w:tc>
                <w:tcPr>
                  <w:tcW w:w="4691" w:type="dxa"/>
                  <w:gridSpan w:val="3"/>
                  <w:shd w:val="clear" w:color="auto" w:fill="E0E0E0"/>
                </w:tcPr>
                <w:p>
                  <w:pPr>
                    <w:pStyle w:val="81"/>
                  </w:pPr>
                  <w:r>
                    <w:t xml:space="preserve">Maximum number </w:t>
                  </w:r>
                  <m:oMath>
                    <m:sSubSup>
                      <m:sSubSupPr>
                        <m:ctrlPr>
                          <w:rPr>
                            <w:rFonts w:ascii="Cambria Math" w:hAnsi="Cambria Math"/>
                            <w:i/>
                            <w:lang w:eastAsia="zh-CN"/>
                          </w:rPr>
                        </m:ctrlPr>
                      </m:sSubSupPr>
                      <m:e>
                        <m:r>
                          <m:rPr>
                            <m:sty m:val="bi"/>
                          </m:rPr>
                          <w:rPr>
                            <w:rFonts w:ascii="Cambria Math" w:hAnsi="Cambria Math"/>
                            <w:lang w:eastAsia="zh-CN"/>
                          </w:rPr>
                          <m:t>M</m:t>
                        </m:r>
                        <m:ctrlPr>
                          <w:rPr>
                            <w:rFonts w:ascii="Cambria Math" w:hAnsi="Cambria Math"/>
                            <w:i/>
                            <w:lang w:eastAsia="zh-CN"/>
                          </w:rPr>
                        </m:ctrlPr>
                      </m:e>
                      <m:sub>
                        <m:r>
                          <m:rPr>
                            <m:sty m:val="b"/>
                          </m:rPr>
                          <w:rPr>
                            <w:rFonts w:ascii="Cambria Math" w:hAnsi="Cambria Math"/>
                            <w:lang w:eastAsia="zh-CN"/>
                          </w:rPr>
                          <m:t>PDCCH</m:t>
                        </m:r>
                        <m:ctrlPr>
                          <w:rPr>
                            <w:rFonts w:ascii="Cambria Math" w:hAnsi="Cambria Math"/>
                            <w:i/>
                            <w:lang w:eastAsia="zh-CN"/>
                          </w:rPr>
                        </m:ctrlPr>
                      </m:sub>
                      <m:sup>
                        <m:r>
                          <m:rPr>
                            <m:sty m:val="bi"/>
                          </m:rPr>
                          <w:rPr>
                            <w:rFonts w:ascii="Cambria Math" w:hAnsi="Cambria Math"/>
                            <w:lang w:eastAsia="zh-CN"/>
                          </w:rPr>
                          <m:t>max,</m:t>
                        </m:r>
                        <m:d>
                          <m:dPr>
                            <m:ctrlPr>
                              <w:rPr>
                                <w:rFonts w:ascii="Cambria Math" w:hAnsi="Cambria Math"/>
                                <w:i/>
                                <w:lang w:eastAsia="zh-CN"/>
                              </w:rPr>
                            </m:ctrlPr>
                          </m:dPr>
                          <m:e>
                            <m:r>
                              <m:rPr>
                                <m:sty m:val="bi"/>
                              </m:rPr>
                              <w:rPr>
                                <w:rFonts w:ascii="Cambria Math" w:hAnsi="Cambria Math"/>
                                <w:lang w:eastAsia="zh-CN"/>
                              </w:rPr>
                              <m:t>X,Y</m:t>
                            </m:r>
                            <m:ctrlPr>
                              <w:rPr>
                                <w:rFonts w:ascii="Cambria Math" w:hAnsi="Cambria Math"/>
                                <w:i/>
                                <w:lang w:eastAsia="zh-CN"/>
                              </w:rPr>
                            </m:ctrlPr>
                          </m:e>
                        </m:d>
                        <m:r>
                          <m:rPr>
                            <m:sty m:val="bi"/>
                          </m:rPr>
                          <w:rPr>
                            <w:rFonts w:ascii="Cambria Math" w:hAnsi="Cambria Math"/>
                            <w:lang w:eastAsia="zh-CN"/>
                          </w:rPr>
                          <m:t>,μ</m:t>
                        </m:r>
                        <m:ctrlPr>
                          <w:rPr>
                            <w:rFonts w:ascii="Cambria Math" w:hAnsi="Cambria Math"/>
                            <w:i/>
                            <w:lang w:eastAsia="zh-CN"/>
                          </w:rPr>
                        </m:ctrlPr>
                      </m:sup>
                    </m:sSubSup>
                  </m:oMath>
                  <w:r>
                    <w:t xml:space="preserve"> of monitored PDCCH candidates per span for combination </w:t>
                  </w:r>
                  <m:oMath>
                    <m:d>
                      <m:dPr>
                        <m:ctrlPr>
                          <w:rPr>
                            <w:rFonts w:ascii="Cambria Math" w:hAnsi="Cambria Math"/>
                            <w:i/>
                          </w:rPr>
                        </m:ctrlPr>
                      </m:dPr>
                      <m:e>
                        <m:r>
                          <m:rPr>
                            <m:sty m:val="bi"/>
                          </m:rPr>
                          <w:rPr>
                            <w:rFonts w:ascii="Cambria Math" w:hAnsi="Cambria Math"/>
                          </w:rPr>
                          <m:t>X,Y</m:t>
                        </m:r>
                        <m:ctrlPr>
                          <w:rPr>
                            <w:rFonts w:ascii="Cambria Math" w:hAnsi="Cambria Math"/>
                            <w:i/>
                          </w:rPr>
                        </m:ctrlPr>
                      </m:e>
                    </m:d>
                  </m:oMath>
                  <w:r>
                    <w:rPr>
                      <w:lang w:eastAsia="zh-CN"/>
                    </w:rPr>
                    <w:t xml:space="preserve"> </w:t>
                  </w:r>
                  <w:r>
                    <w:t xml:space="preserve">and per serving cell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jc w:val="center"/>
              </w:trPr>
              <w:tc>
                <w:tcPr>
                  <w:tcW w:w="794" w:type="dxa"/>
                  <w:shd w:val="clear" w:color="auto" w:fill="E0E0E0"/>
                  <w:vAlign w:val="center"/>
                </w:tcPr>
                <w:p>
                  <w:pPr>
                    <w:pStyle w:val="105"/>
                  </w:pPr>
                  <m:oMathPara>
                    <m:oMath>
                      <m:r>
                        <m:rPr>
                          <m:sty m:val="bi"/>
                        </m:rPr>
                        <w:rPr>
                          <w:rFonts w:ascii="Cambria Math" w:hAnsi="Cambria Math"/>
                        </w:rPr>
                        <m:t>μ</m:t>
                      </m:r>
                    </m:oMath>
                  </m:oMathPara>
                </w:p>
              </w:tc>
              <w:tc>
                <w:tcPr>
                  <w:tcW w:w="1541" w:type="dxa"/>
                  <w:vAlign w:val="center"/>
                </w:tcPr>
                <w:p>
                  <w:pPr>
                    <w:pStyle w:val="105"/>
                  </w:pPr>
                  <w:r>
                    <w:t>(2, 2)</w:t>
                  </w:r>
                </w:p>
              </w:tc>
              <w:tc>
                <w:tcPr>
                  <w:tcW w:w="1530" w:type="dxa"/>
                </w:tcPr>
                <w:p>
                  <w:pPr>
                    <w:pStyle w:val="105"/>
                  </w:pPr>
                  <w:r>
                    <w:t>(4, 3)</w:t>
                  </w:r>
                </w:p>
              </w:tc>
              <w:tc>
                <w:tcPr>
                  <w:tcW w:w="1620" w:type="dxa"/>
                </w:tcPr>
                <w:p>
                  <w:pPr>
                    <w:pStyle w:val="105"/>
                  </w:pPr>
                  <w:r>
                    <w:t>(7, 3)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jc w:val="center"/>
              </w:trPr>
              <w:tc>
                <w:tcPr>
                  <w:tcW w:w="794" w:type="dxa"/>
                  <w:vAlign w:val="center"/>
                </w:tcPr>
                <w:p>
                  <w:pPr>
                    <w:pStyle w:val="105"/>
                  </w:pPr>
                  <w:r>
                    <w:t>0</w:t>
                  </w:r>
                </w:p>
              </w:tc>
              <w:tc>
                <w:tcPr>
                  <w:tcW w:w="1541" w:type="dxa"/>
                  <w:vAlign w:val="center"/>
                </w:tcPr>
                <w:p>
                  <w:pPr>
                    <w:pStyle w:val="105"/>
                  </w:pPr>
                  <w:r>
                    <w:t>14</w:t>
                  </w:r>
                </w:p>
              </w:tc>
              <w:tc>
                <w:tcPr>
                  <w:tcW w:w="1530" w:type="dxa"/>
                </w:tcPr>
                <w:p>
                  <w:pPr>
                    <w:pStyle w:val="105"/>
                  </w:pPr>
                  <w:r>
                    <w:t>28</w:t>
                  </w:r>
                </w:p>
              </w:tc>
              <w:tc>
                <w:tcPr>
                  <w:tcW w:w="1620" w:type="dxa"/>
                </w:tcPr>
                <w:p>
                  <w:pPr>
                    <w:pStyle w:val="105"/>
                  </w:pPr>
                  <w:r>
                    <w:t>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jc w:val="center"/>
              </w:trPr>
              <w:tc>
                <w:tcPr>
                  <w:tcW w:w="794" w:type="dxa"/>
                  <w:vAlign w:val="center"/>
                </w:tcPr>
                <w:p>
                  <w:pPr>
                    <w:pStyle w:val="105"/>
                  </w:pPr>
                  <w:r>
                    <w:t>1</w:t>
                  </w:r>
                </w:p>
              </w:tc>
              <w:tc>
                <w:tcPr>
                  <w:tcW w:w="1541" w:type="dxa"/>
                  <w:vAlign w:val="center"/>
                </w:tcPr>
                <w:p>
                  <w:pPr>
                    <w:pStyle w:val="105"/>
                  </w:pPr>
                  <w:r>
                    <w:t>12</w:t>
                  </w:r>
                </w:p>
              </w:tc>
              <w:tc>
                <w:tcPr>
                  <w:tcW w:w="1530" w:type="dxa"/>
                </w:tcPr>
                <w:p>
                  <w:pPr>
                    <w:pStyle w:val="105"/>
                  </w:pPr>
                  <w:r>
                    <w:t>24</w:t>
                  </w:r>
                </w:p>
              </w:tc>
              <w:tc>
                <w:tcPr>
                  <w:tcW w:w="1620" w:type="dxa"/>
                </w:tcPr>
                <w:p>
                  <w:pPr>
                    <w:pStyle w:val="105"/>
                  </w:pPr>
                  <w:r>
                    <w:t>36</w:t>
                  </w:r>
                </w:p>
              </w:tc>
            </w:tr>
          </w:tbl>
          <w:p>
            <w:pPr>
              <w:widowControl w:val="0"/>
              <w:jc w:val="both"/>
              <w:rPr>
                <w:szCs w:val="20"/>
                <w:lang w:val="en-GB" w:eastAsia="zh-CN"/>
              </w:rPr>
            </w:pPr>
          </w:p>
          <w:p>
            <w:pPr>
              <w:widowControl w:val="0"/>
              <w:spacing w:before="120" w:beforeLines="50"/>
              <w:jc w:val="both"/>
              <w:rPr>
                <w:b/>
                <w:bCs/>
                <w:szCs w:val="20"/>
                <w:lang w:val="en-GB" w:eastAsia="zh-CN"/>
              </w:rPr>
            </w:pPr>
            <w:r>
              <w:rPr>
                <w:b/>
                <w:bCs/>
                <w:szCs w:val="20"/>
                <w:lang w:val="en-GB" w:eastAsia="zh-CN"/>
              </w:rPr>
              <w:t xml:space="preserve">Proposal </w:t>
            </w:r>
            <w:r>
              <w:rPr>
                <w:rFonts w:hint="eastAsia"/>
                <w:b/>
                <w:bCs/>
                <w:szCs w:val="20"/>
                <w:lang w:val="en-GB" w:eastAsia="zh-CN"/>
              </w:rPr>
              <w:t>1</w:t>
            </w:r>
            <w:r>
              <w:rPr>
                <w:b/>
                <w:bCs/>
                <w:szCs w:val="20"/>
                <w:lang w:val="en-GB" w:eastAsia="zh-CN"/>
              </w:rPr>
              <w:t xml:space="preserve">:  The maximum number of monitored PDCCH candidates for 480 and 960 kHz SCS could be defined per slot or per time span cross multiple slots </w:t>
            </w:r>
            <w:r>
              <w:rPr>
                <w:rFonts w:hint="eastAsia"/>
                <w:b/>
                <w:bCs/>
                <w:szCs w:val="20"/>
                <w:lang w:val="en-GB" w:eastAsia="zh-CN"/>
              </w:rPr>
              <w:t>(</w:t>
            </w:r>
            <w:r>
              <w:rPr>
                <w:b/>
                <w:bCs/>
                <w:szCs w:val="20"/>
                <w:lang w:val="en-GB" w:eastAsia="zh-CN"/>
              </w:rPr>
              <w:t>e.g.</w:t>
            </w:r>
            <w:r>
              <w:rPr>
                <w:rFonts w:hint="eastAsia"/>
                <w:b/>
                <w:bCs/>
                <w:szCs w:val="20"/>
                <w:lang w:val="en-GB" w:eastAsia="zh-CN"/>
              </w:rPr>
              <w:t xml:space="preserve"> 4 slot for SCS=480, and 8 slots for SCS=960kKHz)</w:t>
            </w:r>
            <w:r>
              <w:rPr>
                <w:b/>
                <w:bCs/>
                <w:szCs w:val="20"/>
                <w:lang w:val="en-GB" w:eastAsia="zh-CN"/>
              </w:rPr>
              <w:t>.  The exact numbers of monitored PDCCH candidates for 480 and 960 kHz SCS are FFS.</w:t>
            </w:r>
          </w:p>
          <w:p>
            <w:pPr>
              <w:widowControl w:val="0"/>
              <w:jc w:val="both"/>
              <w:rPr>
                <w:b/>
                <w:bCs/>
                <w:szCs w:val="20"/>
                <w:lang w:val="en-GB" w:eastAsia="zh-CN"/>
              </w:rPr>
            </w:pPr>
          </w:p>
          <w:p>
            <w:pPr>
              <w:widowControl w:val="0"/>
              <w:spacing w:before="120" w:beforeLines="50"/>
              <w:jc w:val="both"/>
              <w:rPr>
                <w:b/>
                <w:bCs/>
                <w:szCs w:val="20"/>
                <w:lang w:val="en-GB" w:eastAsia="zh-CN"/>
              </w:rPr>
            </w:pPr>
            <w:r>
              <w:rPr>
                <w:b/>
                <w:bCs/>
                <w:szCs w:val="20"/>
                <w:lang w:val="en-GB" w:eastAsia="zh-CN"/>
              </w:rPr>
              <w:t xml:space="preserve">Proposal </w:t>
            </w:r>
            <w:r>
              <w:rPr>
                <w:rFonts w:hint="eastAsia"/>
                <w:b/>
                <w:bCs/>
                <w:szCs w:val="20"/>
                <w:lang w:val="en-GB" w:eastAsia="zh-CN"/>
              </w:rPr>
              <w:t>2</w:t>
            </w:r>
            <w:r>
              <w:rPr>
                <w:b/>
                <w:bCs/>
                <w:szCs w:val="20"/>
                <w:lang w:val="en-GB" w:eastAsia="zh-CN"/>
              </w:rPr>
              <w:t>:  The system/UE complexity and specification impacts should be considered when the maximum number of monitored PDCCH candidates is determined</w:t>
            </w:r>
          </w:p>
          <w:p>
            <w:pPr>
              <w:widowControl w:val="0"/>
              <w:rPr>
                <w:lang w:val="en-GB" w:eastAsia="zh-CN"/>
              </w:rPr>
            </w:pPr>
          </w:p>
        </w:tc>
      </w:tr>
    </w:tbl>
    <w:p>
      <w:pPr>
        <w:rPr>
          <w:lang w:eastAsia="zh-CN"/>
        </w:rPr>
      </w:pPr>
    </w:p>
    <w:p>
      <w:pPr>
        <w:pStyle w:val="4"/>
        <w:jc w:val="both"/>
        <w:rPr>
          <w:lang w:val="en-GB" w:eastAsia="zh-CN"/>
        </w:rPr>
      </w:pPr>
      <w:r>
        <w:rPr>
          <w:lang w:val="en-GB" w:eastAsia="zh-CN"/>
        </w:rPr>
        <w:t>R1-2100430 (vivo)</w:t>
      </w:r>
    </w:p>
    <w:tbl>
      <w:tblPr>
        <w:tblStyle w:val="52"/>
        <w:tblW w:w="145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vAlign w:val="center"/>
          </w:tcPr>
          <w:p>
            <w:pPr>
              <w:widowControl w:val="0"/>
              <w:spacing w:before="120"/>
              <w:jc w:val="both"/>
              <w:rPr>
                <w:b/>
              </w:rPr>
            </w:pPr>
            <w:bookmarkStart w:id="2" w:name="_Ref61441296"/>
            <w:bookmarkStart w:id="3" w:name="_Hlk62233360"/>
            <w:r>
              <w:rPr>
                <w:b/>
              </w:rPr>
              <w:t xml:space="preserve">Proposal </w:t>
            </w:r>
            <w:r>
              <w:rPr>
                <w:b/>
              </w:rPr>
              <w:fldChar w:fldCharType="begin"/>
            </w:r>
            <w:r>
              <w:rPr>
                <w:b/>
              </w:rPr>
              <w:instrText xml:space="preserve"> SEQ Proposal \* ARABIC </w:instrText>
            </w:r>
            <w:r>
              <w:rPr>
                <w:b/>
              </w:rPr>
              <w:fldChar w:fldCharType="separate"/>
            </w:r>
            <w:r>
              <w:rPr>
                <w:b/>
              </w:rPr>
              <w:t>1</w:t>
            </w:r>
            <w:r>
              <w:rPr>
                <w:b/>
              </w:rPr>
              <w:fldChar w:fldCharType="end"/>
            </w:r>
            <w:r>
              <w:rPr>
                <w:b/>
              </w:rPr>
              <w:t>: For NR operation from 52.6-71GHz, PDCCH monitoring capability in FR1&amp;FR2 should be relaxed from slot level to multi-slot level granularity.</w:t>
            </w:r>
            <w:bookmarkEnd w:id="2"/>
          </w:p>
          <w:p>
            <w:pPr>
              <w:widowControl w:val="0"/>
              <w:spacing w:before="120"/>
              <w:jc w:val="both"/>
              <w:rPr>
                <w:lang w:eastAsia="zh-CN"/>
              </w:rPr>
            </w:pPr>
            <w:r>
              <w:rPr>
                <w:lang w:eastAsia="zh-CN"/>
              </w:rPr>
              <w:t>To support multi-slot level granularity, the most important issue is to define the multi-slot span that PDCCH monitoring capability is based on. There are two alternatives as described below:</w:t>
            </w:r>
          </w:p>
          <w:p>
            <w:pPr>
              <w:pStyle w:val="73"/>
              <w:widowControl w:val="0"/>
              <w:numPr>
                <w:ilvl w:val="0"/>
                <w:numId w:val="39"/>
              </w:numPr>
              <w:snapToGrid/>
              <w:spacing w:before="120" w:after="120"/>
              <w:jc w:val="both"/>
              <w:rPr>
                <w:rFonts w:ascii="Times New Roman" w:hAnsi="Times New Roman"/>
              </w:rPr>
            </w:pPr>
            <w:r>
              <w:rPr>
                <w:rFonts w:hint="eastAsia" w:ascii="Times New Roman" w:hAnsi="Times New Roman"/>
              </w:rPr>
              <w:t>A</w:t>
            </w:r>
            <w:r>
              <w:rPr>
                <w:rFonts w:ascii="Times New Roman" w:hAnsi="Times New Roman"/>
              </w:rPr>
              <w:t xml:space="preserve">lt. 1: Fixed multi-slot span based on subframe structure </w:t>
            </w:r>
          </w:p>
          <w:p>
            <w:pPr>
              <w:pStyle w:val="73"/>
              <w:widowControl w:val="0"/>
              <w:numPr>
                <w:ilvl w:val="0"/>
                <w:numId w:val="39"/>
              </w:numPr>
              <w:snapToGrid/>
              <w:spacing w:before="120" w:after="120"/>
              <w:jc w:val="both"/>
              <w:rPr>
                <w:rFonts w:ascii="Times New Roman" w:hAnsi="Times New Roman"/>
              </w:rPr>
            </w:pPr>
            <w:r>
              <w:rPr>
                <w:rFonts w:ascii="Times New Roman" w:hAnsi="Times New Roman"/>
              </w:rPr>
              <w:t>Alt. 2: Flexible multi-slot span based on SS configuration and subframe structure</w:t>
            </w:r>
          </w:p>
          <w:p>
            <w:pPr>
              <w:widowControl w:val="0"/>
              <w:spacing w:before="120"/>
              <w:jc w:val="both"/>
              <w:rPr>
                <w:b/>
              </w:rPr>
            </w:pPr>
            <w:bookmarkStart w:id="4" w:name="_Ref61441301"/>
            <w:r>
              <w:rPr>
                <w:b/>
              </w:rPr>
              <w:t xml:space="preserve">Proposal </w:t>
            </w:r>
            <w:r>
              <w:rPr>
                <w:b/>
              </w:rPr>
              <w:fldChar w:fldCharType="begin"/>
            </w:r>
            <w:r>
              <w:rPr>
                <w:b/>
              </w:rPr>
              <w:instrText xml:space="preserve"> SEQ Proposal \* ARABIC </w:instrText>
            </w:r>
            <w:r>
              <w:rPr>
                <w:b/>
              </w:rPr>
              <w:fldChar w:fldCharType="separate"/>
            </w:r>
            <w:r>
              <w:rPr>
                <w:b/>
              </w:rPr>
              <w:t>2</w:t>
            </w:r>
            <w:r>
              <w:rPr>
                <w:b/>
              </w:rPr>
              <w:fldChar w:fldCharType="end"/>
            </w:r>
            <w:r>
              <w:rPr>
                <w:b/>
              </w:rPr>
              <w:t>: To support multi-slot level granularity for PDCCH monitoring capability definition, how to determine multi-slot span pattern should be considered, e.g. fixed or flexible multi-slot pattern.</w:t>
            </w:r>
            <w:bookmarkEnd w:id="4"/>
          </w:p>
          <w:p>
            <w:pPr>
              <w:widowControl w:val="0"/>
              <w:spacing w:before="120"/>
              <w:jc w:val="both"/>
              <w:rPr>
                <w:lang w:eastAsia="zh-CN"/>
              </w:rPr>
            </w:pPr>
            <w:r>
              <w:rPr>
                <w:lang w:eastAsia="zh-CN"/>
              </w:rPr>
              <w:t>For mandatory capability definition, Alt. 1 is more suitable</w:t>
            </w:r>
            <w:r>
              <w:rPr>
                <w:rFonts w:hint="eastAsia"/>
                <w:lang w:eastAsia="zh-CN"/>
              </w:rPr>
              <w:t xml:space="preserve"> </w:t>
            </w:r>
            <w:r>
              <w:rPr>
                <w:lang w:eastAsia="zh-CN"/>
              </w:rPr>
              <w:t>as the baseline since it is simpler than Alt. 2. For example, UE is required to monitor the first slot of each multi-slot span. Furthermore, the capability for PDCCH monitoring symbols within the slot could reuse that in FR2. Therefore, the following proposal is made for mandatory PDCCH monitoring capability in NR operation from 52.6-71GHz.</w:t>
            </w:r>
          </w:p>
          <w:p>
            <w:pPr>
              <w:widowControl w:val="0"/>
              <w:spacing w:before="120"/>
              <w:jc w:val="both"/>
              <w:rPr>
                <w:b/>
              </w:rPr>
            </w:pPr>
            <w:bookmarkStart w:id="5" w:name="_Ref61441305"/>
            <w:r>
              <w:rPr>
                <w:b/>
              </w:rPr>
              <w:t xml:space="preserve">Proposal </w:t>
            </w:r>
            <w:r>
              <w:rPr>
                <w:b/>
              </w:rPr>
              <w:fldChar w:fldCharType="begin"/>
            </w:r>
            <w:r>
              <w:rPr>
                <w:b/>
              </w:rPr>
              <w:instrText xml:space="preserve"> SEQ Proposal \* ARABIC </w:instrText>
            </w:r>
            <w:r>
              <w:rPr>
                <w:b/>
              </w:rPr>
              <w:fldChar w:fldCharType="separate"/>
            </w:r>
            <w:r>
              <w:rPr>
                <w:b/>
              </w:rPr>
              <w:t>3</w:t>
            </w:r>
            <w:r>
              <w:rPr>
                <w:b/>
              </w:rPr>
              <w:fldChar w:fldCharType="end"/>
            </w:r>
            <w:r>
              <w:rPr>
                <w:b/>
              </w:rPr>
              <w:t>: For NR operation from 52.6-71GHz, UE is expected to be mandatory to monitor PDCCH in the first slot of each fixed multi-slot span where the PDCCH monitoring occasions within the slot satisfy the following conditions:</w:t>
            </w:r>
            <w:bookmarkEnd w:id="5"/>
          </w:p>
          <w:p>
            <w:pPr>
              <w:pStyle w:val="73"/>
              <w:widowControl w:val="0"/>
              <w:numPr>
                <w:ilvl w:val="0"/>
                <w:numId w:val="40"/>
              </w:numPr>
              <w:snapToGrid/>
              <w:spacing w:before="120" w:after="120"/>
              <w:jc w:val="both"/>
              <w:rPr>
                <w:rFonts w:ascii="Times New Roman" w:hAnsi="Times New Roman"/>
                <w:b/>
                <w:sz w:val="20"/>
              </w:rPr>
            </w:pPr>
            <w:r>
              <w:rPr>
                <w:rFonts w:hint="eastAsia" w:ascii="Times New Roman" w:hAnsi="Times New Roman"/>
                <w:b/>
                <w:sz w:val="20"/>
              </w:rPr>
              <w:t>T</w:t>
            </w:r>
            <w:r>
              <w:rPr>
                <w:rFonts w:ascii="Times New Roman" w:hAnsi="Times New Roman"/>
                <w:b/>
                <w:sz w:val="20"/>
              </w:rPr>
              <w:t>he duration of coreset associated with the PDCCH monitoring occasions is 1-3 symbols;</w:t>
            </w:r>
          </w:p>
          <w:p>
            <w:pPr>
              <w:pStyle w:val="73"/>
              <w:widowControl w:val="0"/>
              <w:numPr>
                <w:ilvl w:val="0"/>
                <w:numId w:val="40"/>
              </w:numPr>
              <w:snapToGrid/>
              <w:spacing w:before="120" w:after="120"/>
              <w:jc w:val="both"/>
              <w:rPr>
                <w:rFonts w:ascii="Times New Roman" w:hAnsi="Times New Roman"/>
                <w:b/>
                <w:sz w:val="20"/>
              </w:rPr>
            </w:pPr>
            <w:r>
              <w:rPr>
                <w:rFonts w:ascii="Times New Roman" w:hAnsi="Times New Roman"/>
                <w:b/>
                <w:sz w:val="20"/>
              </w:rPr>
              <w:t>For type 1 CSS with dedicated RRC configuration, type 3 CSS, and USS, the monitoring occasion is within the first 3 OFDM symbols of the slot;</w:t>
            </w:r>
          </w:p>
          <w:p>
            <w:pPr>
              <w:pStyle w:val="73"/>
              <w:widowControl w:val="0"/>
              <w:numPr>
                <w:ilvl w:val="0"/>
                <w:numId w:val="40"/>
              </w:numPr>
              <w:snapToGrid/>
              <w:spacing w:before="120" w:after="120"/>
              <w:jc w:val="both"/>
              <w:rPr>
                <w:rFonts w:ascii="Times New Roman" w:hAnsi="Times New Roman"/>
                <w:b/>
                <w:sz w:val="20"/>
              </w:rPr>
            </w:pPr>
            <w:r>
              <w:rPr>
                <w:rFonts w:ascii="Times New Roman" w:hAnsi="Times New Roman"/>
                <w:b/>
                <w:sz w:val="20"/>
              </w:rPr>
              <w:t>For type 1 CSS without dedicated RRC configuration and for type 0, 0A, and 2 CSS, the monitoring occasion can be any OFDM symbol(s) of the slot, with the monitoring occasions within a single span of three consecutive OFDM symbols within the slot.</w:t>
            </w:r>
          </w:p>
          <w:p>
            <w:pPr>
              <w:widowControl w:val="0"/>
              <w:spacing w:before="120"/>
              <w:jc w:val="both"/>
              <w:rPr>
                <w:lang w:eastAsia="zh-CN"/>
              </w:rPr>
            </w:pPr>
            <w:r>
              <w:rPr>
                <w:rFonts w:hint="eastAsia"/>
                <w:lang w:eastAsia="zh-CN"/>
              </w:rPr>
              <w:t>H</w:t>
            </w:r>
            <w:r>
              <w:rPr>
                <w:lang w:eastAsia="zh-CN"/>
              </w:rPr>
              <w:t xml:space="preserve">owever, Alt. 1 only allows gNB to configure SS in fixed slot position, which is not flexible for gNB configuration from system perspective. Alt. 2 provides a more flexible choice and UE may monitor PDCCH in any slot, which could be an optional capability. </w:t>
            </w:r>
          </w:p>
          <w:p>
            <w:pPr>
              <w:widowControl w:val="0"/>
              <w:spacing w:before="120"/>
              <w:jc w:val="both"/>
              <w:rPr>
                <w:b/>
              </w:rPr>
            </w:pPr>
            <w:bookmarkStart w:id="6" w:name="_Ref61441309"/>
            <w:r>
              <w:rPr>
                <w:b/>
              </w:rPr>
              <w:t xml:space="preserve">Proposal </w:t>
            </w:r>
            <w:r>
              <w:rPr>
                <w:b/>
              </w:rPr>
              <w:fldChar w:fldCharType="begin"/>
            </w:r>
            <w:r>
              <w:rPr>
                <w:b/>
              </w:rPr>
              <w:instrText xml:space="preserve"> SEQ Proposal \* ARABIC </w:instrText>
            </w:r>
            <w:r>
              <w:rPr>
                <w:b/>
              </w:rPr>
              <w:fldChar w:fldCharType="separate"/>
            </w:r>
            <w:r>
              <w:rPr>
                <w:b/>
              </w:rPr>
              <w:t>4</w:t>
            </w:r>
            <w:r>
              <w:rPr>
                <w:b/>
              </w:rPr>
              <w:fldChar w:fldCharType="end"/>
            </w:r>
            <w:r>
              <w:rPr>
                <w:b/>
              </w:rPr>
              <w:t>: For NR operation from 52.6-71GHz, flexible multi-slot span pattern could be considered for definition of optional PDCCH monitoring capability.</w:t>
            </w:r>
            <w:bookmarkEnd w:id="6"/>
          </w:p>
          <w:p>
            <w:pPr>
              <w:widowControl w:val="0"/>
              <w:spacing w:before="120"/>
              <w:jc w:val="both"/>
              <w:rPr>
                <w:lang w:eastAsia="zh-CN"/>
              </w:rPr>
            </w:pPr>
            <w:r>
              <w:rPr>
                <w:rFonts w:hint="eastAsia"/>
                <w:lang w:eastAsia="zh-CN"/>
              </w:rPr>
              <w:t>F</w:t>
            </w:r>
            <w:r>
              <w:rPr>
                <w:lang w:eastAsia="zh-CN"/>
              </w:rPr>
              <w:t xml:space="preserve">irst, 120KHz SCS is also the supported numerology for NR FR2 operation. The difference on the range of center frequency doesn’t bring any difference on PDCCH monitoring complexity. Therefore, the BD/CCE budget value for 120KHz (i.e. </w:t>
            </w:r>
            <m:oMath>
              <m:r>
                <w:rPr>
                  <w:rFonts w:ascii="Cambria Math" w:hAnsi="Cambria Math" w:eastAsia="宋体"/>
                  <w:szCs w:val="16"/>
                  <w:lang w:eastAsia="zh-CN"/>
                </w:rPr>
                <m:t>μ</m:t>
              </m:r>
            </m:oMath>
            <w:r>
              <w:rPr>
                <w:rFonts w:hint="eastAsia"/>
                <w:iCs/>
                <w:szCs w:val="16"/>
                <w:lang w:eastAsia="zh-CN"/>
              </w:rPr>
              <w:t>=</w:t>
            </w:r>
            <w:r>
              <w:rPr>
                <w:iCs/>
                <w:szCs w:val="16"/>
                <w:lang w:eastAsia="zh-CN"/>
              </w:rPr>
              <w:t>3) in FR2 could be reused for that for NR operation from 52.6-71GHz</w:t>
            </w:r>
          </w:p>
          <w:p>
            <w:pPr>
              <w:widowControl w:val="0"/>
              <w:spacing w:before="120"/>
              <w:jc w:val="both"/>
              <w:rPr>
                <w:b/>
              </w:rPr>
            </w:pPr>
            <w:bookmarkStart w:id="7" w:name="_Ref61441313"/>
            <w:r>
              <w:rPr>
                <w:b/>
              </w:rPr>
              <w:t xml:space="preserve">Proposal </w:t>
            </w:r>
            <w:r>
              <w:rPr>
                <w:b/>
              </w:rPr>
              <w:fldChar w:fldCharType="begin"/>
            </w:r>
            <w:r>
              <w:rPr>
                <w:b/>
              </w:rPr>
              <w:instrText xml:space="preserve"> SEQ Proposal \* ARABIC </w:instrText>
            </w:r>
            <w:r>
              <w:rPr>
                <w:b/>
              </w:rPr>
              <w:fldChar w:fldCharType="separate"/>
            </w:r>
            <w:r>
              <w:rPr>
                <w:b/>
              </w:rPr>
              <w:t>5</w:t>
            </w:r>
            <w:r>
              <w:rPr>
                <w:b/>
              </w:rPr>
              <w:fldChar w:fldCharType="end"/>
            </w:r>
            <w:r>
              <w:rPr>
                <w:b/>
              </w:rPr>
              <w:t>: For a DL BWP with 120KHz SCS in 52.6-71GHz, UE derives the BD/CCE budget as the same as that for 120KHz in FR2 including the budget value.</w:t>
            </w:r>
            <w:bookmarkEnd w:id="7"/>
          </w:p>
          <w:p>
            <w:pPr>
              <w:widowControl w:val="0"/>
              <w:spacing w:before="120"/>
              <w:jc w:val="both"/>
              <w:rPr>
                <w:lang w:eastAsia="zh-CN"/>
              </w:rPr>
            </w:pPr>
            <w:r>
              <w:rPr>
                <w:rFonts w:hint="eastAsia"/>
                <w:szCs w:val="20"/>
                <w:lang w:eastAsia="zh-CN"/>
              </w:rPr>
              <w:t>S</w:t>
            </w:r>
            <w:r>
              <w:rPr>
                <w:szCs w:val="20"/>
                <w:lang w:eastAsia="zh-CN"/>
              </w:rPr>
              <w:t xml:space="preserve">econd, 480KHz and 960KHz are new supported numerologies in 52.6-71GHz. Obviously, the BD/CCE budget value should be defined for them taking into UE complexity into account. Namely, </w:t>
            </w:r>
            <w:r>
              <w:rPr>
                <w:lang w:eastAsia="zh-CN"/>
              </w:rPr>
              <w:t xml:space="preserve">the value for </w:t>
            </w:r>
            <m:oMath>
              <m:r>
                <w:rPr>
                  <w:rFonts w:ascii="Cambria Math" w:hAnsi="Cambria Math" w:eastAsia="宋体"/>
                  <w:szCs w:val="16"/>
                  <w:lang w:eastAsia="zh-CN"/>
                </w:rPr>
                <m:t>μ</m:t>
              </m:r>
            </m:oMath>
            <w:r>
              <w:rPr>
                <w:rFonts w:hint="eastAsia"/>
                <w:iCs/>
                <w:szCs w:val="16"/>
                <w:lang w:eastAsia="zh-CN"/>
              </w:rPr>
              <w:t>=</w:t>
            </w:r>
            <w:r>
              <w:rPr>
                <w:iCs/>
                <w:szCs w:val="16"/>
                <w:lang w:eastAsia="zh-CN"/>
              </w:rPr>
              <w:t xml:space="preserve">5 and </w:t>
            </w:r>
            <m:oMath>
              <m:r>
                <w:rPr>
                  <w:rFonts w:ascii="Cambria Math" w:hAnsi="Cambria Math" w:eastAsia="宋体"/>
                  <w:szCs w:val="16"/>
                  <w:lang w:eastAsia="zh-CN"/>
                </w:rPr>
                <m:t>μ</m:t>
              </m:r>
            </m:oMath>
            <w:r>
              <w:rPr>
                <w:rFonts w:hint="eastAsia"/>
                <w:iCs/>
                <w:szCs w:val="16"/>
                <w:lang w:eastAsia="zh-CN"/>
              </w:rPr>
              <w:t>=</w:t>
            </w:r>
            <w:r>
              <w:rPr>
                <w:iCs/>
                <w:szCs w:val="16"/>
                <w:lang w:eastAsia="zh-CN"/>
              </w:rPr>
              <w:t xml:space="preserve">6 should be added into </w:t>
            </w:r>
            <w:r>
              <w:rPr>
                <w:szCs w:val="20"/>
                <w:lang w:eastAsia="zh-CN"/>
              </w:rPr>
              <w:t xml:space="preserve">the </w:t>
            </w:r>
            <w:r>
              <w:rPr>
                <w:lang w:eastAsia="zh-CN"/>
              </w:rPr>
              <w:fldChar w:fldCharType="begin"/>
            </w:r>
            <w:r>
              <w:rPr>
                <w:lang w:eastAsia="zh-CN"/>
              </w:rPr>
              <w:instrText xml:space="preserve"> REF _Ref61270632 \h </w:instrText>
            </w:r>
            <w:r>
              <w:rPr>
                <w:lang w:eastAsia="zh-CN"/>
              </w:rPr>
              <w:fldChar w:fldCharType="separate"/>
            </w:r>
            <w:r>
              <w:rPr>
                <w:rFonts w:eastAsia="宋体"/>
                <w:b/>
                <w:szCs w:val="16"/>
                <w:lang w:eastAsia="zh-CN"/>
              </w:rPr>
              <w:t>Table 1</w:t>
            </w:r>
            <w:r>
              <w:rPr>
                <w:lang w:eastAsia="zh-CN"/>
              </w:rPr>
              <w:fldChar w:fldCharType="end"/>
            </w:r>
            <w:r>
              <w:rPr>
                <w:lang w:eastAsia="zh-CN"/>
              </w:rPr>
              <w:t xml:space="preserve"> and </w:t>
            </w:r>
            <w:r>
              <w:rPr>
                <w:lang w:eastAsia="zh-CN"/>
              </w:rPr>
              <w:fldChar w:fldCharType="begin"/>
            </w:r>
            <w:r>
              <w:rPr>
                <w:lang w:eastAsia="zh-CN"/>
              </w:rPr>
              <w:instrText xml:space="preserve"> REF _Ref61270646 \h </w:instrText>
            </w:r>
            <w:r>
              <w:rPr>
                <w:lang w:eastAsia="zh-CN"/>
              </w:rPr>
              <w:fldChar w:fldCharType="separate"/>
            </w:r>
            <w:r>
              <w:rPr>
                <w:rFonts w:eastAsia="宋体"/>
                <w:b/>
                <w:szCs w:val="16"/>
                <w:lang w:eastAsia="zh-CN"/>
              </w:rPr>
              <w:t>Table 2</w:t>
            </w:r>
            <w:r>
              <w:rPr>
                <w:lang w:eastAsia="zh-CN"/>
              </w:rPr>
              <w:fldChar w:fldCharType="end"/>
            </w:r>
            <w:r>
              <w:rPr>
                <w:lang w:eastAsia="zh-CN"/>
              </w:rPr>
              <w:t xml:space="preserve">. </w:t>
            </w:r>
          </w:p>
          <w:p>
            <w:pPr>
              <w:widowControl w:val="0"/>
              <w:spacing w:before="120"/>
              <w:jc w:val="both"/>
              <w:rPr>
                <w:b/>
              </w:rPr>
            </w:pPr>
            <w:bookmarkStart w:id="8" w:name="_Ref61441317"/>
            <w:r>
              <w:rPr>
                <w:b/>
              </w:rPr>
              <w:t xml:space="preserve">Proposal </w:t>
            </w:r>
            <w:r>
              <w:rPr>
                <w:b/>
              </w:rPr>
              <w:fldChar w:fldCharType="begin"/>
            </w:r>
            <w:r>
              <w:rPr>
                <w:b/>
              </w:rPr>
              <w:instrText xml:space="preserve"> SEQ Proposal \* ARABIC </w:instrText>
            </w:r>
            <w:r>
              <w:rPr>
                <w:b/>
              </w:rPr>
              <w:fldChar w:fldCharType="separate"/>
            </w:r>
            <w:r>
              <w:rPr>
                <w:b/>
              </w:rPr>
              <w:t>6</w:t>
            </w:r>
            <w:r>
              <w:rPr>
                <w:b/>
              </w:rPr>
              <w:fldChar w:fldCharType="end"/>
            </w:r>
            <w:r>
              <w:rPr>
                <w:b/>
              </w:rPr>
              <w:t>: For a DL BWP with 480KHz and 960KHz SCS in 52.6-71GHz, the BD/CCE budget value per slot per serving cell should be determined based on practical UE implementation complexity.</w:t>
            </w:r>
            <w:bookmarkEnd w:id="8"/>
          </w:p>
          <w:p>
            <w:pPr>
              <w:widowControl w:val="0"/>
              <w:spacing w:before="120"/>
              <w:jc w:val="both"/>
              <w:rPr>
                <w:szCs w:val="20"/>
                <w:lang w:eastAsia="zh-CN"/>
              </w:rPr>
            </w:pPr>
            <w:r>
              <w:rPr>
                <w:rFonts w:hint="eastAsia"/>
                <w:szCs w:val="20"/>
                <w:lang w:eastAsia="zh-CN"/>
              </w:rPr>
              <w:t>T</w:t>
            </w:r>
            <w:r>
              <w:rPr>
                <w:szCs w:val="20"/>
                <w:lang w:eastAsia="zh-CN"/>
              </w:rPr>
              <w:t xml:space="preserve">hird, the time domain granularity of current BD/CCE budget definition is per slot as observed from Section </w:t>
            </w:r>
            <w:r>
              <w:rPr>
                <w:szCs w:val="20"/>
                <w:lang w:eastAsia="zh-CN"/>
              </w:rPr>
              <w:fldChar w:fldCharType="begin"/>
            </w:r>
            <w:r>
              <w:rPr>
                <w:szCs w:val="20"/>
                <w:lang w:eastAsia="zh-CN"/>
              </w:rPr>
              <w:instrText xml:space="preserve"> REF _Ref61278759 \r \h </w:instrText>
            </w:r>
            <w:r>
              <w:rPr>
                <w:szCs w:val="20"/>
                <w:lang w:eastAsia="zh-CN"/>
              </w:rPr>
              <w:fldChar w:fldCharType="separate"/>
            </w:r>
            <w:r>
              <w:rPr>
                <w:szCs w:val="20"/>
                <w:lang w:eastAsia="zh-CN"/>
              </w:rPr>
              <w:t>2.2.1</w:t>
            </w:r>
            <w:r>
              <w:rPr>
                <w:szCs w:val="20"/>
                <w:lang w:eastAsia="zh-CN"/>
              </w:rPr>
              <w:fldChar w:fldCharType="end"/>
            </w:r>
            <w:r>
              <w:rPr>
                <w:szCs w:val="20"/>
                <w:lang w:eastAsia="zh-CN"/>
              </w:rPr>
              <w:t xml:space="preserve">. However, PDCCH monitoring capability will be based on multi-slot level as proposed in </w:t>
            </w:r>
            <w:r>
              <w:rPr>
                <w:szCs w:val="20"/>
                <w:lang w:eastAsia="zh-CN"/>
              </w:rPr>
              <w:fldChar w:fldCharType="begin"/>
            </w:r>
            <w:r>
              <w:rPr>
                <w:szCs w:val="20"/>
                <w:lang w:eastAsia="zh-CN"/>
              </w:rPr>
              <w:instrText xml:space="preserve"> REF _Ref61430367 \r \h </w:instrText>
            </w:r>
            <w:r>
              <w:rPr>
                <w:szCs w:val="20"/>
                <w:lang w:eastAsia="zh-CN"/>
              </w:rPr>
              <w:fldChar w:fldCharType="separate"/>
            </w:r>
            <w:r>
              <w:rPr>
                <w:szCs w:val="20"/>
                <w:lang w:eastAsia="zh-CN"/>
              </w:rPr>
              <w:t>2.1.2</w:t>
            </w:r>
            <w:r>
              <w:rPr>
                <w:szCs w:val="20"/>
                <w:lang w:eastAsia="zh-CN"/>
              </w:rPr>
              <w:fldChar w:fldCharType="end"/>
            </w:r>
            <w:r>
              <w:rPr>
                <w:szCs w:val="20"/>
                <w:lang w:eastAsia="zh-CN"/>
              </w:rPr>
              <w:t xml:space="preserve">. Naturally, BD/CCE budget per multi-slot span per serving cell should be defined, e.g. proportional to the value per slot per serving cell by the number of slots within a multi-slot span. This could be used for single cell operation directly. </w:t>
            </w:r>
            <w:r>
              <w:rPr>
                <w:lang w:eastAsia="zh-CN"/>
              </w:rPr>
              <w:t xml:space="preserve">In this case, UE is not expected to monitor more than </w:t>
            </w:r>
            <m:oMath>
              <m:sSubSup>
                <m:sSubSupPr>
                  <m:ctrlPr>
                    <w:rPr>
                      <w:rFonts w:ascii="Cambria Math" w:hAnsi="Cambria Math"/>
                      <w:i/>
                      <w:lang w:val="en-GB"/>
                    </w:rPr>
                  </m:ctrlPr>
                </m:sSubSupPr>
                <m:e>
                  <m:r>
                    <w:rPr>
                      <w:rFonts w:ascii="Cambria Math" w:hAnsi="Cambria Math"/>
                      <w:sz w:val="18"/>
                      <w:lang w:eastAsia="zh-CN"/>
                    </w:rPr>
                    <m:t>M</m:t>
                  </m:r>
                  <m:ctrlPr>
                    <w:rPr>
                      <w:rFonts w:ascii="Cambria Math" w:hAnsi="Cambria Math"/>
                      <w:i/>
                      <w:lang w:val="en-GB"/>
                    </w:rPr>
                  </m:ctrlPr>
                </m:e>
                <m:sub>
                  <m:r>
                    <m:rPr>
                      <m:sty m:val="p"/>
                    </m:rPr>
                    <w:rPr>
                      <w:rFonts w:ascii="Cambria Math" w:hAnsi="Cambria Math"/>
                      <w:sz w:val="18"/>
                      <w:lang w:eastAsia="zh-CN"/>
                    </w:rPr>
                    <m:t>PDCCH</m:t>
                  </m:r>
                  <m:ctrlPr>
                    <w:rPr>
                      <w:rFonts w:ascii="Cambria Math" w:hAnsi="Cambria Math"/>
                      <w:i/>
                      <w:lang w:val="en-GB"/>
                    </w:rPr>
                  </m:ctrlPr>
                </m:sub>
                <m:sup>
                  <m:r>
                    <w:rPr>
                      <w:rFonts w:ascii="Cambria Math" w:hAnsi="Cambria Math"/>
                      <w:sz w:val="18"/>
                      <w:lang w:eastAsia="zh-CN"/>
                    </w:rPr>
                    <m:t>max,slot-span,μ</m:t>
                  </m:r>
                  <m:ctrlPr>
                    <w:rPr>
                      <w:rFonts w:ascii="Cambria Math" w:hAnsi="Cambria Math"/>
                      <w:i/>
                      <w:lang w:val="en-GB"/>
                    </w:rPr>
                  </m:ctrlPr>
                </m:sup>
              </m:sSubSup>
            </m:oMath>
            <w:r>
              <w:rPr>
                <w:rFonts w:hint="eastAsia"/>
                <w:b/>
                <w:sz w:val="24"/>
                <w:lang w:val="en-GB" w:eastAsia="zh-CN"/>
              </w:rPr>
              <w:t xml:space="preserve"> </w:t>
            </w:r>
            <w:r>
              <w:rPr>
                <w:lang w:eastAsia="zh-CN"/>
              </w:rPr>
              <w:t xml:space="preserve">PDCCH candidates with more than </w:t>
            </w:r>
            <m:oMath>
              <m:sSubSup>
                <m:sSubSupPr>
                  <m:ctrlPr>
                    <w:rPr>
                      <w:rFonts w:ascii="Cambria Math" w:hAnsi="Cambria Math"/>
                      <w:sz w:val="18"/>
                      <w:szCs w:val="20"/>
                      <w:lang w:val="en-GB"/>
                    </w:rPr>
                  </m:ctrlPr>
                </m:sSubSupPr>
                <m:e>
                  <m:r>
                    <w:rPr>
                      <w:rFonts w:ascii="Cambria Math" w:hAnsi="Cambria Math"/>
                      <w:sz w:val="18"/>
                    </w:rPr>
                    <m:t>C</m:t>
                  </m:r>
                  <m:ctrlPr>
                    <w:rPr>
                      <w:rFonts w:ascii="Cambria Math" w:hAnsi="Cambria Math"/>
                      <w:sz w:val="18"/>
                      <w:szCs w:val="20"/>
                      <w:lang w:val="en-GB"/>
                    </w:rPr>
                  </m:ctrlPr>
                </m:e>
                <m:sub>
                  <m:r>
                    <m:rPr>
                      <m:sty m:val="p"/>
                    </m:rPr>
                    <w:rPr>
                      <w:rFonts w:ascii="Cambria Math" w:hAnsi="Cambria Math"/>
                      <w:sz w:val="18"/>
                    </w:rPr>
                    <m:t>PDCCH</m:t>
                  </m:r>
                  <m:ctrlPr>
                    <w:rPr>
                      <w:rFonts w:ascii="Cambria Math" w:hAnsi="Cambria Math"/>
                      <w:sz w:val="18"/>
                      <w:szCs w:val="20"/>
                      <w:lang w:val="en-GB"/>
                    </w:rPr>
                  </m:ctrlPr>
                </m:sub>
                <m:sup>
                  <m:r>
                    <w:rPr>
                      <w:rFonts w:ascii="Cambria Math" w:hAnsi="Cambria Math"/>
                      <w:sz w:val="18"/>
                    </w:rPr>
                    <m:t>max</m:t>
                  </m:r>
                  <m:r>
                    <m:rPr>
                      <m:sty m:val="p"/>
                    </m:rPr>
                    <w:rPr>
                      <w:rFonts w:ascii="Cambria Math" w:hAnsi="Cambria Math"/>
                      <w:sz w:val="18"/>
                    </w:rPr>
                    <m:t>,</m:t>
                  </m:r>
                  <m:r>
                    <w:rPr>
                      <w:rFonts w:ascii="Cambria Math" w:hAnsi="Cambria Math"/>
                      <w:sz w:val="18"/>
                    </w:rPr>
                    <m:t>slot-span</m:t>
                  </m:r>
                  <m:r>
                    <m:rPr>
                      <m:sty m:val="p"/>
                    </m:rPr>
                    <w:rPr>
                      <w:rFonts w:ascii="Cambria Math" w:hAnsi="Cambria Math"/>
                      <w:sz w:val="18"/>
                    </w:rPr>
                    <m:t>,</m:t>
                  </m:r>
                  <m:r>
                    <w:rPr>
                      <w:rFonts w:ascii="Cambria Math" w:hAnsi="Cambria Math"/>
                      <w:sz w:val="18"/>
                    </w:rPr>
                    <m:t>μ</m:t>
                  </m:r>
                  <m:ctrlPr>
                    <w:rPr>
                      <w:rFonts w:ascii="Cambria Math" w:hAnsi="Cambria Math"/>
                      <w:sz w:val="18"/>
                      <w:szCs w:val="20"/>
                      <w:lang w:val="en-GB"/>
                    </w:rPr>
                  </m:ctrlPr>
                </m:sup>
              </m:sSubSup>
            </m:oMath>
            <w:r>
              <w:rPr>
                <w:rFonts w:hint="eastAsia"/>
                <w:sz w:val="15"/>
                <w:szCs w:val="20"/>
                <w:lang w:val="en-GB" w:eastAsia="zh-CN"/>
              </w:rPr>
              <w:t xml:space="preserve"> </w:t>
            </w:r>
            <w:r>
              <w:rPr>
                <w:lang w:eastAsia="zh-CN"/>
              </w:rPr>
              <w:t>non-overlapped CCEs per slot in the single serving cell.</w:t>
            </w:r>
          </w:p>
          <w:p>
            <w:pPr>
              <w:widowControl w:val="0"/>
              <w:spacing w:before="120"/>
              <w:jc w:val="both"/>
              <w:rPr>
                <w:b/>
              </w:rPr>
            </w:pPr>
            <w:bookmarkStart w:id="9" w:name="_Ref61441322"/>
            <w:r>
              <w:rPr>
                <w:b/>
              </w:rPr>
              <w:t xml:space="preserve">Proposal </w:t>
            </w:r>
            <w:r>
              <w:rPr>
                <w:b/>
              </w:rPr>
              <w:fldChar w:fldCharType="begin"/>
            </w:r>
            <w:r>
              <w:rPr>
                <w:b/>
              </w:rPr>
              <w:instrText xml:space="preserve"> SEQ Proposal \* ARABIC </w:instrText>
            </w:r>
            <w:r>
              <w:rPr>
                <w:b/>
              </w:rPr>
              <w:fldChar w:fldCharType="separate"/>
            </w:r>
            <w:r>
              <w:rPr>
                <w:b/>
              </w:rPr>
              <w:t>7</w:t>
            </w:r>
            <w:r>
              <w:rPr>
                <w:b/>
              </w:rPr>
              <w:fldChar w:fldCharType="end"/>
            </w:r>
            <w:r>
              <w:rPr>
                <w:b/>
              </w:rPr>
              <w:t>: For a DL BWP with 480KHz and 960KHz SCS in 52.6-71GHz, the BD/CCE budget value per multi-slot span per serving cell should be defined and it is used for single cell operation scenario.</w:t>
            </w:r>
            <w:bookmarkEnd w:id="9"/>
          </w:p>
          <w:p>
            <w:pPr>
              <w:widowControl w:val="0"/>
              <w:spacing w:before="120"/>
              <w:jc w:val="both"/>
              <w:rPr>
                <w:szCs w:val="20"/>
                <w:lang w:eastAsia="zh-CN"/>
              </w:rPr>
            </w:pPr>
            <w:r>
              <w:rPr>
                <w:rFonts w:hint="eastAsia"/>
                <w:szCs w:val="20"/>
                <w:lang w:eastAsia="zh-CN"/>
              </w:rPr>
              <w:t>F</w:t>
            </w:r>
            <w:r>
              <w:rPr>
                <w:szCs w:val="20"/>
                <w:lang w:eastAsia="zh-CN"/>
              </w:rPr>
              <w:t xml:space="preserve">or multi-cell operation scenario, the situation becomes more complex by introducing such multi-slot span based BD/CCE budget definition. For Case B in NR FR1&amp;FR2 operation, the scheduling cells with the same SCS are categorized together to meet a total limit. However, for one UE operation in both FR1&amp;FR2 and 52.6-71GHz (e.g. CA deployment), BD/CCE budget is applied per slot level in some scheduling cells while per multi-slot span in other scheduling cells. How to category the scheduling cells to be restricted with a total BD/CCE limit needs to be considered taking into account the above hybrid scenario. Particularly, although the SCS and BD/CCE limit granularity in terms of slot number are different for different scheduling cells, the absolute time domain granularity may be the same, e.g. cell A with 120KHz SCS and slot level BD/CCE budget and cell B with 480KHz SCS and BD/CCE budget per 4 slots. </w:t>
            </w:r>
          </w:p>
          <w:p>
            <w:pPr>
              <w:widowControl w:val="0"/>
              <w:spacing w:before="120"/>
              <w:jc w:val="both"/>
              <w:rPr>
                <w:b/>
              </w:rPr>
            </w:pPr>
            <w:bookmarkStart w:id="10" w:name="_Ref61441327"/>
            <w:r>
              <w:rPr>
                <w:b/>
              </w:rPr>
              <w:t xml:space="preserve">Proposal </w:t>
            </w:r>
            <w:r>
              <w:rPr>
                <w:b/>
              </w:rPr>
              <w:fldChar w:fldCharType="begin"/>
            </w:r>
            <w:r>
              <w:rPr>
                <w:b/>
              </w:rPr>
              <w:instrText xml:space="preserve"> SEQ Proposal \* ARABIC </w:instrText>
            </w:r>
            <w:r>
              <w:rPr>
                <w:b/>
              </w:rPr>
              <w:fldChar w:fldCharType="separate"/>
            </w:r>
            <w:r>
              <w:rPr>
                <w:b/>
              </w:rPr>
              <w:t>8</w:t>
            </w:r>
            <w:r>
              <w:rPr>
                <w:b/>
              </w:rPr>
              <w:fldChar w:fldCharType="end"/>
            </w:r>
            <w:r>
              <w:rPr>
                <w:b/>
              </w:rPr>
              <w:t>: For multi-cell operation, the categorization of scheduling cells to be applied with a total BD/CCE limit should consider PDCCH SCS and BD/CCE limit granularity jointly.</w:t>
            </w:r>
            <w:bookmarkEnd w:id="10"/>
          </w:p>
          <w:p>
            <w:pPr>
              <w:widowControl w:val="0"/>
              <w:spacing w:before="120" w:beforeLines="50"/>
              <w:jc w:val="both"/>
              <w:rPr>
                <w:lang w:eastAsia="zh-CN"/>
              </w:rPr>
            </w:pPr>
          </w:p>
        </w:tc>
      </w:tr>
      <w:bookmarkEnd w:id="3"/>
    </w:tbl>
    <w:p>
      <w:pPr>
        <w:rPr>
          <w:lang w:eastAsia="zh-CN"/>
        </w:rPr>
      </w:pPr>
    </w:p>
    <w:p>
      <w:pPr>
        <w:pStyle w:val="4"/>
        <w:jc w:val="both"/>
        <w:rPr>
          <w:lang w:val="en-GB" w:eastAsia="zh-CN"/>
        </w:rPr>
      </w:pPr>
      <w:r>
        <w:rPr>
          <w:lang w:val="en-GB" w:eastAsia="zh-CN"/>
        </w:rPr>
        <w:t>R1-2100608 (MediaTek)</w:t>
      </w:r>
    </w:p>
    <w:tbl>
      <w:tblPr>
        <w:tblStyle w:val="52"/>
        <w:tblW w:w="145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vAlign w:val="center"/>
          </w:tcPr>
          <w:p>
            <w:pPr>
              <w:pStyle w:val="27"/>
              <w:widowControl w:val="0"/>
              <w:jc w:val="left"/>
            </w:pPr>
            <w:bookmarkStart w:id="11" w:name="_Ref61377008"/>
            <w:r>
              <w:t xml:space="preserve">Proposal </w:t>
            </w:r>
            <w:r>
              <w:fldChar w:fldCharType="begin"/>
            </w:r>
            <w:r>
              <w:instrText xml:space="preserve">SEQ Proposal \* ARABIC</w:instrText>
            </w:r>
            <w:r>
              <w:fldChar w:fldCharType="separate"/>
            </w:r>
            <w:r>
              <w:t>1</w:t>
            </w:r>
            <w:r>
              <w:fldChar w:fldCharType="end"/>
            </w:r>
            <w:r>
              <w:t>: For 120 kHz SCS, no PDCCH monitoring enhancement is needed. The existing FR2 designs and capabilities for PDCCH monitoring of 120 kHz SCS are reused.</w:t>
            </w:r>
            <w:bookmarkEnd w:id="11"/>
          </w:p>
          <w:p>
            <w:pPr>
              <w:widowControl w:val="0"/>
            </w:pPr>
            <w:r>
              <w:t xml:space="preserve">For large SCSs (480 kHz and 960kHz), in SI phase, many companies [3][4][5][6] proposed new time units other than per slot or per span for BD/CCE limit, e.g., BD/CCE limits per multi-slot, to address the scaled down per slot BD/CCE limit from shorter slot duration of large SCS configuration and to achieve practical scheduling flexibility with the consideration of Rel-15/16 UE capability. However, BD/CCE limit per new monitoring time unit doesn’t completely address the two UE monitoring complexity issues stated previously without specifying the associated monitoring behavior applied for such BD/CCE limit. For example, without any further configuration restriction, UE can still be configured to monitoring PDCCH in every slots under the capability of BD/CCE limit per multi-slot, which defies the purpose of such enhancement. Moreover, without specifying the PDCCH monitoring configuration applicable for BD/CCE limit of new monitoring time unit, the BD/CCE limit needs to serve for all the possible configuration within the new monitoring time unit, which will complicate the discussion. Therefore, it is necessary to first specify the PDCCH monitoring configurations applied for the new monitoring time unit. With this regard, we propose to limit or at least prioritize the discussion of multi-slot monitoring to the configuration of monitoring PDDCH in the first </w:t>
            </w:r>
            <m:oMath>
              <m:r>
                <w:rPr>
                  <w:rFonts w:ascii="Cambria Math" w:hAnsi="Cambria Math"/>
                </w:rPr>
                <m:t>n</m:t>
              </m:r>
            </m:oMath>
            <w:r>
              <w:t xml:space="preserve"> slots of every </w:t>
            </w:r>
            <m:oMath>
              <m:r>
                <w:rPr>
                  <w:rFonts w:ascii="Cambria Math" w:hAnsi="Cambria Math"/>
                </w:rPr>
                <m:t>m</m:t>
              </m:r>
            </m:oMath>
            <w:r>
              <w:t xml:space="preserve"> slots and design the associated new BD/CCE limit accordingly.  An example of (</w:t>
            </w:r>
            <m:oMath>
              <m:r>
                <w:rPr>
                  <w:rFonts w:ascii="Cambria Math" w:hAnsi="Cambria Math"/>
                </w:rPr>
                <m:t>m=4,n=1</m:t>
              </m:r>
            </m:oMath>
            <w:r>
              <w:t xml:space="preserve">) is shown in </w:t>
            </w:r>
            <w:r>
              <w:fldChar w:fldCharType="begin"/>
            </w:r>
            <w:r>
              <w:instrText xml:space="preserve"> REF _Ref61525739 \h </w:instrText>
            </w:r>
            <w:r>
              <w:fldChar w:fldCharType="separate"/>
            </w:r>
            <w:r>
              <w:t>Figure 1</w:t>
            </w:r>
            <w:r>
              <w:fldChar w:fldCharType="end"/>
            </w:r>
            <w:r>
              <w:t>.</w:t>
            </w:r>
          </w:p>
          <w:p>
            <w:pPr>
              <w:pStyle w:val="73"/>
              <w:widowControl w:val="0"/>
              <w:spacing w:before="120" w:beforeLines="50" w:after="120" w:afterLines="50"/>
              <w:ind w:left="0"/>
              <w:jc w:val="center"/>
              <w:outlineLvl w:val="0"/>
            </w:pPr>
            <w:r>
              <w:rPr>
                <w:lang w:eastAsia="zh-CN"/>
              </w:rPr>
              <w:drawing>
                <wp:inline distT="0" distB="0" distL="0" distR="0">
                  <wp:extent cx="3898900" cy="1283335"/>
                  <wp:effectExtent l="0" t="0" r="635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898900" cy="1283335"/>
                          </a:xfrm>
                          <a:prstGeom prst="rect">
                            <a:avLst/>
                          </a:prstGeom>
                        </pic:spPr>
                      </pic:pic>
                    </a:graphicData>
                  </a:graphic>
                </wp:inline>
              </w:drawing>
            </w:r>
          </w:p>
          <w:p>
            <w:pPr>
              <w:pStyle w:val="27"/>
              <w:widowControl w:val="0"/>
            </w:pPr>
            <w:bookmarkStart w:id="12" w:name="_Ref61525739"/>
            <w:r>
              <w:t xml:space="preserve">Figure </w:t>
            </w:r>
            <w:r>
              <w:fldChar w:fldCharType="begin"/>
            </w:r>
            <w:r>
              <w:instrText xml:space="preserve">SEQ Figure \* ARABIC</w:instrText>
            </w:r>
            <w:r>
              <w:fldChar w:fldCharType="separate"/>
            </w:r>
            <w:r>
              <w:t>1</w:t>
            </w:r>
            <w:r>
              <w:fldChar w:fldCharType="end"/>
            </w:r>
            <w:bookmarkEnd w:id="12"/>
            <w:r>
              <w:t>: Proposed multi-slot monitoring framework example of (</w:t>
            </w:r>
            <m:oMath>
              <m:r>
                <m:rPr>
                  <m:sty m:val="bi"/>
                </m:rPr>
                <w:rPr>
                  <w:rFonts w:ascii="Cambria Math" w:hAnsi="Cambria Math"/>
                </w:rPr>
                <m:t>m=4,n=1</m:t>
              </m:r>
            </m:oMath>
            <w:r>
              <w:t>)</w:t>
            </w:r>
          </w:p>
          <w:p>
            <w:pPr>
              <w:widowControl w:val="0"/>
            </w:pPr>
          </w:p>
          <w:p>
            <w:pPr>
              <w:widowControl w:val="0"/>
            </w:pPr>
            <w:r>
              <w:t xml:space="preserve">  </w:t>
            </w:r>
          </w:p>
          <w:p>
            <w:pPr>
              <w:widowControl w:val="0"/>
            </w:pPr>
          </w:p>
          <w:p>
            <w:pPr>
              <w:widowControl w:val="0"/>
            </w:pPr>
            <w:r>
              <w:t>Under this framework, UE should signal gNB the supported combination of (</w:t>
            </w:r>
            <m:oMath>
              <m:r>
                <w:rPr>
                  <w:rFonts w:ascii="Cambria Math" w:hAnsi="Cambria Math"/>
                </w:rPr>
                <m:t>m,n</m:t>
              </m:r>
            </m:oMath>
            <w:r>
              <w:t>) as capabilities and the BD/CCE limits for each (</w:t>
            </w:r>
            <m:oMath>
              <m:r>
                <w:rPr>
                  <w:rFonts w:ascii="Cambria Math" w:hAnsi="Cambria Math"/>
                </w:rPr>
                <m:t>m,n</m:t>
              </m:r>
            </m:oMath>
            <w:r>
              <w:t xml:space="preserve">) combination should be determined. </w:t>
            </w:r>
          </w:p>
          <w:p>
            <w:pPr>
              <w:widowControl w:val="0"/>
            </w:pPr>
          </w:p>
          <w:p>
            <w:pPr>
              <w:pStyle w:val="27"/>
              <w:widowControl w:val="0"/>
              <w:jc w:val="left"/>
            </w:pPr>
            <w:bookmarkStart w:id="13" w:name="_Ref61526051"/>
            <w:r>
              <w:t xml:space="preserve">Proposal </w:t>
            </w:r>
            <w:r>
              <w:fldChar w:fldCharType="begin"/>
            </w:r>
            <w:r>
              <w:instrText xml:space="preserve">SEQ Proposal \* ARABIC</w:instrText>
            </w:r>
            <w:r>
              <w:fldChar w:fldCharType="separate"/>
            </w:r>
            <w:r>
              <w:t>2</w:t>
            </w:r>
            <w:r>
              <w:fldChar w:fldCharType="end"/>
            </w:r>
            <w:r>
              <w:t xml:space="preserve">: For 480 and 960 kHz SCSs, multi-slot PDDCH monitoring enhancement should limit the discussion to the configuration of monitoring the first </w:t>
            </w:r>
            <m:oMath>
              <m:r>
                <m:rPr>
                  <m:sty m:val="bi"/>
                </m:rPr>
                <w:rPr>
                  <w:rFonts w:ascii="Cambria Math" w:hAnsi="Cambria Math"/>
                </w:rPr>
                <m:t>n</m:t>
              </m:r>
            </m:oMath>
            <w:r>
              <w:t xml:space="preserve"> slots in every </w:t>
            </w:r>
            <m:oMath>
              <m:r>
                <m:rPr>
                  <m:sty m:val="bi"/>
                </m:rPr>
                <w:rPr>
                  <w:rFonts w:ascii="Cambria Math" w:hAnsi="Cambria Math"/>
                </w:rPr>
                <m:t>m</m:t>
              </m:r>
            </m:oMath>
            <w:r>
              <w:t xml:space="preserve"> slots. The associated UE capabilities and BD/CCE limits should be defined accordingly.</w:t>
            </w:r>
            <w:bookmarkEnd w:id="13"/>
            <w:r>
              <w:t xml:space="preserve"> </w:t>
            </w:r>
          </w:p>
          <w:p>
            <w:pPr>
              <w:widowControl w:val="0"/>
            </w:pPr>
            <w:r>
              <w:t>It is worth mentioning the connection between FG 3-5b and the proposed monitoring framework. In Rel-16, a span notion is introduced and defined as a number of consecutive monitoring occasions within a slot where a UE is configured to monitor PDCCH. FG 3-5b describes the possible combination of (</w:t>
            </w:r>
            <m:oMath>
              <m:r>
                <w:rPr>
                  <w:rFonts w:ascii="Cambria Math" w:hAnsi="Cambria Math"/>
                </w:rPr>
                <m:t>X,Y</m:t>
              </m:r>
            </m:oMath>
            <w:r>
              <w:t xml:space="preserve">) UE can signal as capabilities, where </w:t>
            </w:r>
            <m:oMath>
              <m:r>
                <w:rPr>
                  <w:rFonts w:ascii="Cambria Math" w:hAnsi="Cambria Math"/>
                </w:rPr>
                <m:t>X</m:t>
              </m:r>
            </m:oMath>
            <w:r>
              <w:t xml:space="preserve"> specifies the minimum symbol gap between the start symbols of every pair of spans and </w:t>
            </w:r>
            <m:oMath>
              <m:r>
                <w:rPr>
                  <w:rFonts w:ascii="Cambria Math" w:hAnsi="Cambria Math"/>
                </w:rPr>
                <m:t>Y</m:t>
              </m:r>
            </m:oMath>
            <w:r>
              <w:t xml:space="preserve"> specifies the maximum number of symbols within each span. It can be clearly seen that the proposed framework and (</w:t>
            </w:r>
            <m:oMath>
              <m:r>
                <w:rPr>
                  <w:rFonts w:ascii="Cambria Math" w:hAnsi="Cambria Math"/>
                </w:rPr>
                <m:t>m,n</m:t>
              </m:r>
            </m:oMath>
            <w:r>
              <w:t>) definition follows the same spirit of span and (</w:t>
            </w:r>
            <m:oMath>
              <m:r>
                <w:rPr>
                  <w:rFonts w:ascii="Cambria Math" w:hAnsi="Cambria Math"/>
                </w:rPr>
                <m:t>X,Y</m:t>
              </m:r>
            </m:oMath>
            <w:r>
              <w:t xml:space="preserve">) by modifying the span definition of consecutive symbols to consecutive slots for PDCCH monitoring and modifying the symbol gap </w:t>
            </w:r>
            <m:oMath>
              <m:r>
                <w:rPr>
                  <w:rFonts w:ascii="Cambria Math" w:hAnsi="Cambria Math"/>
                </w:rPr>
                <m:t>X</m:t>
              </m:r>
            </m:oMath>
            <w:r>
              <w:t xml:space="preserve"> to slot gap </w:t>
            </w:r>
            <m:oMath>
              <m:r>
                <w:rPr>
                  <w:rFonts w:ascii="Cambria Math" w:hAnsi="Cambria Math"/>
                </w:rPr>
                <m:t>m</m:t>
              </m:r>
            </m:oMath>
            <w:r>
              <w:t>. Therefore, similar to FG 3-5b, supported (</w:t>
            </w:r>
            <m:oMath>
              <m:r>
                <w:rPr>
                  <w:rFonts w:ascii="Cambria Math" w:hAnsi="Cambria Math"/>
                </w:rPr>
                <m:t>m,n</m:t>
              </m:r>
            </m:oMath>
            <w:r>
              <w:t xml:space="preserve">) should be specified as UE PDCCH monitoring capabilities.  </w:t>
            </w:r>
          </w:p>
          <w:p>
            <w:pPr>
              <w:widowControl w:val="0"/>
            </w:pPr>
          </w:p>
          <w:p>
            <w:pPr>
              <w:widowControl w:val="0"/>
            </w:pPr>
            <w:r>
              <w:t>To design the BD/CCE limit for the combination of (</w:t>
            </w:r>
            <m:oMath>
              <m:r>
                <w:rPr>
                  <w:rFonts w:ascii="Cambria Math" w:hAnsi="Cambria Math"/>
                </w:rPr>
                <m:t>m,n</m:t>
              </m:r>
            </m:oMath>
            <w:r>
              <w:t>), the legacy per slot monitoring should be discussed first, i.e., (</w:t>
            </w:r>
            <m:oMath>
              <m:r>
                <w:rPr>
                  <w:rFonts w:ascii="Cambria Math" w:hAnsi="Cambria Math"/>
                </w:rPr>
                <m:t>m=1,n=1</m:t>
              </m:r>
            </m:oMath>
            <w:r>
              <w:t xml:space="preserve">). Although per slot monitoring may not be a desirable monitoring mode, it is still useful in some scenarios, e.g., fall-back mode. Moreover, per slot BD/CCE monitoring limit can provide a reference to benefit the discussion of the BD/CCE limit of new time unit. </w:t>
            </w:r>
          </w:p>
          <w:p>
            <w:pPr>
              <w:pStyle w:val="27"/>
              <w:widowControl w:val="0"/>
              <w:ind w:firstLine="240"/>
            </w:pPr>
          </w:p>
          <w:p>
            <w:pPr>
              <w:pStyle w:val="27"/>
              <w:widowControl w:val="0"/>
              <w:jc w:val="left"/>
            </w:pPr>
            <w:bookmarkStart w:id="14" w:name="_Ref61526076"/>
            <w:r>
              <w:t xml:space="preserve">Proposal </w:t>
            </w:r>
            <w:r>
              <w:fldChar w:fldCharType="begin"/>
            </w:r>
            <w:r>
              <w:instrText xml:space="preserve">SEQ Proposal \* ARABIC</w:instrText>
            </w:r>
            <w:r>
              <w:fldChar w:fldCharType="separate"/>
            </w:r>
            <w:r>
              <w:t>3</w:t>
            </w:r>
            <w:r>
              <w:fldChar w:fldCharType="end"/>
            </w:r>
            <w:r>
              <w:t>: For 480 and 960 kHz SCS, legacy per slot monitoring should be supported and the associated BD/CCE limit should be defined accordingly.</w:t>
            </w:r>
            <w:bookmarkEnd w:id="14"/>
          </w:p>
          <w:p>
            <w:pPr>
              <w:widowControl w:val="0"/>
            </w:pPr>
            <w:r>
              <w:t xml:space="preserve">As a consequence of PDCCH monitoring enhancement, another discussed DL enhancement is PDSCH scheduling. In particular, the enhancement of multi-PDSCH scheduled by one DCI has been included in WI to improve data rate under the reduced UE PDCCH monitoring frequency with the help of cross slot scheduling. On the other hand, when the legacy per slot monitoring is configured, same slot scheduling is preferred to maximize the throughput. With the short slot duration of 480 kHz and 960 kHz, it is essential to design a feasible UE behavior of PDCCH monitoring within a slot to realize the same slot scheduling. Therefore, we propose to confine PDCCH monitoring within the first 3 symbols of a slot when per slot monitoring is configured with 480 kHz and 960 kHz SCSs.    </w:t>
            </w:r>
          </w:p>
          <w:p>
            <w:pPr>
              <w:widowControl w:val="0"/>
            </w:pPr>
          </w:p>
          <w:p>
            <w:pPr>
              <w:widowControl w:val="0"/>
              <w:spacing w:before="120"/>
              <w:jc w:val="both"/>
              <w:rPr>
                <w:b/>
                <w:bCs/>
                <w:lang w:eastAsia="zh-CN"/>
              </w:rPr>
            </w:pPr>
            <w:r>
              <w:rPr>
                <w:b/>
                <w:bCs/>
              </w:rPr>
              <w:t xml:space="preserve">Proposal </w:t>
            </w:r>
            <w:r>
              <w:rPr>
                <w:b/>
                <w:bCs/>
              </w:rPr>
              <w:fldChar w:fldCharType="begin"/>
            </w:r>
            <w:r>
              <w:rPr>
                <w:b/>
                <w:bCs/>
              </w:rPr>
              <w:instrText xml:space="preserve"> SEQ Proposal \* ARABIC </w:instrText>
            </w:r>
            <w:r>
              <w:rPr>
                <w:b/>
                <w:bCs/>
              </w:rPr>
              <w:fldChar w:fldCharType="separate"/>
            </w:r>
            <w:r>
              <w:rPr>
                <w:b/>
                <w:bCs/>
              </w:rPr>
              <w:t>4</w:t>
            </w:r>
            <w:r>
              <w:rPr>
                <w:b/>
                <w:bCs/>
              </w:rPr>
              <w:fldChar w:fldCharType="end"/>
            </w:r>
            <w:r>
              <w:rPr>
                <w:b/>
                <w:bCs/>
              </w:rPr>
              <w:t>: For 480 and 960 kHz SCS, PDCCH monitoring is confined to be within the first 3 symbols of a slot when per slot monitoring is configured.</w:t>
            </w:r>
          </w:p>
        </w:tc>
      </w:tr>
    </w:tbl>
    <w:p>
      <w:pPr>
        <w:rPr>
          <w:lang w:eastAsia="zh-CN"/>
        </w:rPr>
      </w:pPr>
    </w:p>
    <w:p>
      <w:pPr>
        <w:pStyle w:val="4"/>
        <w:jc w:val="both"/>
        <w:rPr>
          <w:lang w:val="en-GB" w:eastAsia="zh-CN"/>
        </w:rPr>
      </w:pPr>
      <w:r>
        <w:rPr>
          <w:lang w:val="en-GB" w:eastAsia="zh-CN"/>
        </w:rPr>
        <w:t>R1-2100644 (Intel)</w:t>
      </w:r>
    </w:p>
    <w:tbl>
      <w:tblPr>
        <w:tblStyle w:val="52"/>
        <w:tblW w:w="145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vAlign w:val="center"/>
          </w:tcPr>
          <w:p>
            <w:pPr>
              <w:pStyle w:val="209"/>
              <w:widowControl w:val="0"/>
              <w:spacing w:after="120"/>
              <w:ind w:left="0"/>
              <w:jc w:val="both"/>
              <w:rPr>
                <w:rFonts w:ascii="Times New Roman" w:hAnsi="Times New Roman" w:cs="Times New Roman"/>
                <w:sz w:val="20"/>
                <w:szCs w:val="20"/>
              </w:rPr>
            </w:pPr>
            <w:r>
              <w:rPr>
                <w:rFonts w:ascii="Times New Roman" w:hAnsi="Times New Roman" w:cs="Times New Roman"/>
                <w:sz w:val="20"/>
                <w:szCs w:val="20"/>
              </w:rPr>
              <w:t xml:space="preserve">Specifically, 3 cases for SS set configuration within a slot are supported by parameter </w:t>
            </w:r>
            <w:r>
              <w:rPr>
                <w:rFonts w:ascii="Times New Roman" w:hAnsi="Times New Roman" w:cs="Times New Roman"/>
                <w:i/>
                <w:sz w:val="20"/>
                <w:szCs w:val="20"/>
              </w:rPr>
              <w:t>monitoringSymbolsWithinSlot</w:t>
            </w:r>
            <w:r>
              <w:rPr>
                <w:rFonts w:ascii="Times New Roman" w:hAnsi="Times New Roman" w:cs="Times New Roman"/>
                <w:sz w:val="20"/>
                <w:szCs w:val="20"/>
              </w:rPr>
              <w:t>,</w:t>
            </w:r>
          </w:p>
          <w:p>
            <w:pPr>
              <w:pStyle w:val="209"/>
              <w:widowControl w:val="0"/>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1: PDCCH monitoring of all SS sets monitored in a slot occurs within 3 consecutive OFDM symbols that have fixed positions in each slot</w:t>
            </w:r>
          </w:p>
          <w:p>
            <w:pPr>
              <w:pStyle w:val="209"/>
              <w:widowControl w:val="0"/>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1-1: PDCCH monitoring limited to within first three OFDM symbols of a slot</w:t>
            </w:r>
          </w:p>
          <w:p>
            <w:pPr>
              <w:pStyle w:val="209"/>
              <w:widowControl w:val="0"/>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1-2: PDCCH monitoring on any span of up to 3 consecutive OFDM symbols of a slot</w:t>
            </w:r>
          </w:p>
          <w:p>
            <w:pPr>
              <w:pStyle w:val="209"/>
              <w:widowControl w:val="0"/>
              <w:numPr>
                <w:ilvl w:val="2"/>
                <w:numId w:val="14"/>
              </w:numPr>
              <w:spacing w:after="120"/>
              <w:ind w:left="2088"/>
              <w:jc w:val="both"/>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3 consecutive OFDM symbols in the slot</w:t>
            </w:r>
          </w:p>
          <w:p>
            <w:pPr>
              <w:pStyle w:val="209"/>
              <w:widowControl w:val="0"/>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2: PDCCH monitoring cases other than Case 1</w:t>
            </w:r>
          </w:p>
          <w:p>
            <w:pPr>
              <w:widowControl w:val="0"/>
              <w:jc w:val="both"/>
              <w:rPr>
                <w:lang w:eastAsia="zh-CN"/>
              </w:rPr>
            </w:pPr>
            <w:r>
              <w:rPr>
                <w:lang w:eastAsia="zh-CN"/>
              </w:rPr>
              <w:t xml:space="preserve">Case 1-1 is the basic PDCCH monitoring occasion(s) in the beginning of a slot, which should be supported for high SCS. Case 2 is to configure more frequent PDCCH MOs within a slot, which is targeted to reduce scheduling latency. This is </w:t>
            </w:r>
            <w:r>
              <w:t>important</w:t>
            </w:r>
            <w:r>
              <w:rPr>
                <w:lang w:eastAsia="zh-CN"/>
              </w:rPr>
              <w:t xml:space="preserve"> especially for low SCS, e.g. 15kHz or 30kHz. On the other hand, it is not necessary for a high SCS, e.g. 480kHz or 960kHz, given that the slot length is quite short, i.e. 1/32ms or 1/64ms. In this case, there is no clear </w:t>
            </w:r>
            <w:r>
              <w:t xml:space="preserve">motivation to allow full flexibility on the positions of PDCCH MO(s) in a slot, i.e. Case 2. Therefore, restriction on PDCCH MOs in a slot can simplify UE implementation without performance degradation. </w:t>
            </w:r>
          </w:p>
          <w:p>
            <w:pPr>
              <w:widowControl w:val="0"/>
              <w:jc w:val="both"/>
              <w:rPr>
                <w:b/>
                <w:bCs/>
              </w:rPr>
            </w:pPr>
            <w:r>
              <w:rPr>
                <w:b/>
                <w:bCs/>
              </w:rPr>
              <w:t>Proposal 1: On the PDCCH monitoring occasion in a slot</w:t>
            </w:r>
          </w:p>
          <w:p>
            <w:pPr>
              <w:pStyle w:val="73"/>
              <w:widowControl w:val="0"/>
              <w:numPr>
                <w:ilvl w:val="0"/>
                <w:numId w:val="41"/>
              </w:numPr>
              <w:snapToGrid/>
              <w:spacing w:after="120"/>
              <w:jc w:val="both"/>
              <w:rPr>
                <w:rFonts w:ascii="Times New Roman" w:hAnsi="Times New Roman"/>
                <w:b/>
                <w:bCs/>
                <w:sz w:val="20"/>
                <w:szCs w:val="20"/>
              </w:rPr>
            </w:pPr>
            <w:r>
              <w:rPr>
                <w:rFonts w:ascii="Times New Roman" w:hAnsi="Times New Roman"/>
                <w:b/>
                <w:bCs/>
                <w:sz w:val="20"/>
                <w:szCs w:val="20"/>
              </w:rPr>
              <w:t>Case 1-1 is supported for all SCS 120kHz, 480kHz and 960kHz</w:t>
            </w:r>
          </w:p>
          <w:p>
            <w:pPr>
              <w:pStyle w:val="73"/>
              <w:widowControl w:val="0"/>
              <w:numPr>
                <w:ilvl w:val="0"/>
                <w:numId w:val="41"/>
              </w:numPr>
              <w:snapToGrid/>
              <w:spacing w:after="120"/>
              <w:jc w:val="both"/>
              <w:rPr>
                <w:rFonts w:ascii="Times New Roman" w:hAnsi="Times New Roman"/>
                <w:b/>
                <w:bCs/>
                <w:sz w:val="20"/>
                <w:szCs w:val="20"/>
              </w:rPr>
            </w:pPr>
            <w:r>
              <w:rPr>
                <w:rFonts w:ascii="Times New Roman" w:hAnsi="Times New Roman"/>
                <w:b/>
                <w:bCs/>
                <w:sz w:val="20"/>
                <w:szCs w:val="20"/>
              </w:rPr>
              <w:t>Case 2 is supported for SCS 120kHz</w:t>
            </w:r>
          </w:p>
          <w:p>
            <w:pPr>
              <w:pStyle w:val="73"/>
              <w:widowControl w:val="0"/>
              <w:numPr>
                <w:ilvl w:val="0"/>
                <w:numId w:val="41"/>
              </w:numPr>
              <w:snapToGrid/>
              <w:spacing w:after="120"/>
              <w:jc w:val="both"/>
              <w:rPr>
                <w:rFonts w:ascii="Times New Roman" w:hAnsi="Times New Roman"/>
                <w:b/>
                <w:sz w:val="20"/>
                <w:szCs w:val="20"/>
              </w:rPr>
            </w:pPr>
            <w:r>
              <w:rPr>
                <w:rFonts w:ascii="Times New Roman" w:hAnsi="Times New Roman"/>
                <w:b/>
                <w:bCs/>
                <w:sz w:val="20"/>
                <w:szCs w:val="20"/>
              </w:rPr>
              <w:t>Case 2 is not supported for SCS 480</w:t>
            </w:r>
            <w:r>
              <w:rPr>
                <w:rFonts w:ascii="Times New Roman" w:hAnsi="Times New Roman"/>
                <w:b/>
                <w:sz w:val="20"/>
                <w:szCs w:val="20"/>
              </w:rPr>
              <w:t>/960kHz</w:t>
            </w:r>
          </w:p>
          <w:p>
            <w:pPr>
              <w:widowControl w:val="0"/>
              <w:rPr>
                <w:lang w:eastAsia="zh-CN"/>
              </w:rPr>
            </w:pPr>
            <w:r>
              <w:rPr>
                <w:lang w:eastAsia="zh-CN"/>
              </w:rPr>
              <w:t>With the existing SS set configuration, up to 40 SS sets need to be configured to achieve the MO pattern in Figure 1. On the other hand, considering different DCI formats (fallback DCI or normal DCI) and different type of SS set (USS, CSS type0/0A/1/2, CSS type3 with different DCI formats), the required number of SS sets must be much higher than 40. The main drawback of the current SS set configuration comes from the parameter ‘</w:t>
            </w:r>
            <w:r>
              <w:rPr>
                <w:i/>
                <w:iCs/>
                <w:lang w:eastAsia="zh-CN"/>
              </w:rPr>
              <w:t>duration</w:t>
            </w:r>
            <w:r>
              <w:rPr>
                <w:lang w:eastAsia="zh-CN"/>
              </w:rPr>
              <w:t>’</w:t>
            </w:r>
            <w:r>
              <w:rPr>
                <w:i/>
                <w:iCs/>
                <w:lang w:eastAsia="zh-CN"/>
              </w:rPr>
              <w:t xml:space="preserve"> </w:t>
            </w:r>
            <w:r>
              <w:rPr>
                <w:lang w:eastAsia="zh-CN"/>
              </w:rPr>
              <w:t>which is defined as a number of consecutive slots.</w:t>
            </w:r>
            <w:r>
              <w:rPr>
                <w:i/>
                <w:iCs/>
                <w:lang w:eastAsia="zh-CN"/>
              </w:rPr>
              <w:t xml:space="preserve"> </w:t>
            </w:r>
            <w:r>
              <w:rPr>
                <w:lang w:eastAsia="zh-CN"/>
              </w:rPr>
              <w:t>To support the MO pattern for SCS 960kHz in Figure 1, a simple extension is to allocate a MO in every N slot, instead of consecutive slot allocation. The parameter ‘</w:t>
            </w:r>
            <w:r>
              <w:rPr>
                <w:i/>
                <w:iCs/>
                <w:lang w:eastAsia="zh-CN"/>
              </w:rPr>
              <w:t>duration</w:t>
            </w:r>
            <w:r>
              <w:rPr>
                <w:lang w:eastAsia="zh-CN"/>
              </w:rPr>
              <w:t xml:space="preserve">’ is still needed but can be reinterpreted as the window that MOs may be allocated, e.g. the DL period in a TDD period. Denote the number of slots that are configured with MOs of the USS set as M, then </w:t>
            </w:r>
            <m:oMath>
              <m:r>
                <w:rPr>
                  <w:rFonts w:ascii="Cambria Math" w:hAnsi="Cambria Math"/>
                  <w:lang w:eastAsia="zh-CN"/>
                </w:rPr>
                <m:t>duration=N∙M</m:t>
              </m:r>
            </m:oMath>
            <w:r>
              <w:rPr>
                <w:lang w:eastAsia="zh-CN"/>
              </w:rPr>
              <w:t>.</w:t>
            </w:r>
          </w:p>
          <w:p>
            <w:pPr>
              <w:widowControl w:val="0"/>
              <w:jc w:val="both"/>
              <w:rPr>
                <w:b/>
                <w:bCs/>
              </w:rPr>
            </w:pPr>
            <w:r>
              <w:rPr>
                <w:b/>
                <w:bCs/>
              </w:rPr>
              <w:t>Proposal 2: Within a period of a SS set configuration</w:t>
            </w:r>
          </w:p>
          <w:p>
            <w:pPr>
              <w:pStyle w:val="73"/>
              <w:widowControl w:val="0"/>
              <w:numPr>
                <w:ilvl w:val="0"/>
                <w:numId w:val="42"/>
              </w:numPr>
              <w:snapToGrid/>
              <w:spacing w:after="120"/>
              <w:jc w:val="both"/>
              <w:rPr>
                <w:rFonts w:ascii="Times New Roman" w:hAnsi="Times New Roman"/>
                <w:b/>
                <w:bCs/>
                <w:sz w:val="20"/>
                <w:szCs w:val="20"/>
              </w:rPr>
            </w:pPr>
            <w:r>
              <w:rPr>
                <w:rFonts w:ascii="Times New Roman" w:hAnsi="Times New Roman"/>
                <w:b/>
                <w:bCs/>
                <w:sz w:val="20"/>
                <w:szCs w:val="20"/>
              </w:rPr>
              <w:t xml:space="preserve">The parameter ‘duration’ is reinterpreted as a window on which MOs may be configured. </w:t>
            </w:r>
          </w:p>
          <w:p>
            <w:pPr>
              <w:pStyle w:val="73"/>
              <w:widowControl w:val="0"/>
              <w:numPr>
                <w:ilvl w:val="0"/>
                <w:numId w:val="42"/>
              </w:numPr>
              <w:snapToGrid/>
              <w:spacing w:after="120"/>
              <w:jc w:val="both"/>
              <w:rPr>
                <w:rFonts w:ascii="Times New Roman" w:hAnsi="Times New Roman"/>
                <w:b/>
                <w:bCs/>
                <w:sz w:val="20"/>
                <w:szCs w:val="20"/>
              </w:rPr>
            </w:pPr>
            <w:r>
              <w:rPr>
                <w:rFonts w:ascii="Times New Roman" w:hAnsi="Times New Roman"/>
                <w:b/>
                <w:bCs/>
                <w:sz w:val="20"/>
                <w:szCs w:val="20"/>
              </w:rPr>
              <w:t>One slot in every N slots within the window is configured with PDCCH MOs</w:t>
            </w:r>
          </w:p>
          <w:p>
            <w:pPr>
              <w:pStyle w:val="27"/>
              <w:widowControl w:val="0"/>
              <w:jc w:val="left"/>
            </w:pPr>
          </w:p>
          <w:p>
            <w:pPr>
              <w:widowControl w:val="0"/>
              <w:rPr>
                <w:lang w:val="en-GB" w:eastAsia="zh-CN"/>
              </w:rPr>
            </w:pPr>
            <w:r>
              <w:rPr>
                <w:lang w:val="en-GB" w:eastAsia="zh-CN"/>
              </w:rPr>
              <w:t xml:space="preserve">As discussed above, the scope of the WI [1] is to define UE capability on PDCCH monitoring in a large window. It is preferable that the length of the window can be configurable by high layer signalling. The potential values of the window length may depend on the SCS too. For example, the maximum window length may be 8 slots which equal to the slot length with SCS 120kHz. Slot length 1 may be included as a special case. In fact, value 1 is needed to support SCS 120kHz, however, it may be too short for SCS 960kHz. One more discussion point is that whether multi-slot span can be applicable to SCS 120kHz. Finally, there is no motivation to support a concept of URLLC-like span, since it conflicts with basic motivation of the WI, i.e. larger window of max BDs/CCEs for a UE capability. </w:t>
            </w:r>
          </w:p>
          <w:p>
            <w:pPr>
              <w:widowControl w:val="0"/>
              <w:rPr>
                <w:b/>
                <w:bCs/>
                <w:lang w:val="en-GB" w:eastAsia="zh-CN"/>
              </w:rPr>
            </w:pPr>
            <w:r>
              <w:rPr>
                <w:b/>
                <w:bCs/>
                <w:lang w:val="en-GB" w:eastAsia="zh-CN"/>
              </w:rPr>
              <w:t>Proposal 5: Span of 2 or 3 symbols as defined in eURLLC is not supported in 52.6-71GHz frequency</w:t>
            </w:r>
          </w:p>
          <w:p>
            <w:pPr>
              <w:widowControl w:val="0"/>
              <w:rPr>
                <w:b/>
                <w:bCs/>
                <w:lang w:val="en-GB" w:eastAsia="zh-CN"/>
              </w:rPr>
            </w:pPr>
            <w:r>
              <w:rPr>
                <w:b/>
                <w:bCs/>
                <w:lang w:val="en-GB" w:eastAsia="zh-CN"/>
              </w:rPr>
              <w:t>Proposal 6: To support multi-slot span based UE capability on maximum numbers of BDs/CCEs</w:t>
            </w:r>
          </w:p>
          <w:p>
            <w:pPr>
              <w:pStyle w:val="73"/>
              <w:widowControl w:val="0"/>
              <w:numPr>
                <w:ilvl w:val="0"/>
                <w:numId w:val="42"/>
              </w:numPr>
              <w:snapToGrid/>
              <w:spacing w:after="120"/>
              <w:jc w:val="both"/>
              <w:rPr>
                <w:rFonts w:ascii="Times New Roman" w:hAnsi="Times New Roman"/>
                <w:b/>
                <w:bCs/>
                <w:sz w:val="20"/>
                <w:szCs w:val="20"/>
              </w:rPr>
            </w:pPr>
            <w:r>
              <w:rPr>
                <w:rFonts w:ascii="Times New Roman" w:hAnsi="Times New Roman"/>
                <w:b/>
                <w:bCs/>
                <w:sz w:val="20"/>
                <w:szCs w:val="20"/>
              </w:rPr>
              <w:t xml:space="preserve">There is no further limitation on maximum numbers of BDs/CCEs in a slot </w:t>
            </w:r>
          </w:p>
          <w:p>
            <w:pPr>
              <w:pStyle w:val="73"/>
              <w:widowControl w:val="0"/>
              <w:numPr>
                <w:ilvl w:val="0"/>
                <w:numId w:val="42"/>
              </w:numPr>
              <w:snapToGrid/>
              <w:spacing w:after="120"/>
              <w:jc w:val="both"/>
              <w:rPr>
                <w:rFonts w:ascii="Times New Roman" w:hAnsi="Times New Roman"/>
                <w:b/>
                <w:bCs/>
                <w:sz w:val="20"/>
                <w:szCs w:val="20"/>
              </w:rPr>
            </w:pPr>
            <w:r>
              <w:rPr>
                <w:rFonts w:ascii="Times New Roman" w:hAnsi="Times New Roman"/>
                <w:b/>
                <w:bCs/>
                <w:sz w:val="20"/>
                <w:szCs w:val="20"/>
              </w:rPr>
              <w:t>The number of slots in a multi-slot span can be configured by RRC, potential values 1, 2, 4, 8</w:t>
            </w:r>
          </w:p>
          <w:p>
            <w:pPr>
              <w:pStyle w:val="73"/>
              <w:widowControl w:val="0"/>
              <w:numPr>
                <w:ilvl w:val="1"/>
                <w:numId w:val="42"/>
              </w:numPr>
              <w:snapToGrid/>
              <w:spacing w:after="120"/>
              <w:jc w:val="both"/>
              <w:rPr>
                <w:rFonts w:ascii="Times New Roman" w:hAnsi="Times New Roman"/>
                <w:b/>
                <w:bCs/>
                <w:sz w:val="20"/>
                <w:szCs w:val="20"/>
              </w:rPr>
            </w:pPr>
            <w:r>
              <w:rPr>
                <w:rFonts w:ascii="Times New Roman" w:hAnsi="Times New Roman"/>
                <w:b/>
                <w:bCs/>
                <w:sz w:val="20"/>
                <w:szCs w:val="20"/>
              </w:rPr>
              <w:t>FFS: Certain value may not be applicable to a SCS</w:t>
            </w:r>
          </w:p>
          <w:p>
            <w:pPr>
              <w:pStyle w:val="73"/>
              <w:widowControl w:val="0"/>
              <w:numPr>
                <w:ilvl w:val="0"/>
                <w:numId w:val="42"/>
              </w:numPr>
              <w:snapToGrid/>
              <w:spacing w:after="120"/>
              <w:jc w:val="both"/>
              <w:rPr>
                <w:rFonts w:ascii="Times New Roman" w:hAnsi="Times New Roman"/>
                <w:b/>
                <w:bCs/>
                <w:sz w:val="20"/>
                <w:szCs w:val="20"/>
              </w:rPr>
            </w:pPr>
            <w:r>
              <w:rPr>
                <w:rFonts w:ascii="Times New Roman" w:hAnsi="Times New Roman"/>
                <w:b/>
                <w:bCs/>
                <w:sz w:val="20"/>
                <w:szCs w:val="20"/>
              </w:rPr>
              <w:t>FFS: if multi-slot span can be configured for SCS 120kHz</w:t>
            </w:r>
          </w:p>
          <w:p>
            <w:pPr>
              <w:widowControl w:val="0"/>
              <w:rPr>
                <w:b/>
                <w:bCs/>
                <w:lang w:eastAsia="zh-CN"/>
              </w:rPr>
            </w:pPr>
            <w:r>
              <w:rPr>
                <w:b/>
                <w:bCs/>
                <w:lang w:eastAsia="zh-CN"/>
              </w:rPr>
              <w:t xml:space="preserve">Observation 1: gNB may respectively configure most/all BDs/CCEs in consecutive slot A and B which </w:t>
            </w:r>
            <w:r>
              <w:rPr>
                <w:b/>
                <w:bCs/>
                <w:lang w:val="en-GB" w:eastAsia="zh-CN"/>
              </w:rPr>
              <w:t xml:space="preserve">belong to different multi-slot spans. Such a configuration enforces a larger PDCCH detection capability for UE. </w:t>
            </w:r>
          </w:p>
          <w:p>
            <w:pPr>
              <w:widowControl w:val="0"/>
              <w:rPr>
                <w:b/>
                <w:bCs/>
                <w:lang w:val="en-GB" w:eastAsia="zh-CN"/>
              </w:rPr>
            </w:pPr>
            <w:r>
              <w:rPr>
                <w:b/>
                <w:bCs/>
                <w:lang w:val="en-GB" w:eastAsia="zh-CN"/>
              </w:rPr>
              <w:t xml:space="preserve">Proposal 7: It is necessary to pose certain limitation on the BDs/CCEs in two adjacent/consecutive slots that belong to different multi-slot spans.  </w:t>
            </w:r>
          </w:p>
          <w:p>
            <w:pPr>
              <w:widowControl w:val="0"/>
              <w:rPr>
                <w:b/>
                <w:bCs/>
                <w:lang w:val="en-GB" w:eastAsia="zh-CN"/>
              </w:rPr>
            </w:pPr>
            <w:r>
              <w:rPr>
                <w:b/>
                <w:bCs/>
                <w:lang w:val="en-GB" w:eastAsia="zh-CN"/>
              </w:rPr>
              <w:t>Proposal 8: PDCCH overbooking applies per multi-slot span,</w:t>
            </w:r>
          </w:p>
          <w:p>
            <w:pPr>
              <w:pStyle w:val="94"/>
              <w:widowControl w:val="0"/>
              <w:numPr>
                <w:ilvl w:val="0"/>
                <w:numId w:val="43"/>
              </w:numPr>
              <w:spacing w:after="120"/>
              <w:rPr>
                <w:b/>
                <w:bCs/>
                <w:lang w:eastAsia="zh-CN"/>
              </w:rPr>
            </w:pPr>
            <w:r>
              <w:rPr>
                <w:b/>
                <w:bCs/>
                <w:lang w:eastAsia="zh-CN"/>
              </w:rPr>
              <w:t xml:space="preserve">For PCell or PSCell, it is allowed that the configured number of BDs/CCEs in a multi-slot span by the configuration of SS set(s) is larger than the corresponding maximum numbers. Certain dropping rule is defined so that the actual number in the multi-slot span doesn’t exceed the corresponding maximum numbers. </w:t>
            </w:r>
          </w:p>
          <w:p>
            <w:pPr>
              <w:pStyle w:val="94"/>
              <w:widowControl w:val="0"/>
              <w:numPr>
                <w:ilvl w:val="0"/>
                <w:numId w:val="43"/>
              </w:numPr>
              <w:spacing w:after="120"/>
              <w:rPr>
                <w:b/>
                <w:bCs/>
                <w:lang w:eastAsia="zh-CN"/>
              </w:rPr>
            </w:pPr>
            <w:r>
              <w:rPr>
                <w:b/>
                <w:bCs/>
                <w:lang w:eastAsia="zh-CN"/>
              </w:rPr>
              <w:t>For a SCell, the gNB should guarantee that the configured numbers of BDs/CCEs in a multi-slot span by the configuration of SS set(s) do not exceed the corresponding maximum numbers.</w:t>
            </w:r>
          </w:p>
          <w:p>
            <w:pPr>
              <w:widowControl w:val="0"/>
              <w:rPr>
                <w:lang w:eastAsia="zh-CN"/>
              </w:rPr>
            </w:pPr>
            <w:r>
              <w:rPr>
                <w:b/>
                <w:bCs/>
                <w:lang w:eastAsia="zh-CN"/>
              </w:rPr>
              <w:t xml:space="preserve">Observation 2: The numbers of BDs/CCEs for CSS sets in the multiple slots of a multi-slot span is increased, which requires higher UE capability on BDs/CCEs to accommodate USS sets. </w:t>
            </w:r>
          </w:p>
          <w:p>
            <w:pPr>
              <w:widowControl w:val="0"/>
              <w:rPr>
                <w:b/>
                <w:bCs/>
                <w:lang w:val="en-GB" w:eastAsia="zh-CN"/>
              </w:rPr>
            </w:pPr>
            <w:r>
              <w:rPr>
                <w:b/>
                <w:bCs/>
                <w:lang w:val="en-GB" w:eastAsia="zh-CN"/>
              </w:rPr>
              <w:t>Proposal 9: A UE does not expect a CSS set will be dropped in PDCCH overbooking</w:t>
            </w:r>
          </w:p>
          <w:p>
            <w:pPr>
              <w:widowControl w:val="0"/>
              <w:rPr>
                <w:b/>
                <w:bCs/>
                <w:lang w:val="en-GB" w:eastAsia="zh-CN"/>
              </w:rPr>
            </w:pPr>
            <w:r>
              <w:rPr>
                <w:b/>
                <w:bCs/>
                <w:lang w:val="en-GB" w:eastAsia="zh-CN"/>
              </w:rPr>
              <w:t xml:space="preserve">Proposal 10: To handling USS dropping in PDCCH overbooking </w:t>
            </w:r>
          </w:p>
          <w:p>
            <w:pPr>
              <w:pStyle w:val="94"/>
              <w:widowControl w:val="0"/>
              <w:numPr>
                <w:ilvl w:val="0"/>
                <w:numId w:val="43"/>
              </w:numPr>
              <w:spacing w:after="120"/>
              <w:rPr>
                <w:b/>
                <w:bCs/>
                <w:lang w:eastAsia="zh-CN"/>
              </w:rPr>
            </w:pPr>
            <w:r>
              <w:rPr>
                <w:b/>
                <w:bCs/>
                <w:lang w:eastAsia="zh-CN"/>
              </w:rPr>
              <w:t>A USS set with largest SS set index is dropped</w:t>
            </w:r>
          </w:p>
          <w:p>
            <w:pPr>
              <w:pStyle w:val="94"/>
              <w:widowControl w:val="0"/>
              <w:numPr>
                <w:ilvl w:val="0"/>
                <w:numId w:val="43"/>
              </w:numPr>
              <w:spacing w:after="120"/>
              <w:rPr>
                <w:b/>
                <w:bCs/>
                <w:lang w:eastAsia="zh-CN"/>
              </w:rPr>
            </w:pPr>
            <w:r>
              <w:rPr>
                <w:b/>
                <w:bCs/>
                <w:lang w:eastAsia="zh-CN"/>
              </w:rPr>
              <w:t>If the PDCCH MOs of a USS set are configured in multiple slots in the multi-slot span, the USS set in all the multiple slots is dropped slot by slot.</w:t>
            </w:r>
          </w:p>
          <w:p>
            <w:pPr>
              <w:widowControl w:val="0"/>
              <w:spacing w:before="120"/>
              <w:jc w:val="both"/>
              <w:rPr>
                <w:lang w:val="en-GB" w:eastAsia="zh-CN"/>
              </w:rPr>
            </w:pPr>
          </w:p>
        </w:tc>
      </w:tr>
    </w:tbl>
    <w:p>
      <w:pPr>
        <w:rPr>
          <w:lang w:eastAsia="zh-CN"/>
        </w:rPr>
      </w:pPr>
    </w:p>
    <w:p>
      <w:pPr>
        <w:pStyle w:val="4"/>
        <w:jc w:val="both"/>
        <w:rPr>
          <w:lang w:val="en-GB" w:eastAsia="zh-CN"/>
        </w:rPr>
      </w:pPr>
      <w:r>
        <w:rPr>
          <w:lang w:val="en-GB" w:eastAsia="zh-CN"/>
        </w:rPr>
        <w:t>R1-2100817 (Spreadtrum)</w:t>
      </w:r>
    </w:p>
    <w:tbl>
      <w:tblPr>
        <w:tblStyle w:val="52"/>
        <w:tblW w:w="145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vAlign w:val="center"/>
          </w:tcPr>
          <w:p>
            <w:pPr>
              <w:pStyle w:val="30"/>
              <w:widowControl w:val="0"/>
              <w:rPr>
                <w:iCs/>
                <w:sz w:val="22"/>
                <w:szCs w:val="22"/>
                <w:lang w:eastAsia="ja-JP"/>
              </w:rPr>
            </w:pPr>
            <w:r>
              <w:rPr>
                <w:iCs/>
                <w:sz w:val="22"/>
                <w:szCs w:val="22"/>
                <w:lang w:eastAsia="ja-JP"/>
              </w:rPr>
              <w:t>In order to maintain the same UE processing capability as Rel-16, the maximum number of PDCCH BDs per slot will decrease significantly when large SCS is introduced, which affects scheduling flexibility and increases the probability of PDCCH blocking.</w:t>
            </w:r>
            <w:r>
              <w:rPr>
                <w:sz w:val="22"/>
                <w:szCs w:val="22"/>
              </w:rPr>
              <w:t xml:space="preserve"> </w:t>
            </w:r>
            <w:r>
              <w:rPr>
                <w:iCs/>
                <w:sz w:val="22"/>
                <w:szCs w:val="22"/>
                <w:lang w:eastAsia="ja-JP"/>
              </w:rPr>
              <w:t>For the above two problems, we give the following possible solutions.</w:t>
            </w:r>
            <w:r>
              <w:rPr>
                <w:sz w:val="22"/>
                <w:szCs w:val="22"/>
              </w:rPr>
              <w:t xml:space="preserve"> One possible way is to </w:t>
            </w:r>
            <w:r>
              <w:rPr>
                <w:iCs/>
                <w:sz w:val="22"/>
                <w:szCs w:val="22"/>
                <w:lang w:eastAsia="ja-JP"/>
              </w:rPr>
              <w:t>extend the span of PDCCH monitoring to more than one slot for maximum PDCCH BD capability.</w:t>
            </w:r>
            <w:r>
              <w:rPr>
                <w:rFonts w:hint="eastAsia" w:eastAsia="等线"/>
                <w:sz w:val="22"/>
                <w:szCs w:val="22"/>
                <w:lang w:eastAsia="zh-CN"/>
              </w:rPr>
              <w:t xml:space="preserve"> </w:t>
            </w:r>
            <w:r>
              <w:rPr>
                <w:iCs/>
                <w:sz w:val="22"/>
                <w:szCs w:val="22"/>
                <w:lang w:eastAsia="ja-JP"/>
              </w:rPr>
              <w:t xml:space="preserve">For example, taking 120kHz as a reference SCS, and </w:t>
            </w:r>
            <w:r>
              <w:rPr>
                <w:sz w:val="22"/>
                <w:szCs w:val="22"/>
              </w:rPr>
              <w:t>the total number of PDCCH BD within 8 slots of 960KHz SCS is limited by the maximum PDCCH BD candidates number defined for 120kHz</w:t>
            </w:r>
            <w:r>
              <w:rPr>
                <w:iCs/>
                <w:sz w:val="22"/>
                <w:szCs w:val="22"/>
                <w:lang w:eastAsia="ja-JP"/>
              </w:rPr>
              <w:t>. In this way, the scheduling and power consumption problems caused by the UE PDCCH monitoring capability can be alleviated.</w:t>
            </w:r>
            <w:r>
              <w:rPr>
                <w:sz w:val="22"/>
                <w:szCs w:val="22"/>
              </w:rPr>
              <w:t xml:space="preserve"> The other alternative is to perform </w:t>
            </w:r>
            <w:r>
              <w:rPr>
                <w:iCs/>
                <w:sz w:val="22"/>
                <w:szCs w:val="22"/>
                <w:lang w:eastAsia="ja-JP"/>
              </w:rPr>
              <w:t xml:space="preserve">PDCCH blind detection 20 times in a relaxed period. The number of PDCCH BDs can be dynamically allocated according to the PDCCH situation on each slot, or equally allocated. For instance, if relax slots is required to make 20 times PDCCH BDs for 960KHz, the number of PDCCH BD is 2.5 in each slot. </w:t>
            </w:r>
          </w:p>
          <w:p>
            <w:pPr>
              <w:widowControl w:val="0"/>
              <w:jc w:val="both"/>
            </w:pPr>
          </w:p>
          <w:p>
            <w:pPr>
              <w:widowControl w:val="0"/>
              <w:jc w:val="both"/>
              <w:rPr>
                <w:b/>
                <w:bCs/>
                <w:i/>
              </w:rPr>
            </w:pPr>
            <w:r>
              <w:rPr>
                <w:b/>
                <w:bCs/>
                <w:i/>
              </w:rPr>
              <w:t>Observation 1: For NR beyond 52.6 GHz, if larger subcarrier spacings are adopted, the PDCCH monitoring capability and the number of PDCCH candidates per slot would be further reduced.</w:t>
            </w:r>
          </w:p>
          <w:p>
            <w:pPr>
              <w:widowControl w:val="0"/>
              <w:jc w:val="both"/>
              <w:rPr>
                <w:b/>
                <w:bCs/>
                <w:i/>
              </w:rPr>
            </w:pPr>
          </w:p>
          <w:p>
            <w:pPr>
              <w:widowControl w:val="0"/>
              <w:jc w:val="both"/>
              <w:rPr>
                <w:b/>
                <w:bCs/>
                <w:i/>
              </w:rPr>
            </w:pPr>
            <w:r>
              <w:rPr>
                <w:b/>
                <w:bCs/>
                <w:i/>
              </w:rPr>
              <w:t>Observation 2</w:t>
            </w:r>
            <w:r>
              <w:rPr>
                <w:rFonts w:hint="eastAsia" w:ascii="宋体" w:hAnsi="宋体" w:eastAsia="宋体" w:cs="宋体"/>
                <w:b/>
                <w:bCs/>
                <w:i/>
              </w:rPr>
              <w:t>：</w:t>
            </w:r>
            <w:r>
              <w:rPr>
                <w:b/>
                <w:bCs/>
                <w:i/>
              </w:rPr>
              <w:t xml:space="preserve">When a larger subcarrier spacing is </w:t>
            </w:r>
            <w:r>
              <w:rPr>
                <w:rFonts w:hint="eastAsia"/>
                <w:b/>
                <w:bCs/>
                <w:i/>
              </w:rPr>
              <w:t>introduced</w:t>
            </w:r>
            <w:r>
              <w:rPr>
                <w:b/>
                <w:bCs/>
                <w:i/>
              </w:rPr>
              <w:t xml:space="preserve"> in above 52.6GHz frequency range, maximum number of BDs/CCEs for PDCCH monitoring needs to be investigated. </w:t>
            </w:r>
          </w:p>
          <w:p>
            <w:pPr>
              <w:widowControl w:val="0"/>
              <w:jc w:val="both"/>
              <w:rPr>
                <w:b/>
                <w:bCs/>
                <w:i/>
              </w:rPr>
            </w:pPr>
          </w:p>
          <w:p>
            <w:pPr>
              <w:widowControl w:val="0"/>
              <w:jc w:val="both"/>
              <w:rPr>
                <w:rFonts w:eastAsia="宋体"/>
                <w:i/>
                <w:lang w:eastAsia="zh-CN"/>
              </w:rPr>
            </w:pPr>
            <w:r>
              <w:rPr>
                <w:b/>
                <w:bCs/>
                <w:i/>
              </w:rPr>
              <w:t>Proposal 1: Defining PDCCH BDs limits over a group of slots or relaxing PDCCH monitoring should be studied for above 52.6GHz.</w:t>
            </w:r>
          </w:p>
          <w:p>
            <w:pPr>
              <w:widowControl w:val="0"/>
              <w:rPr>
                <w:lang w:eastAsia="zh-CN"/>
              </w:rPr>
            </w:pPr>
          </w:p>
        </w:tc>
      </w:tr>
    </w:tbl>
    <w:p>
      <w:pPr>
        <w:rPr>
          <w:lang w:eastAsia="zh-CN"/>
        </w:rPr>
      </w:pPr>
    </w:p>
    <w:p>
      <w:pPr>
        <w:pStyle w:val="4"/>
        <w:jc w:val="both"/>
        <w:rPr>
          <w:lang w:val="en-GB" w:eastAsia="zh-CN"/>
        </w:rPr>
      </w:pPr>
      <w:r>
        <w:rPr>
          <w:lang w:val="en-GB" w:eastAsia="zh-CN"/>
        </w:rPr>
        <w:t>R1-2100837 (InterDigital)</w:t>
      </w:r>
    </w:p>
    <w:tbl>
      <w:tblPr>
        <w:tblStyle w:val="52"/>
        <w:tblW w:w="145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3" w:type="dxa"/>
            <w:vAlign w:val="center"/>
          </w:tcPr>
          <w:p>
            <w:pPr>
              <w:widowControl w:val="0"/>
              <w:spacing w:line="276" w:lineRule="auto"/>
              <w:jc w:val="both"/>
              <w:rPr>
                <w:rFonts w:ascii="Arial" w:hAnsi="Arial" w:eastAsia="Calibri" w:cs="Arial"/>
                <w:bCs/>
              </w:rPr>
            </w:pPr>
            <w:r>
              <w:rPr>
                <w:rFonts w:ascii="Arial" w:hAnsi="Arial" w:eastAsia="Calibri" w:cs="Arial"/>
                <w:bCs/>
              </w:rPr>
              <w:t xml:space="preserve">During RAN study item on requirements for NR beyond 52.6 GHz [2], various benefits of 52.6 – 71 GHz such as high speed data rate, low latency and high capacity have been identified based on the enormous amount of available contiguous bandwidth. Based on the benefits, various use cases for 52.6 – 71 GHz are also envisioned. Among the envisioned use cases, most of the use cases such as short-range high-data rate D2D, vertical industry factory application, IAB, Factory automation/IIoT, AR/VR, ITS/V2X and critical medical communication require low latency as a key requirement. However, if NR only supports multi-slot based PDCCH monitoring for efficient signaling, benefits from low latency possible use cases will be significantly reduced. </w:t>
            </w:r>
          </w:p>
          <w:p>
            <w:pPr>
              <w:widowControl w:val="0"/>
              <w:spacing w:line="276" w:lineRule="auto"/>
              <w:jc w:val="both"/>
              <w:rPr>
                <w:rFonts w:ascii="Arial" w:hAnsi="Arial" w:cs="Arial"/>
                <w:bCs/>
                <w:i/>
                <w:iCs/>
              </w:rPr>
            </w:pPr>
            <w:r>
              <w:rPr>
                <w:rFonts w:ascii="Arial" w:hAnsi="Arial" w:cs="Arial"/>
                <w:b/>
                <w:i/>
                <w:iCs/>
              </w:rPr>
              <w:t>Observation 1:</w:t>
            </w:r>
            <w:r>
              <w:rPr>
                <w:rFonts w:ascii="Arial" w:hAnsi="Arial" w:cs="Arial"/>
                <w:bCs/>
                <w:i/>
                <w:iCs/>
              </w:rPr>
              <w:t xml:space="preserve"> For NR in 52.6 – 71 GHz, most of identified use cases require low latency as a key requirement, however, benefits from low latency and possible use cases significantly reduce if only multi-slot based PDCCH monitoring is supported. </w:t>
            </w:r>
          </w:p>
          <w:p>
            <w:pPr>
              <w:widowControl w:val="0"/>
              <w:spacing w:line="276" w:lineRule="auto"/>
              <w:jc w:val="both"/>
              <w:rPr>
                <w:rFonts w:ascii="Arial" w:hAnsi="Arial" w:cs="Arial"/>
                <w:bCs/>
                <w:i/>
                <w:iCs/>
              </w:rPr>
            </w:pPr>
            <w:r>
              <w:rPr>
                <w:rFonts w:ascii="Arial" w:hAnsi="Arial" w:cs="Arial"/>
                <w:b/>
                <w:i/>
                <w:iCs/>
              </w:rPr>
              <w:t>Proposal 1:</w:t>
            </w:r>
            <w:r>
              <w:rPr>
                <w:rFonts w:ascii="Arial" w:hAnsi="Arial" w:cs="Arial"/>
                <w:bCs/>
                <w:i/>
                <w:iCs/>
              </w:rPr>
              <w:t xml:space="preserve"> Support both per-slot level monitoring and multi-slot level monitoring for transmission and reception.</w:t>
            </w:r>
          </w:p>
          <w:p>
            <w:pPr>
              <w:widowControl w:val="0"/>
              <w:spacing w:line="276" w:lineRule="auto"/>
              <w:jc w:val="both"/>
              <w:rPr>
                <w:rFonts w:ascii="Arial" w:hAnsi="Arial" w:eastAsia="Calibri" w:cs="Arial"/>
                <w:bCs/>
              </w:rPr>
            </w:pPr>
            <w:r>
              <w:rPr>
                <w:rFonts w:ascii="Arial" w:hAnsi="Arial" w:eastAsia="Calibri" w:cs="Arial"/>
                <w:bCs/>
              </w:rPr>
              <w:t xml:space="preserve">In contrast to existing SCS, per-slot level monitoring may lead to a more complex UE implementation considering reduced slot durations and UE processing time. Given that, it is desirable to have multi-slot level monitoring for general UE operations e.g., high data rate eMBB and per-slot level monitoring for UEs which require low latency. </w:t>
            </w:r>
          </w:p>
          <w:p>
            <w:pPr>
              <w:widowControl w:val="0"/>
              <w:spacing w:line="276" w:lineRule="auto"/>
              <w:jc w:val="both"/>
              <w:rPr>
                <w:rFonts w:ascii="Arial" w:hAnsi="Arial" w:cs="Arial"/>
                <w:bCs/>
                <w:i/>
                <w:iCs/>
              </w:rPr>
            </w:pPr>
            <w:r>
              <w:rPr>
                <w:rFonts w:ascii="Arial" w:hAnsi="Arial" w:cs="Arial"/>
                <w:b/>
                <w:i/>
                <w:iCs/>
              </w:rPr>
              <w:t>Observation 2:</w:t>
            </w:r>
            <w:r>
              <w:rPr>
                <w:rFonts w:ascii="Arial" w:hAnsi="Arial" w:cs="Arial"/>
                <w:bCs/>
                <w:i/>
                <w:iCs/>
              </w:rPr>
              <w:t xml:space="preserve"> Per-slot level monitoring requires a more complex UE implementation due to reduced slot durations of additional SCSs and possibly UE processing time. </w:t>
            </w:r>
          </w:p>
          <w:p>
            <w:pPr>
              <w:widowControl w:val="0"/>
              <w:spacing w:line="276" w:lineRule="auto"/>
              <w:jc w:val="both"/>
              <w:rPr>
                <w:rFonts w:ascii="Arial" w:hAnsi="Arial" w:cs="Arial"/>
                <w:bCs/>
                <w:i/>
                <w:iCs/>
              </w:rPr>
            </w:pPr>
          </w:p>
          <w:p>
            <w:pPr>
              <w:widowControl w:val="0"/>
              <w:spacing w:line="276" w:lineRule="auto"/>
              <w:jc w:val="both"/>
              <w:rPr>
                <w:rFonts w:ascii="Arial" w:hAnsi="Arial" w:cs="Arial"/>
                <w:bCs/>
                <w:i/>
                <w:iCs/>
              </w:rPr>
            </w:pPr>
            <w:r>
              <w:rPr>
                <w:rFonts w:ascii="Arial" w:hAnsi="Arial" w:cs="Arial"/>
                <w:b/>
                <w:i/>
                <w:iCs/>
              </w:rPr>
              <w:t>Proposal 2:</w:t>
            </w:r>
            <w:r>
              <w:rPr>
                <w:rFonts w:ascii="Arial" w:hAnsi="Arial" w:cs="Arial"/>
                <w:bCs/>
                <w:i/>
                <w:iCs/>
              </w:rPr>
              <w:t xml:space="preserve"> It is preferred to support multi-slot level monitoring for general UE operations and per-slot level monitoring for low latency operations.</w:t>
            </w:r>
          </w:p>
          <w:p>
            <w:pPr>
              <w:widowControl w:val="0"/>
              <w:spacing w:line="276" w:lineRule="auto"/>
              <w:jc w:val="both"/>
              <w:rPr>
                <w:rFonts w:ascii="Arial" w:hAnsi="Arial" w:cs="Arial"/>
                <w:bCs/>
                <w:i/>
                <w:iCs/>
              </w:rPr>
            </w:pPr>
            <w:r>
              <w:rPr>
                <w:rFonts w:ascii="Arial" w:hAnsi="Arial" w:cs="Arial"/>
                <w:b/>
                <w:i/>
                <w:iCs/>
              </w:rPr>
              <w:t>Observation 3:</w:t>
            </w:r>
            <w:r>
              <w:rPr>
                <w:rFonts w:ascii="Arial" w:hAnsi="Arial" w:cs="Arial"/>
                <w:bCs/>
                <w:i/>
                <w:iCs/>
              </w:rPr>
              <w:t xml:space="preserve"> As slot durations for additional SCSs (e.g., 31.3 us for 480 kHz and 15.6 us for 960 kHz) are already short enough, limitation based on a span may not be needed for 52.6 – 71 GHz.</w:t>
            </w:r>
          </w:p>
          <w:p>
            <w:pPr>
              <w:widowControl w:val="0"/>
              <w:spacing w:line="276" w:lineRule="auto"/>
              <w:jc w:val="both"/>
              <w:rPr>
                <w:rFonts w:ascii="Arial" w:hAnsi="Arial" w:cs="Arial"/>
                <w:bCs/>
                <w:i/>
                <w:iCs/>
              </w:rPr>
            </w:pPr>
            <w:r>
              <w:rPr>
                <w:rFonts w:ascii="Arial" w:hAnsi="Arial" w:cs="Arial"/>
                <w:bCs/>
                <w:i/>
                <w:iCs/>
              </w:rPr>
              <w:t xml:space="preserve">Maximum number of monitored PDCCH candidates/non-overlapped CCEs per span is not needed for NR 52.6 – 71 GHz as high SCSs provide short slot durations and enough low latency. </w:t>
            </w:r>
          </w:p>
          <w:p>
            <w:pPr>
              <w:widowControl w:val="0"/>
              <w:spacing w:line="276" w:lineRule="auto"/>
              <w:jc w:val="both"/>
              <w:rPr>
                <w:rFonts w:ascii="Arial" w:hAnsi="Arial" w:cs="Arial"/>
                <w:bCs/>
                <w:i/>
                <w:iCs/>
              </w:rPr>
            </w:pPr>
            <w:r>
              <w:rPr>
                <w:rFonts w:ascii="Arial" w:hAnsi="Arial" w:cs="Arial"/>
                <w:b/>
                <w:i/>
                <w:iCs/>
              </w:rPr>
              <w:t>Proposal 3:</w:t>
            </w:r>
            <w:r>
              <w:rPr>
                <w:rFonts w:ascii="Arial" w:hAnsi="Arial" w:cs="Arial"/>
                <w:bCs/>
                <w:i/>
                <w:iCs/>
              </w:rPr>
              <w:t xml:space="preserve"> For the existing limitations, it is preferred to define maximum numbers of PDCCH candidates/non-overlapped CCEs per slot for additional SCSs.</w:t>
            </w:r>
          </w:p>
          <w:p>
            <w:pPr>
              <w:widowControl w:val="0"/>
              <w:spacing w:line="276" w:lineRule="auto"/>
              <w:jc w:val="both"/>
              <w:rPr>
                <w:rFonts w:ascii="Arial" w:hAnsi="Arial" w:cs="Arial"/>
                <w:bCs/>
              </w:rPr>
            </w:pPr>
            <w:r>
              <w:rPr>
                <w:rFonts w:ascii="Arial" w:hAnsi="Arial" w:cs="Arial"/>
                <w:bCs/>
              </w:rPr>
              <w:t xml:space="preserve">For multi-slot level monitoring, additional limitation should be additionally supported. One possible solution is to extend the existing limitations for Rel-15/16 for monitored PDCCH candidates/non-overlapped CCEs. For example, as UE receives an indication for monitoring capability type e.g., Rel-15 type (per slot) or Rel-16 type (per span) in PDCCH config, another configuration can be additionally supported in PDCCH-config with additional limitation tables as shown in Tables 5 </w:t>
            </w:r>
            <w:r>
              <w:rPr>
                <w:rFonts w:ascii="Arial" w:hAnsi="Arial" w:cs="Arial"/>
                <w:bCs/>
                <w:i/>
                <w:iCs/>
              </w:rPr>
              <w:t xml:space="preserve">– </w:t>
            </w:r>
            <w:r>
              <w:rPr>
                <w:rFonts w:ascii="Arial" w:hAnsi="Arial" w:cs="Arial"/>
                <w:bCs/>
              </w:rPr>
              <w:t>6.</w:t>
            </w:r>
          </w:p>
          <w:p>
            <w:pPr>
              <w:pStyle w:val="27"/>
              <w:widowControl w:val="0"/>
              <w:rPr>
                <w:rFonts w:ascii="Arial" w:hAnsi="Arial" w:cs="Arial"/>
                <w:b w:val="0"/>
                <w:bCs w:val="0"/>
              </w:rPr>
            </w:pPr>
            <w:r>
              <w:rPr>
                <w:rFonts w:ascii="Arial" w:hAnsi="Arial" w:cs="Arial"/>
              </w:rPr>
              <w:t xml:space="preserve">Table 5 </w:t>
            </w:r>
            <w:r>
              <w:rPr>
                <w:rFonts w:hint="eastAsia" w:ascii="Arial" w:hAnsi="Arial" w:cs="Arial"/>
                <w:b w:val="0"/>
                <w:bCs w:val="0"/>
              </w:rPr>
              <w:t xml:space="preserve">Maximum number </w:t>
            </w:r>
            <m:oMath>
              <m:sSubSup>
                <m:sSubSupPr>
                  <m:ctrlPr>
                    <w:rPr>
                      <w:rFonts w:ascii="Cambria Math" w:hAnsi="Cambria Math"/>
                      <w:i/>
                      <w:sz w:val="18"/>
                      <w:szCs w:val="18"/>
                      <w:lang w:eastAsia="zh-CN"/>
                    </w:rPr>
                  </m:ctrlPr>
                </m:sSubSupPr>
                <m:e>
                  <m:r>
                    <m:rPr>
                      <m:sty m:val="bi"/>
                    </m:rPr>
                    <w:rPr>
                      <w:rFonts w:ascii="Cambria Math" w:hAnsi="Cambria Math"/>
                      <w:lang w:eastAsia="zh-CN"/>
                    </w:rPr>
                    <m:t>M</m:t>
                  </m:r>
                  <m:ctrlPr>
                    <w:rPr>
                      <w:rFonts w:ascii="Cambria Math" w:hAnsi="Cambria Math"/>
                      <w:i/>
                      <w:sz w:val="18"/>
                      <w:szCs w:val="18"/>
                      <w:lang w:eastAsia="zh-CN"/>
                    </w:rPr>
                  </m:ctrlPr>
                </m:e>
                <m:sub>
                  <m:r>
                    <m:rPr>
                      <m:sty m:val="b"/>
                    </m:rPr>
                    <w:rPr>
                      <w:rFonts w:ascii="Cambria Math" w:hAnsi="Cambria Math"/>
                      <w:lang w:eastAsia="zh-CN"/>
                    </w:rPr>
                    <m:t>PDCCH</m:t>
                  </m:r>
                  <m:ctrlPr>
                    <w:rPr>
                      <w:rFonts w:ascii="Cambria Math" w:hAnsi="Cambria Math"/>
                      <w:i/>
                      <w:sz w:val="18"/>
                      <w:szCs w:val="18"/>
                      <w:lang w:eastAsia="zh-CN"/>
                    </w:rPr>
                  </m:ctrlPr>
                </m:sub>
                <m:sup>
                  <m:r>
                    <m:rPr>
                      <m:sty m:val="bi"/>
                    </m:rPr>
                    <w:rPr>
                      <w:rFonts w:ascii="Cambria Math" w:hAnsi="Cambria Math"/>
                      <w:lang w:eastAsia="zh-CN"/>
                    </w:rPr>
                    <m:t>max,slot,μ</m:t>
                  </m:r>
                  <m:ctrlPr>
                    <w:rPr>
                      <w:rFonts w:ascii="Cambria Math" w:hAnsi="Cambria Math"/>
                      <w:i/>
                      <w:sz w:val="18"/>
                      <w:szCs w:val="18"/>
                      <w:lang w:eastAsia="zh-CN"/>
                    </w:rPr>
                  </m:ctrlPr>
                </m:sup>
              </m:sSubSup>
            </m:oMath>
            <w:r>
              <w:t xml:space="preserve"> </w:t>
            </w:r>
            <w:r>
              <w:rPr>
                <w:rFonts w:hint="eastAsia" w:ascii="Arial" w:hAnsi="Arial" w:cs="Arial"/>
                <w:b w:val="0"/>
                <w:bCs w:val="0"/>
              </w:rPr>
              <w:t xml:space="preserve">of monitored PDCCH candidates </w:t>
            </w:r>
            <w:r>
              <w:rPr>
                <w:rFonts w:ascii="Arial" w:hAnsi="Arial" w:cs="Arial"/>
                <w:b w:val="0"/>
                <w:bCs w:val="0"/>
              </w:rPr>
              <w:t>in</w:t>
            </w:r>
            <w:r>
              <w:rPr>
                <w:rFonts w:hint="eastAsia" w:ascii="Arial" w:hAnsi="Arial" w:cs="Arial"/>
                <w:b w:val="0"/>
                <w:bCs w:val="0"/>
              </w:rPr>
              <w:t xml:space="preserve"> </w:t>
            </w:r>
            <w:r>
              <w:rPr>
                <w:rFonts w:ascii="Arial" w:hAnsi="Arial" w:cs="Arial"/>
                <w:b w:val="0"/>
                <w:bCs w:val="0"/>
              </w:rPr>
              <w:t xml:space="preserve">X </w:t>
            </w:r>
            <w:r>
              <w:rPr>
                <w:rFonts w:hint="eastAsia" w:ascii="Arial" w:hAnsi="Arial" w:cs="Arial"/>
                <w:b w:val="0"/>
                <w:bCs w:val="0"/>
              </w:rPr>
              <w:t>slot</w:t>
            </w:r>
            <w:r>
              <w:rPr>
                <w:rFonts w:ascii="Arial" w:hAnsi="Arial" w:cs="Arial"/>
                <w:b w:val="0"/>
                <w:bCs w:val="0"/>
              </w:rPr>
              <w:t>s</w:t>
            </w:r>
          </w:p>
          <w:tbl>
            <w:tblPr>
              <w:tblStyle w:val="5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465"/>
              <w:gridCol w:w="7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1465" w:type="dxa"/>
                  <w:shd w:val="clear" w:color="auto" w:fill="auto"/>
                  <w:vAlign w:val="center"/>
                </w:tcPr>
                <w:p>
                  <w:pPr>
                    <w:pStyle w:val="81"/>
                    <w:rPr>
                      <w:rFonts w:cs="Arial"/>
                      <w:sz w:val="20"/>
                    </w:rPr>
                  </w:pPr>
                  <m:oMathPara>
                    <m:oMath>
                      <m:r>
                        <m:rPr>
                          <m:sty m:val="bi"/>
                        </m:rPr>
                        <w:rPr>
                          <w:rFonts w:ascii="Cambria Math" w:hAnsi="Cambria Math" w:cs="Arial"/>
                          <w:lang w:eastAsia="zh-CN"/>
                        </w:rPr>
                        <m:t>μ</m:t>
                      </m:r>
                    </m:oMath>
                  </m:oMathPara>
                </w:p>
              </w:tc>
              <w:tc>
                <w:tcPr>
                  <w:tcW w:w="7800" w:type="dxa"/>
                  <w:shd w:val="clear" w:color="auto" w:fill="auto"/>
                  <w:vAlign w:val="center"/>
                </w:tcPr>
                <w:p>
                  <w:pPr>
                    <w:pStyle w:val="81"/>
                    <w:rPr>
                      <w:rFonts w:cs="Arial"/>
                      <w:sz w:val="20"/>
                    </w:rPr>
                  </w:pPr>
                  <w:r>
                    <w:rPr>
                      <w:rFonts w:cs="Arial"/>
                    </w:rPr>
                    <w:t xml:space="preserve">Maximum number of monitored PDCCH candidates per X slots </w:t>
                  </w:r>
                  <w:r>
                    <w:rPr>
                      <w:rFonts w:cs="Arial"/>
                    </w:rPr>
                    <w:br w:type="textWrapping"/>
                  </w:r>
                  <w:r>
                    <w:rPr>
                      <w:rFonts w:cs="Arial"/>
                    </w:rPr>
                    <w:t xml:space="preserve">and per serving cell </w:t>
                  </w:r>
                  <m:oMath>
                    <m:sSubSup>
                      <m:sSubSupPr>
                        <m:ctrlPr>
                          <w:rPr>
                            <w:rFonts w:ascii="Cambria Math" w:hAnsi="Cambria Math" w:cs="Arial"/>
                            <w:i/>
                            <w:sz w:val="24"/>
                            <w:szCs w:val="24"/>
                            <w:lang w:eastAsia="zh-CN"/>
                          </w:rPr>
                        </m:ctrlPr>
                      </m:sSubSupPr>
                      <m:e>
                        <m:r>
                          <m:rPr>
                            <m:sty m:val="bi"/>
                          </m:rPr>
                          <w:rPr>
                            <w:rFonts w:ascii="Cambria Math" w:hAnsi="Cambria Math" w:cs="Arial"/>
                            <w:lang w:eastAsia="zh-CN"/>
                          </w:rPr>
                          <m:t>M</m:t>
                        </m:r>
                        <m:ctrlPr>
                          <w:rPr>
                            <w:rFonts w:ascii="Cambria Math" w:hAnsi="Cambria Math" w:cs="Arial"/>
                            <w:i/>
                            <w:sz w:val="24"/>
                            <w:szCs w:val="24"/>
                            <w:lang w:eastAsia="zh-CN"/>
                          </w:rPr>
                        </m:ctrlPr>
                      </m:e>
                      <m:sub>
                        <m:r>
                          <m:rPr>
                            <m:sty m:val="b"/>
                          </m:rPr>
                          <w:rPr>
                            <w:rFonts w:ascii="Cambria Math" w:hAnsi="Cambria Math" w:cs="Arial"/>
                            <w:lang w:eastAsia="zh-CN"/>
                          </w:rPr>
                          <m:t>PDCCH</m:t>
                        </m:r>
                        <m:ctrlPr>
                          <w:rPr>
                            <w:rFonts w:ascii="Cambria Math" w:hAnsi="Cambria Math" w:cs="Arial"/>
                            <w:i/>
                            <w:sz w:val="24"/>
                            <w:szCs w:val="24"/>
                            <w:lang w:eastAsia="zh-CN"/>
                          </w:rPr>
                        </m:ctrlPr>
                      </m:sub>
                      <m:sup>
                        <m:r>
                          <m:rPr>
                            <m:sty m:val="bi"/>
                          </m:rPr>
                          <w:rPr>
                            <w:rFonts w:ascii="Cambria Math" w:hAnsi="Cambria Math" w:cs="Arial"/>
                            <w:lang w:eastAsia="zh-CN"/>
                          </w:rPr>
                          <m:t>max,slot,μ</m:t>
                        </m:r>
                        <m:ctrlPr>
                          <w:rPr>
                            <w:rFonts w:ascii="Cambria Math" w:hAnsi="Cambria Math" w:cs="Arial"/>
                            <w:i/>
                            <w:sz w:val="24"/>
                            <w:szCs w:val="24"/>
                            <w:lang w:eastAsia="zh-CN"/>
                          </w:rPr>
                        </m:ctrlPr>
                      </m:sup>
                    </m:sSubSup>
                  </m:oMath>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jc w:val="center"/>
              </w:trPr>
              <w:tc>
                <w:tcPr>
                  <w:tcW w:w="1465" w:type="dxa"/>
                  <w:shd w:val="clear" w:color="auto" w:fill="auto"/>
                  <w:vAlign w:val="center"/>
                </w:tcPr>
                <w:p>
                  <w:pPr>
                    <w:pStyle w:val="105"/>
                    <w:rPr>
                      <w:rFonts w:cs="Arial"/>
                    </w:rPr>
                  </w:pPr>
                  <w:r>
                    <w:rPr>
                      <w:rFonts w:cs="Arial"/>
                    </w:rPr>
                    <w:t>5</w:t>
                  </w:r>
                </w:p>
              </w:tc>
              <w:tc>
                <w:tcPr>
                  <w:tcW w:w="7800" w:type="dxa"/>
                  <w:shd w:val="clear" w:color="auto" w:fill="auto"/>
                  <w:vAlign w:val="center"/>
                </w:tcPr>
                <w:p>
                  <w:pPr>
                    <w:pStyle w:val="105"/>
                    <w:rPr>
                      <w:rFonts w:cs="Arial"/>
                    </w:rPr>
                  </w:pPr>
                  <w:r>
                    <w:rPr>
                      <w:rFonts w:cs="Arial"/>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1465" w:type="dxa"/>
                  <w:shd w:val="clear" w:color="auto" w:fill="auto"/>
                  <w:vAlign w:val="center"/>
                </w:tcPr>
                <w:p>
                  <w:pPr>
                    <w:pStyle w:val="105"/>
                    <w:rPr>
                      <w:rFonts w:cs="Arial"/>
                    </w:rPr>
                  </w:pPr>
                  <w:r>
                    <w:rPr>
                      <w:rFonts w:cs="Arial"/>
                    </w:rPr>
                    <w:t>6</w:t>
                  </w:r>
                </w:p>
              </w:tc>
              <w:tc>
                <w:tcPr>
                  <w:tcW w:w="7800" w:type="dxa"/>
                  <w:shd w:val="clear" w:color="auto" w:fill="auto"/>
                  <w:vAlign w:val="center"/>
                </w:tcPr>
                <w:p>
                  <w:pPr>
                    <w:pStyle w:val="105"/>
                    <w:rPr>
                      <w:rFonts w:cs="Arial"/>
                    </w:rPr>
                  </w:pPr>
                  <w:r>
                    <w:rPr>
                      <w:rFonts w:cs="Arial"/>
                    </w:rPr>
                    <w:t>B</w:t>
                  </w:r>
                </w:p>
              </w:tc>
            </w:tr>
          </w:tbl>
          <w:p>
            <w:pPr>
              <w:widowControl w:val="0"/>
              <w:spacing w:line="276" w:lineRule="auto"/>
              <w:jc w:val="both"/>
              <w:rPr>
                <w:rFonts w:ascii="Arial" w:hAnsi="Arial" w:eastAsia="Calibri" w:cs="Arial"/>
                <w:bCs/>
              </w:rPr>
            </w:pPr>
          </w:p>
          <w:p>
            <w:pPr>
              <w:pStyle w:val="27"/>
              <w:widowControl w:val="0"/>
              <w:rPr>
                <w:rFonts w:ascii="Arial" w:hAnsi="Arial" w:cs="Arial"/>
                <w:b w:val="0"/>
                <w:bCs w:val="0"/>
              </w:rPr>
            </w:pPr>
            <w:r>
              <w:rPr>
                <w:rFonts w:ascii="Arial" w:hAnsi="Arial" w:cs="Arial"/>
              </w:rPr>
              <w:t xml:space="preserve">Table 6 </w:t>
            </w:r>
            <w:r>
              <w:rPr>
                <w:rFonts w:hint="eastAsia" w:ascii="Arial" w:hAnsi="Arial" w:cs="Arial"/>
                <w:b w:val="0"/>
                <w:bCs w:val="0"/>
              </w:rPr>
              <w:t xml:space="preserve">Maximum number </w:t>
            </w:r>
            <m:oMath>
              <m:sSubSup>
                <m:sSubSupPr>
                  <m:ctrlPr>
                    <w:rPr>
                      <w:rFonts w:ascii="Cambria Math" w:hAnsi="Cambria Math"/>
                      <w:i/>
                      <w:sz w:val="18"/>
                      <w:szCs w:val="18"/>
                      <w:lang w:eastAsia="zh-CN"/>
                    </w:rPr>
                  </m:ctrlPr>
                </m:sSubSupPr>
                <m:e>
                  <m:r>
                    <m:rPr>
                      <m:sty m:val="bi"/>
                    </m:rPr>
                    <w:rPr>
                      <w:rFonts w:ascii="Cambria Math" w:hAnsi="Cambria Math"/>
                      <w:lang w:eastAsia="zh-CN"/>
                    </w:rPr>
                    <m:t>C</m:t>
                  </m:r>
                  <m:ctrlPr>
                    <w:rPr>
                      <w:rFonts w:ascii="Cambria Math" w:hAnsi="Cambria Math"/>
                      <w:i/>
                      <w:sz w:val="18"/>
                      <w:szCs w:val="18"/>
                      <w:lang w:eastAsia="zh-CN"/>
                    </w:rPr>
                  </m:ctrlPr>
                </m:e>
                <m:sub>
                  <m:r>
                    <m:rPr>
                      <m:sty m:val="b"/>
                    </m:rPr>
                    <w:rPr>
                      <w:rFonts w:ascii="Cambria Math" w:hAnsi="Cambria Math"/>
                      <w:lang w:eastAsia="zh-CN"/>
                    </w:rPr>
                    <m:t>PDCCH</m:t>
                  </m:r>
                  <m:ctrlPr>
                    <w:rPr>
                      <w:rFonts w:ascii="Cambria Math" w:hAnsi="Cambria Math"/>
                      <w:i/>
                      <w:sz w:val="18"/>
                      <w:szCs w:val="18"/>
                      <w:lang w:eastAsia="zh-CN"/>
                    </w:rPr>
                  </m:ctrlPr>
                </m:sub>
                <m:sup>
                  <m:r>
                    <m:rPr>
                      <m:sty m:val="bi"/>
                    </m:rPr>
                    <w:rPr>
                      <w:rFonts w:ascii="Cambria Math" w:hAnsi="Cambria Math"/>
                      <w:lang w:eastAsia="zh-CN"/>
                    </w:rPr>
                    <m:t>max,slot,μ</m:t>
                  </m:r>
                  <m:ctrlPr>
                    <w:rPr>
                      <w:rFonts w:ascii="Cambria Math" w:hAnsi="Cambria Math"/>
                      <w:i/>
                      <w:sz w:val="18"/>
                      <w:szCs w:val="18"/>
                      <w:lang w:eastAsia="zh-CN"/>
                    </w:rPr>
                  </m:ctrlPr>
                </m:sup>
              </m:sSubSup>
            </m:oMath>
            <w:r>
              <w:t xml:space="preserve"> </w:t>
            </w:r>
            <w:r>
              <w:rPr>
                <w:rFonts w:hint="eastAsia" w:ascii="Arial" w:hAnsi="Arial" w:cs="Arial"/>
                <w:b w:val="0"/>
                <w:bCs w:val="0"/>
              </w:rPr>
              <w:t xml:space="preserve">of </w:t>
            </w:r>
            <w:r>
              <w:rPr>
                <w:rFonts w:ascii="Arial" w:hAnsi="Arial" w:cs="Arial"/>
                <w:b w:val="0"/>
                <w:bCs w:val="0"/>
              </w:rPr>
              <w:t>non-overlapped CCEs</w:t>
            </w:r>
            <w:r>
              <w:rPr>
                <w:rFonts w:hint="eastAsia" w:ascii="Arial" w:hAnsi="Arial" w:cs="Arial"/>
                <w:b w:val="0"/>
                <w:bCs w:val="0"/>
              </w:rPr>
              <w:t xml:space="preserve"> </w:t>
            </w:r>
            <w:r>
              <w:rPr>
                <w:rFonts w:ascii="Arial" w:hAnsi="Arial" w:cs="Arial"/>
                <w:b w:val="0"/>
                <w:bCs w:val="0"/>
              </w:rPr>
              <w:t>in X slots</w:t>
            </w:r>
          </w:p>
          <w:tbl>
            <w:tblPr>
              <w:tblStyle w:val="5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465"/>
              <w:gridCol w:w="71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1465" w:type="dxa"/>
                  <w:shd w:val="clear" w:color="auto" w:fill="auto"/>
                  <w:vAlign w:val="center"/>
                </w:tcPr>
                <w:p>
                  <w:pPr>
                    <w:pStyle w:val="81"/>
                    <w:rPr>
                      <w:rFonts w:cs="Arial"/>
                      <w:sz w:val="20"/>
                    </w:rPr>
                  </w:pPr>
                  <m:oMathPara>
                    <m:oMath>
                      <m:r>
                        <m:rPr>
                          <m:sty m:val="bi"/>
                        </m:rPr>
                        <w:rPr>
                          <w:rFonts w:ascii="Cambria Math" w:hAnsi="Cambria Math" w:cs="Arial"/>
                          <w:lang w:eastAsia="zh-CN"/>
                        </w:rPr>
                        <m:t>μ</m:t>
                      </m:r>
                    </m:oMath>
                  </m:oMathPara>
                </w:p>
              </w:tc>
              <w:tc>
                <w:tcPr>
                  <w:tcW w:w="7170" w:type="dxa"/>
                  <w:shd w:val="clear" w:color="auto" w:fill="auto"/>
                  <w:vAlign w:val="center"/>
                </w:tcPr>
                <w:p>
                  <w:pPr>
                    <w:pStyle w:val="81"/>
                    <w:rPr>
                      <w:rFonts w:cs="Arial"/>
                      <w:sz w:val="20"/>
                    </w:rPr>
                  </w:pPr>
                  <w:r>
                    <w:rPr>
                      <w:rFonts w:cs="Arial"/>
                    </w:rPr>
                    <w:t xml:space="preserve">Maximum number of non-overlapped CCEs per X slots </w:t>
                  </w:r>
                  <w:r>
                    <w:rPr>
                      <w:rFonts w:cs="Arial"/>
                    </w:rPr>
                    <w:br w:type="textWrapping"/>
                  </w:r>
                  <w:r>
                    <w:rPr>
                      <w:rFonts w:cs="Arial"/>
                    </w:rPr>
                    <w:t xml:space="preserve">and per serving cell </w:t>
                  </w:r>
                  <m:oMath>
                    <m:sSubSup>
                      <m:sSubSupPr>
                        <m:ctrlPr>
                          <w:rPr>
                            <w:rFonts w:ascii="Cambria Math" w:hAnsi="Cambria Math" w:cs="Arial"/>
                            <w:i/>
                            <w:sz w:val="24"/>
                            <w:szCs w:val="24"/>
                            <w:lang w:eastAsia="zh-CN"/>
                          </w:rPr>
                        </m:ctrlPr>
                      </m:sSubSupPr>
                      <m:e>
                        <m:r>
                          <m:rPr>
                            <m:sty m:val="bi"/>
                          </m:rPr>
                          <w:rPr>
                            <w:rFonts w:ascii="Cambria Math" w:hAnsi="Cambria Math" w:cs="Arial"/>
                            <w:lang w:eastAsia="zh-CN"/>
                          </w:rPr>
                          <m:t>C</m:t>
                        </m:r>
                        <m:ctrlPr>
                          <w:rPr>
                            <w:rFonts w:ascii="Cambria Math" w:hAnsi="Cambria Math" w:cs="Arial"/>
                            <w:i/>
                            <w:sz w:val="24"/>
                            <w:szCs w:val="24"/>
                            <w:lang w:eastAsia="zh-CN"/>
                          </w:rPr>
                        </m:ctrlPr>
                      </m:e>
                      <m:sub>
                        <m:r>
                          <m:rPr>
                            <m:sty m:val="b"/>
                          </m:rPr>
                          <w:rPr>
                            <w:rFonts w:ascii="Cambria Math" w:hAnsi="Cambria Math" w:cs="Arial"/>
                            <w:lang w:eastAsia="zh-CN"/>
                          </w:rPr>
                          <m:t>PDCCH</m:t>
                        </m:r>
                        <m:ctrlPr>
                          <w:rPr>
                            <w:rFonts w:ascii="Cambria Math" w:hAnsi="Cambria Math" w:cs="Arial"/>
                            <w:i/>
                            <w:sz w:val="24"/>
                            <w:szCs w:val="24"/>
                            <w:lang w:eastAsia="zh-CN"/>
                          </w:rPr>
                        </m:ctrlPr>
                      </m:sub>
                      <m:sup>
                        <m:r>
                          <m:rPr>
                            <m:sty m:val="bi"/>
                          </m:rPr>
                          <w:rPr>
                            <w:rFonts w:ascii="Cambria Math" w:hAnsi="Cambria Math" w:cs="Arial"/>
                            <w:lang w:eastAsia="zh-CN"/>
                          </w:rPr>
                          <m:t>max,slot,μ</m:t>
                        </m:r>
                        <m:ctrlPr>
                          <w:rPr>
                            <w:rFonts w:ascii="Cambria Math" w:hAnsi="Cambria Math" w:cs="Arial"/>
                            <w:i/>
                            <w:sz w:val="24"/>
                            <w:szCs w:val="24"/>
                            <w:lang w:eastAsia="zh-CN"/>
                          </w:rPr>
                        </m:ctrlPr>
                      </m:sup>
                    </m:sSubSup>
                  </m:oMath>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jc w:val="center"/>
              </w:trPr>
              <w:tc>
                <w:tcPr>
                  <w:tcW w:w="1465" w:type="dxa"/>
                  <w:shd w:val="clear" w:color="auto" w:fill="auto"/>
                  <w:vAlign w:val="center"/>
                </w:tcPr>
                <w:p>
                  <w:pPr>
                    <w:pStyle w:val="105"/>
                    <w:rPr>
                      <w:rFonts w:cs="Arial"/>
                    </w:rPr>
                  </w:pPr>
                  <w:r>
                    <w:rPr>
                      <w:rFonts w:cs="Arial"/>
                    </w:rPr>
                    <w:t>5</w:t>
                  </w:r>
                </w:p>
              </w:tc>
              <w:tc>
                <w:tcPr>
                  <w:tcW w:w="7170" w:type="dxa"/>
                  <w:shd w:val="clear" w:color="auto" w:fill="auto"/>
                  <w:vAlign w:val="center"/>
                </w:tcPr>
                <w:p>
                  <w:pPr>
                    <w:pStyle w:val="105"/>
                    <w:rPr>
                      <w:rFonts w:cs="Arial"/>
                    </w:rPr>
                  </w:pPr>
                  <w:r>
                    <w:rPr>
                      <w:rFonts w:cs="Arial"/>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1465" w:type="dxa"/>
                  <w:shd w:val="clear" w:color="auto" w:fill="auto"/>
                  <w:vAlign w:val="center"/>
                </w:tcPr>
                <w:p>
                  <w:pPr>
                    <w:pStyle w:val="105"/>
                    <w:rPr>
                      <w:rFonts w:cs="Arial"/>
                    </w:rPr>
                  </w:pPr>
                  <w:r>
                    <w:rPr>
                      <w:rFonts w:cs="Arial"/>
                    </w:rPr>
                    <w:t>6</w:t>
                  </w:r>
                </w:p>
              </w:tc>
              <w:tc>
                <w:tcPr>
                  <w:tcW w:w="7170" w:type="dxa"/>
                  <w:shd w:val="clear" w:color="auto" w:fill="auto"/>
                  <w:vAlign w:val="center"/>
                </w:tcPr>
                <w:p>
                  <w:pPr>
                    <w:pStyle w:val="105"/>
                    <w:rPr>
                      <w:rFonts w:cs="Arial"/>
                    </w:rPr>
                  </w:pPr>
                  <w:r>
                    <w:rPr>
                      <w:rFonts w:cs="Arial"/>
                    </w:rPr>
                    <w:t>D</w:t>
                  </w:r>
                </w:p>
              </w:tc>
            </w:tr>
          </w:tbl>
          <w:p>
            <w:pPr>
              <w:widowControl w:val="0"/>
              <w:spacing w:line="276" w:lineRule="auto"/>
              <w:jc w:val="both"/>
              <w:rPr>
                <w:rFonts w:ascii="Arial" w:hAnsi="Arial" w:eastAsia="Calibri" w:cs="Arial"/>
                <w:bCs/>
              </w:rPr>
            </w:pPr>
          </w:p>
          <w:p>
            <w:pPr>
              <w:widowControl w:val="0"/>
              <w:spacing w:line="276" w:lineRule="auto"/>
              <w:jc w:val="both"/>
              <w:rPr>
                <w:rFonts w:ascii="Arial" w:hAnsi="Arial" w:cs="Arial"/>
                <w:bCs/>
                <w:i/>
                <w:iCs/>
              </w:rPr>
            </w:pPr>
            <w:r>
              <w:rPr>
                <w:rFonts w:ascii="Arial" w:hAnsi="Arial" w:cs="Arial"/>
                <w:b/>
                <w:i/>
                <w:iCs/>
              </w:rPr>
              <w:t>Observation 4:</w:t>
            </w:r>
            <w:r>
              <w:rPr>
                <w:rFonts w:ascii="Arial" w:hAnsi="Arial" w:cs="Arial"/>
                <w:bCs/>
                <w:i/>
                <w:iCs/>
              </w:rPr>
              <w:t xml:space="preserve"> Existing method to indicate PDCCH monitoring type configuration and corresponding limitations can be reused to indicate multi-slot level PDCCH monitoring. </w:t>
            </w:r>
          </w:p>
          <w:p>
            <w:pPr>
              <w:widowControl w:val="0"/>
              <w:spacing w:line="276" w:lineRule="auto"/>
              <w:jc w:val="both"/>
              <w:rPr>
                <w:rFonts w:ascii="Arial" w:hAnsi="Arial" w:cs="Arial"/>
                <w:bCs/>
                <w:i/>
                <w:iCs/>
              </w:rPr>
            </w:pPr>
            <w:r>
              <w:rPr>
                <w:rFonts w:ascii="Arial" w:hAnsi="Arial" w:cs="Arial"/>
                <w:b/>
                <w:i/>
                <w:iCs/>
              </w:rPr>
              <w:t>Proposal 4:</w:t>
            </w:r>
            <w:r>
              <w:rPr>
                <w:rFonts w:ascii="Arial" w:hAnsi="Arial" w:cs="Arial"/>
                <w:bCs/>
                <w:i/>
                <w:iCs/>
              </w:rPr>
              <w:t xml:space="preserve"> For multi-slot level monitoring, it is preferred to define new limitation tables for monitored PDCCH candidates/non-overlapped CCEs per multiple slots and introduce a configuration to indicate multi-slot level PDCCH monitoring in PDCCH-config.</w:t>
            </w:r>
          </w:p>
          <w:p>
            <w:pPr>
              <w:widowControl w:val="0"/>
              <w:rPr>
                <w:lang w:eastAsia="zh-CN"/>
              </w:rPr>
            </w:pPr>
          </w:p>
        </w:tc>
      </w:tr>
    </w:tbl>
    <w:p>
      <w:pPr>
        <w:pStyle w:val="4"/>
        <w:jc w:val="both"/>
        <w:rPr>
          <w:lang w:val="en-GB" w:eastAsia="zh-CN"/>
        </w:rPr>
      </w:pPr>
      <w:r>
        <w:rPr>
          <w:lang w:val="en-GB" w:eastAsia="zh-CN"/>
        </w:rPr>
        <w:t>R1-2100851 (Sony)</w:t>
      </w:r>
    </w:p>
    <w:tbl>
      <w:tblPr>
        <w:tblStyle w:val="52"/>
        <w:tblW w:w="145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vAlign w:val="center"/>
          </w:tcPr>
          <w:p>
            <w:pPr>
              <w:pStyle w:val="73"/>
              <w:widowControl w:val="0"/>
              <w:numPr>
                <w:ilvl w:val="0"/>
                <w:numId w:val="44"/>
              </w:numPr>
              <w:snapToGrid/>
              <w:spacing w:after="80"/>
              <w:ind w:left="0" w:firstLine="0"/>
              <w:jc w:val="both"/>
              <w:rPr>
                <w:szCs w:val="20"/>
              </w:rPr>
            </w:pPr>
            <w:r>
              <w:rPr>
                <w:rFonts w:ascii="Times New Roman" w:hAnsi="Times New Roman"/>
                <w:b/>
                <w:bCs/>
                <w:szCs w:val="20"/>
              </w:rPr>
              <w:t>:</w:t>
            </w:r>
            <w:r>
              <w:rPr>
                <w:rFonts w:ascii="Times New Roman" w:hAnsi="Times New Roman" w:eastAsia="MS Gothic"/>
                <w:b/>
                <w:bCs/>
                <w:szCs w:val="20"/>
                <w:lang w:eastAsia="ja-JP"/>
              </w:rPr>
              <w:t xml:space="preserve"> UE PDCCH monitoring complexity can be reduced by modifying the configuration of search space set and CORESET, or alternatively by limiting the maximum number of BD/CCE per slot, but with potential link performance degradation.</w:t>
            </w:r>
          </w:p>
          <w:p>
            <w:pPr>
              <w:widowControl w:val="0"/>
              <w:spacing w:after="80"/>
              <w:rPr>
                <w:sz w:val="20"/>
                <w:szCs w:val="20"/>
                <w:lang w:eastAsia="zh-CN"/>
              </w:rPr>
            </w:pPr>
            <w:r>
              <w:rPr>
                <w:sz w:val="20"/>
                <w:szCs w:val="20"/>
                <w:lang w:eastAsia="zh-CN"/>
              </w:rPr>
              <w:t xml:space="preserve">To avoid the issue introduced by the limitation </w:t>
            </w:r>
            <w:r>
              <w:rPr>
                <w:rFonts w:hint="eastAsia"/>
                <w:sz w:val="20"/>
                <w:szCs w:val="20"/>
                <w:lang w:eastAsia="zh-CN"/>
              </w:rPr>
              <w:t>of</w:t>
            </w:r>
            <w:r>
              <w:rPr>
                <w:sz w:val="20"/>
                <w:szCs w:val="20"/>
                <w:lang w:eastAsia="zh-CN"/>
              </w:rPr>
              <w:t xml:space="preserve"> maximum BD/CCE per slot, </w:t>
            </w:r>
            <w:r>
              <w:rPr>
                <w:sz w:val="20"/>
                <w:szCs w:val="20"/>
              </w:rPr>
              <w:t xml:space="preserve">mixed numerology operation is supported in Rel-15/16. e.g. 240 kHz subcarrier spacing for SSB and 120 kHz subcarrier spacing for PDCCH/PDSCH/PUSCH/PUCCH/PRACH. Thus, a mixed numerology </w:t>
            </w:r>
            <w:r>
              <w:rPr>
                <w:sz w:val="20"/>
                <w:szCs w:val="20"/>
                <w:lang w:eastAsia="zh-CN"/>
              </w:rPr>
              <w:t>where small SCS for PDCCH and large SCS for PDSCH</w:t>
            </w:r>
            <w:r>
              <w:rPr>
                <w:sz w:val="20"/>
                <w:szCs w:val="20"/>
              </w:rPr>
              <w:t>/PUSCH/PUCCH can be considered for 52.6GHz-71GHz frequency band to alleviate PDCCH monitoring burden.</w:t>
            </w:r>
            <w:r>
              <w:rPr>
                <w:rFonts w:hint="eastAsia"/>
                <w:sz w:val="20"/>
                <w:szCs w:val="20"/>
                <w:lang w:eastAsia="zh-CN"/>
              </w:rPr>
              <w:t xml:space="preserve"> </w:t>
            </w:r>
            <w:r>
              <w:rPr>
                <w:sz w:val="20"/>
                <w:szCs w:val="20"/>
                <w:lang w:eastAsia="zh-CN"/>
              </w:rPr>
              <w:t>However, for mixed numerology, when performing FFT, FFT size switching is needed from PDCCH to PDSCH</w:t>
            </w:r>
            <w:r>
              <w:rPr>
                <w:sz w:val="20"/>
                <w:szCs w:val="20"/>
              </w:rPr>
              <w:t>/PUSCH/PUCCH,</w:t>
            </w:r>
            <w:r>
              <w:rPr>
                <w:sz w:val="20"/>
                <w:szCs w:val="20"/>
                <w:lang w:eastAsia="zh-CN"/>
              </w:rPr>
              <w:t xml:space="preserve"> which would introduce extra processing complexity. Moreover, extra symbol gaps may also be </w:t>
            </w:r>
            <w:r>
              <w:rPr>
                <w:rFonts w:hint="eastAsia"/>
                <w:sz w:val="20"/>
                <w:szCs w:val="20"/>
                <w:lang w:eastAsia="zh-CN"/>
              </w:rPr>
              <w:t>need</w:t>
            </w:r>
            <w:r>
              <w:rPr>
                <w:sz w:val="20"/>
                <w:szCs w:val="20"/>
                <w:lang w:eastAsia="zh-CN"/>
              </w:rPr>
              <w:t xml:space="preserve">ed for FFT switching operation. </w:t>
            </w:r>
          </w:p>
          <w:p>
            <w:pPr>
              <w:pStyle w:val="73"/>
              <w:widowControl w:val="0"/>
              <w:numPr>
                <w:ilvl w:val="0"/>
                <w:numId w:val="44"/>
              </w:numPr>
              <w:snapToGrid/>
              <w:spacing w:after="80"/>
              <w:ind w:left="0" w:firstLine="0"/>
              <w:jc w:val="both"/>
              <w:rPr>
                <w:szCs w:val="20"/>
              </w:rPr>
            </w:pPr>
            <w:r>
              <w:rPr>
                <w:rFonts w:ascii="Times New Roman" w:hAnsi="Times New Roman"/>
                <w:b/>
                <w:bCs/>
                <w:szCs w:val="20"/>
              </w:rPr>
              <w:t>:</w:t>
            </w:r>
            <w:r>
              <w:rPr>
                <w:rFonts w:ascii="Times New Roman" w:hAnsi="Times New Roman" w:eastAsia="MS Gothic"/>
                <w:b/>
                <w:bCs/>
                <w:szCs w:val="20"/>
                <w:lang w:eastAsia="ja-JP"/>
              </w:rPr>
              <w:t xml:space="preserve"> UE PDCCH monitoring complexity can be reduced by using mixed numerology between PDCCH and other physical channels but with potential extra complexity and decreased time efficiency for FFT size switching.</w:t>
            </w:r>
          </w:p>
          <w:p>
            <w:pPr>
              <w:widowControl w:val="0"/>
              <w:spacing w:after="80"/>
              <w:rPr>
                <w:sz w:val="20"/>
                <w:szCs w:val="20"/>
                <w:lang w:eastAsia="zh-CN"/>
              </w:rPr>
            </w:pPr>
            <w:r>
              <w:rPr>
                <w:sz w:val="20"/>
                <w:szCs w:val="20"/>
              </w:rPr>
              <w:t>Try to manage the PDCCH monitoring and decoding complexity</w:t>
            </w:r>
            <w:r>
              <w:rPr>
                <w:sz w:val="20"/>
                <w:szCs w:val="20"/>
                <w:lang w:eastAsia="zh-CN"/>
              </w:rPr>
              <w:t xml:space="preserve"> as well as guarantee the downlink performance, another effective scheme is to define a new time unit for new SCSs, like multi-slot. In this solution, the definition of time unit can rely on the SCSs difference. e.g., for Rel-15 120kHz and new SCS 960kHz, 8 slots in Rel-15 could be grouped into one time unit for the 52.6GHz-71GHz frequency range. </w:t>
            </w:r>
            <w:r>
              <w:rPr>
                <w:sz w:val="20"/>
                <w:szCs w:val="20"/>
              </w:rPr>
              <w:t>In Rel-16 specifications, the time unit with span is supported</w:t>
            </w:r>
            <w:r>
              <w:rPr>
                <w:rFonts w:hint="eastAsia"/>
                <w:sz w:val="20"/>
                <w:szCs w:val="20"/>
                <w:lang w:eastAsia="zh-CN"/>
              </w:rPr>
              <w:t>,</w:t>
            </w:r>
            <w:r>
              <w:rPr>
                <w:sz w:val="20"/>
                <w:szCs w:val="20"/>
                <w:lang w:eastAsia="zh-CN"/>
              </w:rPr>
              <w:t xml:space="preserve"> thus the processing on span can be referred for the design on new time unit. Together with PDCCH repetitions described in the next section, this solution could reduce PDCCH monitoring complexity and guarantee the DL BLER performance relatively. The link processing details of PDCCH monitoring, scheduling and new signaling for new time unit and the corresponding solutions aiming at a low impact to specification could be discussed further. </w:t>
            </w:r>
          </w:p>
          <w:p>
            <w:pPr>
              <w:pStyle w:val="73"/>
              <w:widowControl w:val="0"/>
              <w:numPr>
                <w:ilvl w:val="0"/>
                <w:numId w:val="44"/>
              </w:numPr>
              <w:snapToGrid/>
              <w:spacing w:after="80"/>
              <w:ind w:left="0" w:firstLine="0"/>
              <w:jc w:val="both"/>
              <w:rPr>
                <w:szCs w:val="20"/>
              </w:rPr>
            </w:pPr>
            <w:r>
              <w:rPr>
                <w:rFonts w:ascii="Times New Roman" w:hAnsi="Times New Roman"/>
                <w:b/>
                <w:bCs/>
                <w:szCs w:val="20"/>
              </w:rPr>
              <w:t>:</w:t>
            </w:r>
            <w:r>
              <w:rPr>
                <w:rFonts w:ascii="Times New Roman" w:hAnsi="Times New Roman" w:eastAsia="MS Gothic"/>
                <w:b/>
                <w:bCs/>
                <w:szCs w:val="20"/>
                <w:lang w:eastAsia="ja-JP"/>
              </w:rPr>
              <w:t xml:space="preserve"> UE PDCCH monitoring complexity can be reduced by operating on a new time unit like multi-slot.</w:t>
            </w:r>
          </w:p>
          <w:p>
            <w:pPr>
              <w:widowControl w:val="0"/>
              <w:spacing w:after="80"/>
              <w:rPr>
                <w:lang w:eastAsia="zh-CN"/>
              </w:rPr>
            </w:pPr>
            <w:r>
              <w:rPr>
                <w:sz w:val="20"/>
                <w:szCs w:val="20"/>
                <w:lang w:eastAsia="zh-CN"/>
              </w:rPr>
              <w:t>With the above analysis and discussions among the three solutions, we would like to present the following proposal.</w:t>
            </w:r>
          </w:p>
          <w:p>
            <w:pPr>
              <w:pStyle w:val="73"/>
              <w:widowControl w:val="0"/>
              <w:numPr>
                <w:ilvl w:val="0"/>
                <w:numId w:val="45"/>
              </w:numPr>
              <w:snapToGrid/>
              <w:spacing w:after="80"/>
              <w:jc w:val="both"/>
              <w:rPr>
                <w:szCs w:val="24"/>
              </w:rPr>
            </w:pPr>
            <w:r>
              <w:rPr>
                <w:rFonts w:ascii="Times New Roman" w:hAnsi="Times New Roman"/>
                <w:b/>
                <w:szCs w:val="24"/>
              </w:rPr>
              <w:t>: For larger SCS in the 52.6GHz</w:t>
            </w:r>
            <w:r>
              <w:rPr>
                <w:rFonts w:hint="eastAsia" w:ascii="Times New Roman" w:hAnsi="Times New Roman"/>
                <w:b/>
                <w:szCs w:val="24"/>
              </w:rPr>
              <w:t>-71</w:t>
            </w:r>
            <w:r>
              <w:rPr>
                <w:rFonts w:ascii="Times New Roman" w:hAnsi="Times New Roman"/>
                <w:b/>
                <w:szCs w:val="24"/>
              </w:rPr>
              <w:t>GH</w:t>
            </w:r>
            <w:r>
              <w:rPr>
                <w:rFonts w:hint="eastAsia" w:ascii="Times New Roman" w:hAnsi="Times New Roman"/>
                <w:b/>
                <w:szCs w:val="24"/>
              </w:rPr>
              <w:t>z</w:t>
            </w:r>
            <w:r>
              <w:rPr>
                <w:rFonts w:ascii="Times New Roman" w:hAnsi="Times New Roman"/>
                <w:b/>
                <w:szCs w:val="24"/>
              </w:rPr>
              <w:t xml:space="preserve"> frequency range, comprehensive consideration of UE monitoring complexity reduction together with UE power-saving and DL performance guarantee, define a new time unit like multi-slot could be a proper solution.</w:t>
            </w:r>
          </w:p>
          <w:p>
            <w:pPr>
              <w:widowControl w:val="0"/>
              <w:rPr>
                <w:lang w:eastAsia="zh-CN"/>
              </w:rPr>
            </w:pPr>
          </w:p>
        </w:tc>
      </w:tr>
    </w:tbl>
    <w:p>
      <w:pPr>
        <w:rPr>
          <w:lang w:eastAsia="zh-CN"/>
        </w:rPr>
      </w:pPr>
    </w:p>
    <w:p>
      <w:pPr>
        <w:pStyle w:val="4"/>
        <w:jc w:val="both"/>
        <w:rPr>
          <w:lang w:val="en-GB" w:eastAsia="zh-CN"/>
        </w:rPr>
      </w:pPr>
      <w:r>
        <w:rPr>
          <w:lang w:val="en-GB" w:eastAsia="zh-CN"/>
        </w:rPr>
        <w:t>R1-2100893 (LG)</w:t>
      </w:r>
    </w:p>
    <w:tbl>
      <w:tblPr>
        <w:tblStyle w:val="52"/>
        <w:tblW w:w="145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vAlign w:val="center"/>
          </w:tcPr>
          <w:p>
            <w:pPr>
              <w:widowControl w:val="0"/>
              <w:spacing w:before="120"/>
              <w:rPr>
                <w:rFonts w:eastAsia="Batang"/>
                <w:b/>
                <w:lang w:eastAsia="ko-KR"/>
              </w:rPr>
            </w:pPr>
            <w:r>
              <w:rPr>
                <w:rFonts w:eastAsia="Batang"/>
                <w:b/>
                <w:lang w:eastAsia="ko-KR"/>
              </w:rPr>
              <w:t xml:space="preserve">Observation #1: UE processing limit for 480 kHz and 960 kHz could be newly defined per slot. </w:t>
            </w:r>
            <w:r>
              <w:rPr>
                <w:rFonts w:hint="eastAsia" w:eastAsia="Batang"/>
                <w:b/>
                <w:lang w:eastAsia="ko-KR"/>
              </w:rPr>
              <w:t xml:space="preserve">But, </w:t>
            </w:r>
            <w:r>
              <w:rPr>
                <w:rFonts w:eastAsia="Batang"/>
                <w:b/>
                <w:lang w:eastAsia="ko-KR"/>
              </w:rPr>
              <w:t xml:space="preserve">increasing the capability of handling PDCCH during a fixed time may lead to UE implementation complexity and power consumption. In addition, if the number of CCEs per slot is defined </w:t>
            </w:r>
            <w:r>
              <w:rPr>
                <w:rFonts w:hint="eastAsia" w:eastAsia="Batang"/>
                <w:b/>
                <w:lang w:eastAsia="ko-KR"/>
              </w:rPr>
              <w:t xml:space="preserve">as </w:t>
            </w:r>
            <w:r>
              <w:rPr>
                <w:rFonts w:eastAsia="Batang"/>
                <w:b/>
                <w:lang w:eastAsia="ko-KR"/>
              </w:rPr>
              <w:t>too small value, support for PDCCH with large AL may be limited.</w:t>
            </w:r>
          </w:p>
          <w:p>
            <w:pPr>
              <w:widowControl w:val="0"/>
              <w:spacing w:before="120"/>
              <w:rPr>
                <w:rFonts w:eastAsia="Batang"/>
                <w:lang w:eastAsia="ko-KR"/>
              </w:rPr>
            </w:pPr>
            <w:r>
              <w:rPr>
                <w:rFonts w:eastAsia="Batang"/>
                <w:lang w:eastAsia="ko-KR"/>
              </w:rPr>
              <w:t>There are two simple ways to determine the length of a slot-group. The first way is to set the reference length regardless of actual SCS configuration. For instance, the slot length corresponding to 120 kHz SCS can be used as a reference length since 120 kHz is the smallest SCS that could be configured in FR-X. In this case, if one slot length corresponding to 120 kHz SCS is set to the reference length, then the consecutive four slots are used as slot-group for 480 kHz SCS, and consecutive eight slots are used as slot-group for 960 kHz SCS. Another way is to use a new PDCCH monitoring time unit with capability signalling. A preferred reference length can be signalled for each UE, and this length can be used as a basic time unit for PDCCH monitoring. Regarding the PDCCH monitoring per slot-group, associated procedures such as overbooking and dropping may also be enhanced. For example, if consecutive M slots for 960 kHz SCS is set to a slot-group for PDCCH monitoring, then SS set dropping due to overbooking would be performed in unit of slot-group. With this, additional restriction on PDCCH monitoring may be considered, e.g., by applying overbooking/dropping rules for some part of slots within a slot-group.</w:t>
            </w:r>
          </w:p>
          <w:p>
            <w:pPr>
              <w:widowControl w:val="0"/>
              <w:spacing w:before="120"/>
              <w:rPr>
                <w:rFonts w:eastAsia="Batang"/>
                <w:b/>
                <w:lang w:eastAsia="ko-KR"/>
              </w:rPr>
            </w:pPr>
            <w:r>
              <w:rPr>
                <w:rFonts w:eastAsia="Batang"/>
                <w:b/>
                <w:lang w:eastAsia="ko-KR"/>
              </w:rPr>
              <w:t>Proposal #1: Considering simplified UE implementation and potential power consumption reduction, support slot-group based PDCCH monitoring where the maximum number of PDCCH candidates and non-overlapping CCEs are defined per slot-group and the number of slots for slot-group can be determined based on reference SCS (e.g., 120 kHz) or UE capability.</w:t>
            </w:r>
          </w:p>
          <w:p>
            <w:pPr>
              <w:widowControl w:val="0"/>
              <w:spacing w:before="120"/>
              <w:rPr>
                <w:rFonts w:eastAsia="Batang"/>
                <w:lang w:eastAsia="ko-KR"/>
              </w:rPr>
            </w:pPr>
            <w:r>
              <w:rPr>
                <w:rFonts w:eastAsia="Batang"/>
                <w:lang w:eastAsia="ko-KR"/>
              </w:rPr>
              <w:t xml:space="preserve">In addition, SS set configuration can also be set appropriately for the slot-group. </w:t>
            </w:r>
            <w:r>
              <w:rPr>
                <w:rFonts w:hint="eastAsia" w:eastAsia="Batang"/>
                <w:lang w:eastAsia="ko-KR"/>
              </w:rPr>
              <w:t>T</w:t>
            </w:r>
            <w:r>
              <w:rPr>
                <w:rFonts w:eastAsia="Batang"/>
                <w:lang w:eastAsia="ko-KR"/>
              </w:rPr>
              <w:t xml:space="preserve">hrough SS set configuration based on slot-group, PDCCH monitoring occasion could be adjusted properly (e.g., restricted), and then, additional power saving effects could be expected. For slot-group based PDCCH monitoring, specifically, SS set configurations such as periodicity (and offset) can be configured to a value larger than M (or a multiple of M) slots. Accordingly, duration may be limited to be configured with less than M (or a multiple of M) slots. Moreover, it can be discussed how to handle the case where the slot-group boundary does not exactly match the periodicity and duration configurations. Therefore, through slot-group based PDCCH monitoring configuration and associated SS set configurations, it can be further expected to reduce the UE implementation burden or power consumption. </w:t>
            </w:r>
          </w:p>
          <w:p>
            <w:pPr>
              <w:widowControl w:val="0"/>
              <w:spacing w:before="120"/>
              <w:rPr>
                <w:rFonts w:eastAsia="Batang"/>
                <w:b/>
                <w:lang w:eastAsia="ko-KR"/>
              </w:rPr>
            </w:pPr>
            <w:r>
              <w:rPr>
                <w:rFonts w:eastAsia="Batang"/>
                <w:b/>
                <w:lang w:eastAsia="ko-KR"/>
              </w:rPr>
              <w:t xml:space="preserve">Proposal #2: Consider to configure PDCCH monitoring occasions to be confined within the slot-group (or multiple of slot-groups), by using search space set configuration parameters (e.g., periodicity, offset, and duration). </w:t>
            </w:r>
          </w:p>
          <w:p>
            <w:pPr>
              <w:widowControl w:val="0"/>
              <w:rPr>
                <w:lang w:eastAsia="zh-CN"/>
              </w:rPr>
            </w:pPr>
          </w:p>
        </w:tc>
      </w:tr>
    </w:tbl>
    <w:p>
      <w:pPr>
        <w:rPr>
          <w:lang w:eastAsia="zh-CN"/>
        </w:rPr>
      </w:pPr>
    </w:p>
    <w:p>
      <w:pPr>
        <w:pStyle w:val="4"/>
        <w:jc w:val="both"/>
        <w:rPr>
          <w:lang w:val="en-GB" w:eastAsia="zh-CN"/>
        </w:rPr>
      </w:pPr>
      <w:r>
        <w:rPr>
          <w:lang w:val="en-GB" w:eastAsia="zh-CN"/>
        </w:rPr>
        <w:t>R1-2101110 (Xiaomi)</w:t>
      </w:r>
    </w:p>
    <w:tbl>
      <w:tblPr>
        <w:tblStyle w:val="52"/>
        <w:tblW w:w="145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vAlign w:val="center"/>
          </w:tcPr>
          <w:p>
            <w:pPr>
              <w:widowControl w:val="0"/>
              <w:jc w:val="both"/>
              <w:rPr>
                <w:lang w:eastAsia="zh-CN"/>
              </w:rPr>
            </w:pPr>
            <w:r>
              <w:rPr>
                <w:lang w:eastAsia="zh-CN"/>
              </w:rPr>
              <w:t xml:space="preserve">With three SCSs, 120kHz </w:t>
            </w:r>
            <w:r>
              <w:rPr>
                <w:rFonts w:hint="eastAsia"/>
                <w:lang w:eastAsia="zh-CN"/>
              </w:rPr>
              <w:t>and</w:t>
            </w:r>
            <w:r>
              <w:rPr>
                <w:lang w:eastAsia="zh-CN"/>
              </w:rPr>
              <w:t xml:space="preserve"> 480/960kHz are all specified, it may be not necessary to support all the three SCSs for NR 52.6-71GHz especially considering the complexity for high speed processing for 480/960kHz. Since 120kHz is already supported in FR1/2, it is backward compatible to support 120kHz as a default/ mandatory SCS and 480/960kHz as optional. The PDCCH monitoring capability for 120kHz per slot can still reuse the one defined in current spec </w:t>
            </w:r>
            <w:r>
              <w:rPr>
                <w:rFonts w:hint="eastAsia"/>
                <w:lang w:eastAsia="zh-CN"/>
              </w:rPr>
              <w:t>as</w:t>
            </w:r>
            <w:r>
              <w:rPr>
                <w:lang w:eastAsia="zh-CN"/>
              </w:rPr>
              <w:t xml:space="preserve"> </w:t>
            </w:r>
            <w:r>
              <w:rPr>
                <w:rFonts w:hint="eastAsia"/>
                <w:lang w:eastAsia="zh-CN"/>
              </w:rPr>
              <w:t>a</w:t>
            </w:r>
            <w:r>
              <w:rPr>
                <w:lang w:eastAsia="zh-CN"/>
              </w:rPr>
              <w:t xml:space="preserve"> </w:t>
            </w:r>
            <w:r>
              <w:rPr>
                <w:rFonts w:hint="eastAsia"/>
                <w:lang w:eastAsia="zh-CN"/>
              </w:rPr>
              <w:t>mandatory</w:t>
            </w:r>
            <w:r>
              <w:rPr>
                <w:lang w:eastAsia="zh-CN"/>
              </w:rPr>
              <w:t xml:space="preserve"> </w:t>
            </w:r>
            <w:r>
              <w:rPr>
                <w:rFonts w:hint="eastAsia"/>
                <w:lang w:eastAsia="zh-CN"/>
              </w:rPr>
              <w:t>capability</w:t>
            </w:r>
            <w:r>
              <w:rPr>
                <w:lang w:eastAsia="zh-CN"/>
              </w:rPr>
              <w:t xml:space="preserve">. </w:t>
            </w:r>
            <w:r>
              <w:rPr>
                <w:rFonts w:hint="eastAsia"/>
                <w:lang w:eastAsia="zh-CN"/>
              </w:rPr>
              <w:t>A</w:t>
            </w:r>
            <w:r>
              <w:rPr>
                <w:lang w:eastAsia="zh-CN"/>
              </w:rPr>
              <w:t xml:space="preserve">nd the PDCCH monitoring capability for 480/960kHz per slot </w:t>
            </w:r>
            <w:r>
              <w:rPr>
                <w:rFonts w:hint="eastAsia"/>
                <w:lang w:eastAsia="zh-CN"/>
              </w:rPr>
              <w:t>c</w:t>
            </w:r>
            <w:r>
              <w:rPr>
                <w:lang w:eastAsia="zh-CN"/>
              </w:rPr>
              <w:t xml:space="preserve">an be defined as optional capability. And even for the PDCCH monitoring capability for 480/960kHz, different UE capabilities can also be considered, for example UE cap1 </w:t>
            </w:r>
            <w:r>
              <w:rPr>
                <w:rFonts w:hint="eastAsia"/>
                <w:lang w:eastAsia="zh-CN"/>
              </w:rPr>
              <w:t>supports</w:t>
            </w:r>
            <w:r>
              <w:rPr>
                <w:lang w:eastAsia="zh-CN"/>
              </w:rPr>
              <w:t xml:space="preserve"> relatively lower PDCCH candidate numbers and non-overlapped CCE numbers than UE cap2, which allows more flexible UE implementation and gNB scheduling for NR 52.6-71GHz. </w:t>
            </w:r>
          </w:p>
          <w:p>
            <w:pPr>
              <w:pStyle w:val="30"/>
              <w:widowControl w:val="0"/>
              <w:spacing w:before="120" w:beforeLines="50"/>
              <w:rPr>
                <w:b/>
                <w:i/>
                <w:lang w:eastAsia="zh-CN"/>
              </w:rPr>
            </w:pPr>
            <w:r>
              <w:rPr>
                <w:b/>
                <w:i/>
                <w:lang w:eastAsia="zh-CN"/>
              </w:rPr>
              <w:t>Proposal 1: The PDCCH monitoring capability for 120kHz per slot can still reuse the one defined in current spec as a mandatory capability. And the PDCCH monitoring capability for 480/960kHz per slot can be defined as optional capability.</w:t>
            </w:r>
          </w:p>
          <w:p>
            <w:pPr>
              <w:pStyle w:val="30"/>
              <w:widowControl w:val="0"/>
              <w:spacing w:before="120" w:beforeLines="50"/>
              <w:rPr>
                <w:lang w:eastAsia="zh-CN"/>
              </w:rPr>
            </w:pPr>
            <w:r>
              <w:rPr>
                <w:b/>
                <w:i/>
                <w:lang w:eastAsia="zh-CN"/>
              </w:rPr>
              <w:t>Proposal 2:</w:t>
            </w:r>
            <w:r>
              <w:t xml:space="preserve"> </w:t>
            </w:r>
            <w:r>
              <w:rPr>
                <w:b/>
                <w:i/>
                <w:lang w:eastAsia="zh-CN"/>
              </w:rPr>
              <w:t>For PDCCH monitoring capability for 480/960kHz, different UE capabilities can be considered</w:t>
            </w:r>
            <w:r>
              <w:t xml:space="preserve"> </w:t>
            </w:r>
            <w:r>
              <w:rPr>
                <w:b/>
                <w:i/>
                <w:lang w:eastAsia="zh-CN"/>
              </w:rPr>
              <w:t>to allow more flexible UE implementation and gNB scheduling for NR 52.6-71GHz.</w:t>
            </w:r>
          </w:p>
          <w:p>
            <w:pPr>
              <w:widowControl w:val="0"/>
              <w:jc w:val="both"/>
              <w:rPr>
                <w:color w:val="000000"/>
              </w:rPr>
            </w:pPr>
            <w:r>
              <w:rPr>
                <w:rFonts w:cs="Calibri"/>
                <w:iCs/>
                <w:lang w:eastAsia="zh-CN"/>
              </w:rPr>
              <w:t xml:space="preserve">Similar PDCCH monitoring span as in R16 URLLC </w:t>
            </w:r>
            <w:r>
              <w:rPr>
                <w:rFonts w:hint="eastAsia" w:cs="Calibri"/>
                <w:iCs/>
                <w:lang w:eastAsia="zh-CN"/>
              </w:rPr>
              <w:t>can</w:t>
            </w:r>
            <w:r>
              <w:rPr>
                <w:rFonts w:cs="Calibri"/>
                <w:iCs/>
                <w:lang w:eastAsia="zh-CN"/>
              </w:rPr>
              <w:t xml:space="preserve"> be considered for NR 52.6-71GH</w:t>
            </w:r>
            <w:r>
              <w:rPr>
                <w:rFonts w:hint="eastAsia" w:cs="Calibri"/>
                <w:iCs/>
                <w:lang w:eastAsia="zh-CN"/>
              </w:rPr>
              <w:t>z</w:t>
            </w:r>
            <w:r>
              <w:rPr>
                <w:rFonts w:cs="Calibri"/>
                <w:iCs/>
                <w:lang w:eastAsia="zh-CN"/>
              </w:rPr>
              <w:t xml:space="preserve">. In R16 URLLC, PDCCH monitoring span (X,Y) </w:t>
            </w:r>
            <w:r>
              <w:rPr>
                <w:rFonts w:hint="eastAsia" w:cs="Calibri"/>
                <w:iCs/>
                <w:lang w:eastAsia="zh-CN"/>
              </w:rPr>
              <w:t>is</w:t>
            </w:r>
            <w:r>
              <w:rPr>
                <w:rFonts w:cs="Calibri"/>
                <w:iCs/>
                <w:lang w:eastAsia="zh-CN"/>
              </w:rPr>
              <w:t xml:space="preserve"> defined </w:t>
            </w:r>
            <w:r>
              <w:rPr>
                <w:rFonts w:hint="eastAsia" w:cs="Calibri"/>
                <w:iCs/>
                <w:lang w:eastAsia="zh-CN"/>
              </w:rPr>
              <w:t>as</w:t>
            </w:r>
            <w:r>
              <w:rPr>
                <w:rFonts w:cs="Calibri"/>
                <w:iCs/>
                <w:lang w:eastAsia="zh-CN"/>
              </w:rPr>
              <w:t xml:space="preserve"> </w:t>
            </w:r>
            <w:r>
              <w:rPr>
                <w:rFonts w:eastAsia="等线"/>
              </w:rPr>
              <w:t xml:space="preserve">number of consecutive symbols in a slot where the UE is configured to monitor PDCCH. </w:t>
            </w:r>
            <w:r>
              <w:t>Each PDCCH monitoring occasion is within one span</w:t>
            </w:r>
            <w:r>
              <w:rPr>
                <w:rFonts w:eastAsia="等线"/>
              </w:rPr>
              <w:t xml:space="preserve">. </w:t>
            </w:r>
            <w:r>
              <w:t xml:space="preserve">If a UE monitors PDCCH on a cell according to </w:t>
            </w:r>
            <w:r>
              <w:rPr>
                <w:lang w:eastAsia="ko-KR"/>
              </w:rPr>
              <w:t xml:space="preserve">combination </w:t>
            </w:r>
            <w:r>
              <w:rPr>
                <w:rFonts w:cs="Calibri"/>
                <w:iCs/>
                <w:lang w:eastAsia="zh-CN"/>
              </w:rPr>
              <w:t>(X,Y)</w:t>
            </w:r>
            <w:r>
              <w:rPr>
                <w:lang w:eastAsia="zh-CN"/>
              </w:rPr>
              <w:t xml:space="preserve">, </w:t>
            </w:r>
            <w:r>
              <w:t xml:space="preserve">the UE supports PDCCH monitoring occasions in any symbol of a slot with minimum time separation of X symbols between the first symbol of two consecutive spans, including across slots. </w:t>
            </w:r>
            <w:r>
              <w:rPr>
                <w:color w:val="000000"/>
              </w:rPr>
              <w:t>A span starts at a first symbol where a PDCCH monitoring occasion starts and ends at a last symbol where a PDCCH monitoring occasion ends, where the number of symbols of the span is up to Y.</w:t>
            </w:r>
          </w:p>
          <w:p>
            <w:pPr>
              <w:widowControl w:val="0"/>
              <w:jc w:val="both"/>
              <w:rPr>
                <w:color w:val="000000"/>
              </w:rPr>
            </w:pPr>
            <w:r>
              <w:rPr>
                <w:color w:val="000000"/>
              </w:rPr>
              <w:t xml:space="preserve">With some little modification, for example, change the unit of X/Y from symbol to slot, a multi-slot PDCCH monitoring span can be defined. That is a span contains X slots and the PDCCH monitoring occasion are located in the first Y slots within the X slots. For SCS 480/960kHz, from our point of view, it is necessary to have this </w:t>
            </w:r>
            <w:r>
              <w:rPr>
                <w:rFonts w:cs="Calibri"/>
                <w:iCs/>
                <w:lang w:eastAsia="zh-CN"/>
              </w:rPr>
              <w:t xml:space="preserve">multi-slot span (X/Y) </w:t>
            </w:r>
            <w:r>
              <w:rPr>
                <w:rFonts w:hint="eastAsia" w:cs="Calibri"/>
                <w:iCs/>
                <w:lang w:eastAsia="zh-CN"/>
              </w:rPr>
              <w:t>to</w:t>
            </w:r>
            <w:r>
              <w:rPr>
                <w:rFonts w:cs="Calibri"/>
                <w:iCs/>
                <w:lang w:eastAsia="zh-CN"/>
              </w:rPr>
              <w:t xml:space="preserve"> allow sparse PDCCH monitoring in every X slots. For SCS 120kHz, since the current spec already support it with single slot PDCCH monitoring capability, multi-slot span PDCCH monitoring is not that necessary compared to </w:t>
            </w:r>
            <w:r>
              <w:rPr>
                <w:color w:val="000000"/>
              </w:rPr>
              <w:t>480/960kHz.</w:t>
            </w:r>
          </w:p>
          <w:p>
            <w:pPr>
              <w:pStyle w:val="30"/>
              <w:widowControl w:val="0"/>
              <w:spacing w:before="120" w:beforeLines="50"/>
              <w:rPr>
                <w:lang w:eastAsia="zh-CN"/>
              </w:rPr>
            </w:pPr>
            <w:r>
              <w:rPr>
                <w:b/>
                <w:i/>
                <w:lang w:eastAsia="zh-CN"/>
              </w:rPr>
              <w:t>Proposal 3: Similar PDCCH monitoring span (X/Y) as in R16 URLLC can be considered for NR 52.6-71GHz by modifying the unit of X/Y from symbol to slot.</w:t>
            </w:r>
          </w:p>
          <w:p>
            <w:pPr>
              <w:pStyle w:val="30"/>
              <w:widowControl w:val="0"/>
              <w:spacing w:before="120" w:beforeLines="50"/>
              <w:rPr>
                <w:lang w:eastAsia="zh-CN"/>
              </w:rPr>
            </w:pPr>
            <w:r>
              <w:rPr>
                <w:b/>
                <w:i/>
                <w:lang w:eastAsia="zh-CN"/>
              </w:rPr>
              <w:t>Proposal 4: It is necessary to define multi-slot span (X/Y) to allow sparse PDCCH monitoring in every X slots for the newly introduced SCS 480/960kHz.</w:t>
            </w:r>
          </w:p>
          <w:p>
            <w:pPr>
              <w:pStyle w:val="30"/>
              <w:widowControl w:val="0"/>
              <w:spacing w:before="120" w:beforeLines="50"/>
              <w:rPr>
                <w:lang w:eastAsia="zh-CN"/>
              </w:rPr>
            </w:pPr>
            <w:r>
              <w:rPr>
                <w:rFonts w:cs="Calibri"/>
                <w:iCs/>
                <w:lang w:eastAsia="zh-CN"/>
              </w:rPr>
              <w:t xml:space="preserve">However, </w:t>
            </w:r>
            <w:r>
              <w:rPr>
                <w:rFonts w:hint="eastAsia" w:cs="Calibri"/>
                <w:iCs/>
                <w:lang w:eastAsia="zh-CN"/>
              </w:rPr>
              <w:t>compared</w:t>
            </w:r>
            <w:r>
              <w:rPr>
                <w:rFonts w:cs="Calibri"/>
                <w:iCs/>
                <w:lang w:eastAsia="zh-CN"/>
              </w:rPr>
              <w:t xml:space="preserve"> with defining PDCCH monitoring capability per single slot, defining PDCCH monitoring capability per multi-slot span would allow </w:t>
            </w:r>
            <w:r>
              <w:rPr>
                <w:rFonts w:hint="eastAsia" w:cs="Calibri"/>
                <w:iCs/>
                <w:lang w:eastAsia="zh-CN"/>
              </w:rPr>
              <w:t>g</w:t>
            </w:r>
            <w:r>
              <w:rPr>
                <w:rFonts w:cs="Calibri"/>
                <w:iCs/>
                <w:lang w:eastAsia="zh-CN"/>
              </w:rPr>
              <w:t xml:space="preserve">NB </w:t>
            </w:r>
            <w:r>
              <w:rPr>
                <w:rFonts w:hint="eastAsia" w:cs="Calibri"/>
                <w:iCs/>
                <w:lang w:eastAsia="zh-CN"/>
              </w:rPr>
              <w:t>scheduling</w:t>
            </w:r>
            <w:r>
              <w:rPr>
                <w:rFonts w:cs="Calibri"/>
                <w:iCs/>
                <w:lang w:eastAsia="zh-CN"/>
              </w:rPr>
              <w:t xml:space="preserve"> DCI </w:t>
            </w:r>
            <w:r>
              <w:rPr>
                <w:rFonts w:hint="eastAsia" w:cs="Calibri"/>
                <w:iCs/>
                <w:lang w:eastAsia="zh-CN"/>
              </w:rPr>
              <w:t>in</w:t>
            </w:r>
            <w:r>
              <w:rPr>
                <w:rFonts w:cs="Calibri"/>
                <w:iCs/>
                <w:lang w:eastAsia="zh-CN"/>
              </w:rPr>
              <w:t xml:space="preserve"> a bursty way, for example when X=8,Y=1. And it may cause the UE to spend more time on decoding all the DCIs scheduled </w:t>
            </w:r>
            <w:r>
              <w:rPr>
                <w:rFonts w:hint="eastAsia" w:cs="Calibri"/>
                <w:iCs/>
                <w:lang w:eastAsia="zh-CN"/>
              </w:rPr>
              <w:t>in</w:t>
            </w:r>
            <w:r>
              <w:rPr>
                <w:rFonts w:cs="Calibri"/>
                <w:iCs/>
                <w:lang w:eastAsia="zh-CN"/>
              </w:rPr>
              <w:t xml:space="preserve"> a DCI</w:t>
            </w:r>
            <w:r>
              <w:rPr>
                <w:rFonts w:hint="eastAsia" w:cs="Calibri"/>
                <w:iCs/>
                <w:lang w:eastAsia="zh-CN"/>
              </w:rPr>
              <w:t>s</w:t>
            </w:r>
            <w:r>
              <w:rPr>
                <w:rFonts w:cs="Calibri"/>
                <w:iCs/>
                <w:lang w:eastAsia="zh-CN"/>
              </w:rPr>
              <w:t xml:space="preserve"> burst, which will increase the total processing time for the scheduled PDSCH/PUSCH since UE has to decoding the DCI first. F</w:t>
            </w:r>
            <w:r>
              <w:rPr>
                <w:rFonts w:hint="eastAsia" w:cs="Calibri"/>
                <w:iCs/>
                <w:lang w:eastAsia="zh-CN"/>
              </w:rPr>
              <w:t>or</w:t>
            </w:r>
            <w:r>
              <w:rPr>
                <w:rFonts w:cs="Calibri"/>
                <w:iCs/>
                <w:lang w:eastAsia="zh-CN"/>
              </w:rPr>
              <w:t xml:space="preserve"> </w:t>
            </w:r>
            <w:r>
              <w:rPr>
                <w:rFonts w:hint="eastAsia" w:cs="Calibri"/>
                <w:iCs/>
                <w:lang w:eastAsia="zh-CN"/>
              </w:rPr>
              <w:t>example</w:t>
            </w:r>
            <w:r>
              <w:rPr>
                <w:rFonts w:cs="Calibri"/>
                <w:iCs/>
                <w:lang w:eastAsia="zh-CN"/>
              </w:rPr>
              <w:t xml:space="preserve">, with maximum number of B1/C1 of </w:t>
            </w:r>
            <w:r>
              <w:rPr>
                <w:lang w:eastAsia="zh-CN"/>
              </w:rPr>
              <w:t xml:space="preserve">BDs/CCEs for PDCCH monitoring per single slot, UE </w:t>
            </w:r>
            <w:r>
              <w:rPr>
                <w:rFonts w:hint="eastAsia"/>
                <w:lang w:eastAsia="zh-CN"/>
              </w:rPr>
              <w:t>is</w:t>
            </w:r>
            <w:r>
              <w:rPr>
                <w:lang w:eastAsia="zh-CN"/>
              </w:rPr>
              <w:t xml:space="preserve"> </w:t>
            </w:r>
            <w:r>
              <w:rPr>
                <w:rFonts w:hint="eastAsia"/>
                <w:lang w:eastAsia="zh-CN"/>
              </w:rPr>
              <w:t xml:space="preserve">able </w:t>
            </w:r>
            <w:r>
              <w:rPr>
                <w:lang w:eastAsia="zh-CN"/>
              </w:rPr>
              <w:t xml:space="preserve">to decode the </w:t>
            </w:r>
            <w:r>
              <w:rPr>
                <w:rFonts w:hint="eastAsia"/>
                <w:lang w:eastAsia="zh-CN"/>
              </w:rPr>
              <w:t>all</w:t>
            </w:r>
            <w:r>
              <w:rPr>
                <w:lang w:eastAsia="zh-CN"/>
              </w:rPr>
              <w:t xml:space="preserve"> the DCIs </w:t>
            </w:r>
            <w:r>
              <w:rPr>
                <w:rFonts w:hint="eastAsia"/>
                <w:lang w:eastAsia="zh-CN"/>
              </w:rPr>
              <w:t>in</w:t>
            </w:r>
            <w:r>
              <w:rPr>
                <w:lang w:eastAsia="zh-CN"/>
              </w:rPr>
              <w:t xml:space="preserve"> PDCCH in 1 symbol from the end of the PDCCH. But with </w:t>
            </w:r>
            <w:r>
              <w:rPr>
                <w:rFonts w:cs="Calibri"/>
                <w:iCs/>
                <w:lang w:eastAsia="zh-CN"/>
              </w:rPr>
              <w:t xml:space="preserve">maximum number of 4*B1/4*C1 of </w:t>
            </w:r>
            <w:r>
              <w:rPr>
                <w:lang w:eastAsia="zh-CN"/>
              </w:rPr>
              <w:t xml:space="preserve">BDs/CCEs for PDCCH monitoring per multi-slot span (4/1) and </w:t>
            </w:r>
            <w:r>
              <w:rPr>
                <w:rFonts w:hint="eastAsia" w:cs="Calibri"/>
                <w:iCs/>
                <w:lang w:eastAsia="zh-CN"/>
              </w:rPr>
              <w:t>g</w:t>
            </w:r>
            <w:r>
              <w:rPr>
                <w:rFonts w:cs="Calibri"/>
                <w:iCs/>
                <w:lang w:eastAsia="zh-CN"/>
              </w:rPr>
              <w:t xml:space="preserve">NB </w:t>
            </w:r>
            <w:r>
              <w:rPr>
                <w:rFonts w:hint="eastAsia" w:cs="Calibri"/>
                <w:iCs/>
                <w:lang w:eastAsia="zh-CN"/>
              </w:rPr>
              <w:t>scheduling</w:t>
            </w:r>
            <w:r>
              <w:rPr>
                <w:rFonts w:cs="Calibri"/>
                <w:iCs/>
                <w:lang w:eastAsia="zh-CN"/>
              </w:rPr>
              <w:t xml:space="preserve"> DCI </w:t>
            </w:r>
            <w:r>
              <w:rPr>
                <w:rFonts w:hint="eastAsia" w:cs="Calibri"/>
                <w:iCs/>
                <w:lang w:eastAsia="zh-CN"/>
              </w:rPr>
              <w:t>in</w:t>
            </w:r>
            <w:r>
              <w:rPr>
                <w:rFonts w:cs="Calibri"/>
                <w:iCs/>
                <w:lang w:eastAsia="zh-CN"/>
              </w:rPr>
              <w:t xml:space="preserve"> a bursty way, UE may need extra 2 symbols to guarantee </w:t>
            </w:r>
            <w:r>
              <w:rPr>
                <w:lang w:eastAsia="zh-CN"/>
              </w:rPr>
              <w:t xml:space="preserve">to decode the </w:t>
            </w:r>
            <w:r>
              <w:rPr>
                <w:rFonts w:hint="eastAsia"/>
                <w:lang w:eastAsia="zh-CN"/>
              </w:rPr>
              <w:t>all</w:t>
            </w:r>
            <w:r>
              <w:rPr>
                <w:lang w:eastAsia="zh-CN"/>
              </w:rPr>
              <w:t xml:space="preserve"> the DCIs </w:t>
            </w:r>
            <w:r>
              <w:rPr>
                <w:rFonts w:hint="eastAsia"/>
                <w:lang w:eastAsia="zh-CN"/>
              </w:rPr>
              <w:t>in</w:t>
            </w:r>
            <w:r>
              <w:rPr>
                <w:lang w:eastAsia="zh-CN"/>
              </w:rPr>
              <w:t xml:space="preserve"> PDCCH</w:t>
            </w:r>
            <w:r>
              <w:rPr>
                <w:rFonts w:hint="eastAsia"/>
                <w:lang w:eastAsia="zh-CN"/>
              </w:rPr>
              <w:t>,</w:t>
            </w:r>
            <w:r>
              <w:rPr>
                <w:lang w:eastAsia="zh-CN"/>
              </w:rPr>
              <w:t xml:space="preserve"> thus cause the decoding time of PDSCH(N1) and preparation time of PUSCH(N2) </w:t>
            </w:r>
            <w:r>
              <w:rPr>
                <w:rFonts w:hint="eastAsia"/>
                <w:lang w:eastAsia="zh-CN"/>
              </w:rPr>
              <w:t>may</w:t>
            </w:r>
            <w:r>
              <w:rPr>
                <w:lang w:eastAsia="zh-CN"/>
              </w:rPr>
              <w:t xml:space="preserve"> </w:t>
            </w:r>
            <w:r>
              <w:rPr>
                <w:rFonts w:hint="eastAsia"/>
                <w:lang w:eastAsia="zh-CN"/>
              </w:rPr>
              <w:t>need</w:t>
            </w:r>
            <w:r>
              <w:rPr>
                <w:lang w:eastAsia="zh-CN"/>
              </w:rPr>
              <w:t xml:space="preserve"> </w:t>
            </w:r>
            <w:r>
              <w:rPr>
                <w:rFonts w:hint="eastAsia"/>
                <w:lang w:eastAsia="zh-CN"/>
              </w:rPr>
              <w:t>to</w:t>
            </w:r>
            <w:r>
              <w:rPr>
                <w:lang w:eastAsia="zh-CN"/>
              </w:rPr>
              <w:t xml:space="preserve"> be extended as well.</w:t>
            </w:r>
          </w:p>
          <w:p>
            <w:pPr>
              <w:pStyle w:val="30"/>
              <w:widowControl w:val="0"/>
              <w:spacing w:before="120" w:beforeLines="50"/>
              <w:rPr>
                <w:b/>
                <w:i/>
                <w:lang w:eastAsia="zh-CN"/>
              </w:rPr>
            </w:pPr>
            <w:r>
              <w:rPr>
                <w:b/>
                <w:i/>
                <w:lang w:eastAsia="zh-CN"/>
              </w:rPr>
              <w:t>Proposal 5: Impacts on PDSCH/PUSCH processing time(N1/N2) may need be considered if defining maximum number of BDs/CCEs for multi-slot span PDCCH monitoring .</w:t>
            </w:r>
          </w:p>
          <w:p>
            <w:pPr>
              <w:widowControl w:val="0"/>
              <w:jc w:val="both"/>
              <w:rPr>
                <w:b/>
                <w:i/>
                <w:iCs/>
              </w:rPr>
            </w:pPr>
          </w:p>
        </w:tc>
      </w:tr>
    </w:tbl>
    <w:p>
      <w:pPr>
        <w:rPr>
          <w:lang w:eastAsia="zh-CN"/>
        </w:rPr>
      </w:pPr>
    </w:p>
    <w:p>
      <w:pPr>
        <w:pStyle w:val="4"/>
        <w:jc w:val="both"/>
        <w:rPr>
          <w:lang w:val="en-GB" w:eastAsia="zh-CN"/>
        </w:rPr>
      </w:pPr>
      <w:r>
        <w:rPr>
          <w:lang w:val="en-GB" w:eastAsia="zh-CN"/>
        </w:rPr>
        <w:t>R1-2101195 (Samsung)</w:t>
      </w:r>
    </w:p>
    <w:tbl>
      <w:tblPr>
        <w:tblStyle w:val="52"/>
        <w:tblW w:w="145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vAlign w:val="center"/>
          </w:tcPr>
          <w:p>
            <w:pPr>
              <w:widowControl w:val="0"/>
              <w:jc w:val="both"/>
              <w:rPr>
                <w:rFonts w:cs="Arial"/>
                <w:b/>
                <w:bCs/>
                <w:kern w:val="2"/>
                <w:u w:val="single"/>
                <w:lang w:eastAsia="ja-JP"/>
              </w:rPr>
            </w:pPr>
            <w:r>
              <w:rPr>
                <w:rFonts w:cs="Arial"/>
                <w:b/>
                <w:bCs/>
                <w:kern w:val="2"/>
                <w:u w:val="single"/>
                <w:lang w:eastAsia="ja-JP"/>
              </w:rPr>
              <w:t xml:space="preserve">Observation 1: </w:t>
            </w:r>
            <w:r>
              <w:rPr>
                <w:rFonts w:cs="Arial"/>
                <w:bCs/>
                <w:kern w:val="2"/>
                <w:u w:val="single"/>
                <w:lang w:eastAsia="ja-JP"/>
              </w:rPr>
              <w:t>New BD and CCE limits with high SCS (480KHz and 960KHz) for NR from 52.6 GHz to 71 GHz is needed.</w:t>
            </w:r>
            <w:r>
              <w:rPr>
                <w:rFonts w:cs="Arial"/>
                <w:b/>
                <w:bCs/>
                <w:kern w:val="2"/>
                <w:u w:val="single"/>
                <w:lang w:eastAsia="ja-JP"/>
              </w:rPr>
              <w:t xml:space="preserve"> </w:t>
            </w:r>
          </w:p>
          <w:p>
            <w:pPr>
              <w:widowControl w:val="0"/>
              <w:jc w:val="both"/>
              <w:rPr>
                <w:rFonts w:eastAsia="Malgun Gothic"/>
                <w:b/>
                <w:szCs w:val="20"/>
                <w:lang w:eastAsia="ko-KR"/>
              </w:rPr>
            </w:pPr>
            <w:r>
              <w:rPr>
                <w:rFonts w:cs="Arial"/>
                <w:b/>
                <w:bCs/>
                <w:kern w:val="2"/>
                <w:u w:val="single"/>
                <w:lang w:eastAsia="ja-JP"/>
              </w:rPr>
              <w:t xml:space="preserve">Observation 2: </w:t>
            </w:r>
            <w:r>
              <w:rPr>
                <w:rFonts w:cs="Arial"/>
                <w:bCs/>
                <w:kern w:val="2"/>
                <w:u w:val="single"/>
                <w:lang w:eastAsia="ja-JP"/>
              </w:rPr>
              <w:t>PDCCH monitoring burden is high due to short TTI at high SCS (480KHz and 960KHz).</w:t>
            </w:r>
          </w:p>
          <w:p>
            <w:pPr>
              <w:widowControl w:val="0"/>
              <w:rPr>
                <w:rFonts w:eastAsia="MS Mincho" w:cs="Arial"/>
                <w:kern w:val="2"/>
                <w:szCs w:val="20"/>
                <w:lang w:eastAsia="ja-JP"/>
              </w:rPr>
            </w:pPr>
            <w:r>
              <w:rPr>
                <w:rFonts w:eastAsia="MS Mincho" w:cs="Arial"/>
                <w:kern w:val="2"/>
                <w:szCs w:val="20"/>
                <w:lang w:eastAsia="ja-JP"/>
              </w:rPr>
              <w:t xml:space="preserve">Follow the same principle from Rel-16, a combination (X, Y) can be reused, such that X limits the PDCCH monitoring gap, while Y limits a PDCCH monitoring duration.  Both X and Y can be extended from a number of symbols to a number of slots. The minimum PDCCH monitoring gap X should be larger than one slot, so that UE can distribute PDCCH processing/monitoring burden over multiple slots. For maximum PDCCH monitoring span, Y, the applicable value for Y can be same as Rel-15, i.e. one slot, slot-based PDCCH monitoring. Alternatively, Y can also be multiple slots to provide more PDCCH monitoring occasions and higher scheduling flexibility to NW. As UE expects much narrower beam direction </w:t>
            </w:r>
            <w:r>
              <w:rPr>
                <w:rFonts w:eastAsia="宋体"/>
                <w:lang w:eastAsia="zh-CN"/>
              </w:rPr>
              <w:t xml:space="preserve">from 52.6GHz to 71GHz compared with FR1 or FR2, the additional occasions when Y </w:t>
            </w:r>
            <w:r>
              <w:rPr>
                <w:rFonts w:eastAsia="MS Mincho" w:cs="Arial"/>
                <w:kern w:val="2"/>
                <w:szCs w:val="20"/>
                <w:lang w:eastAsia="ja-JP"/>
              </w:rPr>
              <w:t xml:space="preserve">is larger than one slot can be used to for PDCCH receptions associated with different beam directions. </w:t>
            </w:r>
          </w:p>
          <w:p>
            <w:pPr>
              <w:widowControl w:val="0"/>
              <w:rPr>
                <w:rFonts w:eastAsia="MS Mincho" w:cs="Arial"/>
                <w:kern w:val="2"/>
                <w:szCs w:val="20"/>
                <w:lang w:eastAsia="ja-JP"/>
              </w:rPr>
            </w:pPr>
            <w:r>
              <w:rPr>
                <w:rFonts w:eastAsia="MS Mincho" w:cs="Arial"/>
                <w:kern w:val="2"/>
                <w:szCs w:val="20"/>
                <w:lang w:eastAsia="ja-JP"/>
              </w:rPr>
              <w:t xml:space="preserve">In practice, UE can support multiple applicable values for combination (X, Y). The larger X value is, the more PDCCH monitoring burden reduction UE achieves. To provide more configuration or scheduling flexibility to NW, multiple combinations of (X, Y) can be supported for multi-slot span based PDCCH monitoring at high SCS, such as 480KHz and 960KHz. The combination (X, Y) can either be determined based on UE capability or predetermined for applicable SCS configurations, such as </w:t>
            </w:r>
            <w:r>
              <w:rPr>
                <w:rFonts w:eastAsia="宋体"/>
                <w:lang w:eastAsia="zh-CN"/>
              </w:rPr>
              <w:t xml:space="preserve">, </w:t>
            </w:r>
            <m:oMath>
              <m:r>
                <w:rPr>
                  <w:rFonts w:ascii="Cambria Math" w:hAnsi="Cambria Math" w:eastAsia="宋体"/>
                  <w:lang w:eastAsia="zh-CN"/>
                </w:rPr>
                <m:t>μ=5,or 6</m:t>
              </m:r>
            </m:oMath>
            <w:r>
              <w:rPr>
                <w:rFonts w:eastAsia="宋体"/>
                <w:lang w:eastAsia="zh-CN"/>
              </w:rPr>
              <w:t>.</w:t>
            </w:r>
          </w:p>
          <w:p>
            <w:pPr>
              <w:widowControl w:val="0"/>
              <w:rPr>
                <w:b/>
                <w:u w:val="single"/>
              </w:rPr>
            </w:pPr>
            <w:r>
              <w:rPr>
                <w:b/>
                <w:u w:val="single"/>
              </w:rPr>
              <w:t>Proposal 1: Support multi-slot span based PDCCH monitoring based on combination (X, Y), where the minimum PDCCH monitoring gap X is larger than one slot, and the maximum PDCCH monitoring span Y is one or more slots, for SCS of 480KHz and 960KHz.</w:t>
            </w:r>
          </w:p>
          <w:p>
            <w:pPr>
              <w:widowControl w:val="0"/>
              <w:jc w:val="both"/>
              <w:rPr>
                <w:rFonts w:eastAsia="MS Mincho" w:cs="Arial"/>
                <w:kern w:val="2"/>
                <w:szCs w:val="20"/>
                <w:lang w:eastAsia="ja-JP"/>
              </w:rPr>
            </w:pPr>
            <w:r>
              <w:rPr>
                <w:rFonts w:eastAsia="MS Mincho" w:cs="Arial"/>
                <w:kern w:val="2"/>
                <w:szCs w:val="20"/>
                <w:lang w:eastAsia="ja-JP"/>
              </w:rPr>
              <w:t xml:space="preserve">However, there are some potential issues with multi-slot span based PDCCH monitoring. Firstly, the extended span gap will increase latency. A scheduling delay of (X - Y) slots can be large for some cases, such that X is much larger than Y, or Y is small, e.g. 1. In addition, there will be some loss of data rate if only single PDSCH/PUSCH scheduling per slot is supported. To overcome those issues, adaptation on combination (X, Y) can be considered when a UE is capable of supporting multiple combinations (X, Y). For example, when a UE reports a capability of multiple combinations (X, Y), the UE can be indicated with a selected combination (X, Y) from the multiple combinations based on L1 signaling. The UE can deactivate or activated some PDCCH monitoring occasions according to the PDCCH configuration limitations based on the selected combination (X, Y). Meanwhile, UE can perform joint adaptation on maximum number of BDs based on the indicated (X, Y), if the BD/CCE budget is defined per combination (X, Y), </w:t>
            </w:r>
          </w:p>
          <w:p>
            <w:pPr>
              <w:widowControl w:val="0"/>
              <w:jc w:val="both"/>
              <w:rPr>
                <w:rFonts w:eastAsia="MS Mincho" w:cs="Arial"/>
                <w:kern w:val="2"/>
                <w:szCs w:val="20"/>
                <w:lang w:eastAsia="ja-JP"/>
              </w:rPr>
            </w:pPr>
            <w:r>
              <w:rPr>
                <w:rFonts w:eastAsia="MS Mincho" w:cs="Arial"/>
                <w:kern w:val="2"/>
                <w:szCs w:val="20"/>
                <w:lang w:eastAsia="ja-JP"/>
              </w:rPr>
              <w:t xml:space="preserve">In addition, a UE can report its preferred minimum multi-slot span gap, X, and/or maximum multi-slot span Y according to UE requirements on power savings, latency, and data rate. </w:t>
            </w:r>
          </w:p>
          <w:p>
            <w:pPr>
              <w:widowControl w:val="0"/>
              <w:rPr>
                <w:b/>
                <w:u w:val="single"/>
              </w:rPr>
            </w:pPr>
            <w:r>
              <w:rPr>
                <w:b/>
                <w:u w:val="single"/>
              </w:rPr>
              <w:t>Proposal 2: Support adaptation and UE assistance information report for X and/or Y when UE supports multiple combinations (X, Y).</w:t>
            </w:r>
          </w:p>
          <w:p>
            <w:pPr>
              <w:widowControl w:val="0"/>
              <w:jc w:val="both"/>
              <w:rPr>
                <w:rFonts w:eastAsia="MS Mincho" w:cs="Arial"/>
                <w:kern w:val="2"/>
                <w:szCs w:val="20"/>
                <w:lang w:eastAsia="ja-JP"/>
              </w:rPr>
            </w:pPr>
            <w:r>
              <w:rPr>
                <w:rFonts w:eastAsia="MS Mincho" w:cs="Arial"/>
                <w:kern w:val="2"/>
                <w:szCs w:val="20"/>
                <w:lang w:eastAsia="ja-JP"/>
              </w:rPr>
              <w:t xml:space="preserve">As </w:t>
            </w:r>
            <m:oMath>
              <m:sSubSup>
                <m:sSubSupPr>
                  <m:ctrlPr>
                    <w:rPr>
                      <w:rFonts w:ascii="Cambria Math" w:hAnsi="Cambria Math" w:eastAsia="MS Mincho" w:cs="Arial"/>
                      <w:kern w:val="2"/>
                      <w:szCs w:val="20"/>
                      <w:lang w:eastAsia="ja-JP"/>
                    </w:rPr>
                  </m:ctrlPr>
                </m:sSubSupPr>
                <m:e>
                  <m:r>
                    <w:rPr>
                      <w:rFonts w:ascii="Cambria Math" w:hAnsi="Cambria Math" w:eastAsia="MS Mincho" w:cs="Arial"/>
                      <w:kern w:val="2"/>
                      <w:szCs w:val="20"/>
                      <w:lang w:eastAsia="ja-JP"/>
                    </w:rPr>
                    <m:t>M</m:t>
                  </m:r>
                  <m:ctrlPr>
                    <w:rPr>
                      <w:rFonts w:ascii="Cambria Math" w:hAnsi="Cambria Math" w:eastAsia="MS Mincho" w:cs="Arial"/>
                      <w:kern w:val="2"/>
                      <w:szCs w:val="20"/>
                      <w:lang w:eastAsia="ja-JP"/>
                    </w:rPr>
                  </m:ctrlPr>
                </m:e>
                <m:sub>
                  <m:r>
                    <w:rPr>
                      <w:rFonts w:ascii="Cambria Math" w:hAnsi="Cambria Math" w:eastAsia="MS Mincho" w:cs="Arial"/>
                      <w:kern w:val="2"/>
                      <w:szCs w:val="20"/>
                      <w:lang w:eastAsia="ja-JP"/>
                    </w:rPr>
                    <m:t>PDCCH</m:t>
                  </m:r>
                  <m:ctrlPr>
                    <w:rPr>
                      <w:rFonts w:ascii="Cambria Math" w:hAnsi="Cambria Math" w:eastAsia="MS Mincho" w:cs="Arial"/>
                      <w:kern w:val="2"/>
                      <w:szCs w:val="20"/>
                      <w:lang w:eastAsia="ja-JP"/>
                    </w:rPr>
                  </m:ctrlPr>
                </m:sub>
                <m:sup>
                  <m:r>
                    <w:rPr>
                      <w:rFonts w:ascii="Cambria Math" w:hAnsi="Cambria Math" w:eastAsia="MS Mincho" w:cs="Arial"/>
                      <w:kern w:val="2"/>
                      <w:szCs w:val="20"/>
                      <w:lang w:eastAsia="ja-JP"/>
                    </w:rPr>
                    <m:t>max</m:t>
                  </m:r>
                  <m:r>
                    <m:rPr>
                      <m:sty m:val="p"/>
                    </m:rPr>
                    <w:rPr>
                      <w:rFonts w:ascii="Cambria Math" w:hAnsi="Cambria Math" w:eastAsia="MS Mincho" w:cs="Arial"/>
                      <w:kern w:val="2"/>
                      <w:szCs w:val="20"/>
                      <w:lang w:eastAsia="ja-JP"/>
                    </w:rPr>
                    <m:t>,</m:t>
                  </m:r>
                  <m:r>
                    <w:rPr>
                      <w:rFonts w:ascii="Cambria Math" w:hAnsi="Cambria Math" w:eastAsia="MS Mincho" w:cs="Arial"/>
                      <w:kern w:val="2"/>
                      <w:szCs w:val="20"/>
                      <w:lang w:eastAsia="ja-JP"/>
                    </w:rPr>
                    <m:t>slot</m:t>
                  </m:r>
                  <m:r>
                    <m:rPr>
                      <m:sty m:val="p"/>
                    </m:rPr>
                    <w:rPr>
                      <w:rFonts w:ascii="Cambria Math" w:hAnsi="Cambria Math" w:eastAsia="MS Mincho" w:cs="Arial"/>
                      <w:kern w:val="2"/>
                      <w:szCs w:val="20"/>
                      <w:lang w:eastAsia="ja-JP"/>
                    </w:rPr>
                    <m:t>, </m:t>
                  </m:r>
                  <m:r>
                    <w:rPr>
                      <w:rFonts w:ascii="Cambria Math" w:hAnsi="Cambria Math" w:eastAsia="MS Mincho" w:cs="Arial"/>
                      <w:kern w:val="2"/>
                      <w:szCs w:val="20"/>
                      <w:lang w:eastAsia="ja-JP"/>
                    </w:rPr>
                    <m:t>μ</m:t>
                  </m:r>
                  <m:ctrlPr>
                    <w:rPr>
                      <w:rFonts w:ascii="Cambria Math" w:hAnsi="Cambria Math" w:eastAsia="MS Mincho" w:cs="Arial"/>
                      <w:kern w:val="2"/>
                      <w:szCs w:val="20"/>
                      <w:lang w:eastAsia="ja-JP"/>
                    </w:rPr>
                  </m:ctrlPr>
                </m:sup>
              </m:sSubSup>
            </m:oMath>
            <w:r>
              <w:rPr>
                <w:rFonts w:eastAsia="MS Mincho" w:cs="Arial"/>
                <w:kern w:val="2"/>
                <w:szCs w:val="20"/>
                <w:lang w:eastAsia="ja-JP"/>
              </w:rPr>
              <w:t xml:space="preserve"> and </w:t>
            </w:r>
            <m:oMath>
              <m:sSubSup>
                <m:sSubSupPr>
                  <m:ctrlPr>
                    <w:rPr>
                      <w:rFonts w:ascii="Cambria Math" w:hAnsi="Cambria Math" w:eastAsia="MS Mincho" w:cs="Arial"/>
                      <w:kern w:val="2"/>
                      <w:szCs w:val="20"/>
                      <w:lang w:eastAsia="ja-JP"/>
                    </w:rPr>
                  </m:ctrlPr>
                </m:sSubSupPr>
                <m:e>
                  <m:r>
                    <w:rPr>
                      <w:rFonts w:ascii="Cambria Math" w:hAnsi="Cambria Math" w:eastAsia="MS Mincho" w:cs="Arial"/>
                      <w:kern w:val="2"/>
                      <w:szCs w:val="20"/>
                      <w:lang w:eastAsia="ja-JP"/>
                    </w:rPr>
                    <m:t>C</m:t>
                  </m:r>
                  <m:ctrlPr>
                    <w:rPr>
                      <w:rFonts w:ascii="Cambria Math" w:hAnsi="Cambria Math" w:eastAsia="MS Mincho" w:cs="Arial"/>
                      <w:kern w:val="2"/>
                      <w:szCs w:val="20"/>
                      <w:lang w:eastAsia="ja-JP"/>
                    </w:rPr>
                  </m:ctrlPr>
                </m:e>
                <m:sub>
                  <m:r>
                    <w:rPr>
                      <w:rFonts w:ascii="Cambria Math" w:hAnsi="Cambria Math" w:eastAsia="MS Mincho" w:cs="Arial"/>
                      <w:kern w:val="2"/>
                      <w:szCs w:val="20"/>
                      <w:lang w:eastAsia="ja-JP"/>
                    </w:rPr>
                    <m:t>PDCCH</m:t>
                  </m:r>
                  <m:ctrlPr>
                    <w:rPr>
                      <w:rFonts w:ascii="Cambria Math" w:hAnsi="Cambria Math" w:eastAsia="MS Mincho" w:cs="Arial"/>
                      <w:kern w:val="2"/>
                      <w:szCs w:val="20"/>
                      <w:lang w:eastAsia="ja-JP"/>
                    </w:rPr>
                  </m:ctrlPr>
                </m:sub>
                <m:sup>
                  <m:r>
                    <w:rPr>
                      <w:rFonts w:ascii="Cambria Math" w:hAnsi="Cambria Math" w:eastAsia="MS Mincho" w:cs="Arial"/>
                      <w:kern w:val="2"/>
                      <w:szCs w:val="20"/>
                      <w:lang w:eastAsia="ja-JP"/>
                    </w:rPr>
                    <m:t>max</m:t>
                  </m:r>
                  <m:r>
                    <m:rPr>
                      <m:sty m:val="p"/>
                    </m:rPr>
                    <w:rPr>
                      <w:rFonts w:ascii="Cambria Math" w:hAnsi="Cambria Math" w:eastAsia="MS Mincho" w:cs="Arial"/>
                      <w:kern w:val="2"/>
                      <w:szCs w:val="20"/>
                      <w:lang w:eastAsia="ja-JP"/>
                    </w:rPr>
                    <m:t>,</m:t>
                  </m:r>
                  <m:r>
                    <w:rPr>
                      <w:rFonts w:ascii="Cambria Math" w:hAnsi="Cambria Math" w:eastAsia="MS Mincho" w:cs="Arial"/>
                      <w:kern w:val="2"/>
                      <w:szCs w:val="20"/>
                      <w:lang w:eastAsia="ja-JP"/>
                    </w:rPr>
                    <m:t>slot</m:t>
                  </m:r>
                  <m:r>
                    <m:rPr>
                      <m:sty m:val="p"/>
                    </m:rPr>
                    <w:rPr>
                      <w:rFonts w:ascii="Cambria Math" w:hAnsi="Cambria Math" w:eastAsia="MS Mincho" w:cs="Arial"/>
                      <w:kern w:val="2"/>
                      <w:szCs w:val="20"/>
                      <w:lang w:eastAsia="ja-JP"/>
                    </w:rPr>
                    <m:t>, </m:t>
                  </m:r>
                  <m:r>
                    <w:rPr>
                      <w:rFonts w:ascii="Cambria Math" w:hAnsi="Cambria Math" w:eastAsia="MS Mincho" w:cs="Arial"/>
                      <w:kern w:val="2"/>
                      <w:szCs w:val="20"/>
                      <w:lang w:eastAsia="ja-JP"/>
                    </w:rPr>
                    <m:t>μ</m:t>
                  </m:r>
                  <m:ctrlPr>
                    <w:rPr>
                      <w:rFonts w:ascii="Cambria Math" w:hAnsi="Cambria Math" w:eastAsia="MS Mincho" w:cs="Arial"/>
                      <w:kern w:val="2"/>
                      <w:szCs w:val="20"/>
                      <w:lang w:eastAsia="ja-JP"/>
                    </w:rPr>
                  </m:ctrlPr>
                </m:sup>
              </m:sSubSup>
            </m:oMath>
            <w:r>
              <w:rPr>
                <w:rFonts w:eastAsia="MS Mincho" w:cs="Arial"/>
                <w:kern w:val="2"/>
                <w:szCs w:val="20"/>
                <w:lang w:eastAsia="ja-JP"/>
              </w:rPr>
              <w:t xml:space="preserve"> are quite small for SCS of 120KHz, there is no much room to reduce the BD/CCE limit for higher SCS. PDCCH blocking may become an issue when the BD/CCE limit is too small. Therefore, it’s better to consider BD/CCE limits per multi-slot span for high SCS, such as </w:t>
            </w:r>
            <m:oMath>
              <m:r>
                <w:rPr>
                  <w:rFonts w:ascii="Cambria Math" w:hAnsi="Cambria Math" w:eastAsia="MS Mincho" w:cs="Arial"/>
                  <w:kern w:val="2"/>
                  <w:szCs w:val="20"/>
                  <w:lang w:eastAsia="ja-JP"/>
                </w:rPr>
                <m:t>μ</m:t>
              </m:r>
              <m:r>
                <m:rPr>
                  <m:sty m:val="p"/>
                </m:rPr>
                <w:rPr>
                  <w:rFonts w:ascii="Cambria Math" w:hAnsi="Cambria Math" w:eastAsia="MS Mincho" w:cs="Arial"/>
                  <w:kern w:val="2"/>
                  <w:szCs w:val="20"/>
                  <w:lang w:eastAsia="ja-JP"/>
                </w:rPr>
                <m:t xml:space="preserve">=5, </m:t>
              </m:r>
              <m:r>
                <w:rPr>
                  <w:rFonts w:ascii="Cambria Math" w:hAnsi="Cambria Math" w:eastAsia="MS Mincho" w:cs="Arial"/>
                  <w:kern w:val="2"/>
                  <w:szCs w:val="20"/>
                  <w:lang w:eastAsia="ja-JP"/>
                </w:rPr>
                <m:t>or</m:t>
              </m:r>
              <m:r>
                <m:rPr>
                  <m:sty m:val="p"/>
                </m:rPr>
                <w:rPr>
                  <w:rFonts w:ascii="Cambria Math" w:hAnsi="Cambria Math" w:eastAsia="MS Mincho" w:cs="Arial"/>
                  <w:kern w:val="2"/>
                  <w:szCs w:val="20"/>
                  <w:lang w:eastAsia="ja-JP"/>
                </w:rPr>
                <m:t xml:space="preserve"> 6</m:t>
              </m:r>
            </m:oMath>
            <w:r>
              <w:rPr>
                <w:rFonts w:eastAsia="MS Mincho" w:cs="Arial"/>
                <w:kern w:val="2"/>
                <w:szCs w:val="20"/>
                <w:lang w:eastAsia="ja-JP"/>
              </w:rPr>
              <w:t>.</w:t>
            </w:r>
          </w:p>
          <w:p>
            <w:pPr>
              <w:widowControl w:val="0"/>
              <w:rPr>
                <w:b/>
              </w:rPr>
            </w:pPr>
          </w:p>
          <w:p>
            <w:pPr>
              <w:widowControl w:val="0"/>
              <w:rPr>
                <w:b/>
                <w:iCs/>
                <w:u w:val="single"/>
              </w:rPr>
            </w:pPr>
            <w:r>
              <w:rPr>
                <w:b/>
                <w:u w:val="single"/>
              </w:rPr>
              <w:t xml:space="preserve">Proposal 3: Support maximum number </w:t>
            </w:r>
            <m:oMath>
              <m:sSubSup>
                <m:sSubSupPr>
                  <m:ctrlPr>
                    <w:rPr>
                      <w:rFonts w:ascii="Cambria Math" w:hAnsi="Cambria Math"/>
                      <w:b/>
                      <w:i/>
                      <w:iCs/>
                      <w:u w:val="single"/>
                    </w:rPr>
                  </m:ctrlPr>
                </m:sSubSupPr>
                <m:e>
                  <m:r>
                    <m:rPr>
                      <m:sty m:val="bi"/>
                    </m:rPr>
                    <w:rPr>
                      <w:rFonts w:ascii="Cambria Math" w:hAnsi="Cambria Math"/>
                      <w:u w:val="single"/>
                    </w:rPr>
                    <m:t>M</m:t>
                  </m:r>
                  <m:ctrlPr>
                    <w:rPr>
                      <w:rFonts w:ascii="Cambria Math" w:hAnsi="Cambria Math"/>
                      <w:b/>
                      <w:i/>
                      <w:iCs/>
                      <w:u w:val="single"/>
                    </w:rPr>
                  </m:ctrlPr>
                </m:e>
                <m:sub>
                  <m:r>
                    <m:rPr>
                      <m:sty m:val="bi"/>
                    </m:rPr>
                    <w:rPr>
                      <w:rFonts w:ascii="Cambria Math" w:hAnsi="Cambria Math"/>
                      <w:u w:val="single"/>
                    </w:rPr>
                    <m:t>PDCCH</m:t>
                  </m:r>
                  <m:ctrlPr>
                    <w:rPr>
                      <w:rFonts w:ascii="Cambria Math" w:hAnsi="Cambria Math"/>
                      <w:b/>
                      <w:i/>
                      <w:iCs/>
                      <w:u w:val="single"/>
                    </w:rPr>
                  </m:ctrlPr>
                </m:sub>
                <m:sup>
                  <m:r>
                    <m:rPr>
                      <m:sty m:val="bi"/>
                    </m:rPr>
                    <w:rPr>
                      <w:rFonts w:ascii="Cambria Math" w:hAnsi="Cambria Math"/>
                      <w:u w:val="single"/>
                    </w:rPr>
                    <m:t>max,(X,Y), μ</m:t>
                  </m:r>
                  <m:ctrlPr>
                    <w:rPr>
                      <w:rFonts w:ascii="Cambria Math" w:hAnsi="Cambria Math"/>
                      <w:b/>
                      <w:i/>
                      <w:iCs/>
                      <w:u w:val="single"/>
                    </w:rPr>
                  </m:ctrlPr>
                </m:sup>
              </m:sSubSup>
            </m:oMath>
            <w:r>
              <w:rPr>
                <w:b/>
                <w:u w:val="single"/>
              </w:rPr>
              <w:t xml:space="preserve"> of PDCCH candidates per multi-slot span for combination (X, Y), where X &gt;1 slots, Y&gt;=1 slots, and </w:t>
            </w:r>
            <m:oMath>
              <m:r>
                <m:rPr>
                  <m:sty m:val="bi"/>
                </m:rPr>
                <w:rPr>
                  <w:rFonts w:ascii="Cambria Math" w:hAnsi="Cambria Math"/>
                  <w:u w:val="single"/>
                </w:rPr>
                <m:t>μ=5, or 6</m:t>
              </m:r>
            </m:oMath>
            <w:r>
              <w:rPr>
                <w:b/>
                <w:iCs/>
                <w:u w:val="single"/>
              </w:rPr>
              <w:t>.</w:t>
            </w:r>
          </w:p>
          <w:p>
            <w:pPr>
              <w:widowControl w:val="0"/>
              <w:rPr>
                <w:b/>
                <w:u w:val="single"/>
              </w:rPr>
            </w:pPr>
          </w:p>
          <w:p>
            <w:pPr>
              <w:widowControl w:val="0"/>
              <w:rPr>
                <w:b/>
                <w:u w:val="single"/>
              </w:rPr>
            </w:pPr>
            <w:r>
              <w:rPr>
                <w:b/>
                <w:u w:val="single"/>
              </w:rPr>
              <w:t xml:space="preserve">Proposal 4: Support maximum number </w:t>
            </w:r>
            <m:oMath>
              <m:sSubSup>
                <m:sSubSupPr>
                  <m:ctrlPr>
                    <w:rPr>
                      <w:rFonts w:ascii="Cambria Math" w:hAnsi="Cambria Math"/>
                      <w:b/>
                      <w:i/>
                      <w:iCs/>
                      <w:u w:val="single"/>
                    </w:rPr>
                  </m:ctrlPr>
                </m:sSubSupPr>
                <m:e>
                  <m:r>
                    <m:rPr>
                      <m:sty m:val="bi"/>
                    </m:rPr>
                    <w:rPr>
                      <w:rFonts w:ascii="Cambria Math" w:hAnsi="Cambria Math"/>
                      <w:u w:val="single"/>
                    </w:rPr>
                    <m:t>C</m:t>
                  </m:r>
                  <m:ctrlPr>
                    <w:rPr>
                      <w:rFonts w:ascii="Cambria Math" w:hAnsi="Cambria Math"/>
                      <w:b/>
                      <w:i/>
                      <w:iCs/>
                      <w:u w:val="single"/>
                    </w:rPr>
                  </m:ctrlPr>
                </m:e>
                <m:sub>
                  <m:r>
                    <m:rPr>
                      <m:sty m:val="bi"/>
                    </m:rPr>
                    <w:rPr>
                      <w:rFonts w:ascii="Cambria Math" w:hAnsi="Cambria Math"/>
                      <w:u w:val="single"/>
                    </w:rPr>
                    <m:t>PDCCH</m:t>
                  </m:r>
                  <m:ctrlPr>
                    <w:rPr>
                      <w:rFonts w:ascii="Cambria Math" w:hAnsi="Cambria Math"/>
                      <w:b/>
                      <w:i/>
                      <w:iCs/>
                      <w:u w:val="single"/>
                    </w:rPr>
                  </m:ctrlPr>
                </m:sub>
                <m:sup>
                  <m:r>
                    <m:rPr>
                      <m:sty m:val="bi"/>
                    </m:rPr>
                    <w:rPr>
                      <w:rFonts w:ascii="Cambria Math" w:hAnsi="Cambria Math"/>
                      <w:u w:val="single"/>
                    </w:rPr>
                    <m:t>max,(X,Y),μ</m:t>
                  </m:r>
                  <m:ctrlPr>
                    <w:rPr>
                      <w:rFonts w:ascii="Cambria Math" w:hAnsi="Cambria Math"/>
                      <w:b/>
                      <w:i/>
                      <w:iCs/>
                      <w:u w:val="single"/>
                    </w:rPr>
                  </m:ctrlPr>
                </m:sup>
              </m:sSubSup>
              <m:r>
                <m:rPr>
                  <m:sty m:val="bi"/>
                </m:rPr>
                <w:rPr>
                  <w:rFonts w:ascii="Cambria Math"/>
                  <w:u w:val="single"/>
                </w:rPr>
                <m:t xml:space="preserve"> </m:t>
              </m:r>
            </m:oMath>
            <w:r>
              <w:rPr>
                <w:b/>
                <w:u w:val="single"/>
              </w:rPr>
              <w:t xml:space="preserve">of non-overlapped CCEs per multi-slot span for combination (X, Y), where X &gt;1 slots, Y&gt;=1 slots, and </w:t>
            </w:r>
            <m:oMath>
              <m:r>
                <m:rPr>
                  <m:sty m:val="bi"/>
                </m:rPr>
                <w:rPr>
                  <w:rFonts w:ascii="Cambria Math" w:hAnsi="Cambria Math"/>
                  <w:u w:val="single"/>
                </w:rPr>
                <m:t>μ=5, or 6</m:t>
              </m:r>
            </m:oMath>
            <w:r>
              <w:rPr>
                <w:b/>
                <w:iCs/>
                <w:u w:val="single"/>
              </w:rPr>
              <w:t>.</w:t>
            </w:r>
          </w:p>
          <w:p>
            <w:pPr>
              <w:widowControl w:val="0"/>
              <w:rPr>
                <w:b/>
                <w:u w:val="single"/>
              </w:rPr>
            </w:pPr>
            <w:r>
              <w:rPr>
                <w:b/>
                <w:u w:val="single"/>
              </w:rPr>
              <w:t>Proposal 5: For multi-slot span based PDCCH monitoring based on combination (X, Y), support limitations on search space set configurations, including</w:t>
            </w:r>
          </w:p>
          <w:p>
            <w:pPr>
              <w:pStyle w:val="73"/>
              <w:widowControl w:val="0"/>
              <w:numPr>
                <w:ilvl w:val="0"/>
                <w:numId w:val="46"/>
              </w:numPr>
              <w:snapToGrid/>
            </w:pPr>
            <w:r>
              <w:rPr>
                <w:b/>
                <w:u w:val="single"/>
              </w:rPr>
              <w:t xml:space="preserve">PDCCH monitoring periodicity, </w:t>
            </w:r>
            <m:oMath>
              <m:sSub>
                <m:sSubPr>
                  <m:ctrlPr>
                    <w:rPr>
                      <w:rFonts w:ascii="Cambria Math" w:hAnsi="Cambria Math"/>
                      <w:i/>
                    </w:rPr>
                  </m:ctrlPr>
                </m:sSubPr>
                <m:e>
                  <m:r>
                    <w:rPr>
                      <w:rFonts w:ascii="Cambria Math" w:hAnsi="Cambria Math"/>
                    </w:rPr>
                    <m:t>k</m:t>
                  </m:r>
                  <m:ctrlPr>
                    <w:rPr>
                      <w:rFonts w:ascii="Cambria Math" w:hAnsi="Cambria Math"/>
                      <w:i/>
                    </w:rPr>
                  </m:ctrlPr>
                </m:e>
                <m:sub>
                  <m:r>
                    <w:rPr>
                      <w:rFonts w:ascii="Cambria Math" w:hAnsi="Cambria Math"/>
                    </w:rPr>
                    <m:t>s</m:t>
                  </m:r>
                  <m:ctrlPr>
                    <w:rPr>
                      <w:rFonts w:ascii="Cambria Math" w:hAnsi="Cambria Math"/>
                      <w:i/>
                    </w:rPr>
                  </m:ctrlPr>
                </m:sub>
              </m:sSub>
              <m:r>
                <w:rPr>
                  <w:rFonts w:ascii="Cambria Math" w:hAnsi="Cambria Math"/>
                </w:rPr>
                <m:t>,</m:t>
              </m:r>
            </m:oMath>
          </w:p>
          <w:p>
            <w:pPr>
              <w:pStyle w:val="73"/>
              <w:widowControl w:val="0"/>
              <w:numPr>
                <w:ilvl w:val="0"/>
                <w:numId w:val="46"/>
              </w:numPr>
              <w:snapToGrid/>
            </w:pPr>
            <w:r>
              <w:rPr>
                <w:b/>
                <w:u w:val="single"/>
              </w:rPr>
              <w:t xml:space="preserve">PDCCH monitoring duration, </w:t>
            </w:r>
            <m:oMath>
              <m:sSub>
                <m:sSubPr>
                  <m:ctrlPr>
                    <w:rPr>
                      <w:rFonts w:ascii="Cambria Math" w:hAnsi="Cambria Math"/>
                      <w:i/>
                    </w:rPr>
                  </m:ctrlPr>
                </m:sSubPr>
                <m:e>
                  <m:r>
                    <w:rPr>
                      <w:rFonts w:ascii="Cambria Math" w:hAnsi="Cambria Math"/>
                    </w:rPr>
                    <m:t>T</m:t>
                  </m:r>
                  <m:ctrlPr>
                    <w:rPr>
                      <w:rFonts w:ascii="Cambria Math" w:hAnsi="Cambria Math"/>
                      <w:i/>
                    </w:rPr>
                  </m:ctrlPr>
                </m:e>
                <m:sub>
                  <m:r>
                    <w:rPr>
                      <w:rFonts w:ascii="Cambria Math" w:hAnsi="Cambria Math"/>
                    </w:rPr>
                    <m:t>s</m:t>
                  </m:r>
                  <m:ctrlPr>
                    <w:rPr>
                      <w:rFonts w:ascii="Cambria Math" w:hAnsi="Cambria Math"/>
                      <w:i/>
                    </w:rPr>
                  </m:ctrlPr>
                </m:sub>
              </m:sSub>
              <m:r>
                <w:rPr>
                  <w:rFonts w:ascii="Cambria Math" w:hAnsi="Cambria Math"/>
                </w:rPr>
                <m:t>.</m:t>
              </m:r>
            </m:oMath>
          </w:p>
          <w:p>
            <w:pPr>
              <w:widowControl w:val="0"/>
              <w:rPr>
                <w:b/>
                <w:u w:val="single"/>
              </w:rPr>
            </w:pPr>
            <w:r>
              <w:rPr>
                <w:b/>
                <w:u w:val="single"/>
              </w:rPr>
              <w:t>Proposal 6: Support PDCCH candidates allocation/dropping per a span over multiple slots.</w:t>
            </w:r>
          </w:p>
          <w:p>
            <w:pPr>
              <w:widowControl w:val="0"/>
              <w:jc w:val="both"/>
              <w:rPr>
                <w:b/>
                <w:i/>
                <w:iCs/>
              </w:rPr>
            </w:pPr>
          </w:p>
        </w:tc>
      </w:tr>
    </w:tbl>
    <w:p>
      <w:pPr>
        <w:rPr>
          <w:lang w:eastAsia="zh-CN"/>
        </w:rPr>
      </w:pPr>
    </w:p>
    <w:p>
      <w:pPr>
        <w:pStyle w:val="4"/>
        <w:jc w:val="both"/>
        <w:rPr>
          <w:lang w:val="en-GB" w:eastAsia="zh-CN"/>
        </w:rPr>
      </w:pPr>
      <w:r>
        <w:rPr>
          <w:lang w:val="en-GB" w:eastAsia="zh-CN"/>
        </w:rPr>
        <w:t>R1-2101307 (Ericsson)</w:t>
      </w:r>
    </w:p>
    <w:tbl>
      <w:tblPr>
        <w:tblStyle w:val="52"/>
        <w:tblW w:w="145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vAlign w:val="center"/>
          </w:tcPr>
          <w:p>
            <w:pPr>
              <w:pStyle w:val="30"/>
              <w:widowControl w:val="0"/>
            </w:pPr>
            <w:r>
              <w:t xml:space="preserve">While a large range of search space monitoring periodicities have been supported since Rel-15, the UE PDCCH processing capabilities have been defined only on a per slot basis. For the multi-slot PDCCH monitoring approach discussed in the previous section, it will be necessary to define UE processing capabilities on a per-slot bundle basis considering the following: </w:t>
            </w:r>
          </w:p>
          <w:p>
            <w:pPr>
              <w:pStyle w:val="30"/>
              <w:widowControl w:val="0"/>
              <w:numPr>
                <w:ilvl w:val="0"/>
                <w:numId w:val="47"/>
              </w:numPr>
              <w:autoSpaceDE/>
              <w:autoSpaceDN/>
              <w:adjustRightInd/>
              <w:snapToGrid/>
              <w:jc w:val="both"/>
            </w:pPr>
            <w:r>
              <w:t xml:space="preserve">We can view the UE PDCCH processing capabilities defined in Rel-15 as being define for a slot bundle size of </w:t>
            </w:r>
            <m:oMath>
              <m:r>
                <w:rPr>
                  <w:rFonts w:ascii="Cambria Math" w:hAnsi="Cambria Math"/>
                </w:rPr>
                <m:t>B=1</m:t>
              </m:r>
            </m:oMath>
            <w:r>
              <w:t xml:space="preserve">. A search space can have a monitoring periodicity that is an integer multiple of the bundle size, which is any positive integer allowed in the Rel-15 specs since </w:t>
            </w:r>
            <m:oMath>
              <m:r>
                <w:rPr>
                  <w:rFonts w:ascii="Cambria Math" w:hAnsi="Cambria Math"/>
                </w:rPr>
                <m:t>B=1</m:t>
              </m:r>
            </m:oMath>
            <w:r>
              <w:t>.</w:t>
            </w:r>
          </w:p>
          <w:p>
            <w:pPr>
              <w:pStyle w:val="30"/>
              <w:widowControl w:val="0"/>
              <w:numPr>
                <w:ilvl w:val="0"/>
                <w:numId w:val="47"/>
              </w:numPr>
              <w:autoSpaceDE/>
              <w:autoSpaceDN/>
              <w:adjustRightInd/>
              <w:snapToGrid/>
              <w:jc w:val="both"/>
            </w:pPr>
            <w:r>
              <w:t xml:space="preserve">For the example of PDCCH monitoring every 4 slots in the above, UE PDCCH processing capabilities for the bundle size of </w:t>
            </w:r>
            <m:oMath>
              <m:r>
                <w:rPr>
                  <w:rFonts w:ascii="Cambria Math" w:hAnsi="Cambria Math"/>
                </w:rPr>
                <m:t>B=4</m:t>
              </m:r>
            </m:oMath>
            <w:r>
              <w:t xml:space="preserve"> slots will need to be defined. For this bundle size, a search space can be configured to have a monitoring periodicity that is an integer multiple of the bundle size, which, in this example, can be 4, 8, 20 and so forth.</w:t>
            </w:r>
          </w:p>
          <w:p>
            <w:pPr>
              <w:pStyle w:val="30"/>
              <w:widowControl w:val="0"/>
            </w:pPr>
          </w:p>
          <w:p>
            <w:pPr>
              <w:pStyle w:val="203"/>
              <w:widowControl w:val="0"/>
              <w:tabs>
                <w:tab w:val="left" w:pos="1304"/>
                <w:tab w:val="clear" w:pos="2722"/>
              </w:tabs>
              <w:overflowPunct w:val="0"/>
              <w:autoSpaceDE w:val="0"/>
              <w:autoSpaceDN w:val="0"/>
              <w:adjustRightInd w:val="0"/>
              <w:spacing w:after="120" w:line="240" w:lineRule="auto"/>
              <w:ind w:left="1304"/>
              <w:jc w:val="both"/>
              <w:textAlignment w:val="baseline"/>
            </w:pPr>
            <w:bookmarkStart w:id="15" w:name="_Toc61769618"/>
            <w:r>
              <w:t>The monitoring periodicity of search space is an integer multiple of the bundle size B used to define UE PDCCH processing capabilities per bundle of B slots</w:t>
            </w:r>
            <w:r>
              <w:rPr>
                <w:rFonts w:eastAsiaTheme="minorEastAsia"/>
              </w:rPr>
              <w:t>.</w:t>
            </w:r>
            <w:bookmarkEnd w:id="15"/>
          </w:p>
          <w:p>
            <w:pPr>
              <w:pStyle w:val="30"/>
              <w:widowControl w:val="0"/>
            </w:pPr>
            <w:r>
              <w:t xml:space="preserve">The potential reduction of UE PDCCH processing capabilities </w:t>
            </w:r>
            <w:r>
              <w:rPr>
                <w:u w:val="single"/>
              </w:rPr>
              <w:t>per slot</w:t>
            </w:r>
            <w:r>
              <w:t xml:space="preserve"> shown previously presents difficulties to maintain the same scheduling framework and flexibility as Rel-15 NR. It would impose substantial negative impacts to Rel-17 NR operation in 52.6 – 71 GHz if the UE PDCCH processing capabilities </w:t>
            </w:r>
            <w:r>
              <w:rPr>
                <w:u w:val="single"/>
              </w:rPr>
              <w:t xml:space="preserve">per multi-slot </w:t>
            </w:r>
            <w:r>
              <w:t xml:space="preserve">monitoring period remain as restrictive when the UE is configured to monitor the PDCCH every </w:t>
            </w:r>
            <m:oMath>
              <m:r>
                <w:rPr>
                  <w:rFonts w:ascii="Cambria Math" w:hAnsi="Cambria Math"/>
                </w:rPr>
                <m:t>B</m:t>
              </m:r>
            </m:oMath>
            <w:r>
              <w:t xml:space="preserve"> slots. Therefore, it will be beneficial for NR operation in 52.6 – 71 GHz to scale UE PDCCH processing capabilities per </w:t>
            </w:r>
            <m:oMath>
              <m:r>
                <w:rPr>
                  <w:rFonts w:ascii="Cambria Math" w:hAnsi="Cambria Math"/>
                </w:rPr>
                <m:t>B</m:t>
              </m:r>
            </m:oMath>
            <w:r>
              <w:t>-slots with the bundle size B:</w:t>
            </w:r>
          </w:p>
          <w:p>
            <w:pPr>
              <w:pStyle w:val="30"/>
              <w:widowControl w:val="0"/>
              <w:rPr>
                <w:lang w:val="sv-SE"/>
              </w:rPr>
            </w:pPr>
            <m:oMathPara>
              <m:oMathParaPr>
                <m:jc m:val="centerGroup"/>
              </m:oMathParaPr>
              <m:oMath>
                <m:sSubSup>
                  <m:sSubSupPr>
                    <m:ctrlPr>
                      <w:rPr>
                        <w:rFonts w:ascii="Cambria Math" w:hAnsi="Cambria Math"/>
                      </w:rPr>
                    </m:ctrlPr>
                  </m:sSubSupPr>
                  <m:e>
                    <m:r>
                      <w:rPr>
                        <w:rFonts w:ascii="Cambria Math" w:hAnsi="Cambria Math"/>
                      </w:rPr>
                      <m:t>N</m:t>
                    </m:r>
                    <m:ctrlPr>
                      <w:rPr>
                        <w:rFonts w:ascii="Cambria Math" w:hAnsi="Cambria Math"/>
                      </w:rPr>
                    </m:ctrlPr>
                  </m:e>
                  <m:sub>
                    <m:r>
                      <m:rPr>
                        <m:sty m:val="p"/>
                      </m:rPr>
                      <w:rPr>
                        <w:rFonts w:ascii="Cambria Math" w:hAnsi="Cambria Math"/>
                        <w:lang w:val="sv-SE"/>
                      </w:rPr>
                      <m:t xml:space="preserve">BD, </m:t>
                    </m:r>
                    <m:r>
                      <m:rPr>
                        <m:sty m:val="p"/>
                      </m:rPr>
                      <w:rPr>
                        <w:rFonts w:ascii="Cambria Math" w:hAnsi="Cambria Math"/>
                      </w:rPr>
                      <m:t>μ</m:t>
                    </m:r>
                    <m:ctrlPr>
                      <w:rPr>
                        <w:rFonts w:ascii="Cambria Math" w:hAnsi="Cambria Math"/>
                      </w:rPr>
                    </m:ctrlPr>
                  </m:sub>
                  <m:sup>
                    <m:r>
                      <w:rPr>
                        <w:rFonts w:ascii="Cambria Math" w:hAnsi="Cambria Math"/>
                      </w:rPr>
                      <m:t>B</m:t>
                    </m:r>
                    <m:r>
                      <m:rPr>
                        <m:nor/>
                        <m:sty m:val="p"/>
                      </m:rPr>
                      <w:rPr>
                        <w:rFonts w:ascii="Cambria Math" w:hAnsi="Cambria Math"/>
                        <w:lang w:val="sv-SE"/>
                      </w:rPr>
                      <m:t>-slot</m:t>
                    </m:r>
                    <m:ctrlPr>
                      <w:rPr>
                        <w:rFonts w:ascii="Cambria Math" w:hAnsi="Cambria Math"/>
                      </w:rPr>
                    </m:ctrlPr>
                  </m:sup>
                </m:sSubSup>
                <m:r>
                  <w:rPr>
                    <w:rFonts w:ascii="Cambria Math" w:hAnsi="Cambria Math"/>
                    <w:lang w:val="sv-SE"/>
                  </w:rPr>
                  <m:t>≅</m:t>
                </m:r>
                <m:r>
                  <w:rPr>
                    <w:rFonts w:ascii="Cambria Math" w:hAnsi="Cambria Math"/>
                  </w:rPr>
                  <m:t>B</m:t>
                </m:r>
                <m:r>
                  <w:rPr>
                    <w:rFonts w:ascii="Cambria Math" w:hAnsi="Cambria Math"/>
                    <w:lang w:val="sv-SE"/>
                  </w:rPr>
                  <m:t>×</m:t>
                </m:r>
                <m:sSubSup>
                  <m:sSubSupPr>
                    <m:ctrlPr>
                      <w:rPr>
                        <w:rFonts w:ascii="Cambria Math" w:hAnsi="Cambria Math"/>
                      </w:rPr>
                    </m:ctrlPr>
                  </m:sSubSupPr>
                  <m:e>
                    <m:r>
                      <w:rPr>
                        <w:rFonts w:ascii="Cambria Math" w:hAnsi="Cambria Math"/>
                      </w:rPr>
                      <m:t>N</m:t>
                    </m:r>
                    <m:ctrlPr>
                      <w:rPr>
                        <w:rFonts w:ascii="Cambria Math" w:hAnsi="Cambria Math"/>
                      </w:rPr>
                    </m:ctrlPr>
                  </m:e>
                  <m:sub>
                    <m:r>
                      <m:rPr>
                        <m:sty m:val="p"/>
                      </m:rPr>
                      <w:rPr>
                        <w:rFonts w:ascii="Cambria Math" w:hAnsi="Cambria Math"/>
                        <w:lang w:val="sv-SE"/>
                      </w:rPr>
                      <m:t xml:space="preserve">BD, </m:t>
                    </m:r>
                    <m:r>
                      <m:rPr>
                        <m:sty m:val="p"/>
                      </m:rPr>
                      <w:rPr>
                        <w:rFonts w:ascii="Cambria Math" w:hAnsi="Cambria Math"/>
                      </w:rPr>
                      <m:t>μ</m:t>
                    </m:r>
                    <m:ctrlPr>
                      <w:rPr>
                        <w:rFonts w:ascii="Cambria Math" w:hAnsi="Cambria Math"/>
                      </w:rPr>
                    </m:ctrlPr>
                  </m:sub>
                  <m:sup>
                    <m:r>
                      <m:rPr>
                        <m:sty m:val="p"/>
                      </m:rPr>
                      <w:rPr>
                        <w:rFonts w:ascii="Cambria Math" w:hAnsi="Cambria Math"/>
                        <w:lang w:val="sv-SE"/>
                      </w:rPr>
                      <m:t>slot</m:t>
                    </m:r>
                    <m:ctrlPr>
                      <w:rPr>
                        <w:rFonts w:ascii="Cambria Math" w:hAnsi="Cambria Math"/>
                      </w:rPr>
                    </m:ctrlPr>
                  </m:sup>
                </m:sSubSup>
              </m:oMath>
            </m:oMathPara>
          </w:p>
          <w:p>
            <w:pPr>
              <w:pStyle w:val="30"/>
              <w:widowControl w:val="0"/>
              <w:rPr>
                <w:lang w:val="sv-SE"/>
              </w:rPr>
            </w:pPr>
            <m:oMathPara>
              <m:oMath>
                <m:sSubSup>
                  <m:sSubSupPr>
                    <m:ctrlPr>
                      <w:rPr>
                        <w:rFonts w:ascii="Cambria Math" w:hAnsi="Cambria Math"/>
                      </w:rPr>
                    </m:ctrlPr>
                  </m:sSubSupPr>
                  <m:e>
                    <m:r>
                      <w:rPr>
                        <w:rFonts w:ascii="Cambria Math" w:hAnsi="Cambria Math"/>
                      </w:rPr>
                      <m:t>N</m:t>
                    </m:r>
                    <m:ctrlPr>
                      <w:rPr>
                        <w:rFonts w:ascii="Cambria Math" w:hAnsi="Cambria Math"/>
                      </w:rPr>
                    </m:ctrlPr>
                  </m:e>
                  <m:sub>
                    <m:r>
                      <m:rPr>
                        <m:sty m:val="p"/>
                      </m:rPr>
                      <w:rPr>
                        <w:rFonts w:ascii="Cambria Math" w:hAnsi="Cambria Math"/>
                        <w:lang w:val="sv-SE"/>
                      </w:rPr>
                      <m:t xml:space="preserve">CCE, </m:t>
                    </m:r>
                    <m:r>
                      <m:rPr>
                        <m:sty m:val="p"/>
                      </m:rPr>
                      <w:rPr>
                        <w:rFonts w:ascii="Cambria Math" w:hAnsi="Cambria Math"/>
                      </w:rPr>
                      <m:t>μ</m:t>
                    </m:r>
                    <m:ctrlPr>
                      <w:rPr>
                        <w:rFonts w:ascii="Cambria Math" w:hAnsi="Cambria Math"/>
                      </w:rPr>
                    </m:ctrlPr>
                  </m:sub>
                  <m:sup>
                    <m:r>
                      <w:rPr>
                        <w:rFonts w:ascii="Cambria Math" w:hAnsi="Cambria Math"/>
                      </w:rPr>
                      <m:t>B</m:t>
                    </m:r>
                    <m:r>
                      <m:rPr>
                        <m:nor/>
                        <m:sty m:val="p"/>
                      </m:rPr>
                      <w:rPr>
                        <w:rFonts w:ascii="Cambria Math" w:hAnsi="Cambria Math"/>
                        <w:lang w:val="sv-SE"/>
                      </w:rPr>
                      <m:t>-slot</m:t>
                    </m:r>
                    <m:ctrlPr>
                      <w:rPr>
                        <w:rFonts w:ascii="Cambria Math" w:hAnsi="Cambria Math"/>
                      </w:rPr>
                    </m:ctrlPr>
                  </m:sup>
                </m:sSubSup>
                <m:r>
                  <m:rPr>
                    <m:sty m:val="p"/>
                  </m:rPr>
                  <w:rPr>
                    <w:rFonts w:ascii="Cambria Math" w:hAnsi="Cambria Math"/>
                    <w:lang w:val="sv-SE"/>
                  </w:rPr>
                  <m:t>≅</m:t>
                </m:r>
                <m:r>
                  <w:rPr>
                    <w:rFonts w:ascii="Cambria Math" w:hAnsi="Cambria Math"/>
                  </w:rPr>
                  <m:t>B</m:t>
                </m:r>
                <m:r>
                  <m:rPr>
                    <m:sty m:val="p"/>
                  </m:rPr>
                  <w:rPr>
                    <w:rFonts w:ascii="Cambria Math" w:hAnsi="Cambria Math"/>
                    <w:lang w:val="sv-SE"/>
                  </w:rPr>
                  <m:t>×</m:t>
                </m:r>
                <m:sSubSup>
                  <m:sSubSupPr>
                    <m:ctrlPr>
                      <w:rPr>
                        <w:rFonts w:ascii="Cambria Math" w:hAnsi="Cambria Math"/>
                      </w:rPr>
                    </m:ctrlPr>
                  </m:sSubSupPr>
                  <m:e>
                    <m:r>
                      <w:rPr>
                        <w:rFonts w:ascii="Cambria Math" w:hAnsi="Cambria Math"/>
                      </w:rPr>
                      <m:t>N</m:t>
                    </m:r>
                    <m:ctrlPr>
                      <w:rPr>
                        <w:rFonts w:ascii="Cambria Math" w:hAnsi="Cambria Math"/>
                      </w:rPr>
                    </m:ctrlPr>
                  </m:e>
                  <m:sub>
                    <m:r>
                      <m:rPr>
                        <m:sty m:val="p"/>
                      </m:rPr>
                      <w:rPr>
                        <w:rFonts w:ascii="Cambria Math" w:hAnsi="Cambria Math"/>
                        <w:lang w:val="sv-SE"/>
                      </w:rPr>
                      <m:t xml:space="preserve">CCE, </m:t>
                    </m:r>
                    <m:r>
                      <m:rPr>
                        <m:sty m:val="p"/>
                      </m:rPr>
                      <w:rPr>
                        <w:rFonts w:ascii="Cambria Math" w:hAnsi="Cambria Math"/>
                      </w:rPr>
                      <m:t>μ</m:t>
                    </m:r>
                    <m:ctrlPr>
                      <w:rPr>
                        <w:rFonts w:ascii="Cambria Math" w:hAnsi="Cambria Math"/>
                      </w:rPr>
                    </m:ctrlPr>
                  </m:sub>
                  <m:sup>
                    <m:r>
                      <m:rPr>
                        <m:sty m:val="p"/>
                      </m:rPr>
                      <w:rPr>
                        <w:rFonts w:ascii="Cambria Math" w:hAnsi="Cambria Math"/>
                        <w:lang w:val="sv-SE"/>
                      </w:rPr>
                      <m:t>slot</m:t>
                    </m:r>
                    <m:ctrlPr>
                      <w:rPr>
                        <w:rFonts w:ascii="Cambria Math" w:hAnsi="Cambria Math"/>
                      </w:rPr>
                    </m:ctrlPr>
                  </m:sup>
                </m:sSubSup>
              </m:oMath>
            </m:oMathPara>
          </w:p>
          <w:p>
            <w:pPr>
              <w:pStyle w:val="30"/>
              <w:widowControl w:val="0"/>
              <w:rPr>
                <w:lang w:val="sv-SE"/>
              </w:rPr>
            </w:pPr>
          </w:p>
          <w:p>
            <w:pPr>
              <w:pStyle w:val="203"/>
              <w:widowControl w:val="0"/>
              <w:tabs>
                <w:tab w:val="left" w:pos="1304"/>
                <w:tab w:val="clear" w:pos="2722"/>
              </w:tabs>
              <w:overflowPunct w:val="0"/>
              <w:autoSpaceDE w:val="0"/>
              <w:autoSpaceDN w:val="0"/>
              <w:adjustRightInd w:val="0"/>
              <w:spacing w:after="120" w:line="240" w:lineRule="auto"/>
              <w:ind w:left="1304"/>
              <w:jc w:val="both"/>
              <w:textAlignment w:val="baseline"/>
            </w:pPr>
            <w:bookmarkStart w:id="16" w:name="_Toc53776234"/>
            <w:bookmarkStart w:id="17" w:name="_Toc61769619"/>
            <w:r>
              <w:t xml:space="preserve">A first approach to define the UE PDCCH processing capabilities when PDCCH monitoring per multiple slots is deployed for larger SCS is to scale the UE PDCCH processing capabilities per </w:t>
            </w:r>
            <m:oMath>
              <m:r>
                <m:rPr>
                  <m:sty m:val="bi"/>
                </m:rPr>
                <w:rPr>
                  <w:rFonts w:ascii="Cambria Math" w:hAnsi="Cambria Math"/>
                </w:rPr>
                <m:t>B</m:t>
              </m:r>
            </m:oMath>
            <w:r>
              <w:rPr>
                <w:rFonts w:eastAsiaTheme="minorEastAsia"/>
              </w:rPr>
              <w:t xml:space="preserve"> </w:t>
            </w:r>
            <w:r>
              <w:t>slots with the bundle size B.</w:t>
            </w:r>
            <w:bookmarkEnd w:id="16"/>
            <w:r>
              <w:t xml:space="preserve"> That is, the bundled UE PDCCH processing capabilities are </w:t>
            </w:r>
            <m:oMath>
              <m:sSubSup>
                <m:sSubSupPr>
                  <m:ctrlPr>
                    <w:rPr>
                      <w:rFonts w:ascii="Cambria Math" w:hAnsi="Cambria Math"/>
                    </w:rPr>
                  </m:ctrlPr>
                </m:sSubSupPr>
                <m:e>
                  <m:r>
                    <m:rPr>
                      <m:sty m:val="bi"/>
                    </m:rPr>
                    <w:rPr>
                      <w:rFonts w:ascii="Cambria Math" w:hAnsi="Cambria Math"/>
                    </w:rPr>
                    <m:t>N</m:t>
                  </m:r>
                  <m:ctrlPr>
                    <w:rPr>
                      <w:rFonts w:ascii="Cambria Math" w:hAnsi="Cambria Math"/>
                    </w:rPr>
                  </m:ctrlPr>
                </m:e>
                <m:sub>
                  <m:r>
                    <m:rPr>
                      <m:sty m:val="b"/>
                    </m:rPr>
                    <w:rPr>
                      <w:rFonts w:ascii="Cambria Math" w:hAnsi="Cambria Math"/>
                    </w:rPr>
                    <m:t>BD</m:t>
                  </m:r>
                  <m:r>
                    <m:rPr>
                      <m:sty m:val="b"/>
                    </m:rPr>
                    <w:rPr>
                      <w:rFonts w:ascii="Cambria Math" w:hAnsi="Cambria Math" w:cs="Times New Roman"/>
                    </w:rPr>
                    <m:t>, μ</m:t>
                  </m:r>
                  <m:ctrlPr>
                    <w:rPr>
                      <w:rFonts w:ascii="Cambria Math" w:hAnsi="Cambria Math"/>
                    </w:rPr>
                  </m:ctrlPr>
                </m:sub>
                <m:sup>
                  <m:r>
                    <m:rPr>
                      <m:sty m:val="bi"/>
                    </m:rPr>
                    <w:rPr>
                      <w:rFonts w:ascii="Cambria Math" w:hAnsi="Cambria Math" w:cs="Times New Roman"/>
                    </w:rPr>
                    <m:t>B</m:t>
                  </m:r>
                  <m:r>
                    <m:rPr>
                      <m:nor/>
                      <m:sty m:val="p"/>
                    </m:rPr>
                    <w:rPr>
                      <w:rFonts w:ascii="Cambria Math" w:hAnsi="Cambria Math" w:cs="Times New Roman"/>
                      <w:b w:val="0"/>
                    </w:rPr>
                    <m:t>-</m:t>
                  </m:r>
                  <m:r>
                    <m:rPr>
                      <m:sty m:val="b"/>
                    </m:rPr>
                    <w:rPr>
                      <w:rFonts w:ascii="Cambria Math" w:hAnsi="Cambria Math"/>
                    </w:rPr>
                    <m:t>slot</m:t>
                  </m:r>
                  <m:ctrlPr>
                    <w:rPr>
                      <w:rFonts w:ascii="Cambria Math" w:hAnsi="Cambria Math"/>
                    </w:rPr>
                  </m:ctrlPr>
                </m:sup>
              </m:sSubSup>
              <m:r>
                <m:rPr>
                  <m:sty m:val="bi"/>
                </m:rPr>
                <w:rPr>
                  <w:rFonts w:ascii="Cambria Math" w:hAnsi="Cambria Math"/>
                </w:rPr>
                <m:t>≅B×</m:t>
              </m:r>
              <m:sSubSup>
                <m:sSubSupPr>
                  <m:ctrlPr>
                    <w:rPr>
                      <w:rFonts w:ascii="Cambria Math" w:hAnsi="Cambria Math"/>
                    </w:rPr>
                  </m:ctrlPr>
                </m:sSubSupPr>
                <m:e>
                  <m:r>
                    <m:rPr>
                      <m:sty m:val="bi"/>
                    </m:rPr>
                    <w:rPr>
                      <w:rFonts w:ascii="Cambria Math" w:hAnsi="Cambria Math"/>
                    </w:rPr>
                    <m:t>N</m:t>
                  </m:r>
                  <m:ctrlPr>
                    <w:rPr>
                      <w:rFonts w:ascii="Cambria Math" w:hAnsi="Cambria Math"/>
                    </w:rPr>
                  </m:ctrlPr>
                </m:e>
                <m:sub>
                  <m:r>
                    <m:rPr>
                      <m:sty m:val="b"/>
                    </m:rPr>
                    <w:rPr>
                      <w:rFonts w:ascii="Cambria Math" w:hAnsi="Cambria Math"/>
                    </w:rPr>
                    <m:t>BD</m:t>
                  </m:r>
                  <m:r>
                    <m:rPr>
                      <m:sty m:val="b"/>
                    </m:rPr>
                    <w:rPr>
                      <w:rFonts w:ascii="Cambria Math" w:hAnsi="Cambria Math" w:cs="Times New Roman"/>
                    </w:rPr>
                    <m:t>, μ</m:t>
                  </m:r>
                  <m:ctrlPr>
                    <w:rPr>
                      <w:rFonts w:ascii="Cambria Math" w:hAnsi="Cambria Math"/>
                    </w:rPr>
                  </m:ctrlPr>
                </m:sub>
                <m:sup>
                  <m:r>
                    <m:rPr>
                      <m:sty m:val="b"/>
                    </m:rPr>
                    <w:rPr>
                      <w:rFonts w:ascii="Cambria Math" w:hAnsi="Cambria Math"/>
                    </w:rPr>
                    <m:t>slot</m:t>
                  </m:r>
                  <m:ctrlPr>
                    <w:rPr>
                      <w:rFonts w:ascii="Cambria Math" w:hAnsi="Cambria Math"/>
                    </w:rPr>
                  </m:ctrlPr>
                </m:sup>
              </m:sSubSup>
            </m:oMath>
            <w:r>
              <w:rPr>
                <w:rFonts w:eastAsiaTheme="minorEastAsia"/>
              </w:rPr>
              <w:t xml:space="preserve"> and </w:t>
            </w:r>
            <m:oMath>
              <m:sSubSup>
                <m:sSubSupPr>
                  <m:ctrlPr>
                    <w:rPr>
                      <w:rFonts w:ascii="Cambria Math" w:hAnsi="Cambria Math"/>
                    </w:rPr>
                  </m:ctrlPr>
                </m:sSubSupPr>
                <m:e>
                  <m:r>
                    <m:rPr>
                      <m:sty m:val="bi"/>
                    </m:rPr>
                    <w:rPr>
                      <w:rFonts w:ascii="Cambria Math" w:hAnsi="Cambria Math"/>
                    </w:rPr>
                    <m:t>N</m:t>
                  </m:r>
                  <m:ctrlPr>
                    <w:rPr>
                      <w:rFonts w:ascii="Cambria Math" w:hAnsi="Cambria Math"/>
                    </w:rPr>
                  </m:ctrlPr>
                </m:e>
                <m:sub>
                  <m:r>
                    <m:rPr>
                      <m:sty m:val="b"/>
                    </m:rPr>
                    <w:rPr>
                      <w:rFonts w:ascii="Cambria Math" w:hAnsi="Cambria Math"/>
                    </w:rPr>
                    <m:t>CCE</m:t>
                  </m:r>
                  <m:r>
                    <m:rPr>
                      <m:sty m:val="b"/>
                    </m:rPr>
                    <w:rPr>
                      <w:rFonts w:ascii="Cambria Math" w:hAnsi="Cambria Math" w:cs="Times New Roman"/>
                    </w:rPr>
                    <m:t>, μ</m:t>
                  </m:r>
                  <m:ctrlPr>
                    <w:rPr>
                      <w:rFonts w:ascii="Cambria Math" w:hAnsi="Cambria Math"/>
                    </w:rPr>
                  </m:ctrlPr>
                </m:sub>
                <m:sup>
                  <m:r>
                    <m:rPr>
                      <m:sty m:val="bi"/>
                    </m:rPr>
                    <w:rPr>
                      <w:rFonts w:ascii="Cambria Math" w:hAnsi="Cambria Math" w:cs="Times New Roman"/>
                    </w:rPr>
                    <m:t>B</m:t>
                  </m:r>
                  <m:r>
                    <m:rPr>
                      <m:nor/>
                      <m:sty m:val="p"/>
                    </m:rPr>
                    <w:rPr>
                      <w:rFonts w:ascii="Cambria Math" w:hAnsi="Cambria Math" w:cs="Times New Roman"/>
                      <w:b w:val="0"/>
                    </w:rPr>
                    <m:t>-</m:t>
                  </m:r>
                  <m:r>
                    <m:rPr>
                      <m:sty m:val="b"/>
                    </m:rPr>
                    <w:rPr>
                      <w:rFonts w:ascii="Cambria Math" w:hAnsi="Cambria Math"/>
                    </w:rPr>
                    <m:t>slot</m:t>
                  </m:r>
                  <m:ctrlPr>
                    <w:rPr>
                      <w:rFonts w:ascii="Cambria Math" w:hAnsi="Cambria Math"/>
                    </w:rPr>
                  </m:ctrlPr>
                </m:sup>
              </m:sSubSup>
              <m:r>
                <m:rPr>
                  <m:sty m:val="b"/>
                </m:rPr>
                <w:rPr>
                  <w:rFonts w:ascii="Cambria Math" w:hAnsi="Cambria Math"/>
                </w:rPr>
                <m:t>≅</m:t>
              </m:r>
              <m:r>
                <m:rPr>
                  <m:sty m:val="bi"/>
                </m:rPr>
                <w:rPr>
                  <w:rFonts w:ascii="Cambria Math" w:hAnsi="Cambria Math"/>
                </w:rPr>
                <m:t>B</m:t>
              </m:r>
              <m:r>
                <m:rPr>
                  <m:sty m:val="b"/>
                </m:rPr>
                <w:rPr>
                  <w:rFonts w:ascii="Cambria Math" w:hAnsi="Cambria Math"/>
                </w:rPr>
                <m:t>×</m:t>
              </m:r>
              <m:sSubSup>
                <m:sSubSupPr>
                  <m:ctrlPr>
                    <w:rPr>
                      <w:rFonts w:ascii="Cambria Math" w:hAnsi="Cambria Math"/>
                    </w:rPr>
                  </m:ctrlPr>
                </m:sSubSupPr>
                <m:e>
                  <m:r>
                    <m:rPr>
                      <m:sty m:val="bi"/>
                    </m:rPr>
                    <w:rPr>
                      <w:rFonts w:ascii="Cambria Math" w:hAnsi="Cambria Math"/>
                    </w:rPr>
                    <m:t>N</m:t>
                  </m:r>
                  <m:ctrlPr>
                    <w:rPr>
                      <w:rFonts w:ascii="Cambria Math" w:hAnsi="Cambria Math"/>
                    </w:rPr>
                  </m:ctrlPr>
                </m:e>
                <m:sub>
                  <m:r>
                    <m:rPr>
                      <m:sty m:val="b"/>
                    </m:rPr>
                    <w:rPr>
                      <w:rFonts w:ascii="Cambria Math" w:hAnsi="Cambria Math"/>
                    </w:rPr>
                    <m:t>CCE</m:t>
                  </m:r>
                  <m:r>
                    <m:rPr>
                      <m:sty m:val="b"/>
                    </m:rPr>
                    <w:rPr>
                      <w:rFonts w:ascii="Cambria Math" w:hAnsi="Cambria Math" w:cs="Times New Roman"/>
                    </w:rPr>
                    <m:t>, μ</m:t>
                  </m:r>
                  <m:ctrlPr>
                    <w:rPr>
                      <w:rFonts w:ascii="Cambria Math" w:hAnsi="Cambria Math"/>
                    </w:rPr>
                  </m:ctrlPr>
                </m:sub>
                <m:sup>
                  <m:r>
                    <m:rPr>
                      <m:sty m:val="b"/>
                    </m:rPr>
                    <w:rPr>
                      <w:rFonts w:ascii="Cambria Math" w:hAnsi="Cambria Math"/>
                    </w:rPr>
                    <m:t>slot</m:t>
                  </m:r>
                  <m:ctrlPr>
                    <w:rPr>
                      <w:rFonts w:ascii="Cambria Math" w:hAnsi="Cambria Math"/>
                    </w:rPr>
                  </m:ctrlPr>
                </m:sup>
              </m:sSubSup>
            </m:oMath>
            <w:r>
              <w:rPr>
                <w:rFonts w:eastAsiaTheme="minorEastAsia"/>
              </w:rPr>
              <w:t>.</w:t>
            </w:r>
            <w:bookmarkEnd w:id="17"/>
          </w:p>
          <w:p>
            <w:pPr>
              <w:pStyle w:val="30"/>
              <w:widowControl w:val="0"/>
            </w:pPr>
            <w:r>
              <w:t>With this first capability scaling solution, it is in principle possible to support any bundle size. However, it may be difficult or impractical for UE implementation to optimize the hardware and software timelines to support various required UE processing capabilities associated with arbitrary flexible bundle sizes. It will be beneficial for RAN1 to narrow down the bundle size values to those beneficial to system operations such that the specs and implementation are not over-burdened.</w:t>
            </w:r>
          </w:p>
          <w:p>
            <w:pPr>
              <w:pStyle w:val="30"/>
              <w:widowControl w:val="0"/>
            </w:pPr>
          </w:p>
          <w:p>
            <w:pPr>
              <w:pStyle w:val="203"/>
              <w:widowControl w:val="0"/>
              <w:tabs>
                <w:tab w:val="left" w:pos="1304"/>
                <w:tab w:val="clear" w:pos="2722"/>
              </w:tabs>
              <w:overflowPunct w:val="0"/>
              <w:autoSpaceDE w:val="0"/>
              <w:autoSpaceDN w:val="0"/>
              <w:adjustRightInd w:val="0"/>
              <w:spacing w:after="120" w:line="240" w:lineRule="auto"/>
              <w:ind w:left="1304"/>
              <w:jc w:val="both"/>
              <w:textAlignment w:val="baseline"/>
            </w:pPr>
            <w:bookmarkStart w:id="18" w:name="_Toc61769620"/>
            <w:r>
              <w:t>RAN1 strives to narrow down the supported PDCCH monitoring bundle size values to those beneficial to system operations and implementation</w:t>
            </w:r>
            <w:r>
              <w:rPr>
                <w:rFonts w:eastAsiaTheme="minorEastAsia"/>
              </w:rPr>
              <w:t>.</w:t>
            </w:r>
            <w:bookmarkEnd w:id="18"/>
          </w:p>
          <w:p>
            <w:pPr>
              <w:pStyle w:val="30"/>
              <w:widowControl w:val="0"/>
            </w:pPr>
            <w:r>
              <w:t xml:space="preserve">Toward narrowing down the supported PDCCH monitoring bundle values, a second possible solution is to maintain the same scheduling framework and capacity as a 120 kHz SCS system for larger SCS with PDCCH monitoring per multiple slots. For instance, PDCCH monitoring every </w:t>
            </w:r>
            <m:oMath>
              <m:r>
                <w:rPr>
                  <w:rFonts w:ascii="Cambria Math" w:hAnsi="Cambria Math"/>
                </w:rPr>
                <m:t>B=4</m:t>
              </m:r>
            </m:oMath>
            <w:r>
              <w:t xml:space="preserve"> slots can be deployed for 480 kHz SCS. The UE PDCCH processing capabilities per 4-slot monitoring bundle can then be defined as</w:t>
            </w:r>
          </w:p>
          <w:p>
            <w:pPr>
              <w:pStyle w:val="30"/>
              <w:widowControl w:val="0"/>
            </w:pPr>
            <m:oMathPara>
              <m:oMathParaPr>
                <m:jc m:val="centerGroup"/>
              </m:oMathParaPr>
              <m:oMath>
                <m:sSubSup>
                  <m:sSubSupPr>
                    <m:ctrlPr>
                      <w:rPr>
                        <w:rFonts w:ascii="Cambria Math" w:hAnsi="Cambria Math"/>
                      </w:rPr>
                    </m:ctrlPr>
                  </m:sSubSupPr>
                  <m:e>
                    <m:r>
                      <w:rPr>
                        <w:rFonts w:ascii="Cambria Math" w:hAnsi="Cambria Math"/>
                      </w:rPr>
                      <m:t>N</m:t>
                    </m:r>
                    <m:ctrlPr>
                      <w:rPr>
                        <w:rFonts w:ascii="Cambria Math" w:hAnsi="Cambria Math"/>
                      </w:rPr>
                    </m:ctrlPr>
                  </m:e>
                  <m:sub>
                    <m:r>
                      <m:rPr>
                        <m:sty m:val="p"/>
                      </m:rPr>
                      <w:rPr>
                        <w:rFonts w:ascii="Cambria Math" w:hAnsi="Cambria Math"/>
                      </w:rPr>
                      <m:t xml:space="preserve">BD, </m:t>
                    </m:r>
                    <m:r>
                      <w:rPr>
                        <w:rFonts w:ascii="Cambria Math" w:hAnsi="Cambria Math"/>
                      </w:rPr>
                      <m:t>μ</m:t>
                    </m:r>
                    <m:r>
                      <m:rPr>
                        <m:sty m:val="p"/>
                      </m:rPr>
                      <w:rPr>
                        <w:rFonts w:ascii="Cambria Math" w:hAnsi="Cambria Math"/>
                      </w:rPr>
                      <m:t>=5</m:t>
                    </m:r>
                    <m:ctrlPr>
                      <w:rPr>
                        <w:rFonts w:ascii="Cambria Math" w:hAnsi="Cambria Math"/>
                      </w:rPr>
                    </m:ctrlPr>
                  </m:sub>
                  <m:sup>
                    <m:r>
                      <m:rPr>
                        <m:sty m:val="p"/>
                      </m:rPr>
                      <w:rPr>
                        <w:rFonts w:ascii="Cambria Math" w:hAnsi="Cambria Math"/>
                      </w:rPr>
                      <m:t>4-slot</m:t>
                    </m:r>
                    <m:ctrlPr>
                      <w:rPr>
                        <w:rFonts w:ascii="Cambria Math" w:hAnsi="Cambria Math"/>
                      </w:rPr>
                    </m:ctrlPr>
                  </m:sup>
                </m:sSubSup>
                <m:r>
                  <w:rPr>
                    <w:rFonts w:ascii="Cambria Math" w:hAnsi="Cambria Math"/>
                  </w:rPr>
                  <m:t>=</m:t>
                </m:r>
                <m:sSubSup>
                  <m:sSubSupPr>
                    <m:ctrlPr>
                      <w:rPr>
                        <w:rFonts w:ascii="Cambria Math" w:hAnsi="Cambria Math"/>
                      </w:rPr>
                    </m:ctrlPr>
                  </m:sSubSupPr>
                  <m:e>
                    <m:r>
                      <w:rPr>
                        <w:rFonts w:ascii="Cambria Math" w:hAnsi="Cambria Math"/>
                      </w:rPr>
                      <m:t>N</m:t>
                    </m:r>
                    <m:ctrlPr>
                      <w:rPr>
                        <w:rFonts w:ascii="Cambria Math" w:hAnsi="Cambria Math"/>
                      </w:rPr>
                    </m:ctrlPr>
                  </m:e>
                  <m:sub>
                    <m:r>
                      <m:rPr>
                        <m:sty m:val="p"/>
                      </m:rPr>
                      <w:rPr>
                        <w:rFonts w:ascii="Cambria Math" w:hAnsi="Cambria Math"/>
                      </w:rPr>
                      <m:t>BD,</m:t>
                    </m:r>
                    <m:r>
                      <w:rPr>
                        <w:rFonts w:ascii="Cambria Math" w:hAnsi="Cambria Math"/>
                      </w:rPr>
                      <m:t>μ</m:t>
                    </m:r>
                    <m:r>
                      <m:rPr>
                        <m:sty m:val="p"/>
                      </m:rPr>
                      <w:rPr>
                        <w:rFonts w:ascii="Cambria Math" w:hAnsi="Cambria Math"/>
                      </w:rPr>
                      <m:t>=3</m:t>
                    </m:r>
                    <m:ctrlPr>
                      <w:rPr>
                        <w:rFonts w:ascii="Cambria Math" w:hAnsi="Cambria Math"/>
                      </w:rPr>
                    </m:ctrlPr>
                  </m:sub>
                  <m:sup>
                    <m:r>
                      <m:rPr>
                        <m:sty m:val="p"/>
                      </m:rPr>
                      <w:rPr>
                        <w:rFonts w:ascii="Cambria Math" w:hAnsi="Cambria Math"/>
                      </w:rPr>
                      <m:t>slot</m:t>
                    </m:r>
                    <m:ctrlPr>
                      <w:rPr>
                        <w:rFonts w:ascii="Cambria Math" w:hAnsi="Cambria Math"/>
                      </w:rPr>
                    </m:ctrlPr>
                  </m:sup>
                </m:sSubSup>
              </m:oMath>
            </m:oMathPara>
          </w:p>
          <w:p>
            <w:pPr>
              <w:pStyle w:val="30"/>
              <w:widowControl w:val="0"/>
            </w:pPr>
            <m:oMathPara>
              <m:oMath>
                <m:sSubSup>
                  <m:sSubSupPr>
                    <m:ctrlPr>
                      <w:rPr>
                        <w:rFonts w:ascii="Cambria Math" w:hAnsi="Cambria Math"/>
                      </w:rPr>
                    </m:ctrlPr>
                  </m:sSubSupPr>
                  <m:e>
                    <m:r>
                      <w:rPr>
                        <w:rFonts w:ascii="Cambria Math" w:hAnsi="Cambria Math"/>
                      </w:rPr>
                      <m:t>N</m:t>
                    </m:r>
                    <m:ctrlPr>
                      <w:rPr>
                        <w:rFonts w:ascii="Cambria Math" w:hAnsi="Cambria Math"/>
                      </w:rPr>
                    </m:ctrlPr>
                  </m:e>
                  <m:sub>
                    <m:r>
                      <m:rPr>
                        <m:sty m:val="p"/>
                      </m:rPr>
                      <w:rPr>
                        <w:rFonts w:ascii="Cambria Math" w:hAnsi="Cambria Math"/>
                      </w:rPr>
                      <m:t>CCE,</m:t>
                    </m:r>
                    <m:r>
                      <w:rPr>
                        <w:rFonts w:ascii="Cambria Math" w:hAnsi="Cambria Math"/>
                      </w:rPr>
                      <m:t>μ</m:t>
                    </m:r>
                    <m:r>
                      <m:rPr>
                        <m:sty m:val="p"/>
                      </m:rPr>
                      <w:rPr>
                        <w:rFonts w:ascii="Cambria Math" w:hAnsi="Cambria Math"/>
                      </w:rPr>
                      <m:t>=5</m:t>
                    </m:r>
                    <m:ctrlPr>
                      <w:rPr>
                        <w:rFonts w:ascii="Cambria Math" w:hAnsi="Cambria Math"/>
                      </w:rPr>
                    </m:ctrlPr>
                  </m:sub>
                  <m:sup>
                    <m:r>
                      <m:rPr>
                        <m:sty m:val="p"/>
                      </m:rPr>
                      <w:rPr>
                        <w:rFonts w:ascii="Cambria Math" w:hAnsi="Cambria Math"/>
                      </w:rPr>
                      <m:t>4-slot</m:t>
                    </m:r>
                    <m:ctrlPr>
                      <w:rPr>
                        <w:rFonts w:ascii="Cambria Math" w:hAnsi="Cambria Math"/>
                      </w:rPr>
                    </m:ctrlPr>
                  </m:sup>
                </m:sSubSup>
                <m:r>
                  <w:rPr>
                    <w:rFonts w:ascii="Cambria Math" w:hAnsi="Cambria Math"/>
                  </w:rPr>
                  <m:t>=</m:t>
                </m:r>
                <m:sSubSup>
                  <m:sSubSupPr>
                    <m:ctrlPr>
                      <w:rPr>
                        <w:rFonts w:ascii="Cambria Math" w:hAnsi="Cambria Math"/>
                      </w:rPr>
                    </m:ctrlPr>
                  </m:sSubSupPr>
                  <m:e>
                    <m:r>
                      <w:rPr>
                        <w:rFonts w:ascii="Cambria Math" w:hAnsi="Cambria Math"/>
                      </w:rPr>
                      <m:t>N</m:t>
                    </m:r>
                    <m:ctrlPr>
                      <w:rPr>
                        <w:rFonts w:ascii="Cambria Math" w:hAnsi="Cambria Math"/>
                      </w:rPr>
                    </m:ctrlPr>
                  </m:e>
                  <m:sub>
                    <m:r>
                      <m:rPr>
                        <m:sty m:val="p"/>
                      </m:rPr>
                      <w:rPr>
                        <w:rFonts w:ascii="Cambria Math" w:hAnsi="Cambria Math"/>
                      </w:rPr>
                      <m:t>CCE,</m:t>
                    </m:r>
                    <m:r>
                      <w:rPr>
                        <w:rFonts w:ascii="Cambria Math" w:hAnsi="Cambria Math"/>
                      </w:rPr>
                      <m:t>μ</m:t>
                    </m:r>
                    <m:r>
                      <m:rPr>
                        <m:sty m:val="p"/>
                      </m:rPr>
                      <w:rPr>
                        <w:rFonts w:ascii="Cambria Math" w:hAnsi="Cambria Math"/>
                      </w:rPr>
                      <m:t>=3</m:t>
                    </m:r>
                    <m:ctrlPr>
                      <w:rPr>
                        <w:rFonts w:ascii="Cambria Math" w:hAnsi="Cambria Math"/>
                      </w:rPr>
                    </m:ctrlPr>
                  </m:sub>
                  <m:sup>
                    <m:r>
                      <m:rPr>
                        <m:sty m:val="p"/>
                      </m:rPr>
                      <w:rPr>
                        <w:rFonts w:ascii="Cambria Math" w:hAnsi="Cambria Math"/>
                      </w:rPr>
                      <m:t>slot</m:t>
                    </m:r>
                    <m:ctrlPr>
                      <w:rPr>
                        <w:rFonts w:ascii="Cambria Math" w:hAnsi="Cambria Math"/>
                      </w:rPr>
                    </m:ctrlPr>
                  </m:sup>
                </m:sSubSup>
              </m:oMath>
            </m:oMathPara>
          </w:p>
          <w:p>
            <w:pPr>
              <w:pStyle w:val="30"/>
              <w:widowControl w:val="0"/>
            </w:pPr>
            <w:r>
              <w:t>Similarly, the UE PDCCH processing capabilities per 8-slot monitoring bundle for 960 kHz SCS can then be defined as</w:t>
            </w:r>
          </w:p>
          <w:p>
            <w:pPr>
              <w:pStyle w:val="30"/>
              <w:widowControl w:val="0"/>
            </w:pPr>
            <m:oMathPara>
              <m:oMathParaPr>
                <m:jc m:val="centerGroup"/>
              </m:oMathParaPr>
              <m:oMath>
                <m:sSubSup>
                  <m:sSubSupPr>
                    <m:ctrlPr>
                      <w:rPr>
                        <w:rFonts w:ascii="Cambria Math" w:hAnsi="Cambria Math"/>
                      </w:rPr>
                    </m:ctrlPr>
                  </m:sSubSupPr>
                  <m:e>
                    <m:r>
                      <w:rPr>
                        <w:rFonts w:ascii="Cambria Math" w:hAnsi="Cambria Math"/>
                      </w:rPr>
                      <m:t>N</m:t>
                    </m:r>
                    <m:ctrlPr>
                      <w:rPr>
                        <w:rFonts w:ascii="Cambria Math" w:hAnsi="Cambria Math"/>
                      </w:rPr>
                    </m:ctrlPr>
                  </m:e>
                  <m:sub>
                    <m:r>
                      <m:rPr>
                        <m:sty m:val="p"/>
                      </m:rPr>
                      <w:rPr>
                        <w:rFonts w:ascii="Cambria Math" w:hAnsi="Cambria Math"/>
                      </w:rPr>
                      <m:t>BD,</m:t>
                    </m:r>
                    <m:r>
                      <w:rPr>
                        <w:rFonts w:ascii="Cambria Math" w:hAnsi="Cambria Math"/>
                      </w:rPr>
                      <m:t>μ</m:t>
                    </m:r>
                    <m:r>
                      <m:rPr>
                        <m:sty m:val="p"/>
                      </m:rPr>
                      <w:rPr>
                        <w:rFonts w:ascii="Cambria Math" w:hAnsi="Cambria Math"/>
                      </w:rPr>
                      <m:t>=6</m:t>
                    </m:r>
                    <m:ctrlPr>
                      <w:rPr>
                        <w:rFonts w:ascii="Cambria Math" w:hAnsi="Cambria Math"/>
                      </w:rPr>
                    </m:ctrlPr>
                  </m:sub>
                  <m:sup>
                    <m:r>
                      <m:rPr>
                        <m:sty m:val="p"/>
                      </m:rPr>
                      <w:rPr>
                        <w:rFonts w:ascii="Cambria Math" w:hAnsi="Cambria Math"/>
                      </w:rPr>
                      <m:t>8-slot</m:t>
                    </m:r>
                    <m:ctrlPr>
                      <w:rPr>
                        <w:rFonts w:ascii="Cambria Math" w:hAnsi="Cambria Math"/>
                      </w:rPr>
                    </m:ctrlPr>
                  </m:sup>
                </m:sSubSup>
                <m:r>
                  <w:rPr>
                    <w:rFonts w:ascii="Cambria Math" w:hAnsi="Cambria Math"/>
                  </w:rPr>
                  <m:t>=</m:t>
                </m:r>
                <m:sSubSup>
                  <m:sSubSupPr>
                    <m:ctrlPr>
                      <w:rPr>
                        <w:rFonts w:ascii="Cambria Math" w:hAnsi="Cambria Math"/>
                      </w:rPr>
                    </m:ctrlPr>
                  </m:sSubSupPr>
                  <m:e>
                    <m:r>
                      <w:rPr>
                        <w:rFonts w:ascii="Cambria Math" w:hAnsi="Cambria Math"/>
                      </w:rPr>
                      <m:t>N</m:t>
                    </m:r>
                    <m:ctrlPr>
                      <w:rPr>
                        <w:rFonts w:ascii="Cambria Math" w:hAnsi="Cambria Math"/>
                      </w:rPr>
                    </m:ctrlPr>
                  </m:e>
                  <m:sub>
                    <m:r>
                      <m:rPr>
                        <m:sty m:val="p"/>
                      </m:rPr>
                      <w:rPr>
                        <w:rFonts w:ascii="Cambria Math" w:hAnsi="Cambria Math"/>
                      </w:rPr>
                      <m:t>BD,</m:t>
                    </m:r>
                    <m:r>
                      <w:rPr>
                        <w:rFonts w:ascii="Cambria Math" w:hAnsi="Cambria Math"/>
                      </w:rPr>
                      <m:t>μ</m:t>
                    </m:r>
                    <m:r>
                      <m:rPr>
                        <m:sty m:val="p"/>
                      </m:rPr>
                      <w:rPr>
                        <w:rFonts w:ascii="Cambria Math" w:hAnsi="Cambria Math"/>
                      </w:rPr>
                      <m:t>=3</m:t>
                    </m:r>
                    <m:ctrlPr>
                      <w:rPr>
                        <w:rFonts w:ascii="Cambria Math" w:hAnsi="Cambria Math"/>
                      </w:rPr>
                    </m:ctrlPr>
                  </m:sub>
                  <m:sup>
                    <m:r>
                      <m:rPr>
                        <m:sty m:val="p"/>
                      </m:rPr>
                      <w:rPr>
                        <w:rFonts w:ascii="Cambria Math" w:hAnsi="Cambria Math"/>
                      </w:rPr>
                      <m:t>slot</m:t>
                    </m:r>
                    <m:ctrlPr>
                      <w:rPr>
                        <w:rFonts w:ascii="Cambria Math" w:hAnsi="Cambria Math"/>
                      </w:rPr>
                    </m:ctrlPr>
                  </m:sup>
                </m:sSubSup>
              </m:oMath>
            </m:oMathPara>
          </w:p>
          <w:p>
            <w:pPr>
              <w:pStyle w:val="30"/>
              <w:widowControl w:val="0"/>
            </w:pPr>
            <m:oMathPara>
              <m:oMath>
                <m:sSubSup>
                  <m:sSubSupPr>
                    <m:ctrlPr>
                      <w:rPr>
                        <w:rFonts w:ascii="Cambria Math" w:hAnsi="Cambria Math"/>
                      </w:rPr>
                    </m:ctrlPr>
                  </m:sSubSupPr>
                  <m:e>
                    <m:r>
                      <w:rPr>
                        <w:rFonts w:ascii="Cambria Math" w:hAnsi="Cambria Math"/>
                      </w:rPr>
                      <m:t>N</m:t>
                    </m:r>
                    <m:ctrlPr>
                      <w:rPr>
                        <w:rFonts w:ascii="Cambria Math" w:hAnsi="Cambria Math"/>
                      </w:rPr>
                    </m:ctrlPr>
                  </m:e>
                  <m:sub>
                    <m:r>
                      <m:rPr>
                        <m:sty m:val="p"/>
                      </m:rPr>
                      <w:rPr>
                        <w:rFonts w:ascii="Cambria Math" w:hAnsi="Cambria Math"/>
                      </w:rPr>
                      <m:t>CCE,</m:t>
                    </m:r>
                    <m:r>
                      <w:rPr>
                        <w:rFonts w:ascii="Cambria Math" w:hAnsi="Cambria Math"/>
                      </w:rPr>
                      <m:t>μ</m:t>
                    </m:r>
                    <m:r>
                      <m:rPr>
                        <m:sty m:val="p"/>
                      </m:rPr>
                      <w:rPr>
                        <w:rFonts w:ascii="Cambria Math" w:hAnsi="Cambria Math"/>
                      </w:rPr>
                      <m:t>=6</m:t>
                    </m:r>
                    <m:ctrlPr>
                      <w:rPr>
                        <w:rFonts w:ascii="Cambria Math" w:hAnsi="Cambria Math"/>
                      </w:rPr>
                    </m:ctrlPr>
                  </m:sub>
                  <m:sup>
                    <m:r>
                      <m:rPr>
                        <m:sty m:val="p"/>
                      </m:rPr>
                      <w:rPr>
                        <w:rFonts w:ascii="Cambria Math" w:hAnsi="Cambria Math"/>
                      </w:rPr>
                      <m:t>8-slot</m:t>
                    </m:r>
                    <m:ctrlPr>
                      <w:rPr>
                        <w:rFonts w:ascii="Cambria Math" w:hAnsi="Cambria Math"/>
                      </w:rPr>
                    </m:ctrlPr>
                  </m:sup>
                </m:sSubSup>
                <m:r>
                  <m:rPr>
                    <m:sty m:val="p"/>
                  </m:rPr>
                  <w:rPr>
                    <w:rFonts w:ascii="Cambria Math" w:hAnsi="Cambria Math"/>
                  </w:rPr>
                  <m:t>=</m:t>
                </m:r>
                <m:sSubSup>
                  <m:sSubSupPr>
                    <m:ctrlPr>
                      <w:rPr>
                        <w:rFonts w:ascii="Cambria Math" w:hAnsi="Cambria Math"/>
                      </w:rPr>
                    </m:ctrlPr>
                  </m:sSubSupPr>
                  <m:e>
                    <m:r>
                      <w:rPr>
                        <w:rFonts w:ascii="Cambria Math" w:hAnsi="Cambria Math"/>
                      </w:rPr>
                      <m:t>N</m:t>
                    </m:r>
                    <m:ctrlPr>
                      <w:rPr>
                        <w:rFonts w:ascii="Cambria Math" w:hAnsi="Cambria Math"/>
                      </w:rPr>
                    </m:ctrlPr>
                  </m:e>
                  <m:sub>
                    <m:r>
                      <m:rPr>
                        <m:sty m:val="p"/>
                      </m:rPr>
                      <w:rPr>
                        <w:rFonts w:ascii="Cambria Math" w:hAnsi="Cambria Math"/>
                      </w:rPr>
                      <m:t>CCE,</m:t>
                    </m:r>
                    <m:r>
                      <w:rPr>
                        <w:rFonts w:ascii="Cambria Math" w:hAnsi="Cambria Math"/>
                      </w:rPr>
                      <m:t>μ</m:t>
                    </m:r>
                    <m:r>
                      <m:rPr>
                        <m:sty m:val="p"/>
                      </m:rPr>
                      <w:rPr>
                        <w:rFonts w:ascii="Cambria Math" w:hAnsi="Cambria Math"/>
                      </w:rPr>
                      <m:t>=3</m:t>
                    </m:r>
                    <m:ctrlPr>
                      <w:rPr>
                        <w:rFonts w:ascii="Cambria Math" w:hAnsi="Cambria Math"/>
                      </w:rPr>
                    </m:ctrlPr>
                  </m:sub>
                  <m:sup>
                    <m:r>
                      <m:rPr>
                        <m:sty m:val="p"/>
                      </m:rPr>
                      <w:rPr>
                        <w:rFonts w:ascii="Cambria Math" w:hAnsi="Cambria Math"/>
                      </w:rPr>
                      <m:t>slot</m:t>
                    </m:r>
                    <m:ctrlPr>
                      <w:rPr>
                        <w:rFonts w:ascii="Cambria Math" w:hAnsi="Cambria Math"/>
                      </w:rPr>
                    </m:ctrlPr>
                  </m:sup>
                </m:sSubSup>
              </m:oMath>
            </m:oMathPara>
          </w:p>
          <w:p>
            <w:pPr>
              <w:pStyle w:val="30"/>
              <w:widowControl w:val="0"/>
            </w:pPr>
            <w:r>
              <w:t>In other words, the UE capability for BD/CCE per B-slot bundle for a larger SCS (480 or 960 kHz) is the same as the per-slot capability for 120 kHz.</w:t>
            </w:r>
          </w:p>
          <w:p>
            <w:pPr>
              <w:pStyle w:val="30"/>
              <w:widowControl w:val="0"/>
            </w:pPr>
          </w:p>
          <w:p>
            <w:pPr>
              <w:pStyle w:val="203"/>
              <w:widowControl w:val="0"/>
              <w:tabs>
                <w:tab w:val="left" w:pos="1304"/>
                <w:tab w:val="clear" w:pos="2722"/>
              </w:tabs>
              <w:overflowPunct w:val="0"/>
              <w:autoSpaceDE w:val="0"/>
              <w:autoSpaceDN w:val="0"/>
              <w:adjustRightInd w:val="0"/>
              <w:spacing w:after="120" w:line="240" w:lineRule="auto"/>
              <w:ind w:left="1304"/>
              <w:jc w:val="both"/>
              <w:textAlignment w:val="baseline"/>
              <w:rPr>
                <w:rFonts w:eastAsiaTheme="minorEastAsia"/>
              </w:rPr>
            </w:pPr>
            <w:bookmarkStart w:id="19" w:name="_Toc61769621"/>
            <w:r>
              <w:t xml:space="preserve">A second approach to define the bundled UE PDCCH processing capabilities when PDCCH monitoring per multiple slots is deployed for larger SCS with a PDCCH monitoring frequency equal to that of 120 kHz SCS is to maintain the same UE processing capabilities per-slot as in a 120 kHz SCS system. That is, </w:t>
            </w:r>
            <w:r>
              <w:rPr>
                <w:rFonts w:eastAsiaTheme="minorEastAsia"/>
              </w:rPr>
              <w:t xml:space="preserve">the </w:t>
            </w:r>
            <w:r>
              <w:t xml:space="preserve">bundled UE PDCCH processing capabilities are </w:t>
            </w:r>
            <m:oMath>
              <m:sSubSup>
                <m:sSubSupPr>
                  <m:ctrlPr>
                    <w:rPr>
                      <w:rFonts w:ascii="Cambria Math" w:hAnsi="Cambria Math" w:cs="Times New Roman"/>
                    </w:rPr>
                  </m:ctrlPr>
                </m:sSubSupPr>
                <m:e>
                  <m:r>
                    <m:rPr>
                      <m:sty m:val="bi"/>
                    </m:rPr>
                    <w:rPr>
                      <w:rFonts w:ascii="Cambria Math" w:hAnsi="Cambria Math" w:cs="Times New Roman"/>
                    </w:rPr>
                    <m:t>N</m:t>
                  </m:r>
                  <m:ctrlPr>
                    <w:rPr>
                      <w:rFonts w:ascii="Cambria Math" w:hAnsi="Cambria Math" w:cs="Times New Roman"/>
                    </w:rPr>
                  </m:ctrlPr>
                </m:e>
                <m:sub>
                  <m:r>
                    <m:rPr>
                      <m:sty m:val="b"/>
                    </m:rPr>
                    <w:rPr>
                      <w:rFonts w:ascii="Cambria Math" w:hAnsi="Cambria Math" w:cs="Times New Roman"/>
                    </w:rPr>
                    <m:t>BD,</m:t>
                  </m:r>
                  <m:r>
                    <m:rPr>
                      <m:sty m:val="bi"/>
                    </m:rPr>
                    <w:rPr>
                      <w:rFonts w:ascii="Cambria Math" w:hAnsi="Cambria Math" w:cs="Times New Roman"/>
                    </w:rPr>
                    <m:t xml:space="preserve"> </m:t>
                  </m:r>
                  <m:r>
                    <m:rPr>
                      <m:sty m:val="b"/>
                    </m:rPr>
                    <w:rPr>
                      <w:rFonts w:ascii="Cambria Math" w:hAnsi="Cambria Math" w:cs="Times New Roman"/>
                    </w:rPr>
                    <m:t>μ</m:t>
                  </m:r>
                  <m:ctrlPr>
                    <w:rPr>
                      <w:rFonts w:ascii="Cambria Math" w:hAnsi="Cambria Math" w:cs="Times New Roman"/>
                    </w:rPr>
                  </m:ctrlPr>
                </m:sub>
                <m:sup>
                  <m:sSup>
                    <m:sSupPr>
                      <m:ctrlPr>
                        <w:rPr>
                          <w:rFonts w:ascii="Cambria Math" w:hAnsi="Cambria Math" w:cs="Times New Roman"/>
                        </w:rPr>
                      </m:ctrlPr>
                    </m:sSupPr>
                    <m:e>
                      <m:r>
                        <m:rPr>
                          <m:sty m:val="bi"/>
                        </m:rPr>
                        <w:rPr>
                          <w:rFonts w:ascii="Cambria Math" w:hAnsi="Cambria Math" w:cs="Times New Roman"/>
                        </w:rPr>
                        <m:t>2</m:t>
                      </m:r>
                      <m:ctrlPr>
                        <w:rPr>
                          <w:rFonts w:ascii="Cambria Math" w:hAnsi="Cambria Math" w:cs="Times New Roman"/>
                        </w:rPr>
                      </m:ctrlPr>
                    </m:e>
                    <m:sup>
                      <m:r>
                        <m:rPr>
                          <m:sty m:val="bi"/>
                        </m:rPr>
                        <w:rPr>
                          <w:rFonts w:ascii="Cambria Math" w:hAnsi="Cambria Math" w:cs="Times New Roman"/>
                        </w:rPr>
                        <m:t>μ</m:t>
                      </m:r>
                      <m:r>
                        <m:rPr>
                          <m:sty m:val="b"/>
                        </m:rPr>
                        <w:rPr>
                          <w:rFonts w:ascii="Cambria Math" w:hAnsi="Cambria Math" w:cs="Times New Roman"/>
                        </w:rPr>
                        <m:t>-3</m:t>
                      </m:r>
                      <m:ctrlPr>
                        <w:rPr>
                          <w:rFonts w:ascii="Cambria Math" w:hAnsi="Cambria Math" w:cs="Times New Roman"/>
                        </w:rPr>
                      </m:ctrlPr>
                    </m:sup>
                  </m:sSup>
                  <m:r>
                    <m:rPr>
                      <m:nor/>
                      <m:sty m:val="p"/>
                    </m:rPr>
                    <w:rPr>
                      <w:rFonts w:ascii="Cambria Math" w:hAnsi="Cambria Math" w:cs="Times New Roman"/>
                      <w:b w:val="0"/>
                    </w:rPr>
                    <m:t>-</m:t>
                  </m:r>
                  <m:r>
                    <m:rPr>
                      <m:sty m:val="b"/>
                    </m:rPr>
                    <w:rPr>
                      <w:rFonts w:ascii="Cambria Math" w:hAnsi="Cambria Math" w:cs="Times New Roman"/>
                    </w:rPr>
                    <m:t>slot</m:t>
                  </m:r>
                  <m:ctrlPr>
                    <w:rPr>
                      <w:rFonts w:ascii="Cambria Math" w:hAnsi="Cambria Math" w:cs="Times New Roman"/>
                    </w:rPr>
                  </m:ctrlPr>
                </m:sup>
              </m:sSubSup>
              <m:r>
                <m:rPr>
                  <m:sty m:val="bi"/>
                </m:rPr>
                <w:rPr>
                  <w:rFonts w:ascii="Cambria Math" w:hAnsi="Cambria Math" w:cs="Times New Roman"/>
                </w:rPr>
                <m:t>=</m:t>
              </m:r>
              <m:sSubSup>
                <m:sSubSupPr>
                  <m:ctrlPr>
                    <w:rPr>
                      <w:rFonts w:ascii="Cambria Math" w:hAnsi="Cambria Math" w:cs="Times New Roman"/>
                    </w:rPr>
                  </m:ctrlPr>
                </m:sSubSupPr>
                <m:e>
                  <m:r>
                    <m:rPr>
                      <m:sty m:val="bi"/>
                    </m:rPr>
                    <w:rPr>
                      <w:rFonts w:ascii="Cambria Math" w:hAnsi="Cambria Math" w:cs="Times New Roman"/>
                    </w:rPr>
                    <m:t>N</m:t>
                  </m:r>
                  <m:ctrlPr>
                    <w:rPr>
                      <w:rFonts w:ascii="Cambria Math" w:hAnsi="Cambria Math" w:cs="Times New Roman"/>
                    </w:rPr>
                  </m:ctrlPr>
                </m:e>
                <m:sub>
                  <m:r>
                    <m:rPr>
                      <m:sty m:val="b"/>
                    </m:rPr>
                    <w:rPr>
                      <w:rFonts w:ascii="Cambria Math" w:hAnsi="Cambria Math" w:cs="Times New Roman"/>
                    </w:rPr>
                    <m:t>BD,</m:t>
                  </m:r>
                  <m:r>
                    <m:rPr>
                      <m:sty m:val="bi"/>
                    </m:rPr>
                    <w:rPr>
                      <w:rFonts w:ascii="Cambria Math" w:hAnsi="Cambria Math" w:cs="Times New Roman"/>
                    </w:rPr>
                    <m:t>μ</m:t>
                  </m:r>
                  <m:r>
                    <m:rPr>
                      <m:sty m:val="b"/>
                    </m:rPr>
                    <w:rPr>
                      <w:rFonts w:ascii="Cambria Math" w:hAnsi="Cambria Math" w:cs="Times New Roman"/>
                    </w:rPr>
                    <m:t>=3</m:t>
                  </m:r>
                  <m:ctrlPr>
                    <w:rPr>
                      <w:rFonts w:ascii="Cambria Math" w:hAnsi="Cambria Math" w:cs="Times New Roman"/>
                    </w:rPr>
                  </m:ctrlPr>
                </m:sub>
                <m:sup>
                  <m:r>
                    <m:rPr>
                      <m:sty m:val="b"/>
                    </m:rPr>
                    <w:rPr>
                      <w:rFonts w:ascii="Cambria Math" w:hAnsi="Cambria Math" w:cs="Times New Roman"/>
                    </w:rPr>
                    <m:t>slot</m:t>
                  </m:r>
                  <m:ctrlPr>
                    <w:rPr>
                      <w:rFonts w:ascii="Cambria Math" w:hAnsi="Cambria Math" w:cs="Times New Roman"/>
                    </w:rPr>
                  </m:ctrlPr>
                </m:sup>
              </m:sSubSup>
            </m:oMath>
            <w:r>
              <w:rPr>
                <w:rFonts w:eastAsiaTheme="minorEastAsia"/>
              </w:rPr>
              <w:t xml:space="preserve">, and </w:t>
            </w:r>
            <m:oMath>
              <m:sSubSup>
                <m:sSubSupPr>
                  <m:ctrlPr>
                    <w:rPr>
                      <w:rFonts w:ascii="Cambria Math" w:hAnsi="Cambria Math" w:cs="Times New Roman"/>
                    </w:rPr>
                  </m:ctrlPr>
                </m:sSubSupPr>
                <m:e>
                  <m:r>
                    <m:rPr>
                      <m:sty m:val="bi"/>
                    </m:rPr>
                    <w:rPr>
                      <w:rFonts w:ascii="Cambria Math" w:hAnsi="Cambria Math" w:cs="Times New Roman"/>
                    </w:rPr>
                    <m:t>N</m:t>
                  </m:r>
                  <m:ctrlPr>
                    <w:rPr>
                      <w:rFonts w:ascii="Cambria Math" w:hAnsi="Cambria Math" w:cs="Times New Roman"/>
                    </w:rPr>
                  </m:ctrlPr>
                </m:e>
                <m:sub>
                  <m:r>
                    <m:rPr>
                      <m:sty m:val="b"/>
                    </m:rPr>
                    <w:rPr>
                      <w:rFonts w:ascii="Cambria Math" w:hAnsi="Cambria Math" w:cs="Times New Roman"/>
                    </w:rPr>
                    <m:t xml:space="preserve">CCE, </m:t>
                  </m:r>
                  <m:r>
                    <m:rPr>
                      <m:sty m:val="bi"/>
                    </m:rPr>
                    <w:rPr>
                      <w:rFonts w:ascii="Cambria Math" w:hAnsi="Cambria Math" w:cs="Times New Roman"/>
                    </w:rPr>
                    <m:t>μ</m:t>
                  </m:r>
                  <m:ctrlPr>
                    <w:rPr>
                      <w:rFonts w:ascii="Cambria Math" w:hAnsi="Cambria Math" w:cs="Times New Roman"/>
                    </w:rPr>
                  </m:ctrlPr>
                </m:sub>
                <m:sup>
                  <m:sSup>
                    <m:sSupPr>
                      <m:ctrlPr>
                        <w:rPr>
                          <w:rFonts w:ascii="Cambria Math" w:hAnsi="Cambria Math" w:cs="Times New Roman"/>
                        </w:rPr>
                      </m:ctrlPr>
                    </m:sSupPr>
                    <m:e>
                      <m:r>
                        <m:rPr>
                          <m:sty m:val="bi"/>
                        </m:rPr>
                        <w:rPr>
                          <w:rFonts w:ascii="Cambria Math" w:hAnsi="Cambria Math" w:cs="Times New Roman"/>
                        </w:rPr>
                        <m:t>2</m:t>
                      </m:r>
                      <m:ctrlPr>
                        <w:rPr>
                          <w:rFonts w:ascii="Cambria Math" w:hAnsi="Cambria Math" w:cs="Times New Roman"/>
                        </w:rPr>
                      </m:ctrlPr>
                    </m:e>
                    <m:sup>
                      <m:r>
                        <m:rPr>
                          <m:sty m:val="bi"/>
                        </m:rPr>
                        <w:rPr>
                          <w:rFonts w:ascii="Cambria Math" w:hAnsi="Cambria Math" w:cs="Times New Roman"/>
                        </w:rPr>
                        <m:t>μ</m:t>
                      </m:r>
                      <m:r>
                        <m:rPr>
                          <m:sty m:val="b"/>
                        </m:rPr>
                        <w:rPr>
                          <w:rFonts w:ascii="Cambria Math" w:hAnsi="Cambria Math" w:cs="Times New Roman"/>
                        </w:rPr>
                        <m:t>-3</m:t>
                      </m:r>
                      <m:ctrlPr>
                        <w:rPr>
                          <w:rFonts w:ascii="Cambria Math" w:hAnsi="Cambria Math" w:cs="Times New Roman"/>
                        </w:rPr>
                      </m:ctrlPr>
                    </m:sup>
                  </m:sSup>
                  <m:r>
                    <m:rPr>
                      <m:nor/>
                      <m:sty m:val="p"/>
                    </m:rPr>
                    <w:rPr>
                      <w:rFonts w:ascii="Cambria Math" w:hAnsi="Cambria Math" w:cs="Times New Roman"/>
                      <w:b w:val="0"/>
                    </w:rPr>
                    <m:t>-</m:t>
                  </m:r>
                  <m:r>
                    <m:rPr>
                      <m:sty m:val="b"/>
                    </m:rPr>
                    <w:rPr>
                      <w:rFonts w:ascii="Cambria Math" w:hAnsi="Cambria Math" w:cs="Times New Roman"/>
                    </w:rPr>
                    <m:t>slot</m:t>
                  </m:r>
                  <m:ctrlPr>
                    <w:rPr>
                      <w:rFonts w:ascii="Cambria Math" w:hAnsi="Cambria Math" w:cs="Times New Roman"/>
                    </w:rPr>
                  </m:ctrlPr>
                </m:sup>
              </m:sSubSup>
              <m:r>
                <m:rPr>
                  <m:sty m:val="bi"/>
                </m:rPr>
                <w:rPr>
                  <w:rFonts w:ascii="Cambria Math" w:hAnsi="Cambria Math" w:cs="Times New Roman"/>
                </w:rPr>
                <m:t>=</m:t>
              </m:r>
              <m:sSubSup>
                <m:sSubSupPr>
                  <m:ctrlPr>
                    <w:rPr>
                      <w:rFonts w:ascii="Cambria Math" w:hAnsi="Cambria Math" w:cs="Times New Roman"/>
                    </w:rPr>
                  </m:ctrlPr>
                </m:sSubSupPr>
                <m:e>
                  <m:r>
                    <m:rPr>
                      <m:sty m:val="bi"/>
                    </m:rPr>
                    <w:rPr>
                      <w:rFonts w:ascii="Cambria Math" w:hAnsi="Cambria Math" w:cs="Times New Roman"/>
                    </w:rPr>
                    <m:t>N</m:t>
                  </m:r>
                  <m:ctrlPr>
                    <w:rPr>
                      <w:rFonts w:ascii="Cambria Math" w:hAnsi="Cambria Math" w:cs="Times New Roman"/>
                    </w:rPr>
                  </m:ctrlPr>
                </m:e>
                <m:sub>
                  <m:r>
                    <m:rPr>
                      <m:sty m:val="b"/>
                    </m:rPr>
                    <w:rPr>
                      <w:rFonts w:ascii="Cambria Math" w:hAnsi="Cambria Math" w:cs="Times New Roman"/>
                    </w:rPr>
                    <m:t>CCE,</m:t>
                  </m:r>
                  <m:r>
                    <m:rPr>
                      <m:sty m:val="bi"/>
                    </m:rPr>
                    <w:rPr>
                      <w:rFonts w:ascii="Cambria Math" w:hAnsi="Cambria Math" w:cs="Times New Roman"/>
                    </w:rPr>
                    <m:t>μ</m:t>
                  </m:r>
                  <m:r>
                    <m:rPr>
                      <m:sty m:val="b"/>
                    </m:rPr>
                    <w:rPr>
                      <w:rFonts w:ascii="Cambria Math" w:hAnsi="Cambria Math" w:cs="Times New Roman"/>
                    </w:rPr>
                    <m:t>=3</m:t>
                  </m:r>
                  <m:ctrlPr>
                    <w:rPr>
                      <w:rFonts w:ascii="Cambria Math" w:hAnsi="Cambria Math" w:cs="Times New Roman"/>
                    </w:rPr>
                  </m:ctrlPr>
                </m:sub>
                <m:sup>
                  <m:r>
                    <m:rPr>
                      <m:sty m:val="b"/>
                    </m:rPr>
                    <w:rPr>
                      <w:rFonts w:ascii="Cambria Math" w:hAnsi="Cambria Math" w:cs="Times New Roman"/>
                    </w:rPr>
                    <m:t>slot</m:t>
                  </m:r>
                  <m:ctrlPr>
                    <w:rPr>
                      <w:rFonts w:ascii="Cambria Math" w:hAnsi="Cambria Math" w:cs="Times New Roman"/>
                    </w:rPr>
                  </m:ctrlPr>
                </m:sup>
              </m:sSubSup>
            </m:oMath>
            <w:r>
              <w:rPr>
                <w:rFonts w:eastAsiaTheme="minorEastAsia"/>
              </w:rPr>
              <w:t>.</w:t>
            </w:r>
            <w:bookmarkEnd w:id="19"/>
          </w:p>
          <w:p>
            <w:pPr>
              <w:pStyle w:val="203"/>
              <w:widowControl w:val="0"/>
              <w:tabs>
                <w:tab w:val="left" w:pos="1304"/>
                <w:tab w:val="clear" w:pos="2722"/>
              </w:tabs>
              <w:overflowPunct w:val="0"/>
              <w:autoSpaceDE w:val="0"/>
              <w:autoSpaceDN w:val="0"/>
              <w:adjustRightInd w:val="0"/>
              <w:spacing w:after="120" w:line="240" w:lineRule="auto"/>
              <w:ind w:left="1304"/>
              <w:jc w:val="both"/>
              <w:textAlignment w:val="baseline"/>
              <w:rPr>
                <w:rFonts w:eastAsiaTheme="minorEastAsia"/>
              </w:rPr>
            </w:pPr>
            <w:bookmarkStart w:id="20" w:name="_Toc61769622"/>
            <w:r>
              <w:rPr>
                <w:rFonts w:eastAsiaTheme="minorEastAsia"/>
              </w:rPr>
              <w:t xml:space="preserve">If arbitrary monitoring bundle size of </w:t>
            </w:r>
            <m:oMath>
              <m:r>
                <m:rPr>
                  <m:sty m:val="bi"/>
                </m:rPr>
                <w:rPr>
                  <w:rFonts w:ascii="Cambria Math" w:hAnsi="Cambria Math" w:eastAsiaTheme="minorEastAsia"/>
                </w:rPr>
                <m:t>B</m:t>
              </m:r>
            </m:oMath>
            <w:r>
              <w:rPr>
                <w:rFonts w:eastAsiaTheme="minorEastAsia"/>
              </w:rPr>
              <w:t xml:space="preserve"> is supported for UE capability scaling Option 2, i.e., </w:t>
            </w:r>
            <m:oMath>
              <m:r>
                <m:rPr>
                  <m:sty m:val="bi"/>
                </m:rPr>
                <w:rPr>
                  <w:rFonts w:ascii="Cambria Math" w:hAnsi="Cambria Math" w:eastAsiaTheme="minorEastAsia"/>
                </w:rPr>
                <m:t>B≠4</m:t>
              </m:r>
            </m:oMath>
            <w:r>
              <w:rPr>
                <w:rFonts w:eastAsiaTheme="minorEastAsia"/>
              </w:rPr>
              <w:t xml:space="preserve"> </w:t>
            </w:r>
            <w:r>
              <w:t xml:space="preserve">for 480 kHz SCS or </w:t>
            </w:r>
            <m:oMath>
              <m:r>
                <m:rPr>
                  <m:sty m:val="bi"/>
                </m:rPr>
                <w:rPr>
                  <w:rFonts w:ascii="Cambria Math" w:hAnsi="Cambria Math"/>
                </w:rPr>
                <m:t>B≠8</m:t>
              </m:r>
            </m:oMath>
            <w:r>
              <w:rPr>
                <w:rFonts w:eastAsiaTheme="minorEastAsia"/>
              </w:rPr>
              <w:t xml:space="preserve"> for 960 kHz SCS are supported</w:t>
            </w:r>
            <w:r>
              <w:t xml:space="preserve">, the bundled UE PDCCH processing capabilities are scaled relative to those for the 120 kHz SCS by a factor of </w:t>
            </w:r>
            <m:oMath>
              <m:d>
                <m:dPr>
                  <m:begChr m:val="⌈"/>
                  <m:endChr m:val="⌉"/>
                  <m:ctrlPr>
                    <w:rPr>
                      <w:rFonts w:ascii="Cambria Math" w:hAnsi="Cambria Math" w:cs="Times New Roman"/>
                      <w:b w:val="0"/>
                      <w:bCs w:val="0"/>
                      <w:i/>
                    </w:rPr>
                  </m:ctrlPr>
                </m:dPr>
                <m:e>
                  <m:f>
                    <m:fPr>
                      <m:ctrlPr>
                        <w:rPr>
                          <w:rFonts w:ascii="Cambria Math" w:hAnsi="Cambria Math" w:cs="Times New Roman"/>
                          <w:b w:val="0"/>
                          <w:bCs w:val="0"/>
                          <w:i/>
                        </w:rPr>
                      </m:ctrlPr>
                    </m:fPr>
                    <m:num>
                      <m:r>
                        <m:rPr>
                          <m:sty m:val="bi"/>
                        </m:rPr>
                        <w:rPr>
                          <w:rFonts w:ascii="Cambria Math" w:hAnsi="Cambria Math" w:cs="Times New Roman"/>
                        </w:rPr>
                        <m:t>B</m:t>
                      </m:r>
                      <m:ctrlPr>
                        <w:rPr>
                          <w:rFonts w:ascii="Cambria Math" w:hAnsi="Cambria Math" w:cs="Times New Roman"/>
                          <w:b w:val="0"/>
                          <w:bCs w:val="0"/>
                          <w:i/>
                        </w:rPr>
                      </m:ctrlPr>
                    </m:num>
                    <m:den>
                      <m:sSup>
                        <m:sSupPr>
                          <m:ctrlPr>
                            <w:rPr>
                              <w:rFonts w:ascii="Cambria Math" w:hAnsi="Cambria Math" w:cs="Times New Roman"/>
                              <w:b w:val="0"/>
                              <w:bCs w:val="0"/>
                            </w:rPr>
                          </m:ctrlPr>
                        </m:sSupPr>
                        <m:e>
                          <m:r>
                            <m:rPr>
                              <m:sty m:val="bi"/>
                            </m:rPr>
                            <w:rPr>
                              <w:rFonts w:ascii="Cambria Math" w:hAnsi="Cambria Math" w:cs="Times New Roman"/>
                            </w:rPr>
                            <m:t>2</m:t>
                          </m:r>
                          <m:ctrlPr>
                            <w:rPr>
                              <w:rFonts w:ascii="Cambria Math" w:hAnsi="Cambria Math" w:cs="Times New Roman"/>
                              <w:b w:val="0"/>
                              <w:bCs w:val="0"/>
                            </w:rPr>
                          </m:ctrlPr>
                        </m:e>
                        <m:sup>
                          <m:r>
                            <m:rPr>
                              <m:sty m:val="bi"/>
                            </m:rPr>
                            <w:rPr>
                              <w:rFonts w:ascii="Cambria Math" w:hAnsi="Cambria Math" w:cs="Times New Roman"/>
                            </w:rPr>
                            <m:t>μ</m:t>
                          </m:r>
                          <m:r>
                            <m:rPr>
                              <m:sty m:val="b"/>
                            </m:rPr>
                            <w:rPr>
                              <w:rFonts w:ascii="Cambria Math" w:hAnsi="Cambria Math" w:cs="Times New Roman"/>
                            </w:rPr>
                            <m:t>-3</m:t>
                          </m:r>
                          <m:ctrlPr>
                            <w:rPr>
                              <w:rFonts w:ascii="Cambria Math" w:hAnsi="Cambria Math" w:cs="Times New Roman"/>
                              <w:b w:val="0"/>
                              <w:bCs w:val="0"/>
                            </w:rPr>
                          </m:ctrlPr>
                        </m:sup>
                      </m:sSup>
                      <m:ctrlPr>
                        <w:rPr>
                          <w:rFonts w:ascii="Cambria Math" w:hAnsi="Cambria Math" w:cs="Times New Roman"/>
                          <w:b w:val="0"/>
                          <w:bCs w:val="0"/>
                          <w:i/>
                        </w:rPr>
                      </m:ctrlPr>
                    </m:den>
                  </m:f>
                  <m:ctrlPr>
                    <w:rPr>
                      <w:rFonts w:ascii="Cambria Math" w:hAnsi="Cambria Math" w:cs="Times New Roman"/>
                      <w:b w:val="0"/>
                      <w:bCs w:val="0"/>
                      <w:i/>
                    </w:rPr>
                  </m:ctrlPr>
                </m:e>
              </m:d>
            </m:oMath>
            <w:r>
              <w:rPr>
                <w:rFonts w:eastAsiaTheme="minorEastAsia"/>
              </w:rPr>
              <w:t>.</w:t>
            </w:r>
            <w:bookmarkEnd w:id="20"/>
          </w:p>
          <w:p>
            <w:pPr>
              <w:widowControl w:val="0"/>
              <w:rPr>
                <w:b/>
                <w:i/>
                <w:iCs/>
              </w:rPr>
            </w:pPr>
          </w:p>
        </w:tc>
      </w:tr>
    </w:tbl>
    <w:p>
      <w:pPr>
        <w:rPr>
          <w:lang w:eastAsia="zh-CN"/>
        </w:rPr>
      </w:pPr>
    </w:p>
    <w:p>
      <w:pPr>
        <w:pStyle w:val="4"/>
        <w:jc w:val="both"/>
        <w:rPr>
          <w:lang w:val="en-GB" w:eastAsia="zh-CN"/>
        </w:rPr>
      </w:pPr>
      <w:r>
        <w:rPr>
          <w:lang w:val="en-GB" w:eastAsia="zh-CN"/>
        </w:rPr>
        <w:t>R1-2101321 (CEWiT)</w:t>
      </w:r>
    </w:p>
    <w:tbl>
      <w:tblPr>
        <w:tblStyle w:val="52"/>
        <w:tblW w:w="145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vAlign w:val="center"/>
          </w:tcPr>
          <w:p>
            <w:pPr>
              <w:widowControl w:val="0"/>
              <w:jc w:val="both"/>
              <w:rPr>
                <w:sz w:val="24"/>
                <w:szCs w:val="24"/>
              </w:rPr>
            </w:pPr>
            <w:r>
              <w:rPr>
                <w:b/>
                <w:bCs/>
                <w:sz w:val="24"/>
                <w:szCs w:val="24"/>
                <w:lang w:val="en-IN"/>
              </w:rPr>
              <w:t>Proposal 1:</w:t>
            </w:r>
            <w:r>
              <w:rPr>
                <w:sz w:val="24"/>
                <w:szCs w:val="24"/>
                <w:lang w:val="en-IN"/>
              </w:rPr>
              <w:t xml:space="preserve"> </w:t>
            </w:r>
            <w:r>
              <w:rPr>
                <w:b/>
                <w:sz w:val="24"/>
                <w:szCs w:val="24"/>
                <w:lang w:val="en-IN"/>
              </w:rPr>
              <w:t>Support for</w:t>
            </w:r>
            <w:r>
              <w:rPr>
                <w:sz w:val="24"/>
                <w:szCs w:val="24"/>
                <w:lang w:val="en-IN"/>
              </w:rPr>
              <w:t xml:space="preserve"> </w:t>
            </w:r>
            <w:r>
              <w:rPr>
                <w:b/>
                <w:sz w:val="24"/>
                <w:szCs w:val="24"/>
                <w:lang w:val="en-IN"/>
              </w:rPr>
              <w:t>dynamic adaptation of the parameters related to PDCCH monitoring, that are configured semi statically,  in order to reduce number of blind decodings.</w:t>
            </w:r>
          </w:p>
          <w:p>
            <w:pPr>
              <w:widowControl w:val="0"/>
              <w:jc w:val="both"/>
              <w:rPr>
                <w:sz w:val="24"/>
                <w:szCs w:val="24"/>
              </w:rPr>
            </w:pPr>
            <w:r>
              <w:rPr>
                <w:sz w:val="24"/>
                <w:szCs w:val="24"/>
                <w:lang w:val="en-IN"/>
              </w:rPr>
              <w:t>PDCCH decoding is performed blindly over all the available control channel elements (CCE), for all aggregation levels in all the configured search space sets until the limit of number of BDs per slot is achieved. A legacy UE can be configured with up to 10 search space sets. However, for the UEs with lesser amount of  data to transmit/receive, the number of scheduled DCIs per slot may be less. Similarly, PDCCH decoding is performed for all the DCI formats configured for that search space set. However, in most cases, all DCI formats would not be scheduled in a slot. Performing blind decoding over all the search space sets and all DCI formats consumes  unnecessarily more time and  power. If details on the scheduled search space sets and DCI formats are signalled to a UE dynamically, then enormous time and power consumed for PDCCH blind decoding will be saved. There is also a possibility of early detection of DCI in conventional BD process. Performing blind decoding over remaining PDCCH candidates  is unnecessary in that case. . Some mechanism to indicate the early termination will help to avoid this wastage.</w:t>
            </w:r>
          </w:p>
          <w:p>
            <w:pPr>
              <w:widowControl w:val="0"/>
              <w:jc w:val="both"/>
              <w:rPr>
                <w:sz w:val="24"/>
                <w:szCs w:val="24"/>
              </w:rPr>
            </w:pPr>
            <w:r>
              <w:rPr>
                <w:b/>
                <w:bCs/>
                <w:sz w:val="24"/>
                <w:szCs w:val="24"/>
                <w:lang w:val="en-IN"/>
              </w:rPr>
              <w:t>Proposal 2:</w:t>
            </w:r>
            <w:r>
              <w:rPr>
                <w:sz w:val="24"/>
                <w:szCs w:val="24"/>
                <w:lang w:val="en-IN"/>
              </w:rPr>
              <w:t xml:space="preserve"> </w:t>
            </w:r>
            <w:bookmarkStart w:id="21" w:name="__DdeLink__15710_1451397986"/>
            <w:bookmarkEnd w:id="21"/>
            <w:r>
              <w:rPr>
                <w:b/>
                <w:sz w:val="24"/>
                <w:szCs w:val="24"/>
                <w:lang w:val="en-IN"/>
              </w:rPr>
              <w:t xml:space="preserve">Dynamic indication of scheduled search space sets, DCI formats, DCI termination etc. is supported. </w:t>
            </w:r>
          </w:p>
          <w:p>
            <w:pPr>
              <w:widowControl w:val="0"/>
              <w:jc w:val="both"/>
              <w:rPr>
                <w:b/>
                <w:i/>
                <w:iCs/>
              </w:rPr>
            </w:pPr>
          </w:p>
        </w:tc>
      </w:tr>
    </w:tbl>
    <w:p>
      <w:pPr>
        <w:rPr>
          <w:lang w:eastAsia="zh-CN"/>
        </w:rPr>
      </w:pPr>
    </w:p>
    <w:p>
      <w:pPr>
        <w:pStyle w:val="4"/>
        <w:jc w:val="both"/>
        <w:rPr>
          <w:lang w:val="en-GB" w:eastAsia="zh-CN"/>
        </w:rPr>
      </w:pPr>
      <w:r>
        <w:rPr>
          <w:lang w:val="en-GB" w:eastAsia="zh-CN"/>
        </w:rPr>
        <w:t>R1-2101373 (Apple)</w:t>
      </w:r>
    </w:p>
    <w:tbl>
      <w:tblPr>
        <w:tblStyle w:val="52"/>
        <w:tblW w:w="145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307" w:type="dxa"/>
            <w:vAlign w:val="center"/>
          </w:tcPr>
          <w:p>
            <w:pPr>
              <w:widowControl w:val="0"/>
              <w:tabs>
                <w:tab w:val="left" w:pos="640"/>
              </w:tabs>
              <w:jc w:val="both"/>
              <w:rPr>
                <w:b/>
                <w:bCs/>
              </w:rPr>
            </w:pPr>
            <w:r>
              <w:t xml:space="preserve">In summary, RAN1 should support multi-slot monitoring and determine the BD/CCE limits over a group of slots (defined as a slot group/nominal monitoring unit). </w:t>
            </w:r>
            <w:r>
              <w:rPr>
                <w:b/>
                <w:bCs/>
              </w:rPr>
              <w:t>The slot-group size can be defined based on a reference SCS and the PDCCH monitoring occasions should be defined per slot group with UE support for  different Types that can be identified by the UE as a capability.</w:t>
            </w:r>
          </w:p>
          <w:p>
            <w:pPr>
              <w:widowControl w:val="0"/>
              <w:jc w:val="both"/>
              <w:rPr>
                <w:i/>
                <w:iCs/>
              </w:rPr>
            </w:pPr>
            <w:r>
              <w:rPr>
                <w:b/>
                <w:bCs/>
                <w:i/>
                <w:iCs/>
              </w:rPr>
              <w:t>Proposal 1:</w:t>
            </w:r>
            <w:r>
              <w:rPr>
                <w:i/>
                <w:iCs/>
              </w:rPr>
              <w:t xml:space="preserve"> slot-based and  span-based PDCCH monitoring should not be applicable to Rel-17 UEs. </w:t>
            </w:r>
          </w:p>
          <w:p>
            <w:pPr>
              <w:widowControl w:val="0"/>
              <w:tabs>
                <w:tab w:val="left" w:pos="640"/>
              </w:tabs>
              <w:jc w:val="both"/>
              <w:rPr>
                <w:i/>
                <w:iCs/>
              </w:rPr>
            </w:pPr>
            <w:r>
              <w:rPr>
                <w:b/>
                <w:bCs/>
                <w:i/>
                <w:iCs/>
              </w:rPr>
              <w:t>Proposal 2:</w:t>
            </w:r>
            <w:r>
              <w:rPr>
                <w:i/>
                <w:iCs/>
              </w:rPr>
              <w:t xml:space="preserve"> RAN1 should support multi-slot monitoring and determine the BD/CCE limits over a group of slots (defined as a slot group/nominal monitoring unit). The slot-group size can be defined based on a reference SCS. </w:t>
            </w:r>
          </w:p>
          <w:p>
            <w:pPr>
              <w:widowControl w:val="0"/>
              <w:tabs>
                <w:tab w:val="left" w:pos="640"/>
              </w:tabs>
              <w:jc w:val="both"/>
              <w:rPr>
                <w:i/>
                <w:iCs/>
              </w:rPr>
            </w:pPr>
            <w:r>
              <w:rPr>
                <w:b/>
                <w:bCs/>
                <w:i/>
                <w:iCs/>
              </w:rPr>
              <w:t>Proposal 3</w:t>
            </w:r>
            <w:r>
              <w:rPr>
                <w:i/>
                <w:iCs/>
              </w:rPr>
              <w:t>: RAN1 should define the PDCCH Monitoring Occasions per slot group. The MO could be defined as follows:</w:t>
            </w:r>
          </w:p>
          <w:p>
            <w:pPr>
              <w:pStyle w:val="73"/>
              <w:widowControl w:val="0"/>
              <w:numPr>
                <w:ilvl w:val="0"/>
                <w:numId w:val="15"/>
              </w:numPr>
              <w:snapToGrid/>
              <w:jc w:val="both"/>
              <w:rPr>
                <w:i/>
                <w:iCs/>
              </w:rPr>
            </w:pPr>
            <w:r>
              <w:rPr>
                <w:i/>
                <w:iCs/>
              </w:rPr>
              <w:t>Type 1: For all the slots  in the slot group, PDCCH monitoring occurs within the first X symbols of the multiple slots</w:t>
            </w:r>
          </w:p>
          <w:p>
            <w:pPr>
              <w:pStyle w:val="73"/>
              <w:widowControl w:val="0"/>
              <w:numPr>
                <w:ilvl w:val="0"/>
                <w:numId w:val="15"/>
              </w:numPr>
              <w:snapToGrid/>
              <w:jc w:val="both"/>
              <w:rPr>
                <w:i/>
                <w:iCs/>
              </w:rPr>
            </w:pPr>
            <w:r>
              <w:rPr>
                <w:i/>
                <w:iCs/>
              </w:rPr>
              <w:t xml:space="preserve">Type 2: For all the slots in the slot group, PDCCH monitoring occurs on any span of X consecutive symbols within the multiple slots. </w:t>
            </w:r>
          </w:p>
          <w:p>
            <w:pPr>
              <w:pStyle w:val="73"/>
              <w:widowControl w:val="0"/>
              <w:numPr>
                <w:ilvl w:val="0"/>
                <w:numId w:val="15"/>
              </w:numPr>
              <w:snapToGrid/>
              <w:jc w:val="both"/>
              <w:rPr>
                <w:i/>
                <w:iCs/>
              </w:rPr>
            </w:pPr>
            <w:r>
              <w:rPr>
                <w:i/>
                <w:iCs/>
              </w:rPr>
              <w:t xml:space="preserve">Type 3: All PDCCH monitoring occasions can be in any OFDM symbol of a slot-group with a minimum time separation between 2 consecutive transmissions of the PDCCH. </w:t>
            </w:r>
          </w:p>
          <w:p>
            <w:pPr>
              <w:pStyle w:val="73"/>
              <w:widowControl w:val="0"/>
              <w:numPr>
                <w:ilvl w:val="1"/>
                <w:numId w:val="15"/>
              </w:numPr>
              <w:snapToGrid/>
              <w:jc w:val="both"/>
              <w:rPr>
                <w:i/>
                <w:iCs/>
              </w:rPr>
            </w:pPr>
            <w:r>
              <w:rPr>
                <w:i/>
                <w:iCs/>
              </w:rPr>
              <w:t xml:space="preserve">X : Number of OFDM symbols within which the monitoring occasion occurs, </w:t>
            </w:r>
          </w:p>
          <w:p>
            <w:pPr>
              <w:pStyle w:val="73"/>
              <w:widowControl w:val="0"/>
              <w:numPr>
                <w:ilvl w:val="1"/>
                <w:numId w:val="15"/>
              </w:numPr>
              <w:snapToGrid/>
              <w:jc w:val="both"/>
              <w:rPr>
                <w:i/>
                <w:iCs/>
              </w:rPr>
            </w:pPr>
            <w:r>
              <w:rPr>
                <w:i/>
                <w:iCs/>
              </w:rPr>
              <w:t>Y: minimum number of OFDM symbols between the start of different PDCCH Mos</w:t>
            </w:r>
          </w:p>
          <w:p>
            <w:pPr>
              <w:pStyle w:val="73"/>
              <w:widowControl w:val="0"/>
              <w:numPr>
                <w:ilvl w:val="1"/>
                <w:numId w:val="15"/>
              </w:numPr>
              <w:snapToGrid/>
              <w:jc w:val="both"/>
              <w:rPr>
                <w:i/>
                <w:iCs/>
              </w:rPr>
            </w:pPr>
            <w:r>
              <w:rPr>
                <w:i/>
                <w:iCs/>
              </w:rPr>
              <w:t>Z: Slot group size</w:t>
            </w:r>
          </w:p>
          <w:p>
            <w:pPr>
              <w:widowControl w:val="0"/>
              <w:jc w:val="both"/>
              <w:rPr>
                <w:i/>
                <w:iCs/>
              </w:rPr>
            </w:pPr>
            <w:r>
              <w:rPr>
                <w:b/>
                <w:bCs/>
                <w:i/>
                <w:iCs/>
              </w:rPr>
              <w:t>Proposal 4:</w:t>
            </w:r>
            <w:r>
              <w:rPr>
                <w:i/>
                <w:iCs/>
              </w:rPr>
              <w:t xml:space="preserve"> Overbooking and dropping are performed per slot group.</w:t>
            </w:r>
          </w:p>
          <w:p>
            <w:pPr>
              <w:widowControl w:val="0"/>
              <w:jc w:val="both"/>
              <w:rPr>
                <w:b/>
                <w:i/>
                <w:iCs/>
              </w:rPr>
            </w:pPr>
          </w:p>
        </w:tc>
      </w:tr>
    </w:tbl>
    <w:p>
      <w:pPr>
        <w:rPr>
          <w:lang w:eastAsia="zh-CN"/>
        </w:rPr>
      </w:pPr>
    </w:p>
    <w:p>
      <w:pPr>
        <w:pStyle w:val="4"/>
        <w:jc w:val="both"/>
        <w:rPr>
          <w:lang w:val="en-GB" w:eastAsia="zh-CN"/>
        </w:rPr>
      </w:pPr>
      <w:r>
        <w:rPr>
          <w:lang w:val="en-GB" w:eastAsia="zh-CN"/>
        </w:rPr>
        <w:t>R1-2101418 (Convida Wireless)</w:t>
      </w:r>
    </w:p>
    <w:tbl>
      <w:tblPr>
        <w:tblStyle w:val="52"/>
        <w:tblW w:w="145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vAlign w:val="center"/>
          </w:tcPr>
          <w:p>
            <w:pPr>
              <w:widowControl w:val="0"/>
              <w:spacing w:line="276" w:lineRule="auto"/>
            </w:pPr>
            <w:r>
              <w:t xml:space="preserve">Like Rel-16 URLLC PDCCH monitoring span (X, Y) definition, it can be extended to the mobile broadband (EMBB) service for NR from 52.6 GHz and above with few modifications. The PDCCH monitoring span (X, Y) for higher SCS/numerology (e.g. SCS 960 kHz) where the first number X is the number of slots between the beginning of two consecutive monitoring occasions, the second number Y is the number of slots or symbols needs to be monitored in a monitoring occasion.  Rel-16 PDCCH/DCI span, it supports limited span like (X, Y) = (2, 2), (4, 3), and (7, 3). Note in Rel-16, the value of X and Y is based on units of symbols. Therefore, the X and Y supported in Rel-16 may not be suitable for NR from 52.6 GHz and above. For NR from 52.6 GHz and above, the duration per span may be across several slots to meet the scheduling requirement due to the number of PDCCH candidate and nonoverlapping CCEs being reduced per slot. The UE can be configured by gNB to monitor PDCCH with the maximum number of PDCCH candidates and nonoverlapping CCEs defined per slot as in NR Rel-15/16 or defined per span for the maximum number of PDCCH candidates and non-overlapping CCEs defined per span. An example of a PDCCH monitoring span shown in </w:t>
            </w:r>
            <w:r>
              <w:fldChar w:fldCharType="begin"/>
            </w:r>
            <w:r>
              <w:instrText xml:space="preserve"> REF _Ref61628068 \h  \* MERGEFORMAT </w:instrText>
            </w:r>
            <w:r>
              <w:fldChar w:fldCharType="separate"/>
            </w:r>
            <w:r>
              <w:rPr>
                <w:iCs/>
              </w:rPr>
              <w:t>Figure 1</w:t>
            </w:r>
            <w:r>
              <w:fldChar w:fldCharType="end"/>
            </w:r>
            <w:r>
              <w:t xml:space="preserve">. In </w:t>
            </w:r>
            <w:r>
              <w:fldChar w:fldCharType="begin"/>
            </w:r>
            <w:r>
              <w:instrText xml:space="preserve"> REF _Ref61628068 \h  \* MERGEFORMAT </w:instrText>
            </w:r>
            <w:r>
              <w:fldChar w:fldCharType="separate"/>
            </w:r>
            <w:r>
              <w:rPr>
                <w:iCs/>
              </w:rPr>
              <w:t>Figure 1</w:t>
            </w:r>
            <w:r>
              <w:fldChar w:fldCharType="end"/>
            </w:r>
            <w:r>
              <w:t>, we assume a configuration of PDCCH monitoring span for SCS = 960 KHz. For this example, let a span (X=4, Y=4) is configured, note the unit for X and Y can be either based on number of slots or symbols. it means there are PDCCHs need to be monitored in Y=4 slots/56 symbols and each PDCCH monitoring occasion are separated by X=4 slots/or 56 symbols.</w:t>
            </w:r>
          </w:p>
          <w:p>
            <w:pPr>
              <w:widowControl w:val="0"/>
              <w:spacing w:line="360" w:lineRule="auto"/>
              <w:jc w:val="center"/>
            </w:pPr>
            <w:r>
              <w:object>
                <v:shape id="_x0000_i1027" o:spt="75" type="#_x0000_t75" style="height:119.25pt;width:407.25pt;" o:ole="t" filled="f" o:preferrelative="t" stroked="f" coordsize="21600,21600">
                  <v:path/>
                  <v:fill on="f" focussize="0,0"/>
                  <v:stroke on="f" joinstyle="miter"/>
                  <v:imagedata r:id="rId17" o:title=""/>
                  <o:lock v:ext="edit" aspectratio="t"/>
                  <w10:wrap type="none"/>
                  <w10:anchorlock/>
                </v:shape>
                <o:OLEObject Type="Embed" ProgID="Visio.Drawing.15" ShapeID="_x0000_i1027" DrawAspect="Content" ObjectID="_1468075727" r:id="rId16">
                  <o:LockedField>false</o:LockedField>
                </o:OLEObject>
              </w:object>
            </w:r>
          </w:p>
          <w:p>
            <w:pPr>
              <w:widowControl w:val="0"/>
              <w:tabs>
                <w:tab w:val="left" w:pos="7406"/>
              </w:tabs>
              <w:spacing w:line="360" w:lineRule="auto"/>
              <w:jc w:val="center"/>
              <w:rPr>
                <w:bCs/>
                <w:iCs/>
              </w:rPr>
            </w:pPr>
            <w:bookmarkStart w:id="22" w:name="_Ref61628068"/>
            <w:r>
              <w:rPr>
                <w:b/>
                <w:iCs/>
              </w:rPr>
              <w:t xml:space="preserve">Figure </w:t>
            </w:r>
            <w:r>
              <w:rPr>
                <w:b/>
                <w:iCs/>
              </w:rPr>
              <w:fldChar w:fldCharType="begin"/>
            </w:r>
            <w:r>
              <w:rPr>
                <w:b/>
                <w:iCs/>
              </w:rPr>
              <w:instrText xml:space="preserve"> SEQ Figure \* ARABIC </w:instrText>
            </w:r>
            <w:r>
              <w:rPr>
                <w:b/>
                <w:iCs/>
              </w:rPr>
              <w:fldChar w:fldCharType="separate"/>
            </w:r>
            <w:r>
              <w:rPr>
                <w:b/>
                <w:iCs/>
              </w:rPr>
              <w:t>1</w:t>
            </w:r>
            <w:r>
              <w:rPr>
                <w:b/>
                <w:iCs/>
              </w:rPr>
              <w:fldChar w:fldCharType="end"/>
            </w:r>
            <w:bookmarkEnd w:id="22"/>
            <w:r>
              <w:rPr>
                <w:bCs/>
                <w:iCs/>
              </w:rPr>
              <w:t>: An exemplary PDCCH monitoring span for NR from 52.6 GHz to 71 GHz.</w:t>
            </w:r>
          </w:p>
          <w:p>
            <w:pPr>
              <w:widowControl w:val="0"/>
              <w:spacing w:after="0" w:line="360" w:lineRule="auto"/>
              <w:rPr>
                <w:b/>
                <w:i/>
                <w:lang w:eastAsia="zh-CN"/>
              </w:rPr>
            </w:pPr>
            <w:r>
              <w:rPr>
                <w:b/>
                <w:i/>
              </w:rPr>
              <w:t>Proposal 1</w:t>
            </w:r>
            <w:r>
              <w:rPr>
                <w:b/>
                <w:i/>
                <w:lang w:eastAsia="zh-CN"/>
              </w:rPr>
              <w:t xml:space="preserve">. PDCCH monitoring can be either based on per slot as Rel-15/16 or per span for NR from 52.6 to 71 GHz.  </w:t>
            </w:r>
          </w:p>
          <w:p>
            <w:pPr>
              <w:widowControl w:val="0"/>
              <w:jc w:val="both"/>
              <w:rPr>
                <w:b/>
                <w:i/>
                <w:iCs/>
              </w:rPr>
            </w:pPr>
          </w:p>
        </w:tc>
      </w:tr>
    </w:tbl>
    <w:p>
      <w:pPr>
        <w:rPr>
          <w:lang w:eastAsia="zh-CN"/>
        </w:rPr>
      </w:pPr>
    </w:p>
    <w:p>
      <w:pPr>
        <w:pStyle w:val="4"/>
        <w:jc w:val="both"/>
        <w:rPr>
          <w:lang w:val="en-GB" w:eastAsia="zh-CN"/>
        </w:rPr>
      </w:pPr>
      <w:r>
        <w:rPr>
          <w:lang w:val="en-GB" w:eastAsia="zh-CN"/>
        </w:rPr>
        <w:t>R1-2101454 (Qualcomm)</w:t>
      </w:r>
    </w:p>
    <w:tbl>
      <w:tblPr>
        <w:tblStyle w:val="52"/>
        <w:tblW w:w="145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vAlign w:val="center"/>
          </w:tcPr>
          <w:p>
            <w:pPr>
              <w:widowControl w:val="0"/>
            </w:pPr>
            <w:r>
              <w:t xml:space="preserve">For the introduction of new high SCSs, i.e., 480kHz and 960kHz, the aspects of processing timeline should be revisited. As suggested in the WID </w:t>
            </w:r>
            <w:r>
              <w:fldChar w:fldCharType="begin"/>
            </w:r>
            <w:r>
              <w:instrText xml:space="preserve"> REF _Ref60914729 \r \h </w:instrText>
            </w:r>
            <w:r>
              <w:fldChar w:fldCharType="separate"/>
            </w:r>
            <w:r>
              <w:t>[2]</w:t>
            </w:r>
            <w:r>
              <w:fldChar w:fldCharType="end"/>
            </w:r>
            <w:r>
              <w:t xml:space="preserve">, the study involves new UE capability related to the processing timeline. Many of the UE capabilities are already numerology dependent and the “slot” is commonly used as a reference time grid to confine the capabilities. For example, in Rel-15, UE’s capability for PDCCH monitoring, including the monitoring occasion placement, maximum number of PDCCH candidates and non-overlapped CCEs, is determined per slot. However, the per-slot PDCCH monitoring capability may be too restrictive for the new SCSs; due to the short slot length, the maximum number of BD/CCE supported per slot may be too small, which can harm the scheduling flexibility and performance. The appropriate numbers of blind decoding and non-overlapped CCEs for the high SCSs need further discussion in Rel-17, </w:t>
            </w:r>
          </w:p>
          <w:p>
            <w:pPr>
              <w:pStyle w:val="27"/>
              <w:widowControl w:val="0"/>
              <w:jc w:val="left"/>
            </w:pPr>
            <w:bookmarkStart w:id="23" w:name="_Toc61547161"/>
            <w:bookmarkStart w:id="24" w:name="_Toc61822876"/>
            <w:bookmarkStart w:id="25" w:name="_Toc61869390"/>
            <w:bookmarkStart w:id="26" w:name="_Toc61547146"/>
            <w:bookmarkStart w:id="27" w:name="_Toc61546060"/>
            <w:bookmarkStart w:id="28" w:name="_Toc61547195"/>
            <w:bookmarkStart w:id="29" w:name="_Toc61859944"/>
            <w:bookmarkStart w:id="30" w:name="_Toc61859755"/>
            <w:r>
              <w:t xml:space="preserve">Proposal </w:t>
            </w:r>
            <w:r>
              <w:fldChar w:fldCharType="begin"/>
            </w:r>
            <w:r>
              <w:instrText xml:space="preserve">SEQ Proposal \* ARABIC</w:instrText>
            </w:r>
            <w:r>
              <w:fldChar w:fldCharType="separate"/>
            </w:r>
            <w:r>
              <w:t>1</w:t>
            </w:r>
            <w:r>
              <w:fldChar w:fldCharType="end"/>
            </w:r>
            <w:r>
              <w:t>: For new SCSs, support the per-slot PDCCH monitoring capability and further study on the number of BD and non-overlapped CCE.</w:t>
            </w:r>
            <w:bookmarkEnd w:id="23"/>
            <w:bookmarkEnd w:id="24"/>
            <w:bookmarkEnd w:id="25"/>
            <w:bookmarkEnd w:id="26"/>
            <w:bookmarkEnd w:id="27"/>
            <w:bookmarkEnd w:id="28"/>
            <w:bookmarkEnd w:id="29"/>
            <w:bookmarkEnd w:id="30"/>
          </w:p>
          <w:p>
            <w:pPr>
              <w:widowControl w:val="0"/>
            </w:pPr>
            <w:r>
              <w:t xml:space="preserve">In </w:t>
            </w:r>
            <w:r>
              <w:fldChar w:fldCharType="begin"/>
            </w:r>
            <w:r>
              <w:instrText xml:space="preserve"> REF _Ref60926036 \h </w:instrText>
            </w:r>
            <w:r>
              <w:fldChar w:fldCharType="separate"/>
            </w:r>
            <w:r>
              <w:t>Table 1</w:t>
            </w:r>
            <w:r>
              <w:fldChar w:fldCharType="end"/>
            </w:r>
            <w:r>
              <w:t xml:space="preserve">, the projected maximum numbers of PDCCH blind decoding and non-overlapped CCEs per slot for the new numerologies are shown. The projection is based on the log-linear regression from the values for existing numerologies with respect to </w:t>
            </w:r>
            <m:oMath>
              <m:r>
                <w:rPr>
                  <w:rFonts w:ascii="Cambria Math" w:hAnsi="Cambria Math"/>
                </w:rPr>
                <m:t>μ</m:t>
              </m:r>
            </m:oMath>
            <w:r>
              <w:t>. Although any physical implementation factors are not accounted, the projected numbers would be a feasible reference to show the trend. As discussed, for the per-slot PDCCH monitoring capability, the numbers of blind decoding and CCEs may be strictly limited for high SCSs.</w:t>
            </w:r>
          </w:p>
          <w:p>
            <w:pPr>
              <w:pStyle w:val="27"/>
              <w:widowControl w:val="0"/>
            </w:pPr>
            <w:bookmarkStart w:id="31" w:name="_Ref60926036"/>
            <w:r>
              <w:t xml:space="preserve">Table </w:t>
            </w:r>
            <w:r>
              <w:fldChar w:fldCharType="begin"/>
            </w:r>
            <w:r>
              <w:instrText xml:space="preserve">SEQ Table \* ARABIC</w:instrText>
            </w:r>
            <w:r>
              <w:fldChar w:fldCharType="separate"/>
            </w:r>
            <w:r>
              <w:t>1</w:t>
            </w:r>
            <w:r>
              <w:fldChar w:fldCharType="end"/>
            </w:r>
            <w:bookmarkEnd w:id="31"/>
            <w:r>
              <w:t>. Projected values of maximum numbers of blind decoding and non-overlapped CCEs per slot.</w:t>
            </w:r>
          </w:p>
          <w:tbl>
            <w:tblPr>
              <w:tblStyle w:val="51"/>
              <w:tblW w:w="5030" w:type="dxa"/>
              <w:jc w:val="center"/>
              <w:tblLayout w:type="fixed"/>
              <w:tblCellMar>
                <w:top w:w="0" w:type="dxa"/>
                <w:left w:w="0" w:type="dxa"/>
                <w:bottom w:w="0" w:type="dxa"/>
                <w:right w:w="0" w:type="dxa"/>
              </w:tblCellMar>
            </w:tblPr>
            <w:tblGrid>
              <w:gridCol w:w="620"/>
              <w:gridCol w:w="1890"/>
              <w:gridCol w:w="1260"/>
              <w:gridCol w:w="1260"/>
            </w:tblGrid>
            <w:tr>
              <w:tblPrEx>
                <w:tblCellMar>
                  <w:top w:w="0" w:type="dxa"/>
                  <w:left w:w="0" w:type="dxa"/>
                  <w:bottom w:w="0" w:type="dxa"/>
                  <w:right w:w="0" w:type="dxa"/>
                </w:tblCellMar>
              </w:tblPrEx>
              <w:trPr>
                <w:jc w:val="center"/>
              </w:trPr>
              <w:tc>
                <w:tcPr>
                  <w:tcW w:w="620" w:type="dxa"/>
                  <w:tcBorders>
                    <w:top w:val="single" w:color="000000" w:sz="8" w:space="0"/>
                    <w:left w:val="single" w:color="000000" w:sz="8" w:space="0"/>
                    <w:bottom w:val="single" w:color="000000" w:sz="8" w:space="0"/>
                    <w:right w:val="single" w:color="000000" w:sz="8" w:space="0"/>
                  </w:tcBorders>
                  <w:shd w:val="clear" w:color="auto" w:fill="E0E0E0"/>
                  <w:tcMar>
                    <w:top w:w="15" w:type="dxa"/>
                    <w:left w:w="15" w:type="dxa"/>
                    <w:bottom w:w="0" w:type="dxa"/>
                    <w:right w:w="15" w:type="dxa"/>
                  </w:tcMar>
                  <w:vAlign w:val="center"/>
                </w:tcPr>
                <w:p>
                  <w:pPr>
                    <w:spacing w:after="20"/>
                    <w:jc w:val="center"/>
                  </w:pPr>
                  <m:oMathPara>
                    <m:oMathParaPr>
                      <m:jc m:val="centerGroup"/>
                    </m:oMathParaPr>
                    <m:oMath>
                      <m:r>
                        <w:rPr>
                          <w:rFonts w:ascii="Cambria Math" w:hAnsi="Cambria Math"/>
                          <w:lang w:val="en-GB"/>
                        </w:rPr>
                        <m:t>μ</m:t>
                      </m:r>
                    </m:oMath>
                  </m:oMathPara>
                </w:p>
              </w:tc>
              <w:tc>
                <w:tcPr>
                  <w:tcW w:w="1890" w:type="dxa"/>
                  <w:tcBorders>
                    <w:top w:val="single" w:color="000000" w:sz="8" w:space="0"/>
                    <w:left w:val="single" w:color="000000" w:sz="8" w:space="0"/>
                    <w:bottom w:val="single" w:color="000000" w:sz="8" w:space="0"/>
                    <w:right w:val="single" w:color="000000" w:sz="8" w:space="0"/>
                  </w:tcBorders>
                  <w:shd w:val="clear" w:color="auto" w:fill="E0E0E0"/>
                  <w:tcMar>
                    <w:top w:w="15" w:type="dxa"/>
                    <w:left w:w="15" w:type="dxa"/>
                    <w:bottom w:w="0" w:type="dxa"/>
                    <w:right w:w="15" w:type="dxa"/>
                  </w:tcMar>
                  <w:vAlign w:val="center"/>
                </w:tcPr>
                <w:p>
                  <w:pPr>
                    <w:spacing w:after="20"/>
                    <w:jc w:val="center"/>
                  </w:pPr>
                  <w:r>
                    <w:t>Slot length (</w:t>
                  </w:r>
                  <w:r>
                    <w:rPr>
                      <w:i/>
                      <w:iCs/>
                      <w:lang w:val="el-GR"/>
                    </w:rPr>
                    <w:t>μ</w:t>
                  </w:r>
                  <w:r>
                    <w:rPr>
                      <w:lang w:val="en-GB"/>
                    </w:rPr>
                    <w:t>s)</w:t>
                  </w:r>
                </w:p>
              </w:tc>
              <w:tc>
                <w:tcPr>
                  <w:tcW w:w="1260" w:type="dxa"/>
                  <w:tcBorders>
                    <w:top w:val="single" w:color="000000" w:sz="8" w:space="0"/>
                    <w:left w:val="single" w:color="000000" w:sz="8" w:space="0"/>
                    <w:bottom w:val="single" w:color="000000" w:sz="8" w:space="0"/>
                    <w:right w:val="single" w:color="000000" w:sz="8" w:space="0"/>
                  </w:tcBorders>
                  <w:shd w:val="clear" w:color="auto" w:fill="E0E0E0"/>
                  <w:tcMar>
                    <w:top w:w="15" w:type="dxa"/>
                    <w:left w:w="15" w:type="dxa"/>
                    <w:bottom w:w="0" w:type="dxa"/>
                    <w:right w:w="15" w:type="dxa"/>
                  </w:tcMar>
                  <w:vAlign w:val="center"/>
                </w:tcPr>
                <w:p>
                  <w:pPr>
                    <w:spacing w:after="20"/>
                    <w:jc w:val="center"/>
                  </w:pPr>
                  <w:r>
                    <w:t># BD</w:t>
                  </w:r>
                </w:p>
              </w:tc>
              <w:tc>
                <w:tcPr>
                  <w:tcW w:w="1260" w:type="dxa"/>
                  <w:tcBorders>
                    <w:top w:val="single" w:color="000000" w:sz="8" w:space="0"/>
                    <w:left w:val="single" w:color="000000" w:sz="8" w:space="0"/>
                    <w:bottom w:val="single" w:color="000000" w:sz="8" w:space="0"/>
                    <w:right w:val="single" w:color="000000" w:sz="8" w:space="0"/>
                  </w:tcBorders>
                  <w:shd w:val="clear" w:color="auto" w:fill="E0E0E0"/>
                  <w:tcMar>
                    <w:top w:w="15" w:type="dxa"/>
                    <w:left w:w="15" w:type="dxa"/>
                    <w:bottom w:w="0" w:type="dxa"/>
                    <w:right w:w="15" w:type="dxa"/>
                  </w:tcMar>
                  <w:vAlign w:val="center"/>
                </w:tcPr>
                <w:p>
                  <w:pPr>
                    <w:spacing w:after="20"/>
                    <w:jc w:val="center"/>
                  </w:pPr>
                  <w:r>
                    <w:t># CCE</w:t>
                  </w:r>
                </w:p>
              </w:tc>
            </w:tr>
            <w:tr>
              <w:tblPrEx>
                <w:tblCellMar>
                  <w:top w:w="0" w:type="dxa"/>
                  <w:left w:w="0" w:type="dxa"/>
                  <w:bottom w:w="0" w:type="dxa"/>
                  <w:right w:w="0" w:type="dxa"/>
                </w:tblCellMar>
              </w:tblPrEx>
              <w:trPr>
                <w:jc w:val="center"/>
              </w:trPr>
              <w:tc>
                <w:tcPr>
                  <w:tcW w:w="62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after="20"/>
                    <w:jc w:val="center"/>
                  </w:pPr>
                  <w:r>
                    <w:rPr>
                      <w:lang w:val="en-GB"/>
                    </w:rPr>
                    <w:t>0</w:t>
                  </w:r>
                </w:p>
              </w:tc>
              <w:tc>
                <w:tcPr>
                  <w:tcW w:w="18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after="20"/>
                    <w:jc w:val="center"/>
                  </w:pPr>
                  <w:r>
                    <w:t>1000</w:t>
                  </w:r>
                </w:p>
              </w:tc>
              <w:tc>
                <w:tcPr>
                  <w:tcW w:w="126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after="20"/>
                    <w:jc w:val="center"/>
                  </w:pPr>
                  <w:r>
                    <w:rPr>
                      <w:lang w:val="en-GB"/>
                    </w:rPr>
                    <w:t>44</w:t>
                  </w:r>
                </w:p>
              </w:tc>
              <w:tc>
                <w:tcPr>
                  <w:tcW w:w="126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after="20"/>
                    <w:jc w:val="center"/>
                  </w:pPr>
                  <w:r>
                    <w:rPr>
                      <w:lang w:val="en-GB"/>
                    </w:rPr>
                    <w:t>56</w:t>
                  </w:r>
                </w:p>
              </w:tc>
            </w:tr>
            <w:tr>
              <w:tblPrEx>
                <w:tblCellMar>
                  <w:top w:w="0" w:type="dxa"/>
                  <w:left w:w="0" w:type="dxa"/>
                  <w:bottom w:w="0" w:type="dxa"/>
                  <w:right w:w="0" w:type="dxa"/>
                </w:tblCellMar>
              </w:tblPrEx>
              <w:trPr>
                <w:jc w:val="center"/>
              </w:trPr>
              <w:tc>
                <w:tcPr>
                  <w:tcW w:w="62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after="20"/>
                    <w:jc w:val="center"/>
                  </w:pPr>
                  <w:r>
                    <w:rPr>
                      <w:lang w:val="en-GB"/>
                    </w:rPr>
                    <w:t>1</w:t>
                  </w:r>
                </w:p>
              </w:tc>
              <w:tc>
                <w:tcPr>
                  <w:tcW w:w="18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after="20"/>
                    <w:jc w:val="center"/>
                  </w:pPr>
                  <w:r>
                    <w:t>500</w:t>
                  </w:r>
                </w:p>
              </w:tc>
              <w:tc>
                <w:tcPr>
                  <w:tcW w:w="126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after="20"/>
                    <w:jc w:val="center"/>
                  </w:pPr>
                  <w:r>
                    <w:rPr>
                      <w:lang w:val="en-GB"/>
                    </w:rPr>
                    <w:t>36</w:t>
                  </w:r>
                </w:p>
              </w:tc>
              <w:tc>
                <w:tcPr>
                  <w:tcW w:w="126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after="20"/>
                    <w:jc w:val="center"/>
                  </w:pPr>
                  <w:r>
                    <w:rPr>
                      <w:lang w:val="en-GB"/>
                    </w:rPr>
                    <w:t>56</w:t>
                  </w:r>
                </w:p>
              </w:tc>
            </w:tr>
            <w:tr>
              <w:tblPrEx>
                <w:tblCellMar>
                  <w:top w:w="0" w:type="dxa"/>
                  <w:left w:w="0" w:type="dxa"/>
                  <w:bottom w:w="0" w:type="dxa"/>
                  <w:right w:w="0" w:type="dxa"/>
                </w:tblCellMar>
              </w:tblPrEx>
              <w:trPr>
                <w:jc w:val="center"/>
              </w:trPr>
              <w:tc>
                <w:tcPr>
                  <w:tcW w:w="62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after="20"/>
                    <w:jc w:val="center"/>
                  </w:pPr>
                  <w:r>
                    <w:rPr>
                      <w:lang w:val="en-GB"/>
                    </w:rPr>
                    <w:t>2</w:t>
                  </w:r>
                </w:p>
              </w:tc>
              <w:tc>
                <w:tcPr>
                  <w:tcW w:w="18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after="20"/>
                    <w:jc w:val="center"/>
                  </w:pPr>
                  <w:r>
                    <w:t>250</w:t>
                  </w:r>
                </w:p>
              </w:tc>
              <w:tc>
                <w:tcPr>
                  <w:tcW w:w="126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after="20"/>
                    <w:jc w:val="center"/>
                  </w:pPr>
                  <w:r>
                    <w:rPr>
                      <w:lang w:val="en-GB"/>
                    </w:rPr>
                    <w:t>22</w:t>
                  </w:r>
                </w:p>
              </w:tc>
              <w:tc>
                <w:tcPr>
                  <w:tcW w:w="126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after="20"/>
                    <w:jc w:val="center"/>
                  </w:pPr>
                  <w:r>
                    <w:rPr>
                      <w:lang w:val="en-GB"/>
                    </w:rPr>
                    <w:t>48</w:t>
                  </w:r>
                </w:p>
              </w:tc>
            </w:tr>
            <w:tr>
              <w:tblPrEx>
                <w:tblCellMar>
                  <w:top w:w="0" w:type="dxa"/>
                  <w:left w:w="0" w:type="dxa"/>
                  <w:bottom w:w="0" w:type="dxa"/>
                  <w:right w:w="0" w:type="dxa"/>
                </w:tblCellMar>
              </w:tblPrEx>
              <w:trPr>
                <w:jc w:val="center"/>
              </w:trPr>
              <w:tc>
                <w:tcPr>
                  <w:tcW w:w="62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after="20"/>
                    <w:jc w:val="center"/>
                  </w:pPr>
                  <w:r>
                    <w:rPr>
                      <w:lang w:val="en-GB"/>
                    </w:rPr>
                    <w:t>3</w:t>
                  </w:r>
                </w:p>
              </w:tc>
              <w:tc>
                <w:tcPr>
                  <w:tcW w:w="18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after="20"/>
                    <w:jc w:val="center"/>
                  </w:pPr>
                  <w:r>
                    <w:t>125</w:t>
                  </w:r>
                </w:p>
              </w:tc>
              <w:tc>
                <w:tcPr>
                  <w:tcW w:w="126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after="20"/>
                    <w:jc w:val="center"/>
                  </w:pPr>
                  <w:r>
                    <w:rPr>
                      <w:lang w:val="en-GB"/>
                    </w:rPr>
                    <w:t>20</w:t>
                  </w:r>
                </w:p>
              </w:tc>
              <w:tc>
                <w:tcPr>
                  <w:tcW w:w="126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after="20"/>
                    <w:jc w:val="center"/>
                  </w:pPr>
                  <w:r>
                    <w:rPr>
                      <w:lang w:val="en-GB"/>
                    </w:rPr>
                    <w:t>32</w:t>
                  </w:r>
                </w:p>
              </w:tc>
            </w:tr>
            <w:tr>
              <w:tblPrEx>
                <w:tblCellMar>
                  <w:top w:w="0" w:type="dxa"/>
                  <w:left w:w="0" w:type="dxa"/>
                  <w:bottom w:w="0" w:type="dxa"/>
                  <w:right w:w="0" w:type="dxa"/>
                </w:tblCellMar>
              </w:tblPrEx>
              <w:trPr>
                <w:jc w:val="center"/>
              </w:trPr>
              <w:tc>
                <w:tcPr>
                  <w:tcW w:w="62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after="20"/>
                    <w:jc w:val="center"/>
                  </w:pPr>
                  <w:r>
                    <w:t>5</w:t>
                  </w:r>
                </w:p>
              </w:tc>
              <w:tc>
                <w:tcPr>
                  <w:tcW w:w="18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after="20"/>
                    <w:jc w:val="center"/>
                  </w:pPr>
                  <w:r>
                    <w:t>31.25</w:t>
                  </w:r>
                </w:p>
              </w:tc>
              <w:tc>
                <w:tcPr>
                  <w:tcW w:w="126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after="20"/>
                    <w:jc w:val="center"/>
                  </w:pPr>
                  <w:r>
                    <w:t>[10]</w:t>
                  </w:r>
                </w:p>
              </w:tc>
              <w:tc>
                <w:tcPr>
                  <w:tcW w:w="126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after="20"/>
                    <w:jc w:val="center"/>
                  </w:pPr>
                  <w:r>
                    <w:t>[18]</w:t>
                  </w:r>
                </w:p>
              </w:tc>
            </w:tr>
            <w:tr>
              <w:tblPrEx>
                <w:tblCellMar>
                  <w:top w:w="0" w:type="dxa"/>
                  <w:left w:w="0" w:type="dxa"/>
                  <w:bottom w:w="0" w:type="dxa"/>
                  <w:right w:w="0" w:type="dxa"/>
                </w:tblCellMar>
              </w:tblPrEx>
              <w:trPr>
                <w:trHeight w:val="20" w:hRule="atLeast"/>
                <w:jc w:val="center"/>
              </w:trPr>
              <w:tc>
                <w:tcPr>
                  <w:tcW w:w="62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after="20"/>
                    <w:jc w:val="center"/>
                  </w:pPr>
                  <w:r>
                    <w:t>6</w:t>
                  </w:r>
                </w:p>
              </w:tc>
              <w:tc>
                <w:tcPr>
                  <w:tcW w:w="18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after="20"/>
                    <w:jc w:val="center"/>
                  </w:pPr>
                  <w:r>
                    <w:t>15.625</w:t>
                  </w:r>
                </w:p>
              </w:tc>
              <w:tc>
                <w:tcPr>
                  <w:tcW w:w="126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after="20"/>
                    <w:jc w:val="center"/>
                  </w:pPr>
                  <w:r>
                    <w:t>[8]</w:t>
                  </w:r>
                </w:p>
              </w:tc>
              <w:tc>
                <w:tcPr>
                  <w:tcW w:w="126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after="20"/>
                    <w:jc w:val="center"/>
                  </w:pPr>
                  <w:r>
                    <w:t>[14]</w:t>
                  </w:r>
                </w:p>
              </w:tc>
            </w:tr>
          </w:tbl>
          <w:p>
            <w:pPr>
              <w:widowControl w:val="0"/>
            </w:pPr>
          </w:p>
          <w:p>
            <w:pPr>
              <w:widowControl w:val="0"/>
            </w:pPr>
            <w:r>
              <w:t>Additionally, if the UE is expected to monitor PDCCH in every slot, the micro-sleep opportunities decrease due to the short slot length and the power efficiency during the connected mode would be degraded. Therefore, for the high SCSs that would be introduced in Rel-17, a new time basis, e.g., a bundle of slots, can be considered to confine the UE capabilities.</w:t>
            </w:r>
          </w:p>
          <w:p>
            <w:pPr>
              <w:pStyle w:val="27"/>
              <w:widowControl w:val="0"/>
              <w:jc w:val="left"/>
            </w:pPr>
            <w:bookmarkStart w:id="32" w:name="_Toc61859756"/>
            <w:bookmarkStart w:id="33" w:name="_Toc61822877"/>
            <w:bookmarkStart w:id="34" w:name="_Toc61859945"/>
            <w:bookmarkStart w:id="35" w:name="_Toc61869391"/>
            <w:bookmarkStart w:id="36" w:name="_Toc61547196"/>
            <w:bookmarkStart w:id="37" w:name="_Toc61293887"/>
            <w:bookmarkStart w:id="38" w:name="_Toc61547147"/>
            <w:bookmarkStart w:id="39" w:name="_Toc61546061"/>
            <w:bookmarkStart w:id="40" w:name="_Toc61547162"/>
            <w:bookmarkStart w:id="41" w:name="Capability_proposal"/>
            <w:r>
              <w:t xml:space="preserve">Proposal </w:t>
            </w:r>
            <w:r>
              <w:fldChar w:fldCharType="begin"/>
            </w:r>
            <w:r>
              <w:instrText xml:space="preserve">SEQ Proposal \* ARABIC</w:instrText>
            </w:r>
            <w:r>
              <w:fldChar w:fldCharType="separate"/>
            </w:r>
            <w:r>
              <w:t>2</w:t>
            </w:r>
            <w:r>
              <w:fldChar w:fldCharType="end"/>
            </w:r>
            <w:r>
              <w:t>: Multi-slot based PDCCH monitoring capability should be considered for new SCSs with short slot lengths.</w:t>
            </w:r>
            <w:bookmarkEnd w:id="32"/>
            <w:bookmarkEnd w:id="33"/>
            <w:bookmarkEnd w:id="34"/>
            <w:bookmarkEnd w:id="35"/>
            <w:bookmarkEnd w:id="36"/>
            <w:bookmarkEnd w:id="37"/>
            <w:bookmarkEnd w:id="38"/>
            <w:bookmarkEnd w:id="39"/>
            <w:bookmarkEnd w:id="40"/>
            <w:r>
              <w:t xml:space="preserve"> </w:t>
            </w:r>
          </w:p>
          <w:bookmarkEnd w:id="41"/>
          <w:p>
            <w:pPr>
              <w:widowControl w:val="0"/>
            </w:pPr>
            <w:r>
              <w:t xml:space="preserve">An example of the per-span PDCCH monitoring capability is shown in </w:t>
            </w:r>
            <w:r>
              <w:fldChar w:fldCharType="begin"/>
            </w:r>
            <w:r>
              <w:instrText xml:space="preserve"> REF _Ref53568688 \h </w:instrText>
            </w:r>
            <w:r>
              <w:fldChar w:fldCharType="separate"/>
            </w:r>
            <w:r>
              <w:t>Table 2</w:t>
            </w:r>
            <w:r>
              <w:fldChar w:fldCharType="end"/>
            </w:r>
            <w:r>
              <w:t>. In the table, the span-based capability is represented by a combination (</w:t>
            </w:r>
            <w:r>
              <w:rPr>
                <w:i/>
                <w:iCs/>
              </w:rPr>
              <w:t>X</w:t>
            </w:r>
            <w:r>
              <w:t xml:space="preserve">, </w:t>
            </w:r>
            <w:r>
              <w:rPr>
                <w:i/>
                <w:iCs/>
              </w:rPr>
              <w:t>Y</w:t>
            </w:r>
            <w:r>
              <w:t xml:space="preserve">), where </w:t>
            </w:r>
            <w:r>
              <w:rPr>
                <w:i/>
                <w:iCs/>
              </w:rPr>
              <w:t>X</w:t>
            </w:r>
            <w:r>
              <w:t xml:space="preserve"> is the minimum separation (in symbols) between two consecutive spans, and </w:t>
            </w:r>
            <w:r>
              <w:rPr>
                <w:i/>
                <w:iCs/>
              </w:rPr>
              <w:t>Y</w:t>
            </w:r>
            <w:r>
              <w:t xml:space="preserve"> is the maximum length of the span (in symbols). Note that, in </w:t>
            </w:r>
            <w:r>
              <w:fldChar w:fldCharType="begin"/>
            </w:r>
            <w:r>
              <w:instrText xml:space="preserve"> REF _Ref53568688 \h </w:instrText>
            </w:r>
            <w:r>
              <w:fldChar w:fldCharType="separate"/>
            </w:r>
            <w:r>
              <w:t>Table 2</w:t>
            </w:r>
            <w:r>
              <w:fldChar w:fldCharType="end"/>
            </w:r>
            <w:r>
              <w:t xml:space="preserve">, </w:t>
            </w:r>
            <w:r>
              <w:rPr>
                <w:i/>
                <w:iCs/>
              </w:rPr>
              <w:t>X</w:t>
            </w:r>
            <w:r>
              <w:t xml:space="preserve">=56 for </w:t>
            </w:r>
            <w:r>
              <w:rPr>
                <w:i/>
                <w:iCs/>
              </w:rPr>
              <w:t>μ</w:t>
            </w:r>
            <w:r>
              <w:t xml:space="preserve">=5 and </w:t>
            </w:r>
            <w:r>
              <w:rPr>
                <w:i/>
                <w:iCs/>
              </w:rPr>
              <w:t>X</w:t>
            </w:r>
            <w:r>
              <w:t xml:space="preserve">=112 for </w:t>
            </w:r>
            <w:r>
              <w:rPr>
                <w:i/>
                <w:iCs/>
              </w:rPr>
              <w:t>μ</w:t>
            </w:r>
            <w:r>
              <w:t>=6 amount to 125</w:t>
            </w:r>
            <w:r>
              <w:rPr>
                <w:i/>
                <w:iCs/>
              </w:rPr>
              <w:t>μ</w:t>
            </w:r>
            <w:r>
              <w:t>Sec separation and the corresponding numbers of BD and CCEs are the same as those for SCS 120kHz. Thus, at least similar extent of scheduling flexibility and micro-sleep opportunity as SCS 120kHz would be achieved by per-span PDCCH monitoring.</w:t>
            </w:r>
          </w:p>
          <w:p>
            <w:pPr>
              <w:pStyle w:val="27"/>
              <w:widowControl w:val="0"/>
              <w:jc w:val="left"/>
            </w:pPr>
            <w:bookmarkStart w:id="42" w:name="_Toc61547197"/>
            <w:bookmarkStart w:id="43" w:name="_Toc61293888"/>
            <w:bookmarkStart w:id="44" w:name="_Toc61546062"/>
            <w:bookmarkStart w:id="45" w:name="_Toc61822878"/>
            <w:bookmarkStart w:id="46" w:name="_Toc61547148"/>
            <w:bookmarkStart w:id="47" w:name="_Toc61869392"/>
            <w:bookmarkStart w:id="48" w:name="_Toc61547163"/>
            <w:bookmarkStart w:id="49" w:name="_Toc61859946"/>
            <w:bookmarkStart w:id="50" w:name="_Toc61859757"/>
            <w:bookmarkStart w:id="51" w:name="Capability_observation"/>
            <w:r>
              <w:t xml:space="preserve">Proposal </w:t>
            </w:r>
            <w:r>
              <w:fldChar w:fldCharType="begin"/>
            </w:r>
            <w:r>
              <w:instrText xml:space="preserve">SEQ Proposal \* ARABIC</w:instrText>
            </w:r>
            <w:r>
              <w:fldChar w:fldCharType="separate"/>
            </w:r>
            <w:r>
              <w:t>3</w:t>
            </w:r>
            <w:r>
              <w:fldChar w:fldCharType="end"/>
            </w:r>
            <w:r>
              <w:t>: The per-span PDCCH monitoring capability in Rel-16 should be extended to define the multi-slot based PDCCH monitoring capability for high SCSs.</w:t>
            </w:r>
            <w:bookmarkEnd w:id="42"/>
            <w:bookmarkEnd w:id="43"/>
            <w:bookmarkEnd w:id="44"/>
            <w:bookmarkEnd w:id="45"/>
            <w:bookmarkEnd w:id="46"/>
            <w:bookmarkEnd w:id="47"/>
            <w:bookmarkEnd w:id="48"/>
            <w:bookmarkEnd w:id="49"/>
            <w:bookmarkEnd w:id="50"/>
          </w:p>
          <w:bookmarkEnd w:id="51"/>
          <w:p>
            <w:pPr>
              <w:widowControl w:val="0"/>
            </w:pPr>
          </w:p>
          <w:p>
            <w:pPr>
              <w:pStyle w:val="27"/>
              <w:widowControl w:val="0"/>
            </w:pPr>
            <w:bookmarkStart w:id="52" w:name="_Ref53568688"/>
            <w:r>
              <w:t xml:space="preserve">Table </w:t>
            </w:r>
            <w:r>
              <w:fldChar w:fldCharType="begin"/>
            </w:r>
            <w:r>
              <w:instrText xml:space="preserve">SEQ Table \* ARABIC</w:instrText>
            </w:r>
            <w:r>
              <w:fldChar w:fldCharType="separate"/>
            </w:r>
            <w:r>
              <w:t>2</w:t>
            </w:r>
            <w:r>
              <w:fldChar w:fldCharType="end"/>
            </w:r>
            <w:bookmarkEnd w:id="52"/>
            <w:r>
              <w:t>. Example of per-span PDCCH monitoring capability for SCS 480kHz and 960kHz.</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9"/>
              <w:gridCol w:w="1480"/>
              <w:gridCol w:w="1481"/>
              <w:gridCol w:w="1480"/>
              <w:gridCol w:w="1481"/>
              <w:gridCol w:w="1480"/>
              <w:gridCol w:w="14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9" w:type="dxa"/>
                  <w:vMerge w:val="restart"/>
                  <w:tcBorders>
                    <w:right w:val="single" w:color="auto" w:sz="12" w:space="0"/>
                  </w:tcBorders>
                  <w:shd w:val="clear" w:color="auto" w:fill="D8D8D8" w:themeFill="background1" w:themeFillShade="D9"/>
                  <w:vAlign w:val="center"/>
                </w:tcPr>
                <w:p>
                  <w:pPr>
                    <w:widowControl w:val="0"/>
                    <w:spacing w:after="60"/>
                    <w:jc w:val="center"/>
                  </w:pPr>
                  <w:r>
                    <w:rPr>
                      <w:i/>
                      <w:iCs/>
                    </w:rPr>
                    <w:t>μ</w:t>
                  </w:r>
                </w:p>
              </w:tc>
              <w:tc>
                <w:tcPr>
                  <w:tcW w:w="4441" w:type="dxa"/>
                  <w:gridSpan w:val="3"/>
                  <w:tcBorders>
                    <w:left w:val="single" w:color="auto" w:sz="12" w:space="0"/>
                    <w:right w:val="single" w:color="auto" w:sz="12" w:space="0"/>
                  </w:tcBorders>
                  <w:shd w:val="clear" w:color="auto" w:fill="D8D8D8" w:themeFill="background1" w:themeFillShade="D9"/>
                  <w:vAlign w:val="center"/>
                </w:tcPr>
                <w:p>
                  <w:pPr>
                    <w:widowControl w:val="0"/>
                    <w:spacing w:after="60"/>
                    <w:jc w:val="center"/>
                  </w:pPr>
                  <w:r>
                    <w:t>Maximum number of monitored PDCCH candidates</w:t>
                  </w:r>
                </w:p>
              </w:tc>
              <w:tc>
                <w:tcPr>
                  <w:tcW w:w="4442" w:type="dxa"/>
                  <w:gridSpan w:val="3"/>
                  <w:tcBorders>
                    <w:left w:val="single" w:color="auto" w:sz="12" w:space="0"/>
                  </w:tcBorders>
                  <w:shd w:val="clear" w:color="auto" w:fill="D8D8D8" w:themeFill="background1" w:themeFillShade="D9"/>
                  <w:vAlign w:val="center"/>
                </w:tcPr>
                <w:p>
                  <w:pPr>
                    <w:widowControl w:val="0"/>
                    <w:spacing w:after="60"/>
                    <w:jc w:val="center"/>
                  </w:pPr>
                  <w:r>
                    <w:t>Maximum number of non-overlapping CCEs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9" w:type="dxa"/>
                  <w:vMerge w:val="continue"/>
                  <w:tcBorders>
                    <w:bottom w:val="single" w:color="auto" w:sz="12" w:space="0"/>
                    <w:right w:val="single" w:color="auto" w:sz="12" w:space="0"/>
                  </w:tcBorders>
                  <w:shd w:val="clear" w:color="auto" w:fill="D8D8D8" w:themeFill="background1" w:themeFillShade="D9"/>
                  <w:vAlign w:val="center"/>
                </w:tcPr>
                <w:p>
                  <w:pPr>
                    <w:widowControl w:val="0"/>
                    <w:spacing w:after="60"/>
                    <w:jc w:val="center"/>
                    <w:rPr>
                      <w:i/>
                      <w:iCs/>
                    </w:rPr>
                  </w:pPr>
                </w:p>
              </w:tc>
              <w:tc>
                <w:tcPr>
                  <w:tcW w:w="1480" w:type="dxa"/>
                  <w:tcBorders>
                    <w:left w:val="single" w:color="auto" w:sz="12" w:space="0"/>
                    <w:bottom w:val="single" w:color="auto" w:sz="12" w:space="0"/>
                  </w:tcBorders>
                  <w:vAlign w:val="center"/>
                </w:tcPr>
                <w:p>
                  <w:pPr>
                    <w:widowControl w:val="0"/>
                    <w:spacing w:after="60"/>
                    <w:jc w:val="center"/>
                  </w:pPr>
                  <w:r>
                    <w:t>(28, 3)</w:t>
                  </w:r>
                </w:p>
              </w:tc>
              <w:tc>
                <w:tcPr>
                  <w:tcW w:w="1481" w:type="dxa"/>
                  <w:tcBorders>
                    <w:bottom w:val="single" w:color="auto" w:sz="12" w:space="0"/>
                  </w:tcBorders>
                  <w:vAlign w:val="center"/>
                </w:tcPr>
                <w:p>
                  <w:pPr>
                    <w:widowControl w:val="0"/>
                    <w:spacing w:after="60"/>
                    <w:jc w:val="center"/>
                  </w:pPr>
                  <w:r>
                    <w:t>(56, 3)</w:t>
                  </w:r>
                </w:p>
              </w:tc>
              <w:tc>
                <w:tcPr>
                  <w:tcW w:w="1480" w:type="dxa"/>
                  <w:tcBorders>
                    <w:bottom w:val="single" w:color="auto" w:sz="12" w:space="0"/>
                    <w:right w:val="single" w:color="auto" w:sz="12" w:space="0"/>
                  </w:tcBorders>
                  <w:vAlign w:val="center"/>
                </w:tcPr>
                <w:p>
                  <w:pPr>
                    <w:widowControl w:val="0"/>
                    <w:spacing w:after="60"/>
                    <w:jc w:val="center"/>
                  </w:pPr>
                  <w:r>
                    <w:t>(112, 3)</w:t>
                  </w:r>
                </w:p>
              </w:tc>
              <w:tc>
                <w:tcPr>
                  <w:tcW w:w="1481" w:type="dxa"/>
                  <w:tcBorders>
                    <w:left w:val="single" w:color="auto" w:sz="12" w:space="0"/>
                    <w:bottom w:val="single" w:color="auto" w:sz="12" w:space="0"/>
                  </w:tcBorders>
                  <w:vAlign w:val="center"/>
                </w:tcPr>
                <w:p>
                  <w:pPr>
                    <w:widowControl w:val="0"/>
                    <w:spacing w:after="60"/>
                    <w:jc w:val="center"/>
                  </w:pPr>
                  <w:r>
                    <w:t>(28, 3)</w:t>
                  </w:r>
                </w:p>
              </w:tc>
              <w:tc>
                <w:tcPr>
                  <w:tcW w:w="1480" w:type="dxa"/>
                  <w:tcBorders>
                    <w:bottom w:val="single" w:color="auto" w:sz="12" w:space="0"/>
                  </w:tcBorders>
                  <w:vAlign w:val="center"/>
                </w:tcPr>
                <w:p>
                  <w:pPr>
                    <w:widowControl w:val="0"/>
                    <w:spacing w:after="60"/>
                    <w:jc w:val="center"/>
                  </w:pPr>
                  <w:r>
                    <w:t>(56, 3)</w:t>
                  </w:r>
                </w:p>
              </w:tc>
              <w:tc>
                <w:tcPr>
                  <w:tcW w:w="1481" w:type="dxa"/>
                  <w:tcBorders>
                    <w:bottom w:val="single" w:color="auto" w:sz="12" w:space="0"/>
                  </w:tcBorders>
                  <w:vAlign w:val="center"/>
                </w:tcPr>
                <w:p>
                  <w:pPr>
                    <w:widowControl w:val="0"/>
                    <w:spacing w:after="60"/>
                    <w:jc w:val="center"/>
                  </w:pPr>
                  <w:r>
                    <w:t>(112, 3)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9" w:type="dxa"/>
                  <w:tcBorders>
                    <w:top w:val="single" w:color="auto" w:sz="12" w:space="0"/>
                    <w:right w:val="single" w:color="auto" w:sz="12" w:space="0"/>
                  </w:tcBorders>
                  <w:vAlign w:val="center"/>
                </w:tcPr>
                <w:p>
                  <w:pPr>
                    <w:widowControl w:val="0"/>
                    <w:spacing w:after="60"/>
                    <w:jc w:val="center"/>
                  </w:pPr>
                  <w:r>
                    <w:t>5</w:t>
                  </w:r>
                </w:p>
              </w:tc>
              <w:tc>
                <w:tcPr>
                  <w:tcW w:w="1480" w:type="dxa"/>
                  <w:tcBorders>
                    <w:top w:val="single" w:color="auto" w:sz="12" w:space="0"/>
                    <w:left w:val="single" w:color="auto" w:sz="12" w:space="0"/>
                  </w:tcBorders>
                  <w:vAlign w:val="center"/>
                </w:tcPr>
                <w:p>
                  <w:pPr>
                    <w:widowControl w:val="0"/>
                    <w:spacing w:after="60"/>
                    <w:jc w:val="center"/>
                  </w:pPr>
                  <w:r>
                    <w:t>10</w:t>
                  </w:r>
                </w:p>
              </w:tc>
              <w:tc>
                <w:tcPr>
                  <w:tcW w:w="1481" w:type="dxa"/>
                  <w:tcBorders>
                    <w:top w:val="single" w:color="auto" w:sz="12" w:space="0"/>
                  </w:tcBorders>
                  <w:vAlign w:val="center"/>
                </w:tcPr>
                <w:p>
                  <w:pPr>
                    <w:widowControl w:val="0"/>
                    <w:spacing w:after="60"/>
                    <w:jc w:val="center"/>
                  </w:pPr>
                  <w:r>
                    <w:t>20</w:t>
                  </w:r>
                </w:p>
              </w:tc>
              <w:tc>
                <w:tcPr>
                  <w:tcW w:w="1480" w:type="dxa"/>
                  <w:tcBorders>
                    <w:top w:val="single" w:color="auto" w:sz="12" w:space="0"/>
                    <w:right w:val="single" w:color="auto" w:sz="12" w:space="0"/>
                  </w:tcBorders>
                  <w:vAlign w:val="center"/>
                </w:tcPr>
                <w:p>
                  <w:pPr>
                    <w:widowControl w:val="0"/>
                    <w:spacing w:after="60"/>
                    <w:jc w:val="center"/>
                  </w:pPr>
                  <w:r>
                    <w:t>40</w:t>
                  </w:r>
                </w:p>
              </w:tc>
              <w:tc>
                <w:tcPr>
                  <w:tcW w:w="1481" w:type="dxa"/>
                  <w:tcBorders>
                    <w:top w:val="single" w:color="auto" w:sz="12" w:space="0"/>
                    <w:left w:val="single" w:color="auto" w:sz="12" w:space="0"/>
                  </w:tcBorders>
                  <w:vAlign w:val="center"/>
                </w:tcPr>
                <w:p>
                  <w:pPr>
                    <w:widowControl w:val="0"/>
                    <w:spacing w:after="60"/>
                    <w:jc w:val="center"/>
                  </w:pPr>
                  <w:r>
                    <w:t>18</w:t>
                  </w:r>
                </w:p>
              </w:tc>
              <w:tc>
                <w:tcPr>
                  <w:tcW w:w="1480" w:type="dxa"/>
                  <w:tcBorders>
                    <w:top w:val="single" w:color="auto" w:sz="12" w:space="0"/>
                  </w:tcBorders>
                  <w:vAlign w:val="center"/>
                </w:tcPr>
                <w:p>
                  <w:pPr>
                    <w:widowControl w:val="0"/>
                    <w:spacing w:after="60"/>
                    <w:jc w:val="center"/>
                  </w:pPr>
                  <w:r>
                    <w:t>32</w:t>
                  </w:r>
                </w:p>
              </w:tc>
              <w:tc>
                <w:tcPr>
                  <w:tcW w:w="1481" w:type="dxa"/>
                  <w:tcBorders>
                    <w:top w:val="single" w:color="auto" w:sz="12" w:space="0"/>
                  </w:tcBorders>
                  <w:vAlign w:val="center"/>
                </w:tcPr>
                <w:p>
                  <w:pPr>
                    <w:widowControl w:val="0"/>
                    <w:spacing w:after="60"/>
                    <w:jc w:val="center"/>
                  </w:pPr>
                  <w:r>
                    <w:t>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trPr>
              <w:tc>
                <w:tcPr>
                  <w:tcW w:w="1079" w:type="dxa"/>
                  <w:tcBorders>
                    <w:right w:val="single" w:color="auto" w:sz="12" w:space="0"/>
                  </w:tcBorders>
                  <w:vAlign w:val="center"/>
                </w:tcPr>
                <w:p>
                  <w:pPr>
                    <w:widowControl w:val="0"/>
                    <w:spacing w:after="60"/>
                    <w:jc w:val="center"/>
                  </w:pPr>
                  <w:r>
                    <w:t>6</w:t>
                  </w:r>
                </w:p>
              </w:tc>
              <w:tc>
                <w:tcPr>
                  <w:tcW w:w="1480" w:type="dxa"/>
                  <w:tcBorders>
                    <w:left w:val="single" w:color="auto" w:sz="12" w:space="0"/>
                  </w:tcBorders>
                  <w:vAlign w:val="center"/>
                </w:tcPr>
                <w:p>
                  <w:pPr>
                    <w:widowControl w:val="0"/>
                    <w:spacing w:after="60"/>
                    <w:jc w:val="center"/>
                  </w:pPr>
                  <w:r>
                    <w:t>8</w:t>
                  </w:r>
                </w:p>
              </w:tc>
              <w:tc>
                <w:tcPr>
                  <w:tcW w:w="1481" w:type="dxa"/>
                  <w:vAlign w:val="center"/>
                </w:tcPr>
                <w:p>
                  <w:pPr>
                    <w:widowControl w:val="0"/>
                    <w:spacing w:after="60"/>
                    <w:jc w:val="center"/>
                  </w:pPr>
                  <w:r>
                    <w:t>10</w:t>
                  </w:r>
                </w:p>
              </w:tc>
              <w:tc>
                <w:tcPr>
                  <w:tcW w:w="1480" w:type="dxa"/>
                  <w:tcBorders>
                    <w:right w:val="single" w:color="auto" w:sz="12" w:space="0"/>
                  </w:tcBorders>
                  <w:vAlign w:val="center"/>
                </w:tcPr>
                <w:p>
                  <w:pPr>
                    <w:widowControl w:val="0"/>
                    <w:spacing w:after="60"/>
                    <w:jc w:val="center"/>
                  </w:pPr>
                  <w:r>
                    <w:t>20</w:t>
                  </w:r>
                </w:p>
              </w:tc>
              <w:tc>
                <w:tcPr>
                  <w:tcW w:w="1481" w:type="dxa"/>
                  <w:tcBorders>
                    <w:left w:val="single" w:color="auto" w:sz="12" w:space="0"/>
                  </w:tcBorders>
                  <w:vAlign w:val="center"/>
                </w:tcPr>
                <w:p>
                  <w:pPr>
                    <w:widowControl w:val="0"/>
                    <w:spacing w:after="60"/>
                    <w:jc w:val="center"/>
                  </w:pPr>
                  <w:r>
                    <w:t>14</w:t>
                  </w:r>
                </w:p>
              </w:tc>
              <w:tc>
                <w:tcPr>
                  <w:tcW w:w="1480" w:type="dxa"/>
                  <w:vAlign w:val="center"/>
                </w:tcPr>
                <w:p>
                  <w:pPr>
                    <w:widowControl w:val="0"/>
                    <w:spacing w:after="60"/>
                    <w:jc w:val="center"/>
                  </w:pPr>
                  <w:r>
                    <w:t>18</w:t>
                  </w:r>
                </w:p>
              </w:tc>
              <w:tc>
                <w:tcPr>
                  <w:tcW w:w="1481" w:type="dxa"/>
                  <w:vAlign w:val="center"/>
                </w:tcPr>
                <w:p>
                  <w:pPr>
                    <w:widowControl w:val="0"/>
                    <w:spacing w:after="60"/>
                    <w:jc w:val="center"/>
                  </w:pPr>
                  <w:r>
                    <w:t>32</w:t>
                  </w:r>
                </w:p>
              </w:tc>
            </w:tr>
          </w:tbl>
          <w:p>
            <w:pPr>
              <w:widowControl w:val="0"/>
              <w:jc w:val="both"/>
              <w:rPr>
                <w:b/>
                <w:i/>
                <w:iCs/>
              </w:rPr>
            </w:pPr>
          </w:p>
          <w:p>
            <w:pPr>
              <w:widowControl w:val="0"/>
            </w:pPr>
            <w:r>
              <w:t xml:space="preserve">As discussed in Section </w:t>
            </w:r>
            <w:r>
              <w:fldChar w:fldCharType="begin"/>
            </w:r>
            <w:r>
              <w:instrText xml:space="preserve"> REF _Ref61821711 \r \h </w:instrText>
            </w:r>
            <w:r>
              <w:fldChar w:fldCharType="separate"/>
            </w:r>
            <w:r>
              <w:t>2.1</w:t>
            </w:r>
            <w:r>
              <w:fldChar w:fldCharType="end"/>
            </w:r>
            <w:r>
              <w:t>, it is desirable to support both per-slot and per-multi-slot PDCCH monitoring capabilities for the high SCSs. However, it needs further discussion which capability should be regarded as the baseline, considering the impact on basic procedures, such as acquisition of SIB1, RAR monitoring, and paging, etc.</w:t>
            </w:r>
          </w:p>
          <w:p>
            <w:pPr>
              <w:pStyle w:val="27"/>
              <w:widowControl w:val="0"/>
              <w:jc w:val="left"/>
            </w:pPr>
            <w:bookmarkStart w:id="53" w:name="_Toc61822879"/>
            <w:bookmarkStart w:id="54" w:name="_Toc61859758"/>
            <w:bookmarkStart w:id="55" w:name="_Toc61859947"/>
            <w:bookmarkStart w:id="56" w:name="_Toc61869393"/>
            <w:r>
              <w:t xml:space="preserve">Proposal </w:t>
            </w:r>
            <w:r>
              <w:fldChar w:fldCharType="begin"/>
            </w:r>
            <w:r>
              <w:instrText xml:space="preserve">SEQ Proposal \* ARABIC</w:instrText>
            </w:r>
            <w:r>
              <w:fldChar w:fldCharType="separate"/>
            </w:r>
            <w:r>
              <w:t>4</w:t>
            </w:r>
            <w:r>
              <w:fldChar w:fldCharType="end"/>
            </w:r>
            <w:r>
              <w:t>: For the high SCSs, support both single and multi-slot based PDCCH monitoring capabilities and further study which one should be the default capability.</w:t>
            </w:r>
            <w:bookmarkEnd w:id="53"/>
            <w:bookmarkEnd w:id="54"/>
            <w:bookmarkEnd w:id="55"/>
            <w:bookmarkEnd w:id="56"/>
          </w:p>
          <w:p>
            <w:pPr>
              <w:widowControl w:val="0"/>
            </w:pPr>
            <w:r>
              <w:t>As an alternative switching mechanism, particularly for the unlicensed band operation, search space set group switching can be considered. In this case, each search space set group may be configured for either per-slot or per-span PDCCH monitoring. For example, search space set group 0 (i.e., the default group) can be configured with per-slot PDCCH monitoring and used when the UE is outside the channel occupancy time. On the other hand, search space set group 1 can be configured with per-span PDCCH monitoring and used during a COT. Although search space set group switching has dedicatedly been used for NR-U operation in Rel-16, the discussion on the extension for licensed band operation is in progress in Rel-17 UE power saving WI. Therefore, if supported for the licensed band operation, search space set group switching will provide more dynamic transition between per-slot and per-span PDCCH monitoring, both for unlicensed and licensed band operation.</w:t>
            </w:r>
          </w:p>
          <w:p>
            <w:pPr>
              <w:pStyle w:val="27"/>
              <w:widowControl w:val="0"/>
              <w:jc w:val="left"/>
            </w:pPr>
            <w:bookmarkStart w:id="57" w:name="_Toc61859759"/>
            <w:bookmarkStart w:id="58" w:name="_Toc61822880"/>
            <w:bookmarkStart w:id="59" w:name="_Toc61546063"/>
            <w:bookmarkStart w:id="60" w:name="_Toc61547198"/>
            <w:bookmarkStart w:id="61" w:name="_Toc61293889"/>
            <w:bookmarkStart w:id="62" w:name="_Toc61547164"/>
            <w:bookmarkStart w:id="63" w:name="_Toc61859948"/>
            <w:bookmarkStart w:id="64" w:name="_Toc61547149"/>
            <w:bookmarkStart w:id="65" w:name="_Toc61869394"/>
            <w:r>
              <w:t xml:space="preserve">Proposal </w:t>
            </w:r>
            <w:r>
              <w:fldChar w:fldCharType="begin"/>
            </w:r>
            <w:r>
              <w:instrText xml:space="preserve">SEQ Proposal \* ARABIC</w:instrText>
            </w:r>
            <w:r>
              <w:fldChar w:fldCharType="separate"/>
            </w:r>
            <w:r>
              <w:t>5</w:t>
            </w:r>
            <w:r>
              <w:fldChar w:fldCharType="end"/>
            </w:r>
            <w:r>
              <w:t>: For the high SCSs, support a dynamic switching mechanism between single and multi-slot based PDCCH monitoring capabilities.</w:t>
            </w:r>
            <w:bookmarkEnd w:id="57"/>
            <w:bookmarkEnd w:id="58"/>
            <w:bookmarkEnd w:id="59"/>
            <w:bookmarkEnd w:id="60"/>
            <w:bookmarkEnd w:id="61"/>
            <w:bookmarkEnd w:id="62"/>
            <w:bookmarkEnd w:id="63"/>
            <w:bookmarkEnd w:id="64"/>
            <w:bookmarkEnd w:id="65"/>
          </w:p>
          <w:p>
            <w:pPr>
              <w:pStyle w:val="27"/>
              <w:widowControl w:val="0"/>
              <w:jc w:val="left"/>
            </w:pPr>
            <w:bookmarkStart w:id="66" w:name="_Toc61859950"/>
            <w:bookmarkStart w:id="67" w:name="_Toc61869396"/>
            <w:bookmarkStart w:id="68" w:name="_Toc61546065"/>
            <w:bookmarkStart w:id="69" w:name="_Toc61547166"/>
            <w:bookmarkStart w:id="70" w:name="_Toc61859761"/>
            <w:bookmarkStart w:id="71" w:name="_Toc61547200"/>
            <w:bookmarkStart w:id="72" w:name="_Toc61822882"/>
            <w:bookmarkStart w:id="73" w:name="_Toc61547151"/>
            <w:bookmarkStart w:id="74" w:name="_Toc61293932"/>
            <w:r>
              <w:t xml:space="preserve">Observation </w:t>
            </w:r>
            <w:r>
              <w:fldChar w:fldCharType="begin"/>
            </w:r>
            <w:r>
              <w:instrText xml:space="preserve">SEQ Observation \* ARABIC</w:instrText>
            </w:r>
            <w:r>
              <w:fldChar w:fldCharType="separate"/>
            </w:r>
            <w:r>
              <w:t>1</w:t>
            </w:r>
            <w:r>
              <w:fldChar w:fldCharType="end"/>
            </w:r>
            <w:r>
              <w:t>: Bandwidth part switching and search space set group switching mechanisms can be considered as candidate switching mechanism between single and multi-slot based PDCCH monitoring.</w:t>
            </w:r>
            <w:bookmarkEnd w:id="66"/>
            <w:bookmarkEnd w:id="67"/>
            <w:bookmarkEnd w:id="68"/>
            <w:bookmarkEnd w:id="69"/>
            <w:bookmarkEnd w:id="70"/>
            <w:bookmarkEnd w:id="71"/>
            <w:bookmarkEnd w:id="72"/>
            <w:bookmarkEnd w:id="73"/>
            <w:bookmarkEnd w:id="74"/>
          </w:p>
          <w:p>
            <w:pPr>
              <w:widowControl w:val="0"/>
              <w:jc w:val="both"/>
              <w:rPr>
                <w:b/>
                <w:i/>
                <w:iCs/>
              </w:rPr>
            </w:pPr>
          </w:p>
        </w:tc>
      </w:tr>
    </w:tbl>
    <w:p>
      <w:pPr>
        <w:rPr>
          <w:lang w:eastAsia="zh-CN"/>
        </w:rPr>
      </w:pPr>
    </w:p>
    <w:p>
      <w:pPr>
        <w:pStyle w:val="4"/>
        <w:jc w:val="both"/>
        <w:rPr>
          <w:lang w:val="en-GB" w:eastAsia="zh-CN"/>
        </w:rPr>
      </w:pPr>
      <w:r>
        <w:rPr>
          <w:lang w:val="en-GB" w:eastAsia="zh-CN"/>
        </w:rPr>
        <w:t>R1-210606 (NTT DOCOMO)</w:t>
      </w:r>
    </w:p>
    <w:tbl>
      <w:tblPr>
        <w:tblStyle w:val="52"/>
        <w:tblW w:w="145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vAlign w:val="center"/>
          </w:tcPr>
          <w:p>
            <w:pPr>
              <w:widowControl w:val="0"/>
              <w:rPr>
                <w:i/>
              </w:rPr>
            </w:pPr>
            <w:r>
              <w:rPr>
                <w:b/>
                <w:i/>
              </w:rPr>
              <w:t>P</w:t>
            </w:r>
            <w:r>
              <w:rPr>
                <w:rFonts w:hint="eastAsia"/>
                <w:b/>
                <w:i/>
              </w:rPr>
              <w:t>roposal</w:t>
            </w:r>
            <w:r>
              <w:rPr>
                <w:b/>
                <w:i/>
              </w:rPr>
              <w:t xml:space="preserve"> 1</w:t>
            </w:r>
            <w:r>
              <w:rPr>
                <w:i/>
              </w:rPr>
              <w:t>:</w:t>
            </w:r>
            <w:r>
              <w:rPr>
                <w:rFonts w:hint="eastAsia"/>
                <w:i/>
              </w:rPr>
              <w:t xml:space="preserve"> </w:t>
            </w:r>
            <w:r>
              <w:rPr>
                <w:i/>
              </w:rPr>
              <w:t>PDCCH processing limitation values should be defined per longer time duration than a slot</w:t>
            </w:r>
            <w:r>
              <w:rPr>
                <w:rFonts w:hint="eastAsia"/>
                <w:i/>
              </w:rPr>
              <w:t xml:space="preserve"> to avoid</w:t>
            </w:r>
            <w:r>
              <w:rPr>
                <w:i/>
              </w:rPr>
              <w:t xml:space="preserve"> excessive reduction of PDCCH processing limits</w:t>
            </w:r>
            <w:r>
              <w:rPr>
                <w:rFonts w:hint="eastAsia"/>
                <w:i/>
              </w:rPr>
              <w:t>.</w:t>
            </w:r>
          </w:p>
          <w:p>
            <w:pPr>
              <w:widowControl w:val="0"/>
            </w:pPr>
            <w:r>
              <w:t xml:space="preserve">In our view, at least PDCCH monitoring </w:t>
            </w:r>
            <w:r>
              <w:rPr>
                <w:rFonts w:hint="eastAsia"/>
              </w:rPr>
              <w:t xml:space="preserve">of once in </w:t>
            </w:r>
            <w:r>
              <w:t>multiple slots should be applied for 480 kHz and 960 kHz SCS as basic capability on PDCCH monitoring to reduce the UE burden/power consumption. Then, more frequent PDCCH monitoring than once in multiple slots (including PDCCH monitoring in every slot) can be investigated as potential optional capability on PDCCH monitoring for 480 kHz and 960 kHz SCS to achieve higher scheduling flexibility.</w:t>
            </w:r>
          </w:p>
          <w:p>
            <w:pPr>
              <w:widowControl w:val="0"/>
            </w:pPr>
          </w:p>
          <w:p>
            <w:pPr>
              <w:widowControl w:val="0"/>
              <w:rPr>
                <w:i/>
              </w:rPr>
            </w:pPr>
            <w:r>
              <w:rPr>
                <w:b/>
                <w:i/>
              </w:rPr>
              <w:t>P</w:t>
            </w:r>
            <w:r>
              <w:rPr>
                <w:rFonts w:hint="eastAsia"/>
                <w:b/>
                <w:i/>
              </w:rPr>
              <w:t>roposal</w:t>
            </w:r>
            <w:r>
              <w:rPr>
                <w:b/>
                <w:i/>
              </w:rPr>
              <w:t xml:space="preserve"> 2</w:t>
            </w:r>
            <w:r>
              <w:rPr>
                <w:i/>
              </w:rPr>
              <w:t>:</w:t>
            </w:r>
            <w:r>
              <w:rPr>
                <w:rFonts w:hint="eastAsia"/>
                <w:i/>
              </w:rPr>
              <w:t xml:space="preserve"> The feasibility </w:t>
            </w:r>
            <w:r>
              <w:rPr>
                <w:i/>
              </w:rPr>
              <w:t>to apply UE feature group 3-1 as mandatory for above 52.6 GHz operation with 480/960 kHz SCS should be discussed.</w:t>
            </w:r>
          </w:p>
          <w:p>
            <w:pPr>
              <w:pStyle w:val="73"/>
              <w:widowControl w:val="0"/>
              <w:numPr>
                <w:ilvl w:val="0"/>
                <w:numId w:val="48"/>
              </w:numPr>
              <w:snapToGrid/>
              <w:rPr>
                <w:i/>
              </w:rPr>
            </w:pPr>
            <w:r>
              <w:rPr>
                <w:i/>
              </w:rPr>
              <w:t>If not feasible, how to treat FG 3-1 for above 52.6 GHz operation with 480/960 kHz SCS needs to be discussed</w:t>
            </w:r>
          </w:p>
          <w:p>
            <w:pPr>
              <w:pStyle w:val="73"/>
              <w:widowControl w:val="0"/>
              <w:ind w:left="420"/>
              <w:rPr>
                <w:i/>
              </w:rPr>
            </w:pPr>
          </w:p>
          <w:p>
            <w:pPr>
              <w:widowControl w:val="0"/>
              <w:rPr>
                <w:i/>
              </w:rPr>
            </w:pPr>
            <w:r>
              <w:rPr>
                <w:b/>
                <w:i/>
              </w:rPr>
              <w:t>P</w:t>
            </w:r>
            <w:r>
              <w:rPr>
                <w:rFonts w:hint="eastAsia"/>
                <w:b/>
                <w:i/>
              </w:rPr>
              <w:t>roposal</w:t>
            </w:r>
            <w:r>
              <w:rPr>
                <w:b/>
                <w:i/>
              </w:rPr>
              <w:t xml:space="preserve"> 3</w:t>
            </w:r>
            <w:r>
              <w:rPr>
                <w:i/>
              </w:rPr>
              <w:t>:</w:t>
            </w:r>
            <w:r>
              <w:rPr>
                <w:rFonts w:hint="eastAsia"/>
                <w:i/>
              </w:rPr>
              <w:t xml:space="preserve"> </w:t>
            </w:r>
            <w:r>
              <w:rPr>
                <w:i/>
              </w:rPr>
              <w:t>PDCCH monitoring periodicity of once in multiple slots should be considered as basic capability on PDCCH monitoring for above 52.6 GHz operation with 480/960 kHz SCS.</w:t>
            </w:r>
          </w:p>
          <w:p>
            <w:pPr>
              <w:widowControl w:val="0"/>
              <w:jc w:val="both"/>
              <w:rPr>
                <w:b/>
                <w:i/>
                <w:iCs/>
              </w:rPr>
            </w:pPr>
          </w:p>
        </w:tc>
      </w:tr>
    </w:tbl>
    <w:p>
      <w:pPr>
        <w:rPr>
          <w:lang w:eastAsia="zh-CN"/>
        </w:rPr>
      </w:pPr>
    </w:p>
    <w:p>
      <w:pPr>
        <w:pStyle w:val="3"/>
      </w:pPr>
      <w:r>
        <w:t>Topic A2: PDCCH Extensions for e.g. Coverage, Reliability</w:t>
      </w:r>
    </w:p>
    <w:p>
      <w:pPr>
        <w:pStyle w:val="4"/>
        <w:jc w:val="both"/>
        <w:rPr>
          <w:lang w:val="en-GB" w:eastAsia="zh-CN"/>
        </w:rPr>
      </w:pPr>
      <w:r>
        <w:rPr>
          <w:lang w:val="en-GB" w:eastAsia="zh-CN"/>
        </w:rPr>
        <w:t>R1-2100058 (Lenovo, Motorola Mobility)</w:t>
      </w:r>
    </w:p>
    <w:tbl>
      <w:tblPr>
        <w:tblStyle w:val="52"/>
        <w:tblW w:w="145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vAlign w:val="center"/>
          </w:tcPr>
          <w:p>
            <w:pPr>
              <w:widowControl w:val="0"/>
              <w:jc w:val="both"/>
              <w:rPr>
                <w:bCs/>
                <w:lang w:eastAsia="ja-JP"/>
              </w:rPr>
            </w:pPr>
            <w:r>
              <w:rPr>
                <w:bCs/>
                <w:lang w:eastAsia="ja-JP"/>
              </w:rPr>
              <w:t>With high SCS values, the absolute duration of the slot is greatly reduced and moreover, when single DCI can schedule multi-PDSCH/PUSCH over multiple slots, it might be beneficial to consider longer duration than 3 symbols for CORESETs. Multiple benefits can be associated with longer duration:</w:t>
            </w:r>
          </w:p>
          <w:p>
            <w:pPr>
              <w:pStyle w:val="73"/>
              <w:widowControl w:val="0"/>
              <w:numPr>
                <w:ilvl w:val="0"/>
                <w:numId w:val="29"/>
              </w:numPr>
              <w:overflowPunct w:val="0"/>
              <w:autoSpaceDE w:val="0"/>
              <w:autoSpaceDN w:val="0"/>
              <w:adjustRightInd w:val="0"/>
              <w:snapToGrid/>
              <w:spacing w:after="180"/>
              <w:contextualSpacing/>
              <w:jc w:val="both"/>
              <w:textAlignment w:val="baseline"/>
              <w:rPr>
                <w:bCs/>
                <w:lang w:eastAsia="ja-JP"/>
              </w:rPr>
            </w:pPr>
            <w:r>
              <w:rPr>
                <w:bCs/>
                <w:lang w:eastAsia="ja-JP"/>
              </w:rPr>
              <w:t>Better support for higher aggregation levels for better reliability</w:t>
            </w:r>
          </w:p>
          <w:p>
            <w:pPr>
              <w:pStyle w:val="73"/>
              <w:widowControl w:val="0"/>
              <w:numPr>
                <w:ilvl w:val="0"/>
                <w:numId w:val="29"/>
              </w:numPr>
              <w:overflowPunct w:val="0"/>
              <w:autoSpaceDE w:val="0"/>
              <w:autoSpaceDN w:val="0"/>
              <w:adjustRightInd w:val="0"/>
              <w:snapToGrid/>
              <w:spacing w:after="180"/>
              <w:contextualSpacing/>
              <w:jc w:val="both"/>
              <w:textAlignment w:val="baseline"/>
              <w:rPr>
                <w:bCs/>
                <w:lang w:eastAsia="ja-JP"/>
              </w:rPr>
            </w:pPr>
            <w:r>
              <w:rPr>
                <w:bCs/>
                <w:lang w:eastAsia="ja-JP"/>
              </w:rPr>
              <w:t>More resources available for CORESET, but with same or even reduced duration in absolute time</w:t>
            </w:r>
          </w:p>
          <w:p>
            <w:pPr>
              <w:pStyle w:val="73"/>
              <w:widowControl w:val="0"/>
              <w:numPr>
                <w:ilvl w:val="0"/>
                <w:numId w:val="29"/>
              </w:numPr>
              <w:overflowPunct w:val="0"/>
              <w:autoSpaceDE w:val="0"/>
              <w:autoSpaceDN w:val="0"/>
              <w:adjustRightInd w:val="0"/>
              <w:snapToGrid/>
              <w:spacing w:after="180"/>
              <w:contextualSpacing/>
              <w:jc w:val="both"/>
              <w:textAlignment w:val="baseline"/>
              <w:rPr>
                <w:bCs/>
                <w:lang w:eastAsia="ja-JP"/>
              </w:rPr>
            </w:pPr>
            <w:r>
              <w:rPr>
                <w:bCs/>
                <w:lang w:eastAsia="ja-JP"/>
              </w:rPr>
              <w:t>More symbols available to allow TDM multiplexing between DM-RS and control information</w:t>
            </w:r>
          </w:p>
          <w:p>
            <w:pPr>
              <w:pStyle w:val="73"/>
              <w:widowControl w:val="0"/>
              <w:numPr>
                <w:ilvl w:val="1"/>
                <w:numId w:val="29"/>
              </w:numPr>
              <w:overflowPunct w:val="0"/>
              <w:autoSpaceDE w:val="0"/>
              <w:autoSpaceDN w:val="0"/>
              <w:adjustRightInd w:val="0"/>
              <w:snapToGrid/>
              <w:spacing w:after="180"/>
              <w:contextualSpacing/>
              <w:jc w:val="both"/>
              <w:textAlignment w:val="baseline"/>
              <w:rPr>
                <w:bCs/>
                <w:lang w:eastAsia="ja-JP"/>
              </w:rPr>
            </w:pPr>
            <w:r>
              <w:rPr>
                <w:bCs/>
                <w:lang w:eastAsia="ja-JP"/>
              </w:rPr>
              <w:t>Benefit of a DM-RS symbol with continuous frequency resources will account for better channel estimation with higher SCS values.</w:t>
            </w:r>
          </w:p>
          <w:p>
            <w:pPr>
              <w:widowControl w:val="0"/>
              <w:jc w:val="both"/>
              <w:rPr>
                <w:bCs/>
                <w:lang w:eastAsia="ja-JP"/>
              </w:rPr>
            </w:pPr>
            <w:r>
              <w:rPr>
                <w:bCs/>
                <w:lang w:eastAsia="ja-JP"/>
              </w:rPr>
              <w:t>In fact, for very high SCS value such as 960kHz, even an entire slot for PDCCH can be considered to allow for only single PDCCH monitoring occasion within a slot.</w:t>
            </w:r>
          </w:p>
          <w:p>
            <w:pPr>
              <w:widowControl w:val="0"/>
              <w:spacing w:after="0"/>
              <w:jc w:val="both"/>
              <w:rPr>
                <w:b/>
                <w:i/>
                <w:iCs/>
              </w:rPr>
            </w:pPr>
            <w:r>
              <w:rPr>
                <w:b/>
                <w:i/>
                <w:iCs/>
                <w:lang w:eastAsia="ja-JP"/>
              </w:rPr>
              <w:t xml:space="preserve">Proposal 5: </w:t>
            </w:r>
            <w:r>
              <w:rPr>
                <w:b/>
                <w:i/>
                <w:iCs/>
              </w:rPr>
              <w:t>For supporting NR between 52.6 GHz and 71 GHz with high subcarrier spacing values including 480kHz and 960kHz, CORESET duration longer than 3 symbols should be supported:</w:t>
            </w:r>
          </w:p>
          <w:p>
            <w:pPr>
              <w:pStyle w:val="73"/>
              <w:widowControl w:val="0"/>
              <w:numPr>
                <w:ilvl w:val="0"/>
                <w:numId w:val="30"/>
              </w:numPr>
              <w:overflowPunct w:val="0"/>
              <w:autoSpaceDE w:val="0"/>
              <w:autoSpaceDN w:val="0"/>
              <w:adjustRightInd w:val="0"/>
              <w:snapToGrid/>
              <w:spacing w:after="180"/>
              <w:contextualSpacing/>
              <w:jc w:val="both"/>
              <w:textAlignment w:val="baseline"/>
              <w:rPr>
                <w:b/>
                <w:i/>
                <w:iCs/>
              </w:rPr>
            </w:pPr>
            <w:r>
              <w:rPr>
                <w:b/>
                <w:i/>
                <w:iCs/>
              </w:rPr>
              <w:t>FFS: Maximum duration up to 14 symbols in a slot.</w:t>
            </w:r>
          </w:p>
          <w:p>
            <w:pPr>
              <w:widowControl w:val="0"/>
              <w:jc w:val="both"/>
              <w:rPr>
                <w:b/>
                <w:i/>
                <w:iCs/>
              </w:rPr>
            </w:pPr>
            <w:r>
              <w:rPr>
                <w:b/>
                <w:i/>
                <w:iCs/>
                <w:lang w:eastAsia="ja-JP"/>
              </w:rPr>
              <w:t xml:space="preserve">Proposal 6: </w:t>
            </w:r>
            <w:r>
              <w:rPr>
                <w:b/>
                <w:i/>
                <w:iCs/>
              </w:rPr>
              <w:t>For supporting NR between 52.6 GHz and 71 GHz with high subcarrier spacing values including 480kHz and 960kHz, CORESET structure with only TDM between the DM-RS symbols and control information should be supported.</w:t>
            </w:r>
          </w:p>
        </w:tc>
      </w:tr>
    </w:tbl>
    <w:p>
      <w:pPr>
        <w:rPr>
          <w:lang w:eastAsia="zh-CN"/>
        </w:rPr>
      </w:pPr>
    </w:p>
    <w:p>
      <w:pPr>
        <w:pStyle w:val="4"/>
        <w:jc w:val="both"/>
        <w:rPr>
          <w:lang w:val="en-GB" w:eastAsia="zh-CN"/>
        </w:rPr>
      </w:pPr>
      <w:r>
        <w:rPr>
          <w:lang w:val="en-GB" w:eastAsia="zh-CN"/>
        </w:rPr>
        <w:t>R1-2100058 (Nokia, Nokia Shanghai Bell)</w:t>
      </w:r>
    </w:p>
    <w:tbl>
      <w:tblPr>
        <w:tblStyle w:val="52"/>
        <w:tblW w:w="145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vAlign w:val="center"/>
          </w:tcPr>
          <w:p>
            <w:pPr>
              <w:pStyle w:val="206"/>
              <w:widowControl w:val="0"/>
              <w:spacing w:before="0" w:beforeAutospacing="0" w:after="0" w:afterAutospacing="0"/>
              <w:textAlignment w:val="baseline"/>
              <w:rPr>
                <w:rStyle w:val="208"/>
                <w:sz w:val="20"/>
                <w:szCs w:val="20"/>
              </w:rPr>
            </w:pPr>
            <w:r>
              <w:rPr>
                <w:rStyle w:val="208"/>
                <w:sz w:val="20"/>
                <w:szCs w:val="20"/>
              </w:rPr>
              <w:t>There are two basic solutions shown in Figure 2 to balance the PDCCH coverage with the repeated PDSCH: </w:t>
            </w:r>
          </w:p>
          <w:p>
            <w:pPr>
              <w:pStyle w:val="206"/>
              <w:widowControl w:val="0"/>
              <w:numPr>
                <w:ilvl w:val="0"/>
                <w:numId w:val="28"/>
              </w:numPr>
              <w:spacing w:before="0" w:beforeAutospacing="0" w:after="0" w:afterAutospacing="0"/>
              <w:ind w:left="709" w:hanging="349"/>
              <w:textAlignment w:val="baseline"/>
              <w:rPr>
                <w:sz w:val="20"/>
                <w:szCs w:val="20"/>
              </w:rPr>
            </w:pPr>
            <w:r>
              <w:rPr>
                <w:rStyle w:val="207"/>
                <w:sz w:val="20"/>
                <w:szCs w:val="20"/>
                <w:u w:val="single"/>
                <w:lang w:val="en-US"/>
              </w:rPr>
              <w:t>Option 1: Mixed numerology between PDCCH and PDSCH</w:t>
            </w:r>
            <w:r>
              <w:rPr>
                <w:rStyle w:val="207"/>
                <w:sz w:val="20"/>
                <w:szCs w:val="20"/>
                <w:lang w:val="en-US"/>
              </w:rPr>
              <w:t>: use a lower SCS, such as 120 kHz, for PDCCH. This is feasible from phase noise point of view and would minimize changes to PDCCH. On the other hand, this is not allowed in Rel. 15/16 NR.</w:t>
            </w:r>
            <w:r>
              <w:rPr>
                <w:rStyle w:val="208"/>
                <w:sz w:val="20"/>
                <w:szCs w:val="20"/>
              </w:rPr>
              <w:t> </w:t>
            </w:r>
          </w:p>
          <w:p>
            <w:pPr>
              <w:pStyle w:val="206"/>
              <w:widowControl w:val="0"/>
              <w:numPr>
                <w:ilvl w:val="0"/>
                <w:numId w:val="28"/>
              </w:numPr>
              <w:spacing w:before="0" w:beforeAutospacing="0" w:after="0" w:afterAutospacing="0"/>
              <w:ind w:left="709" w:hanging="349"/>
              <w:textAlignment w:val="baseline"/>
              <w:rPr>
                <w:sz w:val="20"/>
                <w:szCs w:val="20"/>
              </w:rPr>
            </w:pPr>
            <w:r>
              <w:rPr>
                <w:rStyle w:val="207"/>
                <w:sz w:val="20"/>
                <w:szCs w:val="20"/>
                <w:u w:val="single"/>
              </w:rPr>
              <w:t xml:space="preserve">Option 2: </w:t>
            </w:r>
            <w:r>
              <w:rPr>
                <w:rStyle w:val="207"/>
                <w:sz w:val="20"/>
                <w:szCs w:val="20"/>
                <w:u w:val="single"/>
                <w:lang w:val="en-US"/>
              </w:rPr>
              <w:t>Increased number of symbols available for PDCCH</w:t>
            </w:r>
            <w:r>
              <w:rPr>
                <w:rStyle w:val="207"/>
                <w:sz w:val="20"/>
                <w:szCs w:val="20"/>
                <w:lang w:val="en-US"/>
              </w:rPr>
              <w:t>: This can be done either by defining a CORESET with increased length, or by means of CORESET repetition (of existing length).</w:t>
            </w:r>
            <w:r>
              <w:rPr>
                <w:rStyle w:val="208"/>
                <w:sz w:val="20"/>
                <w:szCs w:val="20"/>
              </w:rPr>
              <w:t> </w:t>
            </w:r>
          </w:p>
          <w:p>
            <w:pPr>
              <w:pStyle w:val="206"/>
              <w:widowControl w:val="0"/>
              <w:spacing w:before="0" w:beforeAutospacing="0" w:after="0" w:afterAutospacing="0"/>
              <w:textAlignment w:val="baseline"/>
              <w:rPr>
                <w:sz w:val="20"/>
                <w:szCs w:val="20"/>
              </w:rPr>
            </w:pPr>
          </w:p>
          <w:p>
            <w:pPr>
              <w:pStyle w:val="206"/>
              <w:widowControl w:val="0"/>
              <w:spacing w:before="0" w:beforeAutospacing="0" w:after="0" w:afterAutospacing="0"/>
              <w:textAlignment w:val="baseline"/>
              <w:rPr>
                <w:sz w:val="20"/>
                <w:szCs w:val="20"/>
              </w:rPr>
            </w:pPr>
            <w:r>
              <w:rPr>
                <w:rStyle w:val="207"/>
                <w:sz w:val="20"/>
                <w:szCs w:val="20"/>
                <w:lang w:val="en-US"/>
              </w:rPr>
              <w:t>We think that these two solutions need to be studied, and at least one solution for improved PDCCH coverage needs to be supported. </w:t>
            </w:r>
            <w:r>
              <w:rPr>
                <w:rStyle w:val="208"/>
                <w:sz w:val="20"/>
                <w:szCs w:val="20"/>
              </w:rPr>
              <w:t> </w:t>
            </w:r>
          </w:p>
          <w:p>
            <w:pPr>
              <w:pStyle w:val="206"/>
              <w:widowControl w:val="0"/>
              <w:spacing w:before="0" w:beforeAutospacing="0" w:after="0" w:afterAutospacing="0"/>
              <w:ind w:left="720"/>
              <w:textAlignment w:val="baseline"/>
              <w:rPr>
                <w:rFonts w:ascii="Segoe UI" w:hAnsi="Segoe UI" w:cs="Segoe UI"/>
                <w:sz w:val="18"/>
                <w:szCs w:val="18"/>
              </w:rPr>
            </w:pPr>
            <w:r>
              <w:rPr>
                <w:rStyle w:val="208"/>
                <w:rFonts w:ascii="Calibri" w:hAnsi="Calibri" w:cs="Calibri"/>
              </w:rPr>
              <w:t> </w:t>
            </w:r>
          </w:p>
          <w:p>
            <w:pPr>
              <w:pStyle w:val="206"/>
              <w:widowControl w:val="0"/>
              <w:spacing w:before="0" w:beforeAutospacing="0" w:after="0" w:afterAutospacing="0"/>
              <w:textAlignment w:val="baseline"/>
              <w:rPr>
                <w:sz w:val="20"/>
                <w:szCs w:val="20"/>
              </w:rPr>
            </w:pPr>
            <w:r>
              <w:rPr>
                <w:rStyle w:val="207"/>
                <w:b/>
                <w:bCs/>
                <w:i/>
                <w:iCs/>
                <w:sz w:val="20"/>
                <w:szCs w:val="20"/>
                <w:lang w:val="en-US"/>
              </w:rPr>
              <w:t>Proposal 4:</w:t>
            </w:r>
            <w:r>
              <w:rPr>
                <w:rStyle w:val="207"/>
                <w:i/>
                <w:iCs/>
                <w:sz w:val="20"/>
                <w:szCs w:val="20"/>
                <w:lang w:val="en-US"/>
              </w:rPr>
              <w:t> Support improved PDCCH coverage for the cases of high SCS</w:t>
            </w:r>
            <w:r>
              <w:rPr>
                <w:rStyle w:val="208"/>
                <w:sz w:val="20"/>
                <w:szCs w:val="20"/>
              </w:rPr>
              <w:t> (i.e. Y&gt;3)</w:t>
            </w:r>
          </w:p>
          <w:p>
            <w:pPr>
              <w:pStyle w:val="206"/>
              <w:widowControl w:val="0"/>
              <w:spacing w:before="0" w:beforeAutospacing="0" w:after="0" w:afterAutospacing="0"/>
              <w:textAlignment w:val="baseline"/>
              <w:rPr>
                <w:rStyle w:val="207"/>
                <w:sz w:val="20"/>
                <w:szCs w:val="20"/>
              </w:rPr>
            </w:pPr>
          </w:p>
          <w:p>
            <w:pPr>
              <w:pStyle w:val="206"/>
              <w:keepNext/>
              <w:widowControl w:val="0"/>
              <w:spacing w:before="0" w:beforeAutospacing="0" w:after="0" w:afterAutospacing="0"/>
              <w:textAlignment w:val="baseline"/>
            </w:pPr>
            <w:r>
              <w:rPr>
                <w:lang w:val="en-US" w:eastAsia="zh-CN"/>
              </w:rPr>
              <w:drawing>
                <wp:inline distT="0" distB="0" distL="0" distR="0">
                  <wp:extent cx="6120765" cy="126682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pic:cNvPicPr>
                        </pic:nvPicPr>
                        <pic:blipFill>
                          <a:blip r:embed="rId18">
                            <a:extLst>
                              <a:ext uri="{28A0092B-C50C-407E-A947-70E740481C1C}">
                                <a14:useLocalDpi xmlns:a14="http://schemas.microsoft.com/office/drawing/2010/main" val="0"/>
                              </a:ext>
                            </a:extLst>
                          </a:blip>
                          <a:stretch>
                            <a:fillRect/>
                          </a:stretch>
                        </pic:blipFill>
                        <pic:spPr>
                          <a:xfrm>
                            <a:off x="0" y="0"/>
                            <a:ext cx="6120765" cy="1266825"/>
                          </a:xfrm>
                          <a:prstGeom prst="rect">
                            <a:avLst/>
                          </a:prstGeom>
                        </pic:spPr>
                      </pic:pic>
                    </a:graphicData>
                  </a:graphic>
                </wp:inline>
              </w:drawing>
            </w:r>
          </w:p>
          <w:p>
            <w:pPr>
              <w:pStyle w:val="27"/>
              <w:widowControl w:val="0"/>
            </w:pPr>
            <w:r>
              <w:t xml:space="preserve">Figure </w:t>
            </w:r>
            <w:r>
              <w:fldChar w:fldCharType="begin"/>
            </w:r>
            <w:r>
              <w:instrText xml:space="preserve">SEQ Figure \* ARABIC</w:instrText>
            </w:r>
            <w:r>
              <w:fldChar w:fldCharType="separate"/>
            </w:r>
            <w:r>
              <w:t>2</w:t>
            </w:r>
            <w:r>
              <w:fldChar w:fldCharType="end"/>
            </w:r>
            <w:r>
              <w:t>. Candidate options to improve PDCCH coverage.</w:t>
            </w:r>
          </w:p>
        </w:tc>
      </w:tr>
    </w:tbl>
    <w:p>
      <w:pPr>
        <w:rPr>
          <w:lang w:eastAsia="zh-CN"/>
        </w:rPr>
      </w:pPr>
    </w:p>
    <w:p>
      <w:pPr>
        <w:pStyle w:val="4"/>
        <w:jc w:val="both"/>
        <w:rPr>
          <w:lang w:val="en-GB" w:eastAsia="zh-CN"/>
        </w:rPr>
      </w:pPr>
      <w:r>
        <w:rPr>
          <w:lang w:val="en-GB" w:eastAsia="zh-CN"/>
        </w:rPr>
        <w:t>R1-2101418 (Convida Wireless)</w:t>
      </w:r>
    </w:p>
    <w:tbl>
      <w:tblPr>
        <w:tblStyle w:val="52"/>
        <w:tblW w:w="145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vAlign w:val="center"/>
          </w:tcPr>
          <w:p>
            <w:pPr>
              <w:widowControl w:val="0"/>
              <w:spacing w:after="0" w:line="276" w:lineRule="auto"/>
              <w:rPr>
                <w:bCs/>
                <w:iCs/>
              </w:rPr>
            </w:pPr>
            <w:r>
              <w:rPr>
                <w:bCs/>
                <w:iCs/>
              </w:rPr>
              <w:t>There are several advantages to reduce the DCI format payload size for NR from 52.6 GHz and above. The first reason is to enhance the coverage and increase the reliability for DCI reception. A DCI format with a smaller payload achieves better reliability and coverage than the normal DCI (e.g. DCI format 1_0/1_1) with the same aggregation level (AL). The second reason is to reduce PDCCH blocking probability and enhance the scheduling flexibility. This is because DCI with less size consumes less PDCCH resources and a lower AL may be applied so the probability that PDCCH can be transmitted in the nearest CORESET after the arrival of data. The third reason is to reduce the decoding complexity and potentially save UE power consumption. Also, the presence of a new compact DCI format 1_x as the compact format may increase the number of BDs for a UE (note: number of BD for a UE = number of PDCCH candidates multiply by the number of DCI format sizes). Therefore, like compact DCI for URLLC in Rel-16, a new compact DCI format 1_x can be proposed for NR from 52.6 GHz to 71 GHz. Plus, gNB can configure the UEs to monitor only the compact DCI format 1_x instead of DCI format 0_0/1_0 and 0_1/1_1 so that the total number of blind decodes won’t increase for a UE. In addition, gNB may dynamically or semi-statically switch between the DCI formats that are supposed to be monitored by the UE. For example, gNB may transmit MAC-CE to switch the monitoring of DCI format 0_0/1_0 or 0_1/1_1 to DCI format 1_x.</w:t>
            </w:r>
          </w:p>
          <w:p>
            <w:pPr>
              <w:widowControl w:val="0"/>
              <w:spacing w:after="0" w:line="360" w:lineRule="auto"/>
              <w:rPr>
                <w:b/>
                <w:i/>
                <w:lang w:eastAsia="zh-CN"/>
              </w:rPr>
            </w:pPr>
            <w:r>
              <w:rPr>
                <w:b/>
                <w:i/>
              </w:rPr>
              <w:t>Proposal 2</w:t>
            </w:r>
            <w:r>
              <w:rPr>
                <w:b/>
                <w:i/>
                <w:lang w:eastAsia="zh-CN"/>
              </w:rPr>
              <w:t xml:space="preserve">. A new compact DCI format 1_x for large numerology/SCS like 480 KHz and above should be studied for NR operation from 52.6 to 71 GHz.  </w:t>
            </w:r>
          </w:p>
          <w:p>
            <w:pPr>
              <w:pStyle w:val="27"/>
              <w:widowControl w:val="0"/>
              <w:jc w:val="left"/>
            </w:pPr>
          </w:p>
        </w:tc>
      </w:tr>
    </w:tbl>
    <w:p>
      <w:pPr>
        <w:rPr>
          <w:lang w:eastAsia="zh-CN"/>
        </w:rPr>
      </w:pPr>
    </w:p>
    <w:p>
      <w:pPr>
        <w:pStyle w:val="3"/>
      </w:pPr>
      <w:r>
        <w:t xml:space="preserve">Topic B: </w:t>
      </w:r>
      <w:r>
        <w:rPr>
          <w:lang w:val="en-US" w:eastAsia="ja-JP"/>
        </w:rPr>
        <w:t>Multiple PDSCH/PUSCH by a single DCI</w:t>
      </w:r>
    </w:p>
    <w:p>
      <w:pPr>
        <w:pStyle w:val="4"/>
        <w:jc w:val="both"/>
        <w:rPr>
          <w:lang w:val="en-GB" w:eastAsia="zh-CN"/>
        </w:rPr>
      </w:pPr>
      <w:r>
        <w:rPr>
          <w:lang w:val="en-GB" w:eastAsia="zh-CN"/>
        </w:rPr>
        <w:t>R1-2100058 (Lenovo, Motorola Mobility)</w:t>
      </w:r>
    </w:p>
    <w:tbl>
      <w:tblPr>
        <w:tblStyle w:val="52"/>
        <w:tblW w:w="145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vAlign w:val="center"/>
          </w:tcPr>
          <w:p>
            <w:pPr>
              <w:widowControl w:val="0"/>
              <w:jc w:val="both"/>
              <w:rPr>
                <w:bCs/>
                <w:lang w:eastAsia="ja-JP"/>
              </w:rPr>
            </w:pPr>
            <w:r>
              <w:rPr>
                <w:bCs/>
                <w:lang w:eastAsia="ja-JP"/>
              </w:rPr>
              <w:t xml:space="preserve">In our accompanying contribution [3], we propose a new single DCI format to schedule multiple PDSCH and PUSCH. In our view, if such new DCI format can be agreed to be supported for high SCS values such as 480kHz and 960kHz, then PDCCH monitoring can be further reduced by restricting the need for UE to monitor other DCI formats for scheduling DL/UL such as DCI format 0_1 and format 1_1. If such restriction is supported, then the blind detection for a UE can be significantly reduced. </w:t>
            </w:r>
          </w:p>
          <w:p>
            <w:pPr>
              <w:widowControl w:val="0"/>
              <w:jc w:val="both"/>
              <w:rPr>
                <w:b/>
                <w:i/>
                <w:iCs/>
              </w:rPr>
            </w:pPr>
            <w:r>
              <w:rPr>
                <w:b/>
                <w:i/>
                <w:iCs/>
                <w:lang w:eastAsia="ja-JP"/>
              </w:rPr>
              <w:t xml:space="preserve">Proposal 3: </w:t>
            </w:r>
            <w:r>
              <w:rPr>
                <w:b/>
                <w:i/>
                <w:iCs/>
              </w:rPr>
              <w:t>For supporting NR between 52.6 GHz and 71 GHz with high subcarrier spacing values including 480kHz and 960kHz, if a new DCI is agreed to schedule multiple PDSCH and/or multiple PUSCH, then restrictions on monitoring of other DCI formats (such as DCI format 0_1/1_1) should be supported.</w:t>
            </w:r>
          </w:p>
          <w:p>
            <w:pPr>
              <w:widowControl w:val="0"/>
              <w:jc w:val="both"/>
              <w:rPr>
                <w:bCs/>
              </w:rPr>
            </w:pPr>
            <w:r>
              <w:rPr>
                <w:bCs/>
              </w:rPr>
              <w:t xml:space="preserve">Furthermore, additional restriction can be considered to further reduce the blind detections for UE. One possibility could be to consider only higher values of aggregation levels for monitoring any new DCI format(s) for high SCS values. This provides the benefit of better reliability for URLLC traffic. </w:t>
            </w:r>
          </w:p>
          <w:p>
            <w:pPr>
              <w:widowControl w:val="0"/>
              <w:jc w:val="both"/>
              <w:rPr>
                <w:b/>
                <w:i/>
                <w:iCs/>
              </w:rPr>
            </w:pPr>
            <w:r>
              <w:rPr>
                <w:b/>
                <w:i/>
                <w:iCs/>
                <w:lang w:eastAsia="ja-JP"/>
              </w:rPr>
              <w:t xml:space="preserve">Proposal 4: </w:t>
            </w:r>
            <w:r>
              <w:rPr>
                <w:b/>
                <w:i/>
                <w:iCs/>
              </w:rPr>
              <w:t>For supporting NR between 52.6 GHz and 71 GHz with high subcarrier spacing values including 480kHz and 960kHz, if a new DCI is agreed to schedule multiple PDSCH and/or multiple PUSCH, then restrictions on certain aggregation levels (for example: lower aggregation levels) for new DCI should be supported.</w:t>
            </w:r>
          </w:p>
        </w:tc>
      </w:tr>
    </w:tbl>
    <w:p>
      <w:pPr>
        <w:rPr>
          <w:lang w:val="en-GB" w:eastAsia="zh-CN"/>
        </w:rPr>
      </w:pPr>
    </w:p>
    <w:p>
      <w:pPr>
        <w:pStyle w:val="4"/>
        <w:jc w:val="both"/>
        <w:rPr>
          <w:lang w:val="en-GB" w:eastAsia="zh-CN"/>
        </w:rPr>
      </w:pPr>
      <w:r>
        <w:rPr>
          <w:lang w:val="en-GB" w:eastAsia="zh-CN"/>
        </w:rPr>
        <w:t>R1-2100608 (MediaTek)</w:t>
      </w:r>
    </w:p>
    <w:tbl>
      <w:tblPr>
        <w:tblStyle w:val="52"/>
        <w:tblW w:w="145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307" w:type="dxa"/>
            <w:vAlign w:val="center"/>
          </w:tcPr>
          <w:p>
            <w:pPr>
              <w:widowControl w:val="0"/>
            </w:pPr>
            <w:r>
              <w:t xml:space="preserve">As a consequence of PDCCH monitoring enhancement, another discussed DL enhancement is PDSCH scheduling. In particular, the enhancement of multi-PDSCH scheduled by one DCI has been included in WI to improve data rate under the reduced UE PDCCH monitoring frequency with the help of cross slot scheduling. On the other hand, when the legacy per slot monitoring is configured, same slot scheduling is preferred to maximize the throughput. With the short slot duration of 480 kHz and 960 kHz, it is essential to design a feasible UE behavior of PDCCH monitoring within a slot to realize the same slot scheduling. Therefore, we propose to confine PDCCH monitoring within the first 3 symbols of a slot when per slot monitoring is configured with 480 kHz and 960 kHz SCSs.    </w:t>
            </w:r>
          </w:p>
          <w:p>
            <w:pPr>
              <w:widowControl w:val="0"/>
            </w:pPr>
          </w:p>
          <w:p>
            <w:pPr>
              <w:pStyle w:val="27"/>
              <w:widowControl w:val="0"/>
              <w:jc w:val="left"/>
            </w:pPr>
            <w:bookmarkStart w:id="75" w:name="_Ref61861152"/>
            <w:r>
              <w:t xml:space="preserve">Proposal </w:t>
            </w:r>
            <w:r>
              <w:fldChar w:fldCharType="begin"/>
            </w:r>
            <w:r>
              <w:instrText xml:space="preserve">SEQ Proposal \* ARABIC</w:instrText>
            </w:r>
            <w:r>
              <w:fldChar w:fldCharType="separate"/>
            </w:r>
            <w:r>
              <w:t>4</w:t>
            </w:r>
            <w:r>
              <w:fldChar w:fldCharType="end"/>
            </w:r>
            <w:r>
              <w:t>: For 480 and 960 kHz SCS, PDCCH monitoring is confined to be within the first 3 symbols of a slot when per slot monitoring is configured.</w:t>
            </w:r>
            <w:bookmarkEnd w:id="75"/>
          </w:p>
        </w:tc>
      </w:tr>
    </w:tbl>
    <w:p>
      <w:pPr>
        <w:rPr>
          <w:lang w:eastAsia="zh-CN"/>
        </w:rPr>
      </w:pPr>
    </w:p>
    <w:p>
      <w:pPr>
        <w:pStyle w:val="4"/>
        <w:jc w:val="both"/>
        <w:rPr>
          <w:lang w:val="en-GB" w:eastAsia="zh-CN"/>
        </w:rPr>
      </w:pPr>
      <w:r>
        <w:rPr>
          <w:lang w:val="en-GB" w:eastAsia="zh-CN"/>
        </w:rPr>
        <w:t>R1-2100644 (Intel)</w:t>
      </w:r>
    </w:p>
    <w:tbl>
      <w:tblPr>
        <w:tblStyle w:val="52"/>
        <w:tblW w:w="145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vAlign w:val="center"/>
          </w:tcPr>
          <w:p>
            <w:pPr>
              <w:widowControl w:val="0"/>
              <w:rPr>
                <w:lang w:eastAsia="zh-CN"/>
              </w:rPr>
            </w:pPr>
            <w:r>
              <w:rPr>
                <w:lang w:eastAsia="zh-CN"/>
              </w:rPr>
              <w:t xml:space="preserve">In a companion contribution [2], multi-TTI scheduling for PDSCH and PUSCH transmissions is discussed. It is straightforward that a new DCI format will be introduced. Correspondingly, the new DCI format for multi-TTI scheduling need to be configured in the SS set configuration. As a simple extension, a SS set configuration can be configured with either a fallback DCI, a normal DCI for single-TTI scheduling or a DCI format for multi-slot scheduling. The DCI format for multi-PDSCH scheduling and multi-PUSCH scheduling may be configured together or separately. </w:t>
            </w:r>
          </w:p>
          <w:p>
            <w:pPr>
              <w:widowControl w:val="0"/>
              <w:jc w:val="both"/>
              <w:rPr>
                <w:b/>
                <w:bCs/>
              </w:rPr>
            </w:pPr>
            <w:r>
              <w:rPr>
                <w:b/>
                <w:bCs/>
              </w:rPr>
              <w:t>Proposal 3: A SS set can be configured with</w:t>
            </w:r>
          </w:p>
          <w:p>
            <w:pPr>
              <w:pStyle w:val="73"/>
              <w:widowControl w:val="0"/>
              <w:numPr>
                <w:ilvl w:val="0"/>
                <w:numId w:val="42"/>
              </w:numPr>
              <w:snapToGrid/>
              <w:spacing w:after="120"/>
              <w:jc w:val="both"/>
              <w:rPr>
                <w:rFonts w:ascii="Times New Roman" w:hAnsi="Times New Roman"/>
                <w:b/>
                <w:bCs/>
                <w:sz w:val="20"/>
                <w:szCs w:val="20"/>
              </w:rPr>
            </w:pPr>
            <w:r>
              <w:rPr>
                <w:rFonts w:ascii="Times New Roman" w:hAnsi="Times New Roman"/>
                <w:b/>
                <w:bCs/>
                <w:sz w:val="20"/>
                <w:szCs w:val="20"/>
              </w:rPr>
              <w:t>DCI format 0_0/0_1, or</w:t>
            </w:r>
          </w:p>
          <w:p>
            <w:pPr>
              <w:pStyle w:val="73"/>
              <w:widowControl w:val="0"/>
              <w:numPr>
                <w:ilvl w:val="0"/>
                <w:numId w:val="42"/>
              </w:numPr>
              <w:snapToGrid/>
              <w:spacing w:after="120"/>
              <w:jc w:val="both"/>
              <w:rPr>
                <w:rFonts w:ascii="Times New Roman" w:hAnsi="Times New Roman"/>
                <w:b/>
                <w:bCs/>
                <w:sz w:val="20"/>
                <w:szCs w:val="20"/>
              </w:rPr>
            </w:pPr>
            <w:r>
              <w:rPr>
                <w:rFonts w:ascii="Times New Roman" w:hAnsi="Times New Roman"/>
                <w:b/>
                <w:bCs/>
                <w:sz w:val="20"/>
                <w:szCs w:val="20"/>
              </w:rPr>
              <w:t>Normal DCI formats for single-TTI scheduling, or</w:t>
            </w:r>
          </w:p>
          <w:p>
            <w:pPr>
              <w:pStyle w:val="73"/>
              <w:widowControl w:val="0"/>
              <w:numPr>
                <w:ilvl w:val="0"/>
                <w:numId w:val="42"/>
              </w:numPr>
              <w:snapToGrid/>
              <w:spacing w:after="120"/>
              <w:jc w:val="both"/>
              <w:rPr>
                <w:rFonts w:ascii="Times New Roman" w:hAnsi="Times New Roman"/>
                <w:b/>
                <w:bCs/>
                <w:sz w:val="20"/>
                <w:szCs w:val="20"/>
              </w:rPr>
            </w:pPr>
            <w:r>
              <w:rPr>
                <w:rFonts w:ascii="Times New Roman" w:hAnsi="Times New Roman"/>
                <w:b/>
                <w:bCs/>
                <w:sz w:val="20"/>
                <w:szCs w:val="20"/>
              </w:rPr>
              <w:t>Normal DCI formats for multi-TTI scheduling</w:t>
            </w:r>
          </w:p>
          <w:p>
            <w:pPr>
              <w:pStyle w:val="73"/>
              <w:widowControl w:val="0"/>
              <w:numPr>
                <w:ilvl w:val="1"/>
                <w:numId w:val="42"/>
              </w:numPr>
              <w:snapToGrid/>
              <w:spacing w:after="120"/>
              <w:jc w:val="both"/>
              <w:rPr>
                <w:rFonts w:ascii="Times New Roman" w:hAnsi="Times New Roman"/>
                <w:b/>
                <w:bCs/>
                <w:sz w:val="20"/>
                <w:szCs w:val="20"/>
              </w:rPr>
            </w:pPr>
            <w:r>
              <w:rPr>
                <w:rFonts w:ascii="Times New Roman" w:hAnsi="Times New Roman"/>
                <w:b/>
                <w:bCs/>
                <w:sz w:val="20"/>
                <w:szCs w:val="20"/>
              </w:rPr>
              <w:t>FFS separate configuration for multi-PDSCH scheduling and multi-PUSCH scheduling</w:t>
            </w:r>
          </w:p>
          <w:p>
            <w:pPr>
              <w:pStyle w:val="27"/>
              <w:widowControl w:val="0"/>
              <w:jc w:val="left"/>
            </w:pPr>
          </w:p>
        </w:tc>
      </w:tr>
    </w:tbl>
    <w:p>
      <w:pPr>
        <w:rPr>
          <w:lang w:eastAsia="zh-CN"/>
        </w:rPr>
      </w:pPr>
    </w:p>
    <w:p>
      <w:pPr>
        <w:pStyle w:val="4"/>
        <w:jc w:val="both"/>
        <w:rPr>
          <w:lang w:val="en-GB" w:eastAsia="zh-CN"/>
        </w:rPr>
      </w:pPr>
      <w:r>
        <w:rPr>
          <w:lang w:val="en-GB" w:eastAsia="zh-CN"/>
        </w:rPr>
        <w:t>R1-2101321 (CEWiT)</w:t>
      </w:r>
    </w:p>
    <w:tbl>
      <w:tblPr>
        <w:tblStyle w:val="52"/>
        <w:tblW w:w="145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vAlign w:val="center"/>
          </w:tcPr>
          <w:p>
            <w:pPr>
              <w:widowControl w:val="0"/>
              <w:jc w:val="both"/>
              <w:rPr>
                <w:sz w:val="24"/>
                <w:szCs w:val="24"/>
                <w:lang w:val="en-IN"/>
              </w:rPr>
            </w:pPr>
            <w:r>
              <w:rPr>
                <w:sz w:val="24"/>
                <w:szCs w:val="24"/>
                <w:lang w:val="en-IN"/>
              </w:rPr>
              <w:t>Scheduling of multiple PDSCHs using a single DCI can be used to reduce the time required for PDCCH monitoring.  If each of the PDSCH is scheduled using an independent DCI, then the number of scheduled DCIs will be more. If multiple PDSCHs are scheduled by a single DCI, the number of scheduled DCIs will reduce, which in turn will require lesser number of PDCCH candidates to schedule a UE. This in turn requires lesser number of BD’s. Hence, if multiple PDSCHs are scheduled using single DCI, the number of BDs performed by the UE per slot can be reduced.</w:t>
            </w:r>
          </w:p>
          <w:p>
            <w:pPr>
              <w:widowControl w:val="0"/>
              <w:jc w:val="both"/>
              <w:rPr>
                <w:sz w:val="24"/>
                <w:szCs w:val="24"/>
              </w:rPr>
            </w:pPr>
            <w:r>
              <w:rPr>
                <w:rFonts w:eastAsia="宋体;SimSun"/>
                <w:b/>
                <w:bCs/>
                <w:sz w:val="24"/>
                <w:szCs w:val="24"/>
                <w:highlight w:val="white"/>
                <w:lang w:val="en-IN" w:eastAsia="zh-CN"/>
              </w:rPr>
              <w:t>Proposal 3:</w:t>
            </w:r>
            <w:r>
              <w:rPr>
                <w:rFonts w:eastAsia="宋体;SimSun"/>
                <w:sz w:val="24"/>
                <w:szCs w:val="24"/>
                <w:highlight w:val="white"/>
                <w:lang w:val="en-IN" w:eastAsia="zh-CN"/>
              </w:rPr>
              <w:t xml:space="preserve"> </w:t>
            </w:r>
            <w:r>
              <w:rPr>
                <w:rFonts w:eastAsia="宋体;SimSun"/>
                <w:b/>
                <w:sz w:val="24"/>
                <w:szCs w:val="24"/>
                <w:highlight w:val="white"/>
                <w:lang w:val="en-IN" w:eastAsia="zh-CN"/>
              </w:rPr>
              <w:t xml:space="preserve">Scheduling multi-PDSCH through single DCI </w:t>
            </w:r>
            <w:r>
              <w:rPr>
                <w:rFonts w:eastAsia="宋体;SimSun"/>
                <w:b/>
                <w:sz w:val="24"/>
                <w:szCs w:val="24"/>
                <w:lang w:val="en-IN" w:eastAsia="zh-CN"/>
              </w:rPr>
              <w:t>is supported.</w:t>
            </w:r>
          </w:p>
          <w:p>
            <w:pPr>
              <w:pStyle w:val="27"/>
              <w:widowControl w:val="0"/>
              <w:jc w:val="left"/>
            </w:pPr>
          </w:p>
        </w:tc>
      </w:tr>
    </w:tbl>
    <w:p>
      <w:pPr>
        <w:rPr>
          <w:lang w:eastAsia="zh-CN"/>
        </w:rPr>
      </w:pPr>
    </w:p>
    <w:p>
      <w:pPr>
        <w:pStyle w:val="4"/>
        <w:jc w:val="both"/>
        <w:rPr>
          <w:lang w:val="en-GB" w:eastAsia="zh-CN"/>
        </w:rPr>
      </w:pPr>
      <w:r>
        <w:rPr>
          <w:lang w:val="en-GB" w:eastAsia="zh-CN"/>
        </w:rPr>
        <w:t>R1-2101321 (Convida Wireless)</w:t>
      </w:r>
    </w:p>
    <w:tbl>
      <w:tblPr>
        <w:tblStyle w:val="52"/>
        <w:tblW w:w="145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vAlign w:val="center"/>
          </w:tcPr>
          <w:p>
            <w:pPr>
              <w:widowControl w:val="0"/>
              <w:spacing w:after="0" w:line="276" w:lineRule="auto"/>
              <w:rPr>
                <w:bCs/>
                <w:iCs/>
              </w:rPr>
            </w:pPr>
            <w:r>
              <w:rPr>
                <w:bCs/>
                <w:iCs/>
              </w:rPr>
              <w:t xml:space="preserve">Single DCI can schedule multiple PDSCHs as shown in </w:t>
            </w:r>
            <w:r>
              <w:rPr>
                <w:bCs/>
                <w:iCs/>
              </w:rPr>
              <w:fldChar w:fldCharType="begin"/>
            </w:r>
            <w:r>
              <w:rPr>
                <w:bCs/>
                <w:iCs/>
              </w:rPr>
              <w:instrText xml:space="preserve"> REF _Ref61633007 \h  \* MERGEFORMAT </w:instrText>
            </w:r>
            <w:r>
              <w:rPr>
                <w:bCs/>
                <w:iCs/>
              </w:rPr>
              <w:fldChar w:fldCharType="separate"/>
            </w:r>
            <w:r>
              <w:rPr>
                <w:bCs/>
                <w:iCs/>
              </w:rPr>
              <w:t>Figure 2</w:t>
            </w:r>
            <w:r>
              <w:rPr>
                <w:bCs/>
                <w:iCs/>
              </w:rPr>
              <w:fldChar w:fldCharType="end"/>
            </w:r>
            <w:r>
              <w:rPr>
                <w:bCs/>
                <w:iCs/>
              </w:rPr>
              <w:t xml:space="preserve">. In </w:t>
            </w:r>
            <w:r>
              <w:rPr>
                <w:bCs/>
                <w:iCs/>
              </w:rPr>
              <w:fldChar w:fldCharType="begin"/>
            </w:r>
            <w:r>
              <w:rPr>
                <w:bCs/>
                <w:iCs/>
              </w:rPr>
              <w:instrText xml:space="preserve"> REF _Ref61633007 \h  \* MERGEFORMAT </w:instrText>
            </w:r>
            <w:r>
              <w:rPr>
                <w:bCs/>
                <w:iCs/>
              </w:rPr>
              <w:fldChar w:fldCharType="separate"/>
            </w:r>
            <w:r>
              <w:rPr>
                <w:bCs/>
                <w:iCs/>
              </w:rPr>
              <w:t>Figure 2</w:t>
            </w:r>
            <w:r>
              <w:rPr>
                <w:bCs/>
                <w:iCs/>
              </w:rPr>
              <w:fldChar w:fldCharType="end"/>
            </w:r>
            <w:r>
              <w:rPr>
                <w:bCs/>
                <w:iCs/>
              </w:rPr>
              <w:t xml:space="preserve">, a DCI schedule multiple (e.g. two) PDSCHs. In this example shown in </w:t>
            </w:r>
            <w:r>
              <w:rPr>
                <w:bCs/>
                <w:iCs/>
              </w:rPr>
              <w:fldChar w:fldCharType="begin"/>
            </w:r>
            <w:r>
              <w:rPr>
                <w:bCs/>
                <w:iCs/>
              </w:rPr>
              <w:instrText xml:space="preserve"> REF _Ref61633007 \h  \* MERGEFORMAT </w:instrText>
            </w:r>
            <w:r>
              <w:rPr>
                <w:bCs/>
                <w:iCs/>
              </w:rPr>
              <w:fldChar w:fldCharType="separate"/>
            </w:r>
            <w:r>
              <w:rPr>
                <w:bCs/>
                <w:iCs/>
              </w:rPr>
              <w:t>Figure 2</w:t>
            </w:r>
            <w:r>
              <w:rPr>
                <w:bCs/>
                <w:iCs/>
              </w:rPr>
              <w:fldChar w:fldCharType="end"/>
            </w:r>
            <w:r>
              <w:rPr>
                <w:bCs/>
                <w:iCs/>
              </w:rPr>
              <w:t xml:space="preserve">, the PDCCH monitoring frequency is reduced, thus it can reduce PDCCH decoding efforts for a UE. However, some DCI field like HARQ process number, TB indication, New data indicator and Redundancy version, etc. may not be shared for each scheduled PDSCH. If the single-to-multiple scheduling DCI format (e.g. DCI format 1_y) with the DCI size is large (e.g. DCI &gt; 120 bits) which it requires a larger CCE aggregation level, then PDCCH blockage may become higher thus degrading the scheduling performance. Therefore, PDCCH blockage needs to be avoided for single-to-multiple scheduling PDSCHs scenario.        </w:t>
            </w:r>
          </w:p>
          <w:p>
            <w:pPr>
              <w:widowControl w:val="0"/>
              <w:spacing w:after="0" w:line="360" w:lineRule="auto"/>
              <w:jc w:val="center"/>
              <w:rPr>
                <w:bCs/>
                <w:iCs/>
              </w:rPr>
            </w:pPr>
            <w:r>
              <w:t xml:space="preserve"> </w:t>
            </w:r>
            <w:r>
              <w:object>
                <v:shape id="_x0000_i1028" o:spt="75" type="#_x0000_t75" style="height:141.75pt;width:349.5pt;" o:ole="t" filled="f" o:preferrelative="t" stroked="f" coordsize="21600,21600">
                  <v:path/>
                  <v:fill on="f" focussize="0,0"/>
                  <v:stroke on="f" joinstyle="miter"/>
                  <v:imagedata r:id="rId20" o:title=""/>
                  <o:lock v:ext="edit" aspectratio="t"/>
                  <w10:wrap type="none"/>
                  <w10:anchorlock/>
                </v:shape>
                <o:OLEObject Type="Embed" ProgID="Visio.Drawing.15" ShapeID="_x0000_i1028" DrawAspect="Content" ObjectID="_1468075728" r:id="rId19">
                  <o:LockedField>false</o:LockedField>
                </o:OLEObject>
              </w:object>
            </w:r>
          </w:p>
          <w:p>
            <w:pPr>
              <w:widowControl w:val="0"/>
              <w:tabs>
                <w:tab w:val="left" w:pos="7406"/>
              </w:tabs>
              <w:spacing w:line="360" w:lineRule="auto"/>
              <w:jc w:val="center"/>
              <w:rPr>
                <w:bCs/>
                <w:iCs/>
              </w:rPr>
            </w:pPr>
            <w:bookmarkStart w:id="76" w:name="_Ref61633007"/>
            <w:r>
              <w:rPr>
                <w:b/>
                <w:iCs/>
              </w:rPr>
              <w:t xml:space="preserve">Figure </w:t>
            </w:r>
            <w:r>
              <w:rPr>
                <w:b/>
                <w:iCs/>
              </w:rPr>
              <w:fldChar w:fldCharType="begin"/>
            </w:r>
            <w:r>
              <w:rPr>
                <w:b/>
                <w:iCs/>
              </w:rPr>
              <w:instrText xml:space="preserve"> SEQ Figure \* ARABIC </w:instrText>
            </w:r>
            <w:r>
              <w:rPr>
                <w:b/>
                <w:iCs/>
              </w:rPr>
              <w:fldChar w:fldCharType="separate"/>
            </w:r>
            <w:r>
              <w:rPr>
                <w:b/>
                <w:iCs/>
              </w:rPr>
              <w:t>2</w:t>
            </w:r>
            <w:r>
              <w:rPr>
                <w:b/>
                <w:iCs/>
              </w:rPr>
              <w:fldChar w:fldCharType="end"/>
            </w:r>
            <w:bookmarkEnd w:id="76"/>
            <w:r>
              <w:rPr>
                <w:bCs/>
                <w:iCs/>
              </w:rPr>
              <w:t>: Single DCI schedule multiple (e.g. two) PDSCHs.</w:t>
            </w:r>
          </w:p>
          <w:p>
            <w:pPr>
              <w:widowControl w:val="0"/>
              <w:spacing w:after="0"/>
              <w:rPr>
                <w:b/>
                <w:i/>
                <w:lang w:eastAsia="zh-CN"/>
              </w:rPr>
            </w:pPr>
            <w:r>
              <w:rPr>
                <w:b/>
                <w:i/>
              </w:rPr>
              <w:t>Proposal 3</w:t>
            </w:r>
            <w:r>
              <w:rPr>
                <w:b/>
                <w:i/>
                <w:lang w:eastAsia="zh-CN"/>
              </w:rPr>
              <w:t xml:space="preserve">. To avoid PDCCH blockage issue when single DCI scheduling multiple PDSCHs, the size of DCI format should be studied. </w:t>
            </w:r>
          </w:p>
          <w:p>
            <w:pPr>
              <w:pStyle w:val="27"/>
              <w:widowControl w:val="0"/>
              <w:jc w:val="left"/>
            </w:pPr>
          </w:p>
          <w:p>
            <w:pPr>
              <w:widowControl w:val="0"/>
              <w:spacing w:after="0" w:line="276" w:lineRule="auto"/>
              <w:rPr>
                <w:bCs/>
                <w:iCs/>
              </w:rPr>
            </w:pPr>
            <w:r>
              <w:rPr>
                <w:bCs/>
                <w:iCs/>
              </w:rPr>
              <w:t xml:space="preserve">Like the case that a single DCI scheduling multiple PDSCHs in a serving cell, there are several advantages to introduce a single DCI format scheduling multiple PDSCHs across multiple CCs for NR from 52.6 – 71 GHz. One of the major benefits is to enhance the scheduling flexible because less DCIs are transmitted especially slots duration is getting shorter for NR from 52.6 GHz and above.  One example of a single DCI scheduling multiple PDSCH across multiple CCs are shown in </w:t>
            </w:r>
            <w:r>
              <w:rPr>
                <w:bCs/>
                <w:iCs/>
              </w:rPr>
              <w:fldChar w:fldCharType="begin"/>
            </w:r>
            <w:r>
              <w:rPr>
                <w:bCs/>
                <w:iCs/>
              </w:rPr>
              <w:instrText xml:space="preserve"> REF _Ref33360524 \h  \* MERGEFORMAT </w:instrText>
            </w:r>
            <w:r>
              <w:rPr>
                <w:bCs/>
                <w:iCs/>
              </w:rPr>
              <w:fldChar w:fldCharType="separate"/>
            </w:r>
            <w:r>
              <w:rPr>
                <w:bCs/>
                <w:iCs/>
              </w:rPr>
              <w:t>Figure 4</w:t>
            </w:r>
            <w:r>
              <w:rPr>
                <w:bCs/>
                <w:iCs/>
              </w:rPr>
              <w:fldChar w:fldCharType="end"/>
            </w:r>
            <w:r>
              <w:rPr>
                <w:bCs/>
                <w:iCs/>
              </w:rPr>
              <w:t xml:space="preserve">. In </w:t>
            </w:r>
            <w:r>
              <w:rPr>
                <w:bCs/>
                <w:iCs/>
              </w:rPr>
              <w:fldChar w:fldCharType="begin"/>
            </w:r>
            <w:r>
              <w:rPr>
                <w:bCs/>
                <w:iCs/>
              </w:rPr>
              <w:instrText xml:space="preserve"> REF _Ref33360524 \h  \* MERGEFORMAT </w:instrText>
            </w:r>
            <w:r>
              <w:rPr>
                <w:bCs/>
                <w:iCs/>
              </w:rPr>
              <w:fldChar w:fldCharType="separate"/>
            </w:r>
            <w:r>
              <w:rPr>
                <w:bCs/>
                <w:iCs/>
              </w:rPr>
              <w:t>Figure 4</w:t>
            </w:r>
            <w:r>
              <w:rPr>
                <w:bCs/>
                <w:iCs/>
              </w:rPr>
              <w:fldChar w:fldCharType="end"/>
            </w:r>
            <w:r>
              <w:rPr>
                <w:bCs/>
                <w:iCs/>
              </w:rPr>
              <w:t xml:space="preserve">, we assume there are two CCs are carrier aggregated in a cell group. gNB may signal the COT and LBT results to a UE, then the UE may only monitor PDCCH in a CC (e.g. CC 1). The UE does not need to monitor PDCCH from the other CCs in the same cell group thus it can save power consumption. One thing is worth to note that a single DCI schedule multiple PDSCHs across CCs is not impact by whether support of listen-before-talk (LBT) or not. In addition, a single DCI schedule multiple PDSCHs across multiple CCs can share the design of single DCI schedule multiple PDSCHs discussed in subsection </w:t>
            </w:r>
            <w:r>
              <w:rPr>
                <w:bCs/>
                <w:iCs/>
              </w:rPr>
              <w:fldChar w:fldCharType="begin"/>
            </w:r>
            <w:r>
              <w:rPr>
                <w:bCs/>
                <w:iCs/>
              </w:rPr>
              <w:instrText xml:space="preserve"> REF _Ref61638545 \n \h </w:instrText>
            </w:r>
            <w:r>
              <w:rPr>
                <w:bCs/>
                <w:iCs/>
              </w:rPr>
              <w:fldChar w:fldCharType="separate"/>
            </w:r>
            <w:r>
              <w:rPr>
                <w:bCs/>
                <w:iCs/>
              </w:rPr>
              <w:t>2.3</w:t>
            </w:r>
            <w:r>
              <w:rPr>
                <w:bCs/>
                <w:iCs/>
              </w:rPr>
              <w:fldChar w:fldCharType="end"/>
            </w:r>
            <w:r>
              <w:rPr>
                <w:bCs/>
                <w:iCs/>
              </w:rPr>
              <w:t xml:space="preserve">. </w:t>
            </w:r>
          </w:p>
          <w:p>
            <w:pPr>
              <w:widowControl w:val="0"/>
              <w:spacing w:after="0" w:line="360" w:lineRule="auto"/>
              <w:jc w:val="center"/>
            </w:pPr>
            <w:r>
              <w:object>
                <v:shape id="_x0000_i1029" o:spt="75" type="#_x0000_t75" style="height:206.25pt;width:341.25pt;" o:ole="t" filled="f" o:preferrelative="t" stroked="f" coordsize="21600,21600">
                  <v:path/>
                  <v:fill on="f" focussize="0,0"/>
                  <v:stroke on="f" joinstyle="miter"/>
                  <v:imagedata r:id="rId22" o:title=""/>
                  <o:lock v:ext="edit" aspectratio="t"/>
                  <w10:wrap type="none"/>
                  <w10:anchorlock/>
                </v:shape>
                <o:OLEObject Type="Embed" ProgID="Visio.Drawing.15" ShapeID="_x0000_i1029" DrawAspect="Content" ObjectID="_1468075729" r:id="rId21">
                  <o:LockedField>false</o:LockedField>
                </o:OLEObject>
              </w:object>
            </w:r>
          </w:p>
          <w:p>
            <w:pPr>
              <w:widowControl w:val="0"/>
              <w:tabs>
                <w:tab w:val="left" w:pos="7406"/>
              </w:tabs>
              <w:spacing w:line="360" w:lineRule="auto"/>
              <w:jc w:val="center"/>
              <w:rPr>
                <w:bCs/>
                <w:iCs/>
              </w:rPr>
            </w:pPr>
            <w:bookmarkStart w:id="77" w:name="_Ref33360524"/>
            <w:r>
              <w:rPr>
                <w:b/>
                <w:iCs/>
              </w:rPr>
              <w:t xml:space="preserve">Figure </w:t>
            </w:r>
            <w:r>
              <w:rPr>
                <w:b/>
                <w:iCs/>
              </w:rPr>
              <w:fldChar w:fldCharType="begin"/>
            </w:r>
            <w:r>
              <w:rPr>
                <w:b/>
                <w:iCs/>
              </w:rPr>
              <w:instrText xml:space="preserve"> SEQ Figure \* ARABIC </w:instrText>
            </w:r>
            <w:r>
              <w:rPr>
                <w:b/>
                <w:iCs/>
              </w:rPr>
              <w:fldChar w:fldCharType="separate"/>
            </w:r>
            <w:r>
              <w:rPr>
                <w:b/>
                <w:iCs/>
              </w:rPr>
              <w:t>4</w:t>
            </w:r>
            <w:r>
              <w:rPr>
                <w:b/>
                <w:iCs/>
              </w:rPr>
              <w:fldChar w:fldCharType="end"/>
            </w:r>
            <w:bookmarkEnd w:id="77"/>
            <w:r>
              <w:rPr>
                <w:bCs/>
                <w:iCs/>
              </w:rPr>
              <w:t xml:space="preserve">: An exemplary for aggregated channel BW for (a) 2 GHz (b) 4 GHz with SCS = 120 KHz and assuming the maximum </w:t>
            </w:r>
            <m:oMath>
              <m:r>
                <m:rPr>
                  <m:sty m:val="p"/>
                </m:rPr>
                <w:rPr>
                  <w:rFonts w:ascii="Cambria Math" w:hAnsi="Cambria Math"/>
                </w:rPr>
                <m:t>B</m:t>
              </m:r>
              <m:sSub>
                <m:sSubPr>
                  <m:ctrlPr>
                    <w:rPr>
                      <w:rFonts w:ascii="Cambria Math" w:hAnsi="Cambria Math"/>
                      <w:bCs/>
                      <w:iCs/>
                    </w:rPr>
                  </m:ctrlPr>
                </m:sSubPr>
                <m:e>
                  <m:r>
                    <m:rPr>
                      <m:sty m:val="p"/>
                    </m:rPr>
                    <w:rPr>
                      <w:rFonts w:ascii="Cambria Math" w:hAnsi="Cambria Math"/>
                    </w:rPr>
                    <m:t>W</m:t>
                  </m:r>
                  <m:ctrlPr>
                    <w:rPr>
                      <w:rFonts w:ascii="Cambria Math" w:hAnsi="Cambria Math"/>
                      <w:bCs/>
                      <w:iCs/>
                    </w:rPr>
                  </m:ctrlPr>
                </m:e>
                <m:sub>
                  <m:r>
                    <m:rPr>
                      <m:sty m:val="p"/>
                    </m:rPr>
                    <w:rPr>
                      <w:rFonts w:ascii="Cambria Math" w:hAnsi="Cambria Math"/>
                    </w:rPr>
                    <m:t>channel</m:t>
                  </m:r>
                  <m:ctrlPr>
                    <w:rPr>
                      <w:rFonts w:ascii="Cambria Math" w:hAnsi="Cambria Math"/>
                      <w:bCs/>
                      <w:iCs/>
                    </w:rPr>
                  </m:ctrlPr>
                </m:sub>
              </m:sSub>
              <m:r>
                <w:rPr>
                  <w:rFonts w:ascii="Cambria Math" w:hAnsi="Cambria Math"/>
                </w:rPr>
                <m:t>=400</m:t>
              </m:r>
            </m:oMath>
            <w:r>
              <w:rPr>
                <w:bCs/>
                <w:iCs/>
              </w:rPr>
              <w:t xml:space="preserve"> MHz.</w:t>
            </w:r>
          </w:p>
          <w:p>
            <w:pPr>
              <w:widowControl w:val="0"/>
              <w:spacing w:after="0" w:line="360" w:lineRule="auto"/>
              <w:rPr>
                <w:b/>
                <w:i/>
                <w:lang w:eastAsia="zh-CN"/>
              </w:rPr>
            </w:pPr>
            <w:r>
              <w:rPr>
                <w:b/>
                <w:i/>
              </w:rPr>
              <w:t>Proposal 4</w:t>
            </w:r>
            <w:r>
              <w:rPr>
                <w:b/>
                <w:i/>
                <w:lang w:eastAsia="zh-CN"/>
              </w:rPr>
              <w:t xml:space="preserve">. Single DCI schedule multiple PDSCH across multiple CCs should be studied for NR operation from 52.6 to 71 GHz.  </w:t>
            </w:r>
          </w:p>
          <w:p>
            <w:pPr>
              <w:widowControl w:val="0"/>
            </w:pPr>
          </w:p>
        </w:tc>
      </w:tr>
    </w:tbl>
    <w:p>
      <w:pPr>
        <w:rPr>
          <w:lang w:eastAsia="zh-CN"/>
        </w:rPr>
      </w:pPr>
    </w:p>
    <w:p>
      <w:pPr>
        <w:pStyle w:val="3"/>
      </w:pPr>
      <w:r>
        <w:t>Topic C: Multi-Beam Aspects</w:t>
      </w:r>
    </w:p>
    <w:p>
      <w:pPr>
        <w:pStyle w:val="4"/>
        <w:jc w:val="both"/>
        <w:rPr>
          <w:lang w:val="en-GB" w:eastAsia="zh-CN"/>
        </w:rPr>
      </w:pPr>
      <w:r>
        <w:rPr>
          <w:lang w:val="en-GB" w:eastAsia="zh-CN"/>
        </w:rPr>
        <w:t>R1-2100058 (Lenovo, Motorola Mobility)</w:t>
      </w:r>
    </w:p>
    <w:tbl>
      <w:tblPr>
        <w:tblStyle w:val="52"/>
        <w:tblW w:w="145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vAlign w:val="center"/>
          </w:tcPr>
          <w:p>
            <w:pPr>
              <w:widowControl w:val="0"/>
              <w:jc w:val="both"/>
            </w:pPr>
            <w:r>
              <w:rPr>
                <w:bCs/>
              </w:rPr>
              <w:t xml:space="preserve">Another important aspect for </w:t>
            </w:r>
            <w:r>
              <w:rPr>
                <w:kern w:val="2"/>
                <w:lang w:eastAsia="zh-CN"/>
              </w:rPr>
              <w:t>PDCCH monitoring is related to directional LBT. Directional LBT may cause some issues comparing with omni-directional LBT. For example, different Tx beams used by gNB may correspond to different COTs, thus different CORESETs which are configured with different Tx beams by higher layer signalling may also correspond to different COTs. From power saving perspective, during a COT initiated by a gNB, a UE can stop monitoring the PDCCH occasions in the CORESET corresponding to a different COT, which can reduce the power consumption cause by blindly decoding. That is to say, after transmitting a PDCCH to a UE within a COT, the gNB will not transmit PDCCH to this UE in the CORESET corresponding to another COT until the current COT ends.</w:t>
            </w:r>
          </w:p>
          <w:p>
            <w:pPr>
              <w:widowControl w:val="0"/>
              <w:spacing w:after="0"/>
              <w:jc w:val="both"/>
              <w:rPr>
                <w:rFonts w:asciiTheme="majorBidi" w:hAnsiTheme="majorBidi" w:cstheme="majorBidi"/>
                <w:b/>
                <w:bCs/>
                <w:i/>
                <w:iCs/>
                <w:lang w:eastAsia="zh-CN"/>
              </w:rPr>
            </w:pPr>
            <w:r>
              <w:rPr>
                <w:rFonts w:asciiTheme="majorBidi" w:hAnsiTheme="majorBidi" w:cstheme="majorBidi"/>
                <w:b/>
                <w:bCs/>
                <w:i/>
                <w:iCs/>
                <w:lang w:eastAsia="zh-CN"/>
              </w:rPr>
              <w:t>Proposal 7: For NR unlicensed bands between 52.6 GHz and 71 GHz with directional LBT based channel access mechanism, within a COT, PDCCH monitoring is nor supported in the CORESETs corresponding to other COTs (PDCCH monitoring restricted to monitoring corresponding to only one COT at a time)</w:t>
            </w:r>
          </w:p>
        </w:tc>
      </w:tr>
    </w:tbl>
    <w:p>
      <w:pPr>
        <w:rPr>
          <w:lang w:eastAsia="zh-CN"/>
        </w:rPr>
      </w:pPr>
    </w:p>
    <w:p>
      <w:pPr>
        <w:pStyle w:val="4"/>
        <w:jc w:val="both"/>
        <w:rPr>
          <w:lang w:val="en-GB" w:eastAsia="zh-CN"/>
        </w:rPr>
      </w:pPr>
      <w:r>
        <w:rPr>
          <w:lang w:val="en-GB" w:eastAsia="zh-CN"/>
        </w:rPr>
        <w:t>R1-2100258 (Nokia, Nokia Shanghai Bell)</w:t>
      </w:r>
    </w:p>
    <w:tbl>
      <w:tblPr>
        <w:tblStyle w:val="52"/>
        <w:tblW w:w="145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vAlign w:val="center"/>
          </w:tcPr>
          <w:p>
            <w:pPr>
              <w:widowControl w:val="0"/>
              <w:autoSpaceDE/>
              <w:autoSpaceDN/>
              <w:adjustRightInd/>
              <w:spacing w:after="0"/>
              <w:rPr>
                <w:rFonts w:eastAsia="Times New Roman"/>
                <w:lang w:eastAsia="en-GB"/>
              </w:rPr>
            </w:pPr>
            <w:r>
              <w:rPr>
                <w:rFonts w:eastAsia="Times New Roman"/>
                <w:lang w:eastAsia="en-GB"/>
              </w:rPr>
              <w:t>One more issue related to DL control seems to be operation of DCI format 2_0 in a beam based system. In Rel. 15, DCI format 2_0 contained only SFI, and from SFI point of view, UL and DL direction is clearly beam agnostic due to strong self-coupling between different panels. On the other hand, in R16 DCI format 2_0 contains also other information, such as COT or SS-group switching trigger, RB-sets. Any of these pieces of information could become beam dependent. However, support for beam-dependent configurations of DCI format 2_0 is not possible in FR2 currently. Although a UE can be indicated a change of active-TCI, DCI format 2_0 PDCCH candidates and, payload location remains the same and thus cannot be beam specific.</w:t>
            </w:r>
          </w:p>
          <w:p>
            <w:pPr>
              <w:widowControl w:val="0"/>
              <w:autoSpaceDE/>
              <w:autoSpaceDN/>
              <w:adjustRightInd/>
              <w:spacing w:after="0"/>
              <w:rPr>
                <w:rFonts w:eastAsia="Times New Roman"/>
                <w:sz w:val="16"/>
                <w:szCs w:val="16"/>
                <w:lang w:eastAsia="en-GB"/>
              </w:rPr>
            </w:pPr>
            <w:r>
              <w:rPr>
                <w:rFonts w:eastAsia="Times New Roman"/>
                <w:lang w:eastAsia="en-GB"/>
              </w:rPr>
              <w:t>   </w:t>
            </w:r>
          </w:p>
          <w:p>
            <w:pPr>
              <w:widowControl w:val="0"/>
              <w:autoSpaceDE/>
              <w:autoSpaceDN/>
              <w:adjustRightInd/>
              <w:spacing w:after="0"/>
              <w:rPr>
                <w:rFonts w:eastAsia="Times New Roman"/>
                <w:lang w:eastAsia="en-GB"/>
              </w:rPr>
            </w:pPr>
            <w:r>
              <w:rPr>
                <w:rFonts w:eastAsia="Times New Roman"/>
                <w:b/>
                <w:bCs/>
                <w:i/>
                <w:iCs/>
                <w:lang w:eastAsia="en-GB"/>
              </w:rPr>
              <w:t>Observation 2:</w:t>
            </w:r>
            <w:r>
              <w:rPr>
                <w:rFonts w:eastAsia="Times New Roman"/>
                <w:lang w:eastAsia="en-GB"/>
              </w:rPr>
              <w:t> </w:t>
            </w:r>
            <w:r>
              <w:rPr>
                <w:rFonts w:eastAsia="Times New Roman"/>
                <w:i/>
                <w:iCs/>
                <w:lang w:eastAsia="en-GB"/>
              </w:rPr>
              <w:t>GC-PDCCH is an essential part of unlicensed band system, and there seems to be a need to support beam-dependent information, particularly if some form of directional LBT is chosen as coexistence mechanism.</w:t>
            </w:r>
            <w:r>
              <w:rPr>
                <w:rFonts w:eastAsia="Times New Roman"/>
                <w:lang w:eastAsia="en-GB"/>
              </w:rPr>
              <w:t> </w:t>
            </w:r>
          </w:p>
          <w:p>
            <w:pPr>
              <w:widowControl w:val="0"/>
              <w:autoSpaceDE/>
              <w:autoSpaceDN/>
              <w:adjustRightInd/>
              <w:spacing w:after="0"/>
              <w:rPr>
                <w:rFonts w:eastAsia="Times New Roman"/>
                <w:sz w:val="16"/>
                <w:szCs w:val="16"/>
                <w:lang w:eastAsia="en-GB"/>
              </w:rPr>
            </w:pPr>
          </w:p>
          <w:p>
            <w:pPr>
              <w:widowControl w:val="0"/>
              <w:autoSpaceDE/>
              <w:autoSpaceDN/>
              <w:adjustRightInd/>
              <w:spacing w:after="0"/>
              <w:rPr>
                <w:rFonts w:ascii="Segoe UI" w:hAnsi="Segoe UI" w:eastAsia="Times New Roman" w:cs="Segoe UI"/>
                <w:sz w:val="18"/>
                <w:szCs w:val="18"/>
                <w:lang w:eastAsia="en-GB"/>
              </w:rPr>
            </w:pPr>
            <w:r>
              <w:rPr>
                <w:rFonts w:eastAsia="Times New Roman"/>
                <w:b/>
                <w:bCs/>
                <w:i/>
                <w:iCs/>
                <w:lang w:eastAsia="en-GB"/>
              </w:rPr>
              <w:t>Proposal 6: </w:t>
            </w:r>
            <w:r>
              <w:rPr>
                <w:rFonts w:eastAsia="Times New Roman"/>
                <w:i/>
                <w:iCs/>
                <w:lang w:eastAsia="en-GB"/>
              </w:rPr>
              <w:t>Changes to DCI format 2_0 may be beneficial for at least unlicensed 60GHz NR operation</w:t>
            </w:r>
            <w:r>
              <w:rPr>
                <w:rFonts w:ascii="Calibri" w:hAnsi="Calibri" w:eastAsia="Times New Roman" w:cs="Segoe UI"/>
                <w:i/>
                <w:iCs/>
                <w:lang w:eastAsia="en-GB"/>
              </w:rPr>
              <w:t>.</w:t>
            </w:r>
            <w:r>
              <w:rPr>
                <w:rFonts w:ascii="Calibri" w:hAnsi="Calibri" w:eastAsia="Times New Roman" w:cs="Segoe UI"/>
                <w:lang w:eastAsia="en-GB"/>
              </w:rPr>
              <w:t> </w:t>
            </w:r>
          </w:p>
        </w:tc>
      </w:tr>
    </w:tbl>
    <w:p>
      <w:pPr>
        <w:rPr>
          <w:lang w:eastAsia="zh-CN"/>
        </w:rPr>
      </w:pPr>
    </w:p>
    <w:p>
      <w:pPr>
        <w:pStyle w:val="4"/>
        <w:jc w:val="both"/>
        <w:rPr>
          <w:lang w:val="en-GB" w:eastAsia="zh-CN"/>
        </w:rPr>
      </w:pPr>
      <w:r>
        <w:rPr>
          <w:lang w:val="en-GB" w:eastAsia="zh-CN"/>
        </w:rPr>
        <w:t>R1-2100893 (LG)</w:t>
      </w:r>
    </w:p>
    <w:tbl>
      <w:tblPr>
        <w:tblStyle w:val="52"/>
        <w:tblW w:w="145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vAlign w:val="center"/>
          </w:tcPr>
          <w:p>
            <w:pPr>
              <w:widowControl w:val="0"/>
              <w:spacing w:before="120"/>
              <w:rPr>
                <w:rFonts w:eastAsia="Batang"/>
                <w:lang w:eastAsia="ko-KR"/>
              </w:rPr>
            </w:pPr>
            <w:r>
              <w:rPr>
                <w:rFonts w:eastAsia="Batang"/>
                <w:lang w:eastAsia="ko-KR"/>
              </w:rPr>
              <w:t xml:space="preserve">In Rel-16 </w:t>
            </w:r>
            <w:r>
              <w:rPr>
                <w:rFonts w:hint="eastAsia" w:eastAsia="Batang"/>
                <w:lang w:eastAsia="ko-KR"/>
              </w:rPr>
              <w:t>NR-</w:t>
            </w:r>
            <w:r>
              <w:rPr>
                <w:rFonts w:eastAsia="Batang"/>
                <w:lang w:eastAsia="ko-KR"/>
              </w:rPr>
              <w:t xml:space="preserve">U, several fields such as RB set indicator, CO duration and SS set group switching trigger were introduced to DCI format 2_0, in addition to SFI. However, for FR-X in Rel-17 where the use of directional beams may be essential, it can be worth considering the beam dependent GC-PDCCH configuration. In other words, it may be beneficial to give a spatial relation for a beam to which information of DCI format 2_0 is applied. One simple conceivable method is to define some fields in DCI format 2_0 separately for each beam. For example, RB set indicator and CO duration could be configured separately for each beam, but SFI could be configured as beam agnostic. Alternatively, a new field can be additionally introduced in DCI format 2_0 to indicate the availability of each beam. In this method, UE receiving DCI format 2_0 may determine the channel availability for each beam through a combination of the new field and existing fields (i.e., RB set indicator and CO duration). </w:t>
            </w:r>
          </w:p>
          <w:p>
            <w:pPr>
              <w:widowControl w:val="0"/>
              <w:spacing w:before="120"/>
              <w:rPr>
                <w:rFonts w:eastAsia="Batang"/>
                <w:b/>
                <w:lang w:eastAsia="ko-KR"/>
              </w:rPr>
            </w:pPr>
            <w:r>
              <w:rPr>
                <w:rFonts w:eastAsia="Batang"/>
                <w:b/>
                <w:lang w:eastAsia="ko-KR"/>
              </w:rPr>
              <w:t>Proposal #3: Consider per beam indication of available RB set, CO duration, and/or SS set switching by using DCI format 2_0.</w:t>
            </w:r>
          </w:p>
          <w:p>
            <w:pPr>
              <w:widowControl w:val="0"/>
              <w:autoSpaceDE/>
              <w:autoSpaceDN/>
              <w:adjustRightInd/>
              <w:spacing w:after="0"/>
              <w:rPr>
                <w:rFonts w:ascii="Segoe UI" w:hAnsi="Segoe UI" w:eastAsia="Times New Roman" w:cs="Segoe UI"/>
                <w:sz w:val="18"/>
                <w:szCs w:val="18"/>
                <w:lang w:eastAsia="en-GB"/>
              </w:rPr>
            </w:pPr>
          </w:p>
        </w:tc>
      </w:tr>
    </w:tbl>
    <w:p>
      <w:pPr>
        <w:rPr>
          <w:lang w:eastAsia="zh-CN"/>
        </w:rPr>
      </w:pPr>
    </w:p>
    <w:p>
      <w:pPr>
        <w:pStyle w:val="3"/>
      </w:pPr>
      <w:r>
        <w:t>Topic D: Cross-carrier scheduling</w:t>
      </w:r>
    </w:p>
    <w:p>
      <w:pPr>
        <w:pStyle w:val="4"/>
        <w:jc w:val="both"/>
        <w:rPr>
          <w:lang w:val="en-GB" w:eastAsia="zh-CN"/>
        </w:rPr>
      </w:pPr>
      <w:r>
        <w:rPr>
          <w:lang w:val="en-GB" w:eastAsia="zh-CN"/>
        </w:rPr>
        <w:t>R1-2100644 (Intel)</w:t>
      </w:r>
    </w:p>
    <w:tbl>
      <w:tblPr>
        <w:tblStyle w:val="52"/>
        <w:tblW w:w="145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vAlign w:val="center"/>
          </w:tcPr>
          <w:p>
            <w:pPr>
              <w:widowControl w:val="0"/>
            </w:pPr>
            <w:r>
              <w:t xml:space="preserve">Cross-carrier scheduling is a quite useful feature for NR. Therefore, it is expected that cross-carrier scheduling between serving cells using SCS 120/480/960kHz can be supported. On the other hand, one more discussion point is the carrier aggregation (CA) between a cell with 52.6-71GHz frequency and a cell in FR2 or even FR1. From specification completeness point of view, such CA scenario could be supported, especially considering a PCell in lower frequency than 52.6-71GHz is more appropriate for coverage/robustness. On the other hand, if such kind of CA is supported and cross-carrier scheduling is considered, an extreme case could be that, a slot with SCS 15kHz is used to schedule up to 64 slots with SCS 960kHz. The scheduling capability needs to be carefully dimensioned. Without a clear motivation, we prefer to avoid unnecessary optimization for such extreme case. </w:t>
            </w:r>
          </w:p>
          <w:p>
            <w:pPr>
              <w:widowControl w:val="0"/>
              <w:jc w:val="both"/>
              <w:rPr>
                <w:b/>
                <w:bCs/>
              </w:rPr>
            </w:pPr>
            <w:r>
              <w:rPr>
                <w:b/>
                <w:bCs/>
              </w:rPr>
              <w:t>Proposal 4: Cross-carrier scheduling of cell with 52.6-71GHz frequency from/to a cell of FR1 and FR2 is allowed by specification, however, additional enhancements are deprioritized unless a clear motivation is identified.</w:t>
            </w:r>
          </w:p>
        </w:tc>
      </w:tr>
    </w:tbl>
    <w:p>
      <w:pPr>
        <w:rPr>
          <w:lang w:eastAsia="zh-CN"/>
        </w:rPr>
      </w:pPr>
    </w:p>
    <w:p>
      <w:pPr>
        <w:pStyle w:val="4"/>
        <w:jc w:val="both"/>
        <w:rPr>
          <w:lang w:val="en-GB" w:eastAsia="zh-CN"/>
        </w:rPr>
      </w:pPr>
      <w:r>
        <w:rPr>
          <w:lang w:val="en-GB" w:eastAsia="zh-CN"/>
        </w:rPr>
        <w:t>R1-2101321 (Convida Wireless)</w:t>
      </w:r>
    </w:p>
    <w:tbl>
      <w:tblPr>
        <w:tblStyle w:val="52"/>
        <w:tblW w:w="145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vAlign w:val="center"/>
          </w:tcPr>
          <w:p>
            <w:pPr>
              <w:widowControl w:val="0"/>
              <w:spacing w:after="0" w:line="276" w:lineRule="auto"/>
              <w:rPr>
                <w:bCs/>
                <w:iCs/>
              </w:rPr>
            </w:pPr>
            <w:r>
              <w:rPr>
                <w:bCs/>
                <w:iCs/>
              </w:rPr>
              <w:t xml:space="preserve">Like the case that a single DCI scheduling multiple PDSCHs in a serving cell, there are several advantages to introduce a single DCI format scheduling multiple PDSCHs across multiple CCs for NR from 52.6 – 71 GHz. One of the major benefits is to enhance the scheduling flexible because less DCIs are transmitted especially slots duration is getting shorter for NR from 52.6 GHz and above.  One example of a single DCI scheduling multiple PDSCH across multiple CCs are shown in </w:t>
            </w:r>
            <w:r>
              <w:rPr>
                <w:bCs/>
                <w:iCs/>
              </w:rPr>
              <w:fldChar w:fldCharType="begin"/>
            </w:r>
            <w:r>
              <w:rPr>
                <w:bCs/>
                <w:iCs/>
              </w:rPr>
              <w:instrText xml:space="preserve"> REF _Ref33360524 \h  \* MERGEFORMAT </w:instrText>
            </w:r>
            <w:r>
              <w:rPr>
                <w:bCs/>
                <w:iCs/>
              </w:rPr>
              <w:fldChar w:fldCharType="separate"/>
            </w:r>
            <w:r>
              <w:rPr>
                <w:bCs/>
                <w:iCs/>
              </w:rPr>
              <w:t>Figure 4</w:t>
            </w:r>
            <w:r>
              <w:rPr>
                <w:bCs/>
                <w:iCs/>
              </w:rPr>
              <w:fldChar w:fldCharType="end"/>
            </w:r>
            <w:r>
              <w:rPr>
                <w:bCs/>
                <w:iCs/>
              </w:rPr>
              <w:t xml:space="preserve">. In </w:t>
            </w:r>
            <w:r>
              <w:rPr>
                <w:bCs/>
                <w:iCs/>
              </w:rPr>
              <w:fldChar w:fldCharType="begin"/>
            </w:r>
            <w:r>
              <w:rPr>
                <w:bCs/>
                <w:iCs/>
              </w:rPr>
              <w:instrText xml:space="preserve"> REF _Ref33360524 \h  \* MERGEFORMAT </w:instrText>
            </w:r>
            <w:r>
              <w:rPr>
                <w:bCs/>
                <w:iCs/>
              </w:rPr>
              <w:fldChar w:fldCharType="separate"/>
            </w:r>
            <w:r>
              <w:rPr>
                <w:bCs/>
                <w:iCs/>
              </w:rPr>
              <w:t>Figure 4</w:t>
            </w:r>
            <w:r>
              <w:rPr>
                <w:bCs/>
                <w:iCs/>
              </w:rPr>
              <w:fldChar w:fldCharType="end"/>
            </w:r>
            <w:r>
              <w:rPr>
                <w:bCs/>
                <w:iCs/>
              </w:rPr>
              <w:t xml:space="preserve">, we assume there are two CCs are carrier aggregated in a cell group. gNB may signal the COT and LBT results to a UE, then the UE may only monitor PDCCH in a CC (e.g. CC 1). The UE does not need to monitor PDCCH from the other CCs in the same cell group thus it can save power consumption. One thing is worth to note that a single DCI schedule multiple PDSCHs across CCs is not impact by whether support of listen-before-talk (LBT) or not. In addition, a single DCI schedule multiple PDSCHs across multiple CCs can share the design of single DCI schedule multiple PDSCHs discussed in subsection </w:t>
            </w:r>
            <w:r>
              <w:rPr>
                <w:bCs/>
                <w:iCs/>
              </w:rPr>
              <w:fldChar w:fldCharType="begin"/>
            </w:r>
            <w:r>
              <w:rPr>
                <w:bCs/>
                <w:iCs/>
              </w:rPr>
              <w:instrText xml:space="preserve"> REF _Ref61638545 \n \h </w:instrText>
            </w:r>
            <w:r>
              <w:rPr>
                <w:bCs/>
                <w:iCs/>
              </w:rPr>
              <w:fldChar w:fldCharType="separate"/>
            </w:r>
            <w:r>
              <w:rPr>
                <w:bCs/>
                <w:iCs/>
              </w:rPr>
              <w:t>2.3</w:t>
            </w:r>
            <w:r>
              <w:rPr>
                <w:bCs/>
                <w:iCs/>
              </w:rPr>
              <w:fldChar w:fldCharType="end"/>
            </w:r>
            <w:r>
              <w:rPr>
                <w:bCs/>
                <w:iCs/>
              </w:rPr>
              <w:t xml:space="preserve">. </w:t>
            </w:r>
          </w:p>
          <w:p>
            <w:pPr>
              <w:widowControl w:val="0"/>
              <w:spacing w:after="0" w:line="360" w:lineRule="auto"/>
              <w:jc w:val="center"/>
            </w:pPr>
            <w:r>
              <w:object>
                <v:shape id="_x0000_i1030" o:spt="75" type="#_x0000_t75" style="height:206.25pt;width:341.25pt;" o:ole="t" filled="f" o:preferrelative="t" stroked="f" coordsize="21600,21600">
                  <v:path/>
                  <v:fill on="f" focussize="0,0"/>
                  <v:stroke on="f" joinstyle="miter"/>
                  <v:imagedata r:id="rId22" o:title=""/>
                  <o:lock v:ext="edit" aspectratio="t"/>
                  <w10:wrap type="none"/>
                  <w10:anchorlock/>
                </v:shape>
                <o:OLEObject Type="Embed" ProgID="Visio.Drawing.15" ShapeID="_x0000_i1030" DrawAspect="Content" ObjectID="_1468075730" r:id="rId23">
                  <o:LockedField>false</o:LockedField>
                </o:OLEObject>
              </w:object>
            </w:r>
          </w:p>
          <w:p>
            <w:pPr>
              <w:widowControl w:val="0"/>
              <w:tabs>
                <w:tab w:val="left" w:pos="7406"/>
              </w:tabs>
              <w:spacing w:line="360" w:lineRule="auto"/>
              <w:jc w:val="center"/>
              <w:rPr>
                <w:bCs/>
                <w:iCs/>
              </w:rPr>
            </w:pPr>
            <w:r>
              <w:rPr>
                <w:b/>
                <w:iCs/>
              </w:rPr>
              <w:t xml:space="preserve">Figure </w:t>
            </w:r>
            <w:r>
              <w:rPr>
                <w:b/>
                <w:iCs/>
              </w:rPr>
              <w:fldChar w:fldCharType="begin"/>
            </w:r>
            <w:r>
              <w:rPr>
                <w:b/>
                <w:iCs/>
              </w:rPr>
              <w:instrText xml:space="preserve"> SEQ Figure \* ARABIC </w:instrText>
            </w:r>
            <w:r>
              <w:rPr>
                <w:b/>
                <w:iCs/>
              </w:rPr>
              <w:fldChar w:fldCharType="separate"/>
            </w:r>
            <w:r>
              <w:rPr>
                <w:b/>
                <w:iCs/>
              </w:rPr>
              <w:t>4</w:t>
            </w:r>
            <w:r>
              <w:rPr>
                <w:b/>
                <w:iCs/>
              </w:rPr>
              <w:fldChar w:fldCharType="end"/>
            </w:r>
            <w:r>
              <w:rPr>
                <w:bCs/>
                <w:iCs/>
              </w:rPr>
              <w:t xml:space="preserve">: An exemplary for aggregated channel BW for (a) 2 GHz (b) 4 GHz with SCS = 120 KHz and assuming the maximum </w:t>
            </w:r>
            <m:oMath>
              <m:r>
                <m:rPr>
                  <m:sty m:val="p"/>
                </m:rPr>
                <w:rPr>
                  <w:rFonts w:ascii="Cambria Math" w:hAnsi="Cambria Math"/>
                </w:rPr>
                <m:t>B</m:t>
              </m:r>
              <m:sSub>
                <m:sSubPr>
                  <m:ctrlPr>
                    <w:rPr>
                      <w:rFonts w:ascii="Cambria Math" w:hAnsi="Cambria Math"/>
                      <w:bCs/>
                      <w:iCs/>
                    </w:rPr>
                  </m:ctrlPr>
                </m:sSubPr>
                <m:e>
                  <m:r>
                    <m:rPr>
                      <m:sty m:val="p"/>
                    </m:rPr>
                    <w:rPr>
                      <w:rFonts w:ascii="Cambria Math" w:hAnsi="Cambria Math"/>
                    </w:rPr>
                    <m:t>W</m:t>
                  </m:r>
                  <m:ctrlPr>
                    <w:rPr>
                      <w:rFonts w:ascii="Cambria Math" w:hAnsi="Cambria Math"/>
                      <w:bCs/>
                      <w:iCs/>
                    </w:rPr>
                  </m:ctrlPr>
                </m:e>
                <m:sub>
                  <m:r>
                    <m:rPr>
                      <m:sty m:val="p"/>
                    </m:rPr>
                    <w:rPr>
                      <w:rFonts w:ascii="Cambria Math" w:hAnsi="Cambria Math"/>
                    </w:rPr>
                    <m:t>channel</m:t>
                  </m:r>
                  <m:ctrlPr>
                    <w:rPr>
                      <w:rFonts w:ascii="Cambria Math" w:hAnsi="Cambria Math"/>
                      <w:bCs/>
                      <w:iCs/>
                    </w:rPr>
                  </m:ctrlPr>
                </m:sub>
              </m:sSub>
              <m:r>
                <w:rPr>
                  <w:rFonts w:ascii="Cambria Math" w:hAnsi="Cambria Math"/>
                </w:rPr>
                <m:t>=400</m:t>
              </m:r>
            </m:oMath>
            <w:r>
              <w:rPr>
                <w:bCs/>
                <w:iCs/>
              </w:rPr>
              <w:t xml:space="preserve"> MHz.</w:t>
            </w:r>
          </w:p>
          <w:p>
            <w:pPr>
              <w:widowControl w:val="0"/>
              <w:spacing w:after="0" w:line="360" w:lineRule="auto"/>
              <w:rPr>
                <w:b/>
                <w:i/>
                <w:lang w:eastAsia="zh-CN"/>
              </w:rPr>
            </w:pPr>
            <w:r>
              <w:rPr>
                <w:b/>
                <w:i/>
              </w:rPr>
              <w:t>Proposal 4</w:t>
            </w:r>
            <w:r>
              <w:rPr>
                <w:b/>
                <w:i/>
                <w:lang w:eastAsia="zh-CN"/>
              </w:rPr>
              <w:t xml:space="preserve">. Single DCI schedule multiple PDSCH across multiple CCs should be studied for NR operation from 52.6 to 71 GHz.  </w:t>
            </w:r>
          </w:p>
          <w:p>
            <w:pPr>
              <w:widowControl w:val="0"/>
            </w:pPr>
          </w:p>
        </w:tc>
      </w:tr>
    </w:tbl>
    <w:p>
      <w:pPr>
        <w:rPr>
          <w:lang w:eastAsia="zh-CN"/>
        </w:rPr>
      </w:pPr>
    </w:p>
    <w:p>
      <w:pPr>
        <w:pStyle w:val="4"/>
        <w:jc w:val="both"/>
        <w:rPr>
          <w:lang w:val="en-GB" w:eastAsia="zh-CN"/>
        </w:rPr>
      </w:pPr>
      <w:r>
        <w:rPr>
          <w:lang w:val="en-GB" w:eastAsia="zh-CN"/>
        </w:rPr>
        <w:t>R1-2101454 (Qualcomm)</w:t>
      </w:r>
    </w:p>
    <w:tbl>
      <w:tblPr>
        <w:tblStyle w:val="52"/>
        <w:tblW w:w="145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vAlign w:val="center"/>
          </w:tcPr>
          <w:p>
            <w:pPr>
              <w:widowControl w:val="0"/>
              <w:rPr>
                <w:lang w:val="en-GB"/>
              </w:rPr>
            </w:pPr>
            <w:r>
              <w:rPr>
                <w:lang w:val="en-GB"/>
              </w:rPr>
              <w:t>For cross-carrier scheduling with different SCSs, in particular when the SCS of the scheduling cell is smaller than that of the scheduled cell, the memory requirement for buffering the Rx signal on the scheduled cell during the PDCCH processing may be excessive. In Rel-16, thus, the minimum preparation time for cross-carrier scheduled/triggered reception has been introduced (TS 38.214, Clause 5.5 for PDSCH and Clause 5.2.1.5.1a for aperiodic CSI-RS).</w:t>
            </w:r>
          </w:p>
          <w:p>
            <w:pPr>
              <w:widowControl w:val="0"/>
              <w:rPr>
                <w:lang w:val="en-GB"/>
              </w:rPr>
            </w:pPr>
            <w:r>
              <w:rPr>
                <w:lang w:val="en-GB"/>
              </w:rPr>
              <w:t xml:space="preserve">With the introduction of new high SCSs, the related discussion should be continued. In the discussion, the following aspects may be highlighted: </w:t>
            </w:r>
          </w:p>
          <w:p>
            <w:pPr>
              <w:pStyle w:val="73"/>
              <w:widowControl w:val="0"/>
              <w:numPr>
                <w:ilvl w:val="0"/>
                <w:numId w:val="49"/>
              </w:numPr>
              <w:snapToGrid/>
              <w:jc w:val="both"/>
              <w:rPr>
                <w:lang w:val="en-GB"/>
              </w:rPr>
            </w:pPr>
            <w:r>
              <w:rPr>
                <w:lang w:val="en-GB"/>
              </w:rPr>
              <w:t>Proper values and ranges of the minimum preparation time (</w:t>
            </w:r>
            <m:oMath>
              <m:sSub>
                <m:sSubPr>
                  <m:ctrlPr>
                    <w:rPr>
                      <w:rFonts w:ascii="Cambria Math" w:hAnsi="Cambria Math"/>
                      <w:i/>
                      <w:lang w:val="en-GB"/>
                    </w:rPr>
                  </m:ctrlPr>
                </m:sSubPr>
                <m:e>
                  <m:r>
                    <w:rPr>
                      <w:rFonts w:ascii="Cambria Math" w:hAnsi="Cambria Math"/>
                      <w:lang w:val="en-GB"/>
                    </w:rPr>
                    <m:t>N</m:t>
                  </m:r>
                  <m:ctrlPr>
                    <w:rPr>
                      <w:rFonts w:ascii="Cambria Math" w:hAnsi="Cambria Math"/>
                      <w:i/>
                      <w:lang w:val="en-GB"/>
                    </w:rPr>
                  </m:ctrlPr>
                </m:e>
                <m:sub>
                  <m:r>
                    <w:rPr>
                      <w:rFonts w:ascii="Cambria Math" w:hAnsi="Cambria Math"/>
                      <w:lang w:val="en-GB"/>
                    </w:rPr>
                    <m:t>csirs</m:t>
                  </m:r>
                  <m:ctrlPr>
                    <w:rPr>
                      <w:rFonts w:ascii="Cambria Math" w:hAnsi="Cambria Math"/>
                      <w:i/>
                      <w:lang w:val="en-GB"/>
                    </w:rPr>
                  </m:ctrlPr>
                </m:sub>
              </m:sSub>
            </m:oMath>
            <w:r>
              <w:rPr>
                <w:lang w:val="en-GB"/>
              </w:rPr>
              <w:t xml:space="preserve"> in Table 5.2.1.5.1a and </w:t>
            </w:r>
            <m:oMath>
              <m:sSub>
                <m:sSubPr>
                  <m:ctrlPr>
                    <w:rPr>
                      <w:rFonts w:ascii="Cambria Math" w:hAnsi="Cambria Math"/>
                      <w:i/>
                      <w:lang w:val="en-GB"/>
                    </w:rPr>
                  </m:ctrlPr>
                </m:sSubPr>
                <m:e>
                  <m:r>
                    <w:rPr>
                      <w:rFonts w:ascii="Cambria Math" w:hAnsi="Cambria Math"/>
                      <w:lang w:val="en-GB"/>
                    </w:rPr>
                    <m:t>N</m:t>
                  </m:r>
                  <m:ctrlPr>
                    <w:rPr>
                      <w:rFonts w:ascii="Cambria Math" w:hAnsi="Cambria Math"/>
                      <w:i/>
                      <w:lang w:val="en-GB"/>
                    </w:rPr>
                  </m:ctrlPr>
                </m:e>
                <m:sub>
                  <m:r>
                    <w:rPr>
                      <w:rFonts w:ascii="Cambria Math" w:hAnsi="Cambria Math"/>
                      <w:lang w:val="en-GB"/>
                    </w:rPr>
                    <m:t>pdsch</m:t>
                  </m:r>
                  <m:ctrlPr>
                    <w:rPr>
                      <w:rFonts w:ascii="Cambria Math" w:hAnsi="Cambria Math"/>
                      <w:i/>
                      <w:lang w:val="en-GB"/>
                    </w:rPr>
                  </m:ctrlPr>
                </m:sub>
              </m:sSub>
            </m:oMath>
            <w:r>
              <w:rPr>
                <w:lang w:val="en-GB"/>
              </w:rPr>
              <w:t xml:space="preserve"> in Table 5.5-1 of TS 38.214),</w:t>
            </w:r>
          </w:p>
          <w:p>
            <w:pPr>
              <w:pStyle w:val="73"/>
              <w:widowControl w:val="0"/>
              <w:numPr>
                <w:ilvl w:val="0"/>
                <w:numId w:val="49"/>
              </w:numPr>
              <w:snapToGrid/>
              <w:jc w:val="both"/>
              <w:rPr>
                <w:lang w:val="en-GB"/>
              </w:rPr>
            </w:pPr>
            <w:r>
              <w:rPr>
                <w:lang w:val="en-GB"/>
              </w:rPr>
              <w:t>Dependency and adaptation based on UE’s PDCCH monitoring capability (i.e., per-slot or per-span).</w:t>
            </w:r>
          </w:p>
          <w:p>
            <w:pPr>
              <w:pStyle w:val="27"/>
              <w:widowControl w:val="0"/>
              <w:jc w:val="left"/>
            </w:pPr>
            <w:bookmarkStart w:id="78" w:name="_Toc61859949"/>
            <w:bookmarkStart w:id="79" w:name="_Toc61547165"/>
            <w:bookmarkStart w:id="80" w:name="_Toc61869395"/>
            <w:bookmarkStart w:id="81" w:name="_Toc61293890"/>
            <w:bookmarkStart w:id="82" w:name="_Toc61547150"/>
            <w:bookmarkStart w:id="83" w:name="_Toc61822881"/>
            <w:bookmarkStart w:id="84" w:name="_Toc61859760"/>
            <w:bookmarkStart w:id="85" w:name="_Toc61547199"/>
            <w:bookmarkStart w:id="86" w:name="_Toc61546064"/>
            <w:r>
              <w:t xml:space="preserve">Proposal </w:t>
            </w:r>
            <w:r>
              <w:fldChar w:fldCharType="begin"/>
            </w:r>
            <w:r>
              <w:instrText xml:space="preserve">SEQ Proposal \* ARABIC</w:instrText>
            </w:r>
            <w:r>
              <w:fldChar w:fldCharType="separate"/>
            </w:r>
            <w:r>
              <w:t>6</w:t>
            </w:r>
            <w:r>
              <w:fldChar w:fldCharType="end"/>
            </w:r>
            <w:r>
              <w:t>: In order to support cross-carrier scheduling, the PDSCH reception preparation time (as well as aperiodic CSI-RS reception) for new high SCSs should be investigated.</w:t>
            </w:r>
            <w:bookmarkEnd w:id="78"/>
            <w:bookmarkEnd w:id="79"/>
            <w:bookmarkEnd w:id="80"/>
            <w:bookmarkEnd w:id="81"/>
            <w:bookmarkEnd w:id="82"/>
            <w:bookmarkEnd w:id="83"/>
            <w:bookmarkEnd w:id="84"/>
            <w:bookmarkEnd w:id="85"/>
            <w:bookmarkEnd w:id="86"/>
          </w:p>
        </w:tc>
      </w:tr>
    </w:tbl>
    <w:p>
      <w:pPr>
        <w:rPr>
          <w:lang w:eastAsia="zh-CN"/>
        </w:rPr>
      </w:pPr>
    </w:p>
    <w:p>
      <w:pPr>
        <w:pStyle w:val="3"/>
      </w:pPr>
      <w:r>
        <w:t>Topic E: Other</w:t>
      </w:r>
    </w:p>
    <w:p>
      <w:pPr>
        <w:pStyle w:val="4"/>
        <w:jc w:val="both"/>
        <w:rPr>
          <w:lang w:val="en-GB" w:eastAsia="zh-CN"/>
        </w:rPr>
      </w:pPr>
      <w:r>
        <w:rPr>
          <w:lang w:val="en-GB" w:eastAsia="zh-CN"/>
        </w:rPr>
        <w:t>R1-2100893 (LG)</w:t>
      </w:r>
    </w:p>
    <w:tbl>
      <w:tblPr>
        <w:tblStyle w:val="52"/>
        <w:tblW w:w="145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vAlign w:val="center"/>
          </w:tcPr>
          <w:p>
            <w:pPr>
              <w:widowControl w:val="0"/>
              <w:spacing w:before="120"/>
              <w:rPr>
                <w:rFonts w:eastAsia="Batang"/>
                <w:lang w:eastAsia="ko-KR"/>
              </w:rPr>
            </w:pPr>
            <w:r>
              <w:rPr>
                <w:rFonts w:eastAsia="Batang"/>
                <w:lang w:eastAsia="ko-KR"/>
              </w:rPr>
              <w:t>Considering the efficient coexistence with Wi-Fi operating with nominal channel bandwidth of 2.16 GHz, NR in unlicensed FR-X band may need to be operated with carrier bandwidth comparable to Wi-Fi. However, since some UEs may not support carrier bandwidth up to 2.16 GHz, it should be considered multi-carrier based operation where each carrier has bandwidth narrower than 2.16 GHz (e.g. 400 MHz) but aggregated bandwidth through multiple carriers can reach to around 2.16 GHz. In such case, some measurements for the channel availability such as LBT result for each carrier can be identical over multiple carriers which overlap to the occupied channel bandwidth of Wi-Fi. To indicate these information to group of carriers efficiently, carrier-group based GC-PDCCH configuration can be considered. For instance, GC-PDCCH indicating available RB sets and CO duration can be configured per carrier-group instead of per each carrier, and the set of carriers within the carrier-group can share these information. For another instance, DL/UL data scheduling can be configured per carrier-group to reduce the amount of GC-PDCCH transmission instead of indicating to each carrier. With carrier-group based configuration, it can be beneficial with respect to the controllability of channel access or data channel scheduling in unlicensed FR-X band.</w:t>
            </w:r>
          </w:p>
          <w:p>
            <w:pPr>
              <w:widowControl w:val="0"/>
              <w:spacing w:before="120"/>
              <w:rPr>
                <w:rFonts w:eastAsia="Batang"/>
                <w:b/>
                <w:lang w:eastAsia="ko-KR"/>
              </w:rPr>
            </w:pPr>
            <w:r>
              <w:rPr>
                <w:rFonts w:eastAsia="Batang"/>
                <w:b/>
                <w:lang w:eastAsia="ko-KR"/>
              </w:rPr>
              <w:t>Proposal #4: Carrier-group based GC-PDCCH configuration for unlicensed FR-X band may be beneficial with respect to signalling efficiency.</w:t>
            </w:r>
          </w:p>
          <w:p>
            <w:pPr>
              <w:widowControl w:val="0"/>
              <w:jc w:val="both"/>
              <w:rPr>
                <w:b/>
                <w:bCs/>
              </w:rPr>
            </w:pPr>
          </w:p>
        </w:tc>
      </w:tr>
    </w:tbl>
    <w:p>
      <w:pPr>
        <w:rPr>
          <w:lang w:eastAsia="zh-CN"/>
        </w:rPr>
      </w:pPr>
    </w:p>
    <w:p>
      <w:pPr>
        <w:pStyle w:val="4"/>
        <w:jc w:val="both"/>
        <w:rPr>
          <w:lang w:val="en-GB" w:eastAsia="zh-CN"/>
        </w:rPr>
      </w:pPr>
      <w:r>
        <w:rPr>
          <w:lang w:val="en-GB" w:eastAsia="zh-CN"/>
        </w:rPr>
        <w:t>R1-2101110 (Xiaomi)</w:t>
      </w:r>
    </w:p>
    <w:tbl>
      <w:tblPr>
        <w:tblStyle w:val="52"/>
        <w:tblW w:w="145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vAlign w:val="center"/>
          </w:tcPr>
          <w:p>
            <w:pPr>
              <w:pStyle w:val="30"/>
              <w:widowControl w:val="0"/>
              <w:rPr>
                <w:rFonts w:cs="Calibri"/>
                <w:iCs/>
                <w:lang w:val="en-GB" w:eastAsia="zh-CN"/>
              </w:rPr>
            </w:pPr>
            <w:r>
              <w:rPr>
                <w:rFonts w:cs="Calibri"/>
                <w:iCs/>
                <w:lang w:val="en-GB" w:eastAsia="zh-CN"/>
              </w:rPr>
              <w:t xml:space="preserve">Search space </w:t>
            </w:r>
            <w:r>
              <w:t>set group switching</w:t>
            </w:r>
            <w:r>
              <w:rPr>
                <w:rFonts w:cs="Calibri"/>
                <w:iCs/>
                <w:lang w:val="en-GB" w:eastAsia="zh-CN"/>
              </w:rPr>
              <w:t xml:space="preserve"> is introduced in R16 NR-U for power saving propose and group switching time </w:t>
            </w:r>
            <w:r>
              <w:t xml:space="preserve"> </w:t>
            </w:r>
            <m:oMath>
              <m:sSub>
                <m:sSubPr>
                  <m:ctrlPr>
                    <w:rPr>
                      <w:rFonts w:ascii="Cambria Math" w:hAnsi="Cambria Math"/>
                      <w:i/>
                    </w:rPr>
                  </m:ctrlPr>
                </m:sSubPr>
                <m:e>
                  <m:r>
                    <w:rPr>
                      <w:rFonts w:ascii="Cambria Math" w:hAnsi="Cambria Math"/>
                    </w:rPr>
                    <m:t>P</m:t>
                  </m:r>
                  <m:ctrlPr>
                    <w:rPr>
                      <w:rFonts w:ascii="Cambria Math" w:hAnsi="Cambria Math"/>
                      <w:i/>
                    </w:rPr>
                  </m:ctrlPr>
                </m:e>
                <m:sub>
                  <m:r>
                    <w:rPr>
                      <w:rFonts w:ascii="Cambria Math" w:hAnsi="Cambria Math"/>
                    </w:rPr>
                    <m:t>switch</m:t>
                  </m:r>
                  <m:ctrlPr>
                    <w:rPr>
                      <w:rFonts w:ascii="Cambria Math" w:hAnsi="Cambria Math"/>
                      <w:i/>
                    </w:rPr>
                  </m:ctrlPr>
                </m:sub>
              </m:sSub>
            </m:oMath>
            <w:r>
              <w:t xml:space="preserve"> is defined for SCS 15-60kHz</w:t>
            </w:r>
            <w:r>
              <w:rPr>
                <w:rFonts w:hint="eastAsia"/>
                <w:lang w:eastAsia="zh-CN"/>
              </w:rPr>
              <w:t>.</w:t>
            </w:r>
            <w:r>
              <w:rPr>
                <w:lang w:eastAsia="zh-CN"/>
              </w:rPr>
              <w:t xml:space="preserve"> To facilitate unlicensed band operation for </w:t>
            </w:r>
            <w:r>
              <w:rPr>
                <w:rFonts w:cs="Calibri"/>
                <w:iCs/>
                <w:lang w:eastAsia="zh-CN"/>
              </w:rPr>
              <w:t>NR 52.6-71GH</w:t>
            </w:r>
            <w:r>
              <w:rPr>
                <w:rFonts w:hint="eastAsia" w:cs="Calibri"/>
                <w:iCs/>
                <w:lang w:eastAsia="zh-CN"/>
              </w:rPr>
              <w:t>z</w:t>
            </w:r>
            <w:r>
              <w:rPr>
                <w:rFonts w:cs="Calibri"/>
                <w:iCs/>
                <w:lang w:eastAsia="zh-CN"/>
              </w:rPr>
              <w:t xml:space="preserve">, </w:t>
            </w:r>
            <w:r>
              <w:rPr>
                <w:rFonts w:cs="Calibri"/>
                <w:iCs/>
                <w:lang w:val="en-GB" w:eastAsia="zh-CN"/>
              </w:rPr>
              <w:t xml:space="preserve">group switching time </w:t>
            </w:r>
            <w:r>
              <w:t xml:space="preserve"> </w:t>
            </w:r>
            <m:oMath>
              <m:sSub>
                <m:sSubPr>
                  <m:ctrlPr>
                    <w:rPr>
                      <w:rFonts w:ascii="Cambria Math" w:hAnsi="Cambria Math"/>
                      <w:i/>
                    </w:rPr>
                  </m:ctrlPr>
                </m:sSubPr>
                <m:e>
                  <m:r>
                    <w:rPr>
                      <w:rFonts w:ascii="Cambria Math" w:hAnsi="Cambria Math"/>
                    </w:rPr>
                    <m:t>P</m:t>
                  </m:r>
                  <m:ctrlPr>
                    <w:rPr>
                      <w:rFonts w:ascii="Cambria Math" w:hAnsi="Cambria Math"/>
                      <w:i/>
                    </w:rPr>
                  </m:ctrlPr>
                </m:e>
                <m:sub>
                  <m:r>
                    <w:rPr>
                      <w:rFonts w:ascii="Cambria Math" w:hAnsi="Cambria Math"/>
                    </w:rPr>
                    <m:t>switch</m:t>
                  </m:r>
                  <m:ctrlPr>
                    <w:rPr>
                      <w:rFonts w:ascii="Cambria Math" w:hAnsi="Cambria Math"/>
                      <w:i/>
                    </w:rPr>
                  </m:ctrlPr>
                </m:sub>
              </m:sSub>
            </m:oMath>
            <w:r>
              <w:t xml:space="preserve">  should also be defined </w:t>
            </w:r>
            <w:r>
              <w:rPr>
                <w:rFonts w:cs="Calibri"/>
                <w:iCs/>
                <w:lang w:eastAsia="zh-CN"/>
              </w:rPr>
              <w:t>for 120</w:t>
            </w:r>
            <w:r>
              <w:rPr>
                <w:rFonts w:hint="eastAsia" w:cs="Calibri"/>
                <w:iCs/>
                <w:lang w:eastAsia="zh-CN"/>
              </w:rPr>
              <w:t>/</w:t>
            </w:r>
            <w:r>
              <w:rPr>
                <w:rFonts w:cs="Calibri"/>
                <w:iCs/>
                <w:lang w:eastAsia="zh-CN"/>
              </w:rPr>
              <w:t>480/960kHz</w:t>
            </w:r>
            <w:r>
              <w:rPr>
                <w:rFonts w:cs="Calibri"/>
                <w:iCs/>
                <w:lang w:val="en-GB" w:eastAsia="zh-CN"/>
              </w:rPr>
              <w:t xml:space="preserve"> </w:t>
            </w:r>
          </w:p>
          <w:p>
            <w:pPr>
              <w:widowControl w:val="0"/>
              <w:jc w:val="both"/>
              <w:rPr>
                <w:b/>
                <w:i/>
                <w:lang w:eastAsia="zh-CN"/>
              </w:rPr>
            </w:pPr>
            <w:r>
              <w:rPr>
                <w:b/>
                <w:i/>
                <w:lang w:eastAsia="zh-CN"/>
              </w:rPr>
              <w:t xml:space="preserve">Proposal 6: Search space set group switching time </w:t>
            </w:r>
            <m:oMath>
              <m:sSub>
                <m:sSubPr>
                  <m:ctrlPr>
                    <w:rPr>
                      <w:rFonts w:ascii="Cambria Math" w:hAnsi="Cambria Math"/>
                      <w:i/>
                    </w:rPr>
                  </m:ctrlPr>
                </m:sSubPr>
                <m:e>
                  <m:r>
                    <w:rPr>
                      <w:rFonts w:ascii="Cambria Math" w:hAnsi="Cambria Math"/>
                    </w:rPr>
                    <m:t>P</m:t>
                  </m:r>
                  <m:ctrlPr>
                    <w:rPr>
                      <w:rFonts w:ascii="Cambria Math" w:hAnsi="Cambria Math"/>
                      <w:i/>
                    </w:rPr>
                  </m:ctrlPr>
                </m:e>
                <m:sub>
                  <m:r>
                    <w:rPr>
                      <w:rFonts w:ascii="Cambria Math" w:hAnsi="Cambria Math"/>
                    </w:rPr>
                    <m:t>switch</m:t>
                  </m:r>
                  <m:ctrlPr>
                    <w:rPr>
                      <w:rFonts w:ascii="Cambria Math" w:hAnsi="Cambria Math"/>
                      <w:i/>
                    </w:rPr>
                  </m:ctrlPr>
                </m:sub>
              </m:sSub>
            </m:oMath>
            <w:r>
              <w:rPr>
                <w:position w:val="-5"/>
              </w:rPr>
              <w:t xml:space="preserve"> </w:t>
            </w:r>
            <w:r>
              <w:rPr>
                <w:b/>
                <w:i/>
                <w:lang w:eastAsia="zh-CN"/>
              </w:rPr>
              <w:t>should be defined for 120/480/960kHz.</w:t>
            </w:r>
          </w:p>
          <w:p>
            <w:pPr>
              <w:pStyle w:val="30"/>
              <w:widowControl w:val="0"/>
              <w:rPr>
                <w:rFonts w:cs="Calibri"/>
                <w:iCs/>
                <w:lang w:val="en-GB" w:eastAsia="zh-CN"/>
              </w:rPr>
            </w:pPr>
            <w:r>
              <w:rPr>
                <w:rFonts w:cs="Calibri"/>
                <w:iCs/>
                <w:lang w:val="en-GB" w:eastAsia="zh-CN"/>
              </w:rPr>
              <w:t xml:space="preserve">The maximum search space periodicity in current spec is 2560 slots, and with SCS increased to 960kHz, </w:t>
            </w:r>
            <w:r>
              <w:rPr>
                <w:rFonts w:hint="eastAsia" w:cs="Calibri"/>
                <w:iCs/>
                <w:lang w:val="en-GB" w:eastAsia="zh-CN"/>
              </w:rPr>
              <w:t>the</w:t>
            </w:r>
            <w:r>
              <w:rPr>
                <w:rFonts w:cs="Calibri"/>
                <w:iCs/>
                <w:lang w:val="en-GB" w:eastAsia="zh-CN"/>
              </w:rPr>
              <w:t xml:space="preserve"> absolute time of the maximum search space periodicity will be decreased by 8 time</w:t>
            </w:r>
            <w:r>
              <w:rPr>
                <w:rFonts w:hint="eastAsia" w:cs="Calibri"/>
                <w:iCs/>
                <w:lang w:val="en-GB" w:eastAsia="zh-CN"/>
              </w:rPr>
              <w:t>s</w:t>
            </w:r>
            <w:r>
              <w:rPr>
                <w:rFonts w:cs="Calibri"/>
                <w:iCs/>
                <w:lang w:val="en-GB" w:eastAsia="zh-CN"/>
              </w:rPr>
              <w:t>. So new periodicity parameters may need to be introduced for the new SCSs, as well as the search space offset/duration parameters.</w:t>
            </w:r>
          </w:p>
          <w:p>
            <w:pPr>
              <w:widowControl w:val="0"/>
              <w:jc w:val="both"/>
              <w:rPr>
                <w:b/>
                <w:i/>
                <w:lang w:eastAsia="zh-CN"/>
              </w:rPr>
            </w:pPr>
            <w:r>
              <w:rPr>
                <w:b/>
                <w:i/>
                <w:lang w:eastAsia="zh-CN"/>
              </w:rPr>
              <w:t>Proposal 7:</w:t>
            </w:r>
            <w:r>
              <w:t xml:space="preserve"> </w:t>
            </w:r>
            <w:r>
              <w:rPr>
                <w:b/>
                <w:i/>
                <w:lang w:eastAsia="zh-CN"/>
              </w:rPr>
              <w:t>New search space periodicity parameters, as well as the search space offset/duration parameters, may need to be introduced for the new SCSs.</w:t>
            </w:r>
          </w:p>
          <w:p>
            <w:pPr>
              <w:widowControl w:val="0"/>
              <w:jc w:val="both"/>
              <w:rPr>
                <w:b/>
                <w:bCs/>
              </w:rPr>
            </w:pPr>
          </w:p>
        </w:tc>
      </w:tr>
    </w:tbl>
    <w:p>
      <w:pPr>
        <w:rPr>
          <w:lang w:eastAsia="zh-CN"/>
        </w:rPr>
      </w:pPr>
    </w:p>
    <w:p>
      <w:pPr>
        <w:pStyle w:val="4"/>
        <w:jc w:val="both"/>
        <w:rPr>
          <w:lang w:val="en-GB" w:eastAsia="zh-CN"/>
        </w:rPr>
      </w:pPr>
      <w:r>
        <w:rPr>
          <w:lang w:val="en-GB" w:eastAsia="zh-CN"/>
        </w:rPr>
        <w:t>R1-2101454 (Qualcomm)</w:t>
      </w:r>
    </w:p>
    <w:tbl>
      <w:tblPr>
        <w:tblStyle w:val="52"/>
        <w:tblW w:w="145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vAlign w:val="center"/>
          </w:tcPr>
          <w:p>
            <w:pPr>
              <w:pStyle w:val="27"/>
              <w:widowControl w:val="0"/>
              <w:jc w:val="left"/>
            </w:pPr>
            <w:bookmarkStart w:id="87" w:name="_Toc61546066"/>
            <w:bookmarkStart w:id="88" w:name="_Toc61547167"/>
            <w:bookmarkStart w:id="89" w:name="_Toc61859762"/>
            <w:bookmarkStart w:id="90" w:name="_Toc61859951"/>
            <w:bookmarkStart w:id="91" w:name="_Toc61869397"/>
            <w:bookmarkStart w:id="92" w:name="_Toc61547152"/>
            <w:bookmarkStart w:id="93" w:name="_Toc61547201"/>
            <w:bookmarkStart w:id="94" w:name="_Toc61822883"/>
            <w:r>
              <w:t xml:space="preserve">Observation </w:t>
            </w:r>
            <w:r>
              <w:fldChar w:fldCharType="begin"/>
            </w:r>
            <w:r>
              <w:instrText xml:space="preserve">SEQ Observation \* ARABIC</w:instrText>
            </w:r>
            <w:r>
              <w:fldChar w:fldCharType="separate"/>
            </w:r>
            <w:r>
              <w:t>2</w:t>
            </w:r>
            <w:r>
              <w:fldChar w:fldCharType="end"/>
            </w:r>
            <w:r>
              <w:t>: Along with the multi-slot based PDCCH monitoring capability, DCI piggyback, as well as multi-PDSCH/PUSCH scheduling, may be considered to compensate the loss of scheduling flexibility and latency.</w:t>
            </w:r>
            <w:bookmarkEnd w:id="87"/>
            <w:bookmarkEnd w:id="88"/>
            <w:bookmarkEnd w:id="89"/>
            <w:bookmarkEnd w:id="90"/>
            <w:bookmarkEnd w:id="91"/>
            <w:bookmarkEnd w:id="92"/>
            <w:bookmarkEnd w:id="93"/>
            <w:bookmarkEnd w:id="94"/>
          </w:p>
          <w:p>
            <w:pPr>
              <w:widowControl w:val="0"/>
            </w:pPr>
          </w:p>
          <w:p>
            <w:pPr>
              <w:widowControl w:val="0"/>
              <w:jc w:val="center"/>
            </w:pPr>
            <w:r>
              <w:object>
                <v:shape id="_x0000_i1031" o:spt="75" type="#_x0000_t75" style="height:137.25pt;width:440.25pt;" o:ole="t" filled="f" o:preferrelative="t" stroked="f" coordsize="21600,21600">
                  <v:path/>
                  <v:fill on="f" focussize="0,0"/>
                  <v:stroke on="f" joinstyle="miter"/>
                  <v:imagedata r:id="rId25" o:title=""/>
                  <o:lock v:ext="edit" aspectratio="t"/>
                  <w10:wrap type="none"/>
                  <w10:anchorlock/>
                </v:shape>
                <o:OLEObject Type="Embed" ProgID="Visio.Drawing.15" ShapeID="_x0000_i1031" DrawAspect="Content" ObjectID="_1468075731" r:id="rId24">
                  <o:LockedField>false</o:LockedField>
                </o:OLEObject>
              </w:object>
            </w:r>
          </w:p>
          <w:p>
            <w:pPr>
              <w:pStyle w:val="27"/>
              <w:widowControl w:val="0"/>
              <w:rPr>
                <w:lang w:val="en-GB"/>
              </w:rPr>
            </w:pPr>
            <w:bookmarkStart w:id="95" w:name="_Ref61547006"/>
            <w:r>
              <w:t xml:space="preserve">Figure </w:t>
            </w:r>
            <w:r>
              <w:fldChar w:fldCharType="begin"/>
            </w:r>
            <w:r>
              <w:instrText xml:space="preserve">SEQ Figure \* ARABIC</w:instrText>
            </w:r>
            <w:r>
              <w:fldChar w:fldCharType="separate"/>
            </w:r>
            <w:r>
              <w:t>1</w:t>
            </w:r>
            <w:r>
              <w:fldChar w:fldCharType="end"/>
            </w:r>
            <w:bookmarkEnd w:id="95"/>
            <w:r>
              <w:t>: Sparse PDCCH monitoring occasions with DCI transmission on PDSCH.</w:t>
            </w:r>
          </w:p>
          <w:p>
            <w:pPr>
              <w:widowControl w:val="0"/>
              <w:jc w:val="both"/>
              <w:rPr>
                <w:b/>
                <w:bCs/>
                <w:lang w:val="en-GB"/>
              </w:rPr>
            </w:pPr>
          </w:p>
        </w:tc>
      </w:tr>
    </w:tbl>
    <w:p>
      <w:pPr>
        <w:rPr>
          <w:lang w:eastAsia="zh-CN"/>
        </w:rPr>
      </w:pPr>
    </w:p>
    <w:p>
      <w:pPr>
        <w:rPr>
          <w:lang w:val="en-GB" w:eastAsia="zh-CN"/>
        </w:rPr>
      </w:pPr>
    </w:p>
    <w:p>
      <w:pPr>
        <w:pStyle w:val="2"/>
      </w:pPr>
      <w:r>
        <w:t>List of submitted TDocs</w:t>
      </w:r>
    </w:p>
    <w:p>
      <w:pPr>
        <w:rPr>
          <w:lang w:val="en-GB" w:eastAsia="zh-CN"/>
        </w:rPr>
      </w:pPr>
      <w:r>
        <w:rPr>
          <w:lang w:val="en-GB" w:eastAsia="zh-CN"/>
        </w:rPr>
        <w:t>The following TDocs have been used to compile above summary:</w:t>
      </w:r>
    </w:p>
    <w:p>
      <w:pPr>
        <w:rPr>
          <w:b/>
          <w:bCs/>
          <w:lang w:val="en-GB"/>
        </w:rPr>
      </w:pPr>
      <w:r>
        <w:rPr>
          <w:b/>
          <w:bCs/>
          <w:lang w:val="en-GB"/>
        </w:rPr>
        <w:t>R1-2100058</w:t>
      </w:r>
      <w:r>
        <w:rPr>
          <w:b/>
          <w:bCs/>
          <w:lang w:val="en-GB"/>
        </w:rPr>
        <w:tab/>
      </w:r>
      <w:r>
        <w:rPr>
          <w:b/>
          <w:bCs/>
          <w:lang w:val="en-GB"/>
        </w:rPr>
        <w:t>PDCCH monitoring enhancements for NR from 52.6 GHz to 71GHz</w:t>
      </w:r>
      <w:r>
        <w:rPr>
          <w:b/>
          <w:bCs/>
          <w:lang w:val="en-GB"/>
        </w:rPr>
        <w:tab/>
      </w:r>
      <w:r>
        <w:rPr>
          <w:b/>
          <w:bCs/>
          <w:lang w:val="en-GB"/>
        </w:rPr>
        <w:t>Lenovo, Motorola Mobility</w:t>
      </w:r>
    </w:p>
    <w:p>
      <w:pPr>
        <w:rPr>
          <w:b/>
          <w:bCs/>
          <w:lang w:val="en-GB"/>
        </w:rPr>
      </w:pPr>
      <w:r>
        <w:rPr>
          <w:b/>
          <w:bCs/>
          <w:lang w:val="en-GB"/>
        </w:rPr>
        <w:t>R1-2100074</w:t>
      </w:r>
      <w:r>
        <w:rPr>
          <w:b/>
          <w:bCs/>
          <w:lang w:val="en-GB"/>
        </w:rPr>
        <w:tab/>
      </w:r>
      <w:r>
        <w:rPr>
          <w:b/>
          <w:bCs/>
          <w:lang w:val="en-GB"/>
        </w:rPr>
        <w:t>Discussion on the PDCCH monitoring enhancements for 52.6 to 71GHz</w:t>
      </w:r>
      <w:r>
        <w:rPr>
          <w:b/>
          <w:bCs/>
          <w:lang w:val="en-GB"/>
        </w:rPr>
        <w:tab/>
      </w:r>
      <w:r>
        <w:rPr>
          <w:b/>
          <w:bCs/>
          <w:lang w:val="en-GB"/>
        </w:rPr>
        <w:t>ZTE, Sanechips</w:t>
      </w:r>
    </w:p>
    <w:p>
      <w:pPr>
        <w:rPr>
          <w:b/>
          <w:bCs/>
          <w:lang w:val="en-GB"/>
        </w:rPr>
      </w:pPr>
      <w:r>
        <w:rPr>
          <w:b/>
          <w:bCs/>
          <w:lang w:val="en-GB"/>
        </w:rPr>
        <w:t>R1-2100150</w:t>
      </w:r>
      <w:r>
        <w:rPr>
          <w:b/>
          <w:bCs/>
          <w:lang w:val="en-GB"/>
        </w:rPr>
        <w:tab/>
      </w:r>
      <w:r>
        <w:rPr>
          <w:b/>
          <w:bCs/>
          <w:lang w:val="en-GB"/>
        </w:rPr>
        <w:t>Discussion on PDCCH monitoring</w:t>
      </w:r>
      <w:r>
        <w:rPr>
          <w:b/>
          <w:bCs/>
          <w:lang w:val="en-GB"/>
        </w:rPr>
        <w:tab/>
      </w:r>
      <w:r>
        <w:rPr>
          <w:b/>
          <w:bCs/>
          <w:lang w:val="en-GB"/>
        </w:rPr>
        <w:t>OPPO</w:t>
      </w:r>
    </w:p>
    <w:p>
      <w:pPr>
        <w:rPr>
          <w:b/>
          <w:bCs/>
          <w:lang w:val="en-GB"/>
        </w:rPr>
      </w:pPr>
      <w:r>
        <w:rPr>
          <w:b/>
          <w:bCs/>
          <w:lang w:val="en-GB"/>
        </w:rPr>
        <w:t>R1-2100241</w:t>
      </w:r>
      <w:r>
        <w:rPr>
          <w:b/>
          <w:bCs/>
          <w:lang w:val="en-GB"/>
        </w:rPr>
        <w:tab/>
      </w:r>
      <w:r>
        <w:rPr>
          <w:b/>
          <w:bCs/>
          <w:lang w:val="en-GB"/>
        </w:rPr>
        <w:t>Enhancement on PDCCH monitoring</w:t>
      </w:r>
      <w:r>
        <w:rPr>
          <w:b/>
          <w:bCs/>
          <w:lang w:val="en-GB"/>
        </w:rPr>
        <w:tab/>
      </w:r>
      <w:r>
        <w:rPr>
          <w:b/>
          <w:bCs/>
          <w:lang w:val="en-GB"/>
        </w:rPr>
        <w:t>Huawei, HiSilicon</w:t>
      </w:r>
    </w:p>
    <w:p>
      <w:pPr>
        <w:rPr>
          <w:b/>
          <w:bCs/>
          <w:lang w:val="en-GB"/>
        </w:rPr>
      </w:pPr>
      <w:r>
        <w:rPr>
          <w:b/>
          <w:bCs/>
          <w:lang w:val="en-GB"/>
        </w:rPr>
        <w:t>R1-2100258</w:t>
      </w:r>
      <w:r>
        <w:rPr>
          <w:b/>
          <w:bCs/>
          <w:lang w:val="en-GB"/>
        </w:rPr>
        <w:tab/>
      </w:r>
      <w:r>
        <w:rPr>
          <w:b/>
          <w:bCs/>
          <w:lang w:val="en-GB"/>
        </w:rPr>
        <w:t>PDCCH monitoring enhancements</w:t>
      </w:r>
      <w:r>
        <w:rPr>
          <w:b/>
          <w:bCs/>
          <w:lang w:val="en-GB"/>
        </w:rPr>
        <w:tab/>
      </w:r>
      <w:r>
        <w:rPr>
          <w:b/>
          <w:bCs/>
          <w:lang w:val="en-GB"/>
        </w:rPr>
        <w:t>Nokia, Nokia Shanghai Bell</w:t>
      </w:r>
    </w:p>
    <w:p>
      <w:pPr>
        <w:rPr>
          <w:b/>
          <w:bCs/>
          <w:lang w:val="en-GB"/>
        </w:rPr>
      </w:pPr>
      <w:r>
        <w:rPr>
          <w:b/>
          <w:bCs/>
          <w:lang w:val="en-GB"/>
        </w:rPr>
        <w:t>R1-2100371</w:t>
      </w:r>
      <w:r>
        <w:rPr>
          <w:b/>
          <w:bCs/>
          <w:lang w:val="en-GB"/>
        </w:rPr>
        <w:tab/>
      </w:r>
      <w:r>
        <w:rPr>
          <w:b/>
          <w:bCs/>
          <w:lang w:val="en-GB"/>
        </w:rPr>
        <w:t>PDCCH monitoring enhancements for up to 71GHz operation</w:t>
      </w:r>
      <w:r>
        <w:rPr>
          <w:b/>
          <w:bCs/>
          <w:lang w:val="en-GB"/>
        </w:rPr>
        <w:tab/>
      </w:r>
      <w:r>
        <w:rPr>
          <w:b/>
          <w:bCs/>
          <w:lang w:val="en-GB"/>
        </w:rPr>
        <w:t>CATT</w:t>
      </w:r>
    </w:p>
    <w:p>
      <w:pPr>
        <w:rPr>
          <w:b/>
          <w:bCs/>
          <w:lang w:val="en-GB"/>
        </w:rPr>
      </w:pPr>
      <w:r>
        <w:rPr>
          <w:b/>
          <w:bCs/>
          <w:lang w:val="en-GB"/>
        </w:rPr>
        <w:t>R1-2100430</w:t>
      </w:r>
      <w:r>
        <w:rPr>
          <w:b/>
          <w:bCs/>
          <w:lang w:val="en-GB"/>
        </w:rPr>
        <w:tab/>
      </w:r>
      <w:r>
        <w:rPr>
          <w:b/>
          <w:bCs/>
          <w:lang w:val="en-GB"/>
        </w:rPr>
        <w:t>Discussions on PDCCH monitoring enhancements for NR operation from 52.6GHz to 71GHz</w:t>
      </w:r>
      <w:r>
        <w:rPr>
          <w:b/>
          <w:bCs/>
          <w:lang w:val="en-GB"/>
        </w:rPr>
        <w:tab/>
      </w:r>
      <w:r>
        <w:rPr>
          <w:b/>
          <w:bCs/>
          <w:lang w:val="en-GB"/>
        </w:rPr>
        <w:t>vivo</w:t>
      </w:r>
    </w:p>
    <w:p>
      <w:pPr>
        <w:rPr>
          <w:b/>
          <w:bCs/>
          <w:lang w:val="en-GB"/>
        </w:rPr>
      </w:pPr>
      <w:r>
        <w:rPr>
          <w:b/>
          <w:bCs/>
          <w:lang w:val="en-GB"/>
        </w:rPr>
        <w:t>R1-2100608</w:t>
      </w:r>
      <w:r>
        <w:rPr>
          <w:b/>
          <w:bCs/>
          <w:lang w:val="en-GB"/>
        </w:rPr>
        <w:tab/>
      </w:r>
      <w:r>
        <w:rPr>
          <w:b/>
          <w:bCs/>
          <w:lang w:val="en-GB"/>
        </w:rPr>
        <w:t>PDCCH monitoring enhancement  for 52.6-71 GHz NR operation</w:t>
      </w:r>
      <w:r>
        <w:rPr>
          <w:b/>
          <w:bCs/>
          <w:lang w:val="en-GB"/>
        </w:rPr>
        <w:tab/>
      </w:r>
      <w:r>
        <w:rPr>
          <w:b/>
          <w:bCs/>
          <w:lang w:val="en-GB"/>
        </w:rPr>
        <w:t>MediaTek Inc.</w:t>
      </w:r>
    </w:p>
    <w:p>
      <w:pPr>
        <w:rPr>
          <w:b/>
          <w:bCs/>
          <w:lang w:val="en-GB"/>
        </w:rPr>
      </w:pPr>
      <w:r>
        <w:rPr>
          <w:b/>
          <w:bCs/>
          <w:lang w:val="en-GB"/>
        </w:rPr>
        <w:t>R1-2100644</w:t>
      </w:r>
      <w:r>
        <w:rPr>
          <w:b/>
          <w:bCs/>
          <w:lang w:val="en-GB"/>
        </w:rPr>
        <w:tab/>
      </w:r>
      <w:r>
        <w:rPr>
          <w:b/>
          <w:bCs/>
          <w:lang w:val="en-GB"/>
        </w:rPr>
        <w:t>Discussion on PDCCH monitoring enhancements for extending NR up to 71 GHz</w:t>
      </w:r>
      <w:r>
        <w:rPr>
          <w:b/>
          <w:bCs/>
          <w:lang w:val="en-GB"/>
        </w:rPr>
        <w:tab/>
      </w:r>
      <w:r>
        <w:rPr>
          <w:b/>
          <w:bCs/>
          <w:lang w:val="en-GB"/>
        </w:rPr>
        <w:t>Intel Corporation</w:t>
      </w:r>
    </w:p>
    <w:p>
      <w:pPr>
        <w:rPr>
          <w:b/>
          <w:bCs/>
          <w:lang w:val="en-GB"/>
        </w:rPr>
      </w:pPr>
      <w:r>
        <w:rPr>
          <w:b/>
          <w:bCs/>
          <w:lang w:val="en-GB"/>
        </w:rPr>
        <w:t>R1-2100817</w:t>
      </w:r>
      <w:r>
        <w:rPr>
          <w:b/>
          <w:bCs/>
          <w:lang w:val="en-GB"/>
        </w:rPr>
        <w:tab/>
      </w:r>
      <w:r>
        <w:rPr>
          <w:b/>
          <w:bCs/>
          <w:lang w:val="en-GB"/>
        </w:rPr>
        <w:t>Discussion on PDCCH monitoring enhancement for NR beyond 52.6 GHz</w:t>
      </w:r>
      <w:r>
        <w:rPr>
          <w:b/>
          <w:bCs/>
          <w:lang w:val="en-GB"/>
        </w:rPr>
        <w:tab/>
      </w:r>
      <w:r>
        <w:rPr>
          <w:b/>
          <w:bCs/>
          <w:lang w:val="en-GB"/>
        </w:rPr>
        <w:t>Spreadtrum Communications</w:t>
      </w:r>
    </w:p>
    <w:p>
      <w:pPr>
        <w:rPr>
          <w:b/>
          <w:bCs/>
          <w:lang w:val="en-GB"/>
        </w:rPr>
      </w:pPr>
      <w:r>
        <w:rPr>
          <w:b/>
          <w:bCs/>
          <w:lang w:val="en-GB"/>
        </w:rPr>
        <w:t>R1-2100837</w:t>
      </w:r>
      <w:r>
        <w:rPr>
          <w:b/>
          <w:bCs/>
          <w:lang w:val="en-GB"/>
        </w:rPr>
        <w:tab/>
      </w:r>
      <w:r>
        <w:rPr>
          <w:b/>
          <w:bCs/>
          <w:lang w:val="en-GB"/>
        </w:rPr>
        <w:t>Discussions on PDCCH monitoring enhancements</w:t>
      </w:r>
      <w:r>
        <w:rPr>
          <w:b/>
          <w:bCs/>
          <w:lang w:val="en-GB"/>
        </w:rPr>
        <w:tab/>
      </w:r>
      <w:r>
        <w:rPr>
          <w:b/>
          <w:bCs/>
          <w:lang w:val="en-GB"/>
        </w:rPr>
        <w:t>InterDigital, Inc.</w:t>
      </w:r>
    </w:p>
    <w:p>
      <w:pPr>
        <w:rPr>
          <w:b/>
          <w:bCs/>
          <w:lang w:val="en-GB"/>
        </w:rPr>
      </w:pPr>
      <w:r>
        <w:rPr>
          <w:b/>
          <w:bCs/>
          <w:lang w:val="en-GB"/>
        </w:rPr>
        <w:t>R1-2100851</w:t>
      </w:r>
      <w:r>
        <w:rPr>
          <w:b/>
          <w:bCs/>
          <w:lang w:val="en-GB"/>
        </w:rPr>
        <w:tab/>
      </w:r>
      <w:r>
        <w:rPr>
          <w:b/>
          <w:bCs/>
          <w:lang w:val="en-GB"/>
        </w:rPr>
        <w:t>PDCCH enhancement for NR from 52.6GHz to 71GHz</w:t>
      </w:r>
      <w:r>
        <w:rPr>
          <w:b/>
          <w:bCs/>
          <w:lang w:val="en-GB"/>
        </w:rPr>
        <w:tab/>
      </w:r>
      <w:r>
        <w:rPr>
          <w:b/>
          <w:bCs/>
          <w:lang w:val="en-GB"/>
        </w:rPr>
        <w:t>Sony</w:t>
      </w:r>
    </w:p>
    <w:p>
      <w:pPr>
        <w:rPr>
          <w:b/>
          <w:bCs/>
          <w:lang w:val="en-GB"/>
        </w:rPr>
      </w:pPr>
      <w:r>
        <w:rPr>
          <w:b/>
          <w:bCs/>
          <w:lang w:val="en-GB"/>
        </w:rPr>
        <w:t>R1-2100893</w:t>
      </w:r>
      <w:r>
        <w:rPr>
          <w:b/>
          <w:bCs/>
          <w:lang w:val="en-GB"/>
        </w:rPr>
        <w:tab/>
      </w:r>
      <w:r>
        <w:rPr>
          <w:b/>
          <w:bCs/>
          <w:lang w:val="en-GB"/>
        </w:rPr>
        <w:t>PDCCH monitoring enhancements to support NR above 52.6 GHz</w:t>
      </w:r>
      <w:r>
        <w:rPr>
          <w:b/>
          <w:bCs/>
          <w:lang w:val="en-GB"/>
        </w:rPr>
        <w:tab/>
      </w:r>
      <w:r>
        <w:rPr>
          <w:b/>
          <w:bCs/>
          <w:lang w:val="en-GB"/>
        </w:rPr>
        <w:t>LG Electronics</w:t>
      </w:r>
    </w:p>
    <w:p>
      <w:pPr>
        <w:rPr>
          <w:b/>
          <w:bCs/>
          <w:lang w:val="en-GB"/>
        </w:rPr>
      </w:pPr>
      <w:r>
        <w:rPr>
          <w:b/>
          <w:bCs/>
          <w:lang w:val="en-GB"/>
        </w:rPr>
        <w:t>R1-2101110</w:t>
      </w:r>
      <w:r>
        <w:rPr>
          <w:b/>
          <w:bCs/>
          <w:lang w:val="en-GB"/>
        </w:rPr>
        <w:tab/>
      </w:r>
      <w:r>
        <w:rPr>
          <w:b/>
          <w:bCs/>
          <w:lang w:val="en-GB"/>
        </w:rPr>
        <w:t>PDCCH monitoring enhancement for NR 52.6-71GHz</w:t>
      </w:r>
      <w:r>
        <w:rPr>
          <w:b/>
          <w:bCs/>
          <w:lang w:val="en-GB"/>
        </w:rPr>
        <w:tab/>
      </w:r>
      <w:r>
        <w:rPr>
          <w:b/>
          <w:bCs/>
          <w:lang w:val="en-GB"/>
        </w:rPr>
        <w:t>Xiaomi</w:t>
      </w:r>
    </w:p>
    <w:p>
      <w:pPr>
        <w:rPr>
          <w:b/>
          <w:bCs/>
          <w:lang w:val="en-GB"/>
        </w:rPr>
      </w:pPr>
      <w:r>
        <w:rPr>
          <w:b/>
          <w:bCs/>
          <w:lang w:val="en-GB"/>
        </w:rPr>
        <w:t>R1-2101195</w:t>
      </w:r>
      <w:r>
        <w:rPr>
          <w:b/>
          <w:bCs/>
          <w:lang w:val="en-GB"/>
        </w:rPr>
        <w:tab/>
      </w:r>
      <w:r>
        <w:rPr>
          <w:b/>
          <w:bCs/>
          <w:lang w:val="en-GB"/>
        </w:rPr>
        <w:t>PDCCH monitoring enhancements for NR from 52.6 GHz to 71 GHz</w:t>
      </w:r>
      <w:r>
        <w:rPr>
          <w:b/>
          <w:bCs/>
          <w:lang w:val="en-GB"/>
        </w:rPr>
        <w:tab/>
      </w:r>
      <w:r>
        <w:rPr>
          <w:b/>
          <w:bCs/>
          <w:lang w:val="en-GB"/>
        </w:rPr>
        <w:t>Samsung</w:t>
      </w:r>
    </w:p>
    <w:p>
      <w:pPr>
        <w:rPr>
          <w:b/>
          <w:bCs/>
          <w:lang w:val="en-GB"/>
        </w:rPr>
      </w:pPr>
      <w:r>
        <w:rPr>
          <w:b/>
          <w:bCs/>
          <w:lang w:val="en-GB"/>
        </w:rPr>
        <w:t>R1-2101307</w:t>
      </w:r>
      <w:r>
        <w:rPr>
          <w:b/>
          <w:bCs/>
          <w:lang w:val="en-GB"/>
        </w:rPr>
        <w:tab/>
      </w:r>
      <w:r>
        <w:rPr>
          <w:b/>
          <w:bCs/>
          <w:lang w:val="en-GB"/>
        </w:rPr>
        <w:t>PDCCH Monitoring Enhancements</w:t>
      </w:r>
      <w:r>
        <w:rPr>
          <w:b/>
          <w:bCs/>
          <w:lang w:val="en-GB"/>
        </w:rPr>
        <w:tab/>
      </w:r>
      <w:r>
        <w:rPr>
          <w:b/>
          <w:bCs/>
          <w:lang w:val="en-GB"/>
        </w:rPr>
        <w:t>Ericsson</w:t>
      </w:r>
    </w:p>
    <w:p>
      <w:pPr>
        <w:rPr>
          <w:b/>
          <w:bCs/>
          <w:lang w:val="en-GB"/>
        </w:rPr>
      </w:pPr>
      <w:r>
        <w:rPr>
          <w:b/>
          <w:bCs/>
          <w:lang w:val="en-GB"/>
        </w:rPr>
        <w:t>R1-2101321</w:t>
      </w:r>
      <w:r>
        <w:rPr>
          <w:b/>
          <w:bCs/>
          <w:lang w:val="en-GB"/>
        </w:rPr>
        <w:tab/>
      </w:r>
      <w:r>
        <w:rPr>
          <w:b/>
          <w:bCs/>
          <w:lang w:val="en-GB"/>
        </w:rPr>
        <w:t>Discussion on PDCCH monitoring enhancements for NR above 52.6GHz</w:t>
      </w:r>
      <w:r>
        <w:rPr>
          <w:b/>
          <w:bCs/>
          <w:lang w:val="en-GB"/>
        </w:rPr>
        <w:tab/>
      </w:r>
      <w:r>
        <w:rPr>
          <w:b/>
          <w:bCs/>
          <w:lang w:val="en-GB"/>
        </w:rPr>
        <w:t>CEWiT</w:t>
      </w:r>
    </w:p>
    <w:p>
      <w:pPr>
        <w:rPr>
          <w:b/>
          <w:bCs/>
          <w:lang w:val="en-GB"/>
        </w:rPr>
      </w:pPr>
      <w:r>
        <w:rPr>
          <w:b/>
          <w:bCs/>
          <w:lang w:val="en-GB"/>
        </w:rPr>
        <w:t>R1-2101373</w:t>
      </w:r>
      <w:r>
        <w:rPr>
          <w:b/>
          <w:bCs/>
          <w:lang w:val="en-GB"/>
        </w:rPr>
        <w:tab/>
      </w:r>
      <w:r>
        <w:rPr>
          <w:b/>
          <w:bCs/>
          <w:lang w:val="en-GB"/>
        </w:rPr>
        <w:t>PDCCH monitoring enhancements for NR between 52.6GHz and 71 GHz</w:t>
      </w:r>
      <w:r>
        <w:rPr>
          <w:b/>
          <w:bCs/>
          <w:lang w:val="en-GB"/>
        </w:rPr>
        <w:tab/>
      </w:r>
      <w:r>
        <w:rPr>
          <w:b/>
          <w:bCs/>
          <w:lang w:val="en-GB"/>
        </w:rPr>
        <w:t>Apple</w:t>
      </w:r>
    </w:p>
    <w:p>
      <w:pPr>
        <w:rPr>
          <w:b/>
          <w:bCs/>
          <w:lang w:val="en-GB"/>
        </w:rPr>
      </w:pPr>
      <w:r>
        <w:rPr>
          <w:b/>
          <w:bCs/>
          <w:lang w:val="en-GB"/>
        </w:rPr>
        <w:t>R1-2101418</w:t>
      </w:r>
      <w:r>
        <w:rPr>
          <w:b/>
          <w:bCs/>
          <w:lang w:val="en-GB"/>
        </w:rPr>
        <w:tab/>
      </w:r>
      <w:r>
        <w:rPr>
          <w:b/>
          <w:bCs/>
          <w:lang w:val="en-GB"/>
        </w:rPr>
        <w:t>Consideration for PDCCH Monitoring for Supporting NR from 52.6 GHz to 71 GHz</w:t>
      </w:r>
      <w:r>
        <w:rPr>
          <w:b/>
          <w:bCs/>
          <w:lang w:val="en-GB"/>
        </w:rPr>
        <w:tab/>
      </w:r>
      <w:r>
        <w:rPr>
          <w:b/>
          <w:bCs/>
          <w:lang w:val="en-GB"/>
        </w:rPr>
        <w:t>Convida Wireless</w:t>
      </w:r>
    </w:p>
    <w:p>
      <w:pPr>
        <w:rPr>
          <w:b/>
          <w:bCs/>
          <w:lang w:val="en-GB"/>
        </w:rPr>
      </w:pPr>
      <w:r>
        <w:rPr>
          <w:b/>
          <w:bCs/>
          <w:lang w:val="en-GB"/>
        </w:rPr>
        <w:t>R1-2101454</w:t>
      </w:r>
      <w:r>
        <w:rPr>
          <w:b/>
          <w:bCs/>
          <w:lang w:val="en-GB"/>
        </w:rPr>
        <w:tab/>
      </w:r>
      <w:r>
        <w:rPr>
          <w:b/>
          <w:bCs/>
          <w:lang w:val="en-GB"/>
        </w:rPr>
        <w:t>PDCCH monitoring enhancements for NR in 52.6 to 71GHz band</w:t>
      </w:r>
      <w:r>
        <w:rPr>
          <w:b/>
          <w:bCs/>
          <w:lang w:val="en-GB"/>
        </w:rPr>
        <w:tab/>
      </w:r>
      <w:r>
        <w:rPr>
          <w:b/>
          <w:bCs/>
          <w:lang w:val="en-GB"/>
        </w:rPr>
        <w:t>Qualcomm Incorporated</w:t>
      </w:r>
    </w:p>
    <w:p>
      <w:pPr>
        <w:rPr>
          <w:b/>
          <w:bCs/>
          <w:lang w:val="en-GB"/>
        </w:rPr>
      </w:pPr>
      <w:r>
        <w:rPr>
          <w:b/>
          <w:bCs/>
          <w:lang w:val="en-GB"/>
        </w:rPr>
        <w:t>R1-2101606</w:t>
      </w:r>
      <w:r>
        <w:rPr>
          <w:b/>
          <w:bCs/>
          <w:lang w:val="en-GB"/>
        </w:rPr>
        <w:tab/>
      </w:r>
      <w:r>
        <w:rPr>
          <w:b/>
          <w:bCs/>
          <w:lang w:val="en-GB"/>
        </w:rPr>
        <w:t>PDCCH monitoring enhancements for NR from 52.6 to 71 GHz</w:t>
      </w:r>
      <w:r>
        <w:rPr>
          <w:b/>
          <w:bCs/>
          <w:lang w:val="en-GB"/>
        </w:rPr>
        <w:tab/>
      </w:r>
      <w:r>
        <w:rPr>
          <w:b/>
          <w:bCs/>
          <w:lang w:val="en-GB"/>
        </w:rPr>
        <w:t>NTT DOCOMO, INC.</w:t>
      </w:r>
    </w:p>
    <w:sectPr>
      <w:pgSz w:w="16834" w:h="11909" w:orient="landscape"/>
      <w:pgMar w:top="1440" w:right="1440" w:bottom="1152" w:left="1440" w:header="720" w:footer="720" w:gutter="0"/>
      <w:cols w:space="720"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Consolas">
    <w:panose1 w:val="020B0609020204030204"/>
    <w:charset w:val="00"/>
    <w:family w:val="modern"/>
    <w:pitch w:val="default"/>
    <w:sig w:usb0="E00006FF" w:usb1="0000FCFF" w:usb2="00000001" w:usb3="00000000" w:csb0="6000019F" w:csb1="DFD7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Batang">
    <w:altName w:val="Malgun Gothic"/>
    <w:panose1 w:val="02030600000101010101"/>
    <w:charset w:val="81"/>
    <w:family w:val="auto"/>
    <w:pitch w:val="default"/>
    <w:sig w:usb0="00000000" w:usb1="00000000" w:usb2="00000010" w:usb3="00000000" w:csb0="00080000" w:csb1="00000000"/>
  </w:font>
  <w:font w:name="ZapfDingbats">
    <w:altName w:val="Segoe Print"/>
    <w:panose1 w:val="00000000000000000000"/>
    <w:charset w:val="02"/>
    <w:family w:val="decorative"/>
    <w:pitch w:val="default"/>
    <w:sig w:usb0="00000000" w:usb1="00000000" w:usb2="00000000" w:usb3="00000000" w:csb0="80000000" w:csb1="00000000"/>
  </w:font>
  <w:font w:name="Courier New">
    <w:panose1 w:val="02070309020205020404"/>
    <w:charset w:val="00"/>
    <w:family w:val="modern"/>
    <w:pitch w:val="default"/>
    <w:sig w:usb0="E0002EFF" w:usb1="C0007843" w:usb2="00000009" w:usb3="00000000" w:csb0="400001FF" w:csb1="FFFF0000"/>
  </w:font>
  <w:font w:name="MS Mincho">
    <w:altName w:val="Yu Gothic UI"/>
    <w:panose1 w:val="02020609040205080304"/>
    <w:charset w:val="80"/>
    <w:family w:val="roman"/>
    <w:pitch w:val="default"/>
    <w:sig w:usb0="00000000" w:usb1="00000000" w:usb2="00000010" w:usb3="00000000" w:csb0="00020000" w:csb1="00000000"/>
  </w:font>
  <w:font w:name="Helvetica">
    <w:altName w:val="Arial"/>
    <w:panose1 w:val="020B0604020202020204"/>
    <w:charset w:val="00"/>
    <w:family w:val="swiss"/>
    <w:pitch w:val="default"/>
    <w:sig w:usb0="00000000" w:usb1="00000000" w:usb2="00000000" w:usb3="00000000" w:csb0="00000001" w:csb1="00000000"/>
  </w:font>
  <w:font w:name="????">
    <w:altName w:val="MingLiU-ExtB"/>
    <w:panose1 w:val="00000000000000000000"/>
    <w:charset w:val="88"/>
    <w:family w:val="auto"/>
    <w:pitch w:val="default"/>
    <w:sig w:usb0="00000000" w:usb1="00000000" w:usb2="00000010" w:usb3="00000000" w:csb0="00100000" w:csb1="00000000"/>
  </w:font>
  <w:font w:name="Malgun Gothic">
    <w:panose1 w:val="020B0503020000020004"/>
    <w:charset w:val="81"/>
    <w:family w:val="swiss"/>
    <w:pitch w:val="default"/>
    <w:sig w:usb0="9000002F" w:usb1="29D77CFB" w:usb2="00000012" w:usb3="00000000" w:csb0="00080001" w:csb1="00000000"/>
  </w:font>
  <w:font w:name="Cambria Math">
    <w:panose1 w:val="02040503050406030204"/>
    <w:charset w:val="00"/>
    <w:family w:val="roman"/>
    <w:pitch w:val="default"/>
    <w:sig w:usb0="E00006FF" w:usb1="420024FF" w:usb2="02000000" w:usb3="00000000" w:csb0="2000019F" w:csb1="00000000"/>
  </w:font>
  <w:font w:name="Yu Gothic">
    <w:panose1 w:val="020B0400000000000000"/>
    <w:charset w:val="80"/>
    <w:family w:val="swiss"/>
    <w:pitch w:val="default"/>
    <w:sig w:usb0="E00002FF" w:usb1="2AC7FDFF" w:usb2="00000016" w:usb3="00000000" w:csb0="2002009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MS Gothic">
    <w:panose1 w:val="020B0609070205080204"/>
    <w:charset w:val="80"/>
    <w:family w:val="modern"/>
    <w:pitch w:val="default"/>
    <w:sig w:usb0="E00002FF" w:usb1="6AC7FDFB" w:usb2="08000012" w:usb3="00000000" w:csb0="4002009F" w:csb1="DFD70000"/>
  </w:font>
  <w:font w:name="Segoe UI">
    <w:panose1 w:val="020B0502040204020203"/>
    <w:charset w:val="00"/>
    <w:family w:val="swiss"/>
    <w:pitch w:val="default"/>
    <w:sig w:usb0="E4002EFF" w:usb1="C000E47F" w:usb2="00000009" w:usb3="00000000" w:csb0="200001FF" w:csb1="00000000"/>
  </w:font>
  <w:font w:name="宋体;SimSun">
    <w:altName w:val="宋体"/>
    <w:panose1 w:val="00000000000000000000"/>
    <w:charset w:val="81"/>
    <w:family w:val="roman"/>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Malgun Gothic Semilight">
    <w:panose1 w:val="020B0502040204020203"/>
    <w:charset w:val="86"/>
    <w:family w:val="auto"/>
    <w:pitch w:val="default"/>
    <w:sig w:usb0="900002AF" w:usb1="01D77CFB" w:usb2="00000012" w:usb3="00000000" w:csb0="203E01BD" w:csb1="D7FF0000"/>
  </w:font>
  <w:font w:name="Segoe Print">
    <w:panose1 w:val="02000600000000000000"/>
    <w:charset w:val="00"/>
    <w:family w:val="auto"/>
    <w:pitch w:val="default"/>
    <w:sig w:usb0="0000028F" w:usb1="00000000" w:usb2="00000000" w:usb3="00000000" w:csb0="2000009F" w:csb1="47010000"/>
  </w:font>
  <w:font w:name="Yu Gothic UI">
    <w:panose1 w:val="020B0500000000000000"/>
    <w:charset w:val="80"/>
    <w:family w:val="auto"/>
    <w:pitch w:val="default"/>
    <w:sig w:usb0="E00002FF" w:usb1="2AC7FDFF" w:usb2="00000016" w:usb3="00000000" w:csb0="2002009F" w:csb1="00000000"/>
  </w:font>
  <w:font w:name="MingLiU-ExtB">
    <w:panose1 w:val="02020500000000000000"/>
    <w:charset w:val="88"/>
    <w:family w:val="auto"/>
    <w:pitch w:val="default"/>
    <w:sig w:usb0="8000002F" w:usb1="02000008" w:usb2="00000000" w:usb3="00000000" w:csb0="001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6F243D9"/>
    <w:multiLevelType w:val="singleLevel"/>
    <w:tmpl w:val="C6F243D9"/>
    <w:lvl w:ilvl="0" w:tentative="0">
      <w:start w:val="1"/>
      <w:numFmt w:val="bullet"/>
      <w:lvlText w:val="◦"/>
      <w:lvlJc w:val="left"/>
      <w:pPr>
        <w:ind w:left="420" w:hanging="420"/>
      </w:pPr>
      <w:rPr>
        <w:rFonts w:hint="default" w:ascii="微软雅黑" w:hAnsi="微软雅黑" w:eastAsia="微软雅黑" w:cs="微软雅黑"/>
      </w:rPr>
    </w:lvl>
  </w:abstractNum>
  <w:abstractNum w:abstractNumId="1">
    <w:nsid w:val="0236023A"/>
    <w:multiLevelType w:val="multilevel"/>
    <w:tmpl w:val="0236023A"/>
    <w:lvl w:ilvl="0" w:tentative="0">
      <w:start w:val="1"/>
      <w:numFmt w:val="decimal"/>
      <w:lvlText w:val="Observation %1"/>
      <w:lvlJc w:val="left"/>
      <w:pPr>
        <w:ind w:left="1068" w:hanging="360"/>
      </w:pPr>
      <w:rPr>
        <w:rFonts w:hint="default" w:ascii="Times New Roman" w:hAnsi="Times New Roman" w:cs="Times New Roman"/>
        <w:b/>
        <w:sz w:val="22"/>
        <w:u w:val="single"/>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031573FF"/>
    <w:multiLevelType w:val="multilevel"/>
    <w:tmpl w:val="031573FF"/>
    <w:lvl w:ilvl="0" w:tentative="0">
      <w:start w:val="1"/>
      <w:numFmt w:val="bullet"/>
      <w:lvlText w:val="o"/>
      <w:lvlJc w:val="left"/>
      <w:pPr>
        <w:ind w:left="420" w:hanging="420"/>
      </w:pPr>
      <w:rPr>
        <w:rFonts w:hint="default" w:ascii="Courier New" w:hAnsi="Courier New" w:cs="Courier New"/>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
    <w:nsid w:val="034A67DC"/>
    <w:multiLevelType w:val="multilevel"/>
    <w:tmpl w:val="034A67D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041D01A9"/>
    <w:multiLevelType w:val="multilevel"/>
    <w:tmpl w:val="041D01A9"/>
    <w:lvl w:ilvl="0" w:tentative="0">
      <w:start w:val="1"/>
      <w:numFmt w:val="bullet"/>
      <w:lvlText w:val=""/>
      <w:lvlJc w:val="left"/>
      <w:pPr>
        <w:ind w:left="420" w:hanging="420"/>
      </w:pPr>
      <w:rPr>
        <w:rFonts w:hint="default" w:ascii="Symbol" w:hAnsi="Symbo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
    <w:nsid w:val="059D78E0"/>
    <w:multiLevelType w:val="multilevel"/>
    <w:tmpl w:val="059D78E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130C560A"/>
    <w:multiLevelType w:val="multilevel"/>
    <w:tmpl w:val="130C560A"/>
    <w:lvl w:ilvl="0" w:tentative="0">
      <w:start w:val="1"/>
      <w:numFmt w:val="decimal"/>
      <w:pStyle w:val="2"/>
      <w:lvlText w:val="%1"/>
      <w:lvlJc w:val="left"/>
      <w:pPr>
        <w:tabs>
          <w:tab w:val="left" w:pos="432"/>
        </w:tabs>
        <w:ind w:left="432" w:hanging="432"/>
      </w:pPr>
      <w:rPr>
        <w:rFonts w:hint="default"/>
        <w:b w:val="0"/>
      </w:rPr>
    </w:lvl>
    <w:lvl w:ilvl="1" w:tentative="0">
      <w:start w:val="1"/>
      <w:numFmt w:val="decimal"/>
      <w:pStyle w:val="3"/>
      <w:lvlText w:val="%1.%2"/>
      <w:lvlJc w:val="left"/>
      <w:pPr>
        <w:tabs>
          <w:tab w:val="left" w:pos="576"/>
        </w:tabs>
        <w:ind w:left="576" w:hanging="576"/>
      </w:pPr>
      <w:rPr>
        <w:rFonts w:hint="default"/>
      </w:rPr>
    </w:lvl>
    <w:lvl w:ilvl="2" w:tentative="0">
      <w:start w:val="1"/>
      <w:numFmt w:val="decimal"/>
      <w:pStyle w:val="4"/>
      <w:lvlText w:val="%1.%2.%3"/>
      <w:lvlJc w:val="left"/>
      <w:pPr>
        <w:tabs>
          <w:tab w:val="left" w:pos="720"/>
        </w:tabs>
        <w:ind w:left="720" w:hanging="720"/>
      </w:pPr>
      <w:rPr>
        <w:rFonts w:hint="default"/>
      </w:rPr>
    </w:lvl>
    <w:lvl w:ilvl="3" w:tentative="0">
      <w:start w:val="1"/>
      <w:numFmt w:val="decimal"/>
      <w:pStyle w:val="5"/>
      <w:lvlText w:val="%1.%2.%3.%4"/>
      <w:lvlJc w:val="left"/>
      <w:pPr>
        <w:tabs>
          <w:tab w:val="left" w:pos="864"/>
        </w:tabs>
        <w:ind w:left="864" w:hanging="864"/>
      </w:pPr>
      <w:rPr>
        <w:rFonts w:hint="default"/>
      </w:rPr>
    </w:lvl>
    <w:lvl w:ilvl="4" w:tentative="0">
      <w:start w:val="1"/>
      <w:numFmt w:val="decimal"/>
      <w:pStyle w:val="6"/>
      <w:lvlText w:val="%1.%2.%3.%4.%5"/>
      <w:lvlJc w:val="left"/>
      <w:pPr>
        <w:tabs>
          <w:tab w:val="left" w:pos="1008"/>
        </w:tabs>
        <w:ind w:left="1008" w:hanging="1008"/>
      </w:pPr>
      <w:rPr>
        <w:rFonts w:hint="default"/>
      </w:rPr>
    </w:lvl>
    <w:lvl w:ilvl="5" w:tentative="0">
      <w:start w:val="1"/>
      <w:numFmt w:val="decimal"/>
      <w:pStyle w:val="7"/>
      <w:lvlText w:val="%1.%2.%3.%4.%5.%6"/>
      <w:lvlJc w:val="left"/>
      <w:pPr>
        <w:tabs>
          <w:tab w:val="left" w:pos="1152"/>
        </w:tabs>
        <w:ind w:left="1152" w:hanging="1152"/>
      </w:pPr>
      <w:rPr>
        <w:rFonts w:hint="default"/>
      </w:rPr>
    </w:lvl>
    <w:lvl w:ilvl="6" w:tentative="0">
      <w:start w:val="1"/>
      <w:numFmt w:val="decimal"/>
      <w:pStyle w:val="8"/>
      <w:lvlText w:val="%1.%2.%3.%4.%5.%6.%7"/>
      <w:lvlJc w:val="left"/>
      <w:pPr>
        <w:tabs>
          <w:tab w:val="left" w:pos="1296"/>
        </w:tabs>
        <w:ind w:left="1296" w:hanging="1296"/>
      </w:pPr>
      <w:rPr>
        <w:rFonts w:hint="default"/>
      </w:rPr>
    </w:lvl>
    <w:lvl w:ilvl="7" w:tentative="0">
      <w:start w:val="1"/>
      <w:numFmt w:val="decimal"/>
      <w:pStyle w:val="9"/>
      <w:lvlText w:val="%1.%2.%3.%4.%5.%6.%7.%8"/>
      <w:lvlJc w:val="left"/>
      <w:pPr>
        <w:tabs>
          <w:tab w:val="left" w:pos="1440"/>
        </w:tabs>
        <w:ind w:left="1440" w:hanging="1440"/>
      </w:pPr>
      <w:rPr>
        <w:rFonts w:hint="default"/>
      </w:rPr>
    </w:lvl>
    <w:lvl w:ilvl="8" w:tentative="0">
      <w:start w:val="1"/>
      <w:numFmt w:val="decimal"/>
      <w:pStyle w:val="10"/>
      <w:lvlText w:val="%1.%2.%3.%4.%5.%6.%7.%8.%9"/>
      <w:lvlJc w:val="left"/>
      <w:pPr>
        <w:tabs>
          <w:tab w:val="left" w:pos="1584"/>
        </w:tabs>
        <w:ind w:left="1584" w:hanging="1584"/>
      </w:pPr>
      <w:rPr>
        <w:rFonts w:hint="default"/>
      </w:rPr>
    </w:lvl>
  </w:abstractNum>
  <w:abstractNum w:abstractNumId="7">
    <w:nsid w:val="13751FB3"/>
    <w:multiLevelType w:val="multilevel"/>
    <w:tmpl w:val="13751FB3"/>
    <w:lvl w:ilvl="0" w:tentative="0">
      <w:start w:val="0"/>
      <w:numFmt w:val="bullet"/>
      <w:lvlText w:val="-"/>
      <w:lvlJc w:val="left"/>
      <w:pPr>
        <w:ind w:left="785" w:hanging="360"/>
      </w:pPr>
      <w:rPr>
        <w:rFonts w:hint="default" w:ascii="Times New Roman" w:hAnsi="Times New Roman" w:eastAsia="Times New Roman" w:cs="Times New Roman"/>
      </w:rPr>
    </w:lvl>
    <w:lvl w:ilvl="1" w:tentative="0">
      <w:start w:val="1"/>
      <w:numFmt w:val="bullet"/>
      <w:lvlText w:val=""/>
      <w:lvlJc w:val="left"/>
      <w:pPr>
        <w:ind w:left="1505" w:hanging="360"/>
      </w:pPr>
      <w:rPr>
        <w:rFonts w:hint="default" w:ascii="Wingdings" w:hAnsi="Wingdings"/>
      </w:rPr>
    </w:lvl>
    <w:lvl w:ilvl="2" w:tentative="0">
      <w:start w:val="1"/>
      <w:numFmt w:val="bullet"/>
      <w:lvlText w:val=""/>
      <w:lvlJc w:val="left"/>
      <w:pPr>
        <w:ind w:left="2225" w:hanging="360"/>
      </w:pPr>
      <w:rPr>
        <w:rFonts w:hint="default" w:ascii="Wingdings" w:hAnsi="Wingdings"/>
      </w:rPr>
    </w:lvl>
    <w:lvl w:ilvl="3" w:tentative="0">
      <w:start w:val="1"/>
      <w:numFmt w:val="bullet"/>
      <w:lvlText w:val=""/>
      <w:lvlJc w:val="left"/>
      <w:pPr>
        <w:ind w:left="2945" w:hanging="360"/>
      </w:pPr>
      <w:rPr>
        <w:rFonts w:hint="default" w:ascii="Symbol" w:hAnsi="Symbol"/>
      </w:rPr>
    </w:lvl>
    <w:lvl w:ilvl="4" w:tentative="0">
      <w:start w:val="1"/>
      <w:numFmt w:val="bullet"/>
      <w:lvlText w:val="o"/>
      <w:lvlJc w:val="left"/>
      <w:pPr>
        <w:ind w:left="3665" w:hanging="360"/>
      </w:pPr>
      <w:rPr>
        <w:rFonts w:hint="default" w:ascii="Courier New" w:hAnsi="Courier New" w:cs="Courier New"/>
      </w:rPr>
    </w:lvl>
    <w:lvl w:ilvl="5" w:tentative="0">
      <w:start w:val="1"/>
      <w:numFmt w:val="bullet"/>
      <w:lvlText w:val=""/>
      <w:lvlJc w:val="left"/>
      <w:pPr>
        <w:ind w:left="4385" w:hanging="360"/>
      </w:pPr>
      <w:rPr>
        <w:rFonts w:hint="default" w:ascii="Wingdings" w:hAnsi="Wingdings"/>
      </w:rPr>
    </w:lvl>
    <w:lvl w:ilvl="6" w:tentative="0">
      <w:start w:val="1"/>
      <w:numFmt w:val="bullet"/>
      <w:lvlText w:val=""/>
      <w:lvlJc w:val="left"/>
      <w:pPr>
        <w:ind w:left="5105" w:hanging="360"/>
      </w:pPr>
      <w:rPr>
        <w:rFonts w:hint="default" w:ascii="Symbol" w:hAnsi="Symbol"/>
      </w:rPr>
    </w:lvl>
    <w:lvl w:ilvl="7" w:tentative="0">
      <w:start w:val="1"/>
      <w:numFmt w:val="bullet"/>
      <w:lvlText w:val="o"/>
      <w:lvlJc w:val="left"/>
      <w:pPr>
        <w:ind w:left="5825" w:hanging="360"/>
      </w:pPr>
      <w:rPr>
        <w:rFonts w:hint="default" w:ascii="Courier New" w:hAnsi="Courier New" w:cs="Courier New"/>
      </w:rPr>
    </w:lvl>
    <w:lvl w:ilvl="8" w:tentative="0">
      <w:start w:val="1"/>
      <w:numFmt w:val="bullet"/>
      <w:lvlText w:val=""/>
      <w:lvlJc w:val="left"/>
      <w:pPr>
        <w:ind w:left="6545" w:hanging="360"/>
      </w:pPr>
      <w:rPr>
        <w:rFonts w:hint="default" w:ascii="Wingdings" w:hAnsi="Wingdings"/>
      </w:rPr>
    </w:lvl>
  </w:abstractNum>
  <w:abstractNum w:abstractNumId="8">
    <w:nsid w:val="1A090217"/>
    <w:multiLevelType w:val="multilevel"/>
    <w:tmpl w:val="1A090217"/>
    <w:lvl w:ilvl="0" w:tentative="0">
      <w:start w:val="1"/>
      <w:numFmt w:val="decimal"/>
      <w:lvlText w:val="Proposal %1"/>
      <w:lvlJc w:val="left"/>
      <w:pPr>
        <w:ind w:left="0" w:firstLine="0"/>
      </w:pPr>
      <w:rPr>
        <w:rFonts w:hint="default" w:ascii="Times New Roman" w:hAnsi="Times New Roman" w:cs="Times New Roman"/>
        <w:b/>
        <w:i w:val="0"/>
        <w:sz w:val="22"/>
        <w:szCs w:val="22"/>
        <w:u w:val="single"/>
      </w:rPr>
    </w:lvl>
    <w:lvl w:ilvl="1" w:tentative="0">
      <w:start w:val="1"/>
      <w:numFmt w:val="lowerLetter"/>
      <w:lvlText w:val="%2)"/>
      <w:lvlJc w:val="left"/>
      <w:pPr>
        <w:ind w:left="1549" w:hanging="420"/>
      </w:pPr>
    </w:lvl>
    <w:lvl w:ilvl="2" w:tentative="0">
      <w:start w:val="1"/>
      <w:numFmt w:val="lowerRoman"/>
      <w:lvlText w:val="%3."/>
      <w:lvlJc w:val="right"/>
      <w:pPr>
        <w:ind w:left="1969" w:hanging="420"/>
      </w:pPr>
    </w:lvl>
    <w:lvl w:ilvl="3" w:tentative="0">
      <w:start w:val="1"/>
      <w:numFmt w:val="decimal"/>
      <w:lvlText w:val="%4."/>
      <w:lvlJc w:val="left"/>
      <w:pPr>
        <w:ind w:left="2389" w:hanging="420"/>
      </w:pPr>
    </w:lvl>
    <w:lvl w:ilvl="4" w:tentative="0">
      <w:start w:val="1"/>
      <w:numFmt w:val="lowerLetter"/>
      <w:lvlText w:val="%5)"/>
      <w:lvlJc w:val="left"/>
      <w:pPr>
        <w:ind w:left="2809" w:hanging="420"/>
      </w:pPr>
    </w:lvl>
    <w:lvl w:ilvl="5" w:tentative="0">
      <w:start w:val="1"/>
      <w:numFmt w:val="lowerRoman"/>
      <w:lvlText w:val="%6."/>
      <w:lvlJc w:val="right"/>
      <w:pPr>
        <w:ind w:left="3229" w:hanging="420"/>
      </w:pPr>
    </w:lvl>
    <w:lvl w:ilvl="6" w:tentative="0">
      <w:start w:val="1"/>
      <w:numFmt w:val="decimal"/>
      <w:lvlText w:val="%7."/>
      <w:lvlJc w:val="left"/>
      <w:pPr>
        <w:ind w:left="3649" w:hanging="420"/>
      </w:pPr>
    </w:lvl>
    <w:lvl w:ilvl="7" w:tentative="0">
      <w:start w:val="1"/>
      <w:numFmt w:val="lowerLetter"/>
      <w:lvlText w:val="%8)"/>
      <w:lvlJc w:val="left"/>
      <w:pPr>
        <w:ind w:left="4069" w:hanging="420"/>
      </w:pPr>
    </w:lvl>
    <w:lvl w:ilvl="8" w:tentative="0">
      <w:start w:val="1"/>
      <w:numFmt w:val="lowerRoman"/>
      <w:lvlText w:val="%9."/>
      <w:lvlJc w:val="right"/>
      <w:pPr>
        <w:ind w:left="4489" w:hanging="420"/>
      </w:pPr>
    </w:lvl>
  </w:abstractNum>
  <w:abstractNum w:abstractNumId="9">
    <w:nsid w:val="1D6C7F22"/>
    <w:multiLevelType w:val="multilevel"/>
    <w:tmpl w:val="1D6C7F22"/>
    <w:lvl w:ilvl="0" w:tentative="0">
      <w:start w:val="1"/>
      <w:numFmt w:val="decimal"/>
      <w:lvlText w:val="%1)"/>
      <w:lvlJc w:val="left"/>
      <w:pPr>
        <w:ind w:left="360" w:hanging="360"/>
      </w:p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10">
    <w:nsid w:val="22BA7809"/>
    <w:multiLevelType w:val="multilevel"/>
    <w:tmpl w:val="22BA780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2DDF0E1C"/>
    <w:multiLevelType w:val="multilevel"/>
    <w:tmpl w:val="2DDF0E1C"/>
    <w:lvl w:ilvl="0" w:tentative="0">
      <w:start w:val="1"/>
      <w:numFmt w:val="bullet"/>
      <w:pStyle w:val="191"/>
      <w:lvlText w:val=""/>
      <w:lvlJc w:val="left"/>
      <w:pPr>
        <w:ind w:left="450" w:hanging="360"/>
      </w:pPr>
      <w:rPr>
        <w:rFonts w:hint="default" w:ascii="Symbol" w:hAnsi="Symbol"/>
      </w:rPr>
    </w:lvl>
    <w:lvl w:ilvl="1" w:tentative="0">
      <w:start w:val="1"/>
      <w:numFmt w:val="bullet"/>
      <w:lvlText w:val="o"/>
      <w:lvlJc w:val="left"/>
      <w:pPr>
        <w:ind w:left="126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
    <w:nsid w:val="2EA5355D"/>
    <w:multiLevelType w:val="multilevel"/>
    <w:tmpl w:val="2EA5355D"/>
    <w:lvl w:ilvl="0" w:tentative="0">
      <w:start w:val="1"/>
      <w:numFmt w:val="bullet"/>
      <w:lvlText w:val=""/>
      <w:lvlJc w:val="left"/>
      <w:pPr>
        <w:ind w:left="999" w:hanging="360"/>
      </w:pPr>
      <w:rPr>
        <w:rFonts w:hint="default" w:ascii="Symbol" w:hAnsi="Symbol"/>
      </w:rPr>
    </w:lvl>
    <w:lvl w:ilvl="1" w:tentative="0">
      <w:start w:val="1"/>
      <w:numFmt w:val="bullet"/>
      <w:lvlText w:val="o"/>
      <w:lvlJc w:val="left"/>
      <w:pPr>
        <w:ind w:left="1719" w:hanging="360"/>
      </w:pPr>
      <w:rPr>
        <w:rFonts w:hint="default" w:ascii="Courier New" w:hAnsi="Courier New" w:cs="Courier New"/>
      </w:rPr>
    </w:lvl>
    <w:lvl w:ilvl="2" w:tentative="0">
      <w:start w:val="1"/>
      <w:numFmt w:val="bullet"/>
      <w:lvlText w:val=""/>
      <w:lvlJc w:val="left"/>
      <w:pPr>
        <w:ind w:left="2439" w:hanging="360"/>
      </w:pPr>
      <w:rPr>
        <w:rFonts w:hint="default" w:ascii="Wingdings" w:hAnsi="Wingdings"/>
      </w:rPr>
    </w:lvl>
    <w:lvl w:ilvl="3" w:tentative="0">
      <w:start w:val="1"/>
      <w:numFmt w:val="bullet"/>
      <w:lvlText w:val=""/>
      <w:lvlJc w:val="left"/>
      <w:pPr>
        <w:ind w:left="3159" w:hanging="360"/>
      </w:pPr>
      <w:rPr>
        <w:rFonts w:hint="default" w:ascii="Symbol" w:hAnsi="Symbol"/>
      </w:rPr>
    </w:lvl>
    <w:lvl w:ilvl="4" w:tentative="0">
      <w:start w:val="1"/>
      <w:numFmt w:val="bullet"/>
      <w:lvlText w:val="o"/>
      <w:lvlJc w:val="left"/>
      <w:pPr>
        <w:ind w:left="3879" w:hanging="360"/>
      </w:pPr>
      <w:rPr>
        <w:rFonts w:hint="default" w:ascii="Courier New" w:hAnsi="Courier New" w:cs="Courier New"/>
      </w:rPr>
    </w:lvl>
    <w:lvl w:ilvl="5" w:tentative="0">
      <w:start w:val="1"/>
      <w:numFmt w:val="bullet"/>
      <w:lvlText w:val=""/>
      <w:lvlJc w:val="left"/>
      <w:pPr>
        <w:ind w:left="4599" w:hanging="360"/>
      </w:pPr>
      <w:rPr>
        <w:rFonts w:hint="default" w:ascii="Wingdings" w:hAnsi="Wingdings"/>
      </w:rPr>
    </w:lvl>
    <w:lvl w:ilvl="6" w:tentative="0">
      <w:start w:val="1"/>
      <w:numFmt w:val="bullet"/>
      <w:lvlText w:val=""/>
      <w:lvlJc w:val="left"/>
      <w:pPr>
        <w:ind w:left="5319" w:hanging="360"/>
      </w:pPr>
      <w:rPr>
        <w:rFonts w:hint="default" w:ascii="Symbol" w:hAnsi="Symbol"/>
      </w:rPr>
    </w:lvl>
    <w:lvl w:ilvl="7" w:tentative="0">
      <w:start w:val="1"/>
      <w:numFmt w:val="bullet"/>
      <w:lvlText w:val="o"/>
      <w:lvlJc w:val="left"/>
      <w:pPr>
        <w:ind w:left="6039" w:hanging="360"/>
      </w:pPr>
      <w:rPr>
        <w:rFonts w:hint="default" w:ascii="Courier New" w:hAnsi="Courier New" w:cs="Courier New"/>
      </w:rPr>
    </w:lvl>
    <w:lvl w:ilvl="8" w:tentative="0">
      <w:start w:val="1"/>
      <w:numFmt w:val="bullet"/>
      <w:lvlText w:val=""/>
      <w:lvlJc w:val="left"/>
      <w:pPr>
        <w:ind w:left="6759" w:hanging="360"/>
      </w:pPr>
      <w:rPr>
        <w:rFonts w:hint="default" w:ascii="Wingdings" w:hAnsi="Wingdings"/>
      </w:rPr>
    </w:lvl>
  </w:abstractNum>
  <w:abstractNum w:abstractNumId="13">
    <w:nsid w:val="38B35746"/>
    <w:multiLevelType w:val="multilevel"/>
    <w:tmpl w:val="38B3574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
    <w:nsid w:val="3A1D2F40"/>
    <w:multiLevelType w:val="multilevel"/>
    <w:tmpl w:val="3A1D2F4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5">
    <w:nsid w:val="3A877D64"/>
    <w:multiLevelType w:val="multilevel"/>
    <w:tmpl w:val="3A877D64"/>
    <w:lvl w:ilvl="0" w:tentative="0">
      <w:start w:val="1"/>
      <w:numFmt w:val="decimal"/>
      <w:pStyle w:val="63"/>
      <w:lvlText w:val="[%1]"/>
      <w:lvlJc w:val="left"/>
      <w:pPr>
        <w:tabs>
          <w:tab w:val="left" w:pos="360"/>
        </w:tabs>
        <w:ind w:left="360" w:hanging="360"/>
      </w:pPr>
      <w:rPr>
        <w:b w:val="0"/>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6">
    <w:nsid w:val="3AA46647"/>
    <w:multiLevelType w:val="multilevel"/>
    <w:tmpl w:val="3AA46647"/>
    <w:lvl w:ilvl="0" w:tentative="0">
      <w:start w:val="1"/>
      <w:numFmt w:val="decimal"/>
      <w:pStyle w:val="203"/>
      <w:lvlText w:val="Proposal %1"/>
      <w:lvlJc w:val="left"/>
      <w:pPr>
        <w:tabs>
          <w:tab w:val="left" w:pos="2722"/>
        </w:tabs>
        <w:ind w:left="2722" w:hanging="1304"/>
      </w:pPr>
      <w:rPr>
        <w:rFonts w:hint="default"/>
        <w:b/>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7">
    <w:nsid w:val="400A7D38"/>
    <w:multiLevelType w:val="multilevel"/>
    <w:tmpl w:val="400A7D3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8">
    <w:nsid w:val="401B7F60"/>
    <w:multiLevelType w:val="multilevel"/>
    <w:tmpl w:val="401B7F6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9">
    <w:nsid w:val="40DE34BC"/>
    <w:multiLevelType w:val="multilevel"/>
    <w:tmpl w:val="40DE34BC"/>
    <w:lvl w:ilvl="0" w:tentative="0">
      <w:start w:val="1"/>
      <w:numFmt w:val="decimal"/>
      <w:pStyle w:val="150"/>
      <w:lvlText w:val="%1."/>
      <w:lvlJc w:val="left"/>
      <w:pPr>
        <w:tabs>
          <w:tab w:val="left" w:pos="360"/>
        </w:tabs>
        <w:ind w:left="360" w:hanging="360"/>
      </w:p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0">
    <w:nsid w:val="42C3752B"/>
    <w:multiLevelType w:val="multilevel"/>
    <w:tmpl w:val="42C3752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1">
    <w:nsid w:val="44150AA2"/>
    <w:multiLevelType w:val="multilevel"/>
    <w:tmpl w:val="44150AA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2">
    <w:nsid w:val="441D5403"/>
    <w:multiLevelType w:val="multilevel"/>
    <w:tmpl w:val="441D540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3">
    <w:nsid w:val="464D3319"/>
    <w:multiLevelType w:val="multilevel"/>
    <w:tmpl w:val="464D3319"/>
    <w:lvl w:ilvl="0" w:tentative="0">
      <w:start w:val="1"/>
      <w:numFmt w:val="decimal"/>
      <w:pStyle w:val="145"/>
      <w:lvlText w:val="%1"/>
      <w:lvlJc w:val="left"/>
      <w:pPr>
        <w:tabs>
          <w:tab w:val="left" w:pos="735"/>
        </w:tabs>
        <w:ind w:left="735" w:hanging="735"/>
      </w:pPr>
      <w:rPr>
        <w:rFonts w:hint="default"/>
      </w:rPr>
    </w:lvl>
    <w:lvl w:ilvl="1" w:tentative="0">
      <w:start w:val="1"/>
      <w:numFmt w:val="decimal"/>
      <w:lvlText w:val="%1.%2"/>
      <w:lvlJc w:val="left"/>
      <w:pPr>
        <w:tabs>
          <w:tab w:val="left" w:pos="735"/>
        </w:tabs>
        <w:ind w:left="735" w:hanging="735"/>
      </w:pPr>
      <w:rPr>
        <w:rFonts w:hint="default"/>
      </w:rPr>
    </w:lvl>
    <w:lvl w:ilvl="2" w:tentative="0">
      <w:start w:val="1"/>
      <w:numFmt w:val="decimal"/>
      <w:lvlText w:val="%1.%2.%3"/>
      <w:lvlJc w:val="left"/>
      <w:pPr>
        <w:tabs>
          <w:tab w:val="left" w:pos="1080"/>
        </w:tabs>
        <w:ind w:left="735" w:hanging="735"/>
      </w:pPr>
      <w:rPr>
        <w:rFonts w:hint="default"/>
      </w:rPr>
    </w:lvl>
    <w:lvl w:ilvl="3" w:tentative="0">
      <w:start w:val="1"/>
      <w:numFmt w:val="decimal"/>
      <w:lvlText w:val="%1.%2.%3.%4"/>
      <w:lvlJc w:val="left"/>
      <w:pPr>
        <w:tabs>
          <w:tab w:val="left" w:pos="1440"/>
        </w:tabs>
        <w:ind w:left="735" w:hanging="735"/>
      </w:pPr>
      <w:rPr>
        <w:rFonts w:hint="default"/>
      </w:rPr>
    </w:lvl>
    <w:lvl w:ilvl="4" w:tentative="0">
      <w:start w:val="1"/>
      <w:numFmt w:val="decimal"/>
      <w:lvlText w:val="%1.%2.%3.%4.%5"/>
      <w:lvlJc w:val="left"/>
      <w:pPr>
        <w:tabs>
          <w:tab w:val="left" w:pos="1440"/>
        </w:tabs>
        <w:ind w:left="1080" w:hanging="1080"/>
      </w:pPr>
      <w:rPr>
        <w:rFonts w:hint="default"/>
      </w:rPr>
    </w:lvl>
    <w:lvl w:ilvl="5" w:tentative="0">
      <w:start w:val="1"/>
      <w:numFmt w:val="decimal"/>
      <w:lvlText w:val="%1.%2.%3.%4.%5.%6"/>
      <w:lvlJc w:val="left"/>
      <w:pPr>
        <w:tabs>
          <w:tab w:val="left" w:pos="1800"/>
        </w:tabs>
        <w:ind w:left="1080" w:hanging="108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24">
    <w:nsid w:val="474C64A0"/>
    <w:multiLevelType w:val="multilevel"/>
    <w:tmpl w:val="474C64A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5">
    <w:nsid w:val="4A55685D"/>
    <w:multiLevelType w:val="multilevel"/>
    <w:tmpl w:val="4A55685D"/>
    <w:lvl w:ilvl="0" w:tentative="0">
      <w:start w:val="1"/>
      <w:numFmt w:val="bullet"/>
      <w:pStyle w:val="146"/>
      <w:lvlText w:val=""/>
      <w:lvlJc w:val="left"/>
      <w:pPr>
        <w:tabs>
          <w:tab w:val="left" w:pos="992"/>
        </w:tabs>
        <w:ind w:left="992" w:hanging="425"/>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6">
    <w:nsid w:val="4B1F283C"/>
    <w:multiLevelType w:val="multilevel"/>
    <w:tmpl w:val="4B1F283C"/>
    <w:lvl w:ilvl="0" w:tentative="0">
      <w:start w:val="1"/>
      <w:numFmt w:val="bullet"/>
      <w:pStyle w:val="148"/>
      <w:lvlText w:val=""/>
      <w:lvlJc w:val="left"/>
      <w:pPr>
        <w:tabs>
          <w:tab w:val="left" w:pos="1843"/>
        </w:tabs>
        <w:ind w:left="1843" w:hanging="425"/>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7">
    <w:nsid w:val="4B7D36CE"/>
    <w:multiLevelType w:val="multilevel"/>
    <w:tmpl w:val="4B7D36C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8">
    <w:nsid w:val="4B9E2B08"/>
    <w:multiLevelType w:val="multilevel"/>
    <w:tmpl w:val="4B9E2B0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9">
    <w:nsid w:val="4D550C18"/>
    <w:multiLevelType w:val="multilevel"/>
    <w:tmpl w:val="4D550C1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0">
    <w:nsid w:val="4ED1737F"/>
    <w:multiLevelType w:val="multilevel"/>
    <w:tmpl w:val="4ED1737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1">
    <w:nsid w:val="50F75228"/>
    <w:multiLevelType w:val="multilevel"/>
    <w:tmpl w:val="50F75228"/>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32">
    <w:nsid w:val="513826FF"/>
    <w:multiLevelType w:val="multilevel"/>
    <w:tmpl w:val="513826F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3">
    <w:nsid w:val="52CA544A"/>
    <w:multiLevelType w:val="multilevel"/>
    <w:tmpl w:val="52CA544A"/>
    <w:lvl w:ilvl="0" w:tentative="0">
      <w:start w:val="1"/>
      <w:numFmt w:val="decimal"/>
      <w:pStyle w:val="91"/>
      <w:lvlText w:val="[%1]"/>
      <w:lvlJc w:val="left"/>
      <w:pPr>
        <w:tabs>
          <w:tab w:val="left" w:pos="360"/>
        </w:tabs>
        <w:ind w:left="360" w:hanging="360"/>
      </w:pPr>
      <w:rPr>
        <w:rFonts w:hint="default" w:ascii="Times New Roman" w:hAnsi="Times New Roman" w:cs="Times New Roman"/>
        <w:b w:val="0"/>
        <w:bCs w:val="0"/>
        <w:i w:val="0"/>
        <w:iCs w:val="0"/>
        <w:sz w:val="20"/>
        <w:szCs w:val="16"/>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34">
    <w:nsid w:val="53D2560A"/>
    <w:multiLevelType w:val="multilevel"/>
    <w:tmpl w:val="53D2560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5">
    <w:nsid w:val="54A1732B"/>
    <w:multiLevelType w:val="multilevel"/>
    <w:tmpl w:val="54A1732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6">
    <w:nsid w:val="58A620CD"/>
    <w:multiLevelType w:val="multilevel"/>
    <w:tmpl w:val="58A620CD"/>
    <w:lvl w:ilvl="0" w:tentative="0">
      <w:start w:val="0"/>
      <w:numFmt w:val="bullet"/>
      <w:lvlText w:val="-"/>
      <w:lvlJc w:val="left"/>
      <w:pPr>
        <w:ind w:left="720" w:hanging="360"/>
      </w:pPr>
      <w:rPr>
        <w:rFonts w:hint="default" w:ascii="Times New Roman" w:hAnsi="Times New Roman"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7">
    <w:nsid w:val="59F85191"/>
    <w:multiLevelType w:val="multilevel"/>
    <w:tmpl w:val="59F8519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8">
    <w:nsid w:val="5D2F0DAF"/>
    <w:multiLevelType w:val="multilevel"/>
    <w:tmpl w:val="5D2F0DAF"/>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39">
    <w:nsid w:val="65AE0FA5"/>
    <w:multiLevelType w:val="multilevel"/>
    <w:tmpl w:val="65AE0FA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0">
    <w:nsid w:val="66E52698"/>
    <w:multiLevelType w:val="multilevel"/>
    <w:tmpl w:val="66E52698"/>
    <w:lvl w:ilvl="0" w:tentative="0">
      <w:start w:val="1"/>
      <w:numFmt w:val="bullet"/>
      <w:lvlText w:val=""/>
      <w:lvlJc w:val="left"/>
      <w:pPr>
        <w:ind w:left="800" w:hanging="400"/>
      </w:pPr>
      <w:rPr>
        <w:rFonts w:hint="default" w:ascii="Wingdings" w:hAnsi="Wingdings"/>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41">
    <w:nsid w:val="73E56F14"/>
    <w:multiLevelType w:val="multilevel"/>
    <w:tmpl w:val="73E56F14"/>
    <w:lvl w:ilvl="0" w:tentative="0">
      <w:start w:val="1"/>
      <w:numFmt w:val="decimal"/>
      <w:pStyle w:val="84"/>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2">
    <w:nsid w:val="74652AAC"/>
    <w:multiLevelType w:val="multilevel"/>
    <w:tmpl w:val="74652AAC"/>
    <w:lvl w:ilvl="0" w:tentative="0">
      <w:start w:val="1"/>
      <w:numFmt w:val="lowerLetter"/>
      <w:lvlText w:val="%1."/>
      <w:lvlJc w:val="left"/>
      <w:pPr>
        <w:ind w:left="1080" w:hanging="360"/>
      </w:p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43">
    <w:nsid w:val="77C877D8"/>
    <w:multiLevelType w:val="multilevel"/>
    <w:tmpl w:val="77C877D8"/>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4">
    <w:nsid w:val="78F76F6F"/>
    <w:multiLevelType w:val="multilevel"/>
    <w:tmpl w:val="78F76F6F"/>
    <w:lvl w:ilvl="0" w:tentative="0">
      <w:start w:val="1"/>
      <w:numFmt w:val="bullet"/>
      <w:pStyle w:val="149"/>
      <w:lvlText w:val=""/>
      <w:lvlJc w:val="left"/>
      <w:pPr>
        <w:tabs>
          <w:tab w:val="left" w:pos="360"/>
        </w:tabs>
        <w:ind w:left="3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45">
    <w:nsid w:val="796316FC"/>
    <w:multiLevelType w:val="multilevel"/>
    <w:tmpl w:val="796316FC"/>
    <w:lvl w:ilvl="0" w:tentative="0">
      <w:start w:val="1"/>
      <w:numFmt w:val="bullet"/>
      <w:lvlText w:val=""/>
      <w:lvlJc w:val="left"/>
      <w:pPr>
        <w:ind w:left="1004" w:hanging="360"/>
      </w:pPr>
      <w:rPr>
        <w:rFonts w:hint="default" w:ascii="Symbol" w:hAnsi="Symbol"/>
      </w:rPr>
    </w:lvl>
    <w:lvl w:ilvl="1" w:tentative="0">
      <w:start w:val="1"/>
      <w:numFmt w:val="bullet"/>
      <w:lvlText w:val="o"/>
      <w:lvlJc w:val="left"/>
      <w:pPr>
        <w:ind w:left="1724" w:hanging="360"/>
      </w:pPr>
      <w:rPr>
        <w:rFonts w:hint="default" w:ascii="Courier New" w:hAnsi="Courier New" w:cs="Courier New"/>
      </w:rPr>
    </w:lvl>
    <w:lvl w:ilvl="2" w:tentative="0">
      <w:start w:val="1"/>
      <w:numFmt w:val="bullet"/>
      <w:lvlText w:val=""/>
      <w:lvlJc w:val="left"/>
      <w:pPr>
        <w:ind w:left="2444" w:hanging="360"/>
      </w:pPr>
      <w:rPr>
        <w:rFonts w:hint="default" w:ascii="Wingdings" w:hAnsi="Wingdings"/>
      </w:rPr>
    </w:lvl>
    <w:lvl w:ilvl="3" w:tentative="0">
      <w:start w:val="1"/>
      <w:numFmt w:val="bullet"/>
      <w:lvlText w:val=""/>
      <w:lvlJc w:val="left"/>
      <w:pPr>
        <w:ind w:left="3164" w:hanging="360"/>
      </w:pPr>
      <w:rPr>
        <w:rFonts w:hint="default" w:ascii="Symbol" w:hAnsi="Symbol"/>
      </w:rPr>
    </w:lvl>
    <w:lvl w:ilvl="4" w:tentative="0">
      <w:start w:val="1"/>
      <w:numFmt w:val="bullet"/>
      <w:lvlText w:val="o"/>
      <w:lvlJc w:val="left"/>
      <w:pPr>
        <w:ind w:left="3884" w:hanging="360"/>
      </w:pPr>
      <w:rPr>
        <w:rFonts w:hint="default" w:ascii="Courier New" w:hAnsi="Courier New" w:cs="Courier New"/>
      </w:rPr>
    </w:lvl>
    <w:lvl w:ilvl="5" w:tentative="0">
      <w:start w:val="1"/>
      <w:numFmt w:val="bullet"/>
      <w:lvlText w:val=""/>
      <w:lvlJc w:val="left"/>
      <w:pPr>
        <w:ind w:left="4604" w:hanging="360"/>
      </w:pPr>
      <w:rPr>
        <w:rFonts w:hint="default" w:ascii="Wingdings" w:hAnsi="Wingdings"/>
      </w:rPr>
    </w:lvl>
    <w:lvl w:ilvl="6" w:tentative="0">
      <w:start w:val="1"/>
      <w:numFmt w:val="bullet"/>
      <w:lvlText w:val=""/>
      <w:lvlJc w:val="left"/>
      <w:pPr>
        <w:ind w:left="5324" w:hanging="360"/>
      </w:pPr>
      <w:rPr>
        <w:rFonts w:hint="default" w:ascii="Symbol" w:hAnsi="Symbol"/>
      </w:rPr>
    </w:lvl>
    <w:lvl w:ilvl="7" w:tentative="0">
      <w:start w:val="1"/>
      <w:numFmt w:val="bullet"/>
      <w:lvlText w:val="o"/>
      <w:lvlJc w:val="left"/>
      <w:pPr>
        <w:ind w:left="6044" w:hanging="360"/>
      </w:pPr>
      <w:rPr>
        <w:rFonts w:hint="default" w:ascii="Courier New" w:hAnsi="Courier New" w:cs="Courier New"/>
      </w:rPr>
    </w:lvl>
    <w:lvl w:ilvl="8" w:tentative="0">
      <w:start w:val="1"/>
      <w:numFmt w:val="bullet"/>
      <w:lvlText w:val=""/>
      <w:lvlJc w:val="left"/>
      <w:pPr>
        <w:ind w:left="6764" w:hanging="360"/>
      </w:pPr>
      <w:rPr>
        <w:rFonts w:hint="default" w:ascii="Wingdings" w:hAnsi="Wingdings"/>
      </w:rPr>
    </w:lvl>
  </w:abstractNum>
  <w:abstractNum w:abstractNumId="46">
    <w:nsid w:val="7AFF4C7F"/>
    <w:multiLevelType w:val="multilevel"/>
    <w:tmpl w:val="7AFF4C7F"/>
    <w:lvl w:ilvl="0" w:tentative="0">
      <w:start w:val="1"/>
      <w:numFmt w:val="bullet"/>
      <w:lvlText w:val="-"/>
      <w:lvlJc w:val="left"/>
      <w:pPr>
        <w:ind w:left="1282" w:hanging="360"/>
      </w:pPr>
      <w:rPr>
        <w:rFonts w:hint="default" w:ascii="Times New Roman" w:hAnsi="Times New Roman" w:eastAsia="Batang" w:cs="Times New Roman"/>
      </w:rPr>
    </w:lvl>
    <w:lvl w:ilvl="1" w:tentative="0">
      <w:start w:val="1"/>
      <w:numFmt w:val="bullet"/>
      <w:lvlText w:val="o"/>
      <w:lvlJc w:val="left"/>
      <w:pPr>
        <w:ind w:left="2002" w:hanging="360"/>
      </w:pPr>
      <w:rPr>
        <w:rFonts w:hint="default" w:ascii="Courier New" w:hAnsi="Courier New" w:cs="Courier New"/>
      </w:rPr>
    </w:lvl>
    <w:lvl w:ilvl="2" w:tentative="0">
      <w:start w:val="1"/>
      <w:numFmt w:val="bullet"/>
      <w:lvlText w:val=""/>
      <w:lvlJc w:val="left"/>
      <w:pPr>
        <w:ind w:left="2722" w:hanging="360"/>
      </w:pPr>
      <w:rPr>
        <w:rFonts w:hint="default" w:ascii="Wingdings" w:hAnsi="Wingdings"/>
      </w:rPr>
    </w:lvl>
    <w:lvl w:ilvl="3" w:tentative="0">
      <w:start w:val="1"/>
      <w:numFmt w:val="bullet"/>
      <w:lvlText w:val=""/>
      <w:lvlJc w:val="left"/>
      <w:pPr>
        <w:ind w:left="3442" w:hanging="360"/>
      </w:pPr>
      <w:rPr>
        <w:rFonts w:hint="default" w:ascii="Symbol" w:hAnsi="Symbol"/>
      </w:rPr>
    </w:lvl>
    <w:lvl w:ilvl="4" w:tentative="0">
      <w:start w:val="1"/>
      <w:numFmt w:val="bullet"/>
      <w:lvlText w:val="o"/>
      <w:lvlJc w:val="left"/>
      <w:pPr>
        <w:ind w:left="4162" w:hanging="360"/>
      </w:pPr>
      <w:rPr>
        <w:rFonts w:hint="default" w:ascii="Courier New" w:hAnsi="Courier New" w:cs="Courier New"/>
      </w:rPr>
    </w:lvl>
    <w:lvl w:ilvl="5" w:tentative="0">
      <w:start w:val="1"/>
      <w:numFmt w:val="bullet"/>
      <w:lvlText w:val=""/>
      <w:lvlJc w:val="left"/>
      <w:pPr>
        <w:ind w:left="4882" w:hanging="360"/>
      </w:pPr>
      <w:rPr>
        <w:rFonts w:hint="default" w:ascii="Wingdings" w:hAnsi="Wingdings"/>
      </w:rPr>
    </w:lvl>
    <w:lvl w:ilvl="6" w:tentative="0">
      <w:start w:val="1"/>
      <w:numFmt w:val="bullet"/>
      <w:lvlText w:val=""/>
      <w:lvlJc w:val="left"/>
      <w:pPr>
        <w:ind w:left="5602" w:hanging="360"/>
      </w:pPr>
      <w:rPr>
        <w:rFonts w:hint="default" w:ascii="Symbol" w:hAnsi="Symbol"/>
      </w:rPr>
    </w:lvl>
    <w:lvl w:ilvl="7" w:tentative="0">
      <w:start w:val="1"/>
      <w:numFmt w:val="bullet"/>
      <w:lvlText w:val="o"/>
      <w:lvlJc w:val="left"/>
      <w:pPr>
        <w:ind w:left="6322" w:hanging="360"/>
      </w:pPr>
      <w:rPr>
        <w:rFonts w:hint="default" w:ascii="Courier New" w:hAnsi="Courier New" w:cs="Courier New"/>
      </w:rPr>
    </w:lvl>
    <w:lvl w:ilvl="8" w:tentative="0">
      <w:start w:val="1"/>
      <w:numFmt w:val="bullet"/>
      <w:lvlText w:val=""/>
      <w:lvlJc w:val="left"/>
      <w:pPr>
        <w:ind w:left="7042" w:hanging="360"/>
      </w:pPr>
      <w:rPr>
        <w:rFonts w:hint="default" w:ascii="Wingdings" w:hAnsi="Wingdings"/>
      </w:rPr>
    </w:lvl>
  </w:abstractNum>
  <w:abstractNum w:abstractNumId="47">
    <w:nsid w:val="7BC330F5"/>
    <w:multiLevelType w:val="multilevel"/>
    <w:tmpl w:val="7BC330F5"/>
    <w:lvl w:ilvl="0" w:tentative="0">
      <w:start w:val="1"/>
      <w:numFmt w:val="bullet"/>
      <w:pStyle w:val="65"/>
      <w:lvlText w:val=""/>
      <w:lvlJc w:val="left"/>
      <w:pPr>
        <w:tabs>
          <w:tab w:val="left" w:pos="851"/>
        </w:tabs>
        <w:ind w:left="851" w:hanging="851"/>
      </w:pPr>
      <w:rPr>
        <w:rFonts w:hint="default" w:ascii="ZapfDingbats" w:hAnsi="ZapfDingbats"/>
        <w:b/>
        <w:i w:val="0"/>
        <w:color w:val="70CEF5"/>
        <w:sz w:val="20"/>
        <w:szCs w:val="20"/>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48">
    <w:nsid w:val="7F547DFD"/>
    <w:multiLevelType w:val="multilevel"/>
    <w:tmpl w:val="7F547DFD"/>
    <w:lvl w:ilvl="0" w:tentative="0">
      <w:start w:val="1"/>
      <w:numFmt w:val="bullet"/>
      <w:pStyle w:val="147"/>
      <w:lvlText w:val=""/>
      <w:lvlJc w:val="left"/>
      <w:pPr>
        <w:tabs>
          <w:tab w:val="left" w:pos="1418"/>
        </w:tabs>
        <w:ind w:left="1418" w:hanging="426"/>
      </w:pPr>
      <w:rPr>
        <w:rFonts w:hint="default" w:ascii="Wingdings" w:hAnsi="Wingdings"/>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num w:numId="1">
    <w:abstractNumId w:val="6"/>
  </w:num>
  <w:num w:numId="2">
    <w:abstractNumId w:val="15"/>
  </w:num>
  <w:num w:numId="3">
    <w:abstractNumId w:val="47"/>
  </w:num>
  <w:num w:numId="4">
    <w:abstractNumId w:val="41"/>
  </w:num>
  <w:num w:numId="5">
    <w:abstractNumId w:val="33"/>
  </w:num>
  <w:num w:numId="6">
    <w:abstractNumId w:val="23"/>
  </w:num>
  <w:num w:numId="7">
    <w:abstractNumId w:val="25"/>
  </w:num>
  <w:num w:numId="8">
    <w:abstractNumId w:val="48"/>
  </w:num>
  <w:num w:numId="9">
    <w:abstractNumId w:val="26"/>
  </w:num>
  <w:num w:numId="10">
    <w:abstractNumId w:val="44"/>
  </w:num>
  <w:num w:numId="11">
    <w:abstractNumId w:val="19"/>
  </w:num>
  <w:num w:numId="12">
    <w:abstractNumId w:val="11"/>
  </w:num>
  <w:num w:numId="13">
    <w:abstractNumId w:val="16"/>
  </w:num>
  <w:num w:numId="14">
    <w:abstractNumId w:val="46"/>
  </w:num>
  <w:num w:numId="15">
    <w:abstractNumId w:val="31"/>
  </w:num>
  <w:num w:numId="16">
    <w:abstractNumId w:val="5"/>
  </w:num>
  <w:num w:numId="17">
    <w:abstractNumId w:val="28"/>
  </w:num>
  <w:num w:numId="18">
    <w:abstractNumId w:val="34"/>
  </w:num>
  <w:num w:numId="19">
    <w:abstractNumId w:val="29"/>
  </w:num>
  <w:num w:numId="20">
    <w:abstractNumId w:val="40"/>
  </w:num>
  <w:num w:numId="21">
    <w:abstractNumId w:val="27"/>
  </w:num>
  <w:num w:numId="22">
    <w:abstractNumId w:val="39"/>
  </w:num>
  <w:num w:numId="23">
    <w:abstractNumId w:val="18"/>
  </w:num>
  <w:num w:numId="24">
    <w:abstractNumId w:val="32"/>
  </w:num>
  <w:num w:numId="25">
    <w:abstractNumId w:val="14"/>
  </w:num>
  <w:num w:numId="26">
    <w:abstractNumId w:val="9"/>
  </w:num>
  <w:num w:numId="27">
    <w:abstractNumId w:val="42"/>
  </w:num>
  <w:num w:numId="28">
    <w:abstractNumId w:val="38"/>
  </w:num>
  <w:num w:numId="29">
    <w:abstractNumId w:val="36"/>
  </w:num>
  <w:num w:numId="30">
    <w:abstractNumId w:val="10"/>
  </w:num>
  <w:num w:numId="31">
    <w:abstractNumId w:val="0"/>
  </w:num>
  <w:num w:numId="32">
    <w:abstractNumId w:val="7"/>
  </w:num>
  <w:num w:numId="33">
    <w:abstractNumId w:val="21"/>
  </w:num>
  <w:num w:numId="34">
    <w:abstractNumId w:val="24"/>
  </w:num>
  <w:num w:numId="35">
    <w:abstractNumId w:val="3"/>
  </w:num>
  <w:num w:numId="36">
    <w:abstractNumId w:val="22"/>
  </w:num>
  <w:num w:numId="37">
    <w:abstractNumId w:val="13"/>
  </w:num>
  <w:num w:numId="38">
    <w:abstractNumId w:val="12"/>
  </w:num>
  <w:num w:numId="39">
    <w:abstractNumId w:val="4"/>
  </w:num>
  <w:num w:numId="40">
    <w:abstractNumId w:val="2"/>
  </w:num>
  <w:num w:numId="41">
    <w:abstractNumId w:val="17"/>
  </w:num>
  <w:num w:numId="42">
    <w:abstractNumId w:val="35"/>
  </w:num>
  <w:num w:numId="43">
    <w:abstractNumId w:val="30"/>
  </w:num>
  <w:num w:numId="44">
    <w:abstractNumId w:val="1"/>
  </w:num>
  <w:num w:numId="45">
    <w:abstractNumId w:val="8"/>
  </w:num>
  <w:num w:numId="46">
    <w:abstractNumId w:val="37"/>
  </w:num>
  <w:num w:numId="47">
    <w:abstractNumId w:val="45"/>
  </w:num>
  <w:num w:numId="48">
    <w:abstractNumId w:val="43"/>
  </w:num>
  <w:num w:numId="49">
    <w:abstractNumId w:val="2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Young Woo Kwak">
    <w15:presenceInfo w15:providerId="AD" w15:userId="S::YoungWoo.Kwak@InterDigital.com::654b2afb-6413-4cdd-8fc3-53a03c70ae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embedSystemFonts/>
  <w:bordersDoNotSurroundHeader w:val="1"/>
  <w:bordersDoNotSurroundFooter w:val="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nforcement="0"/>
  <w:defaultTabStop w:val="425"/>
  <w:hyphenationZone w:val="425"/>
  <w:doNotHyphenateCaps/>
  <w:drawingGridHorizontalSpacing w:val="120"/>
  <w:drawingGridVerticalSpacing w:val="120"/>
  <w:displayHorizontalDrawingGridEvery w:val="0"/>
  <w:displayVerticalDrawingGridEvery w:val="3"/>
  <w:doNotUseMarginsForDrawingGridOrigin w:val="1"/>
  <w:drawingGridHorizontalOrigin w:val="1800"/>
  <w:drawingGridVerticalOrigin w:val="1440"/>
  <w:doNotShadeFormData w:val="1"/>
  <w:characterSpacingControl w:val="compressPunctuation"/>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MyMDM2NTEzN7c0MTNR0lEKTi0uzszPAykwqgUA+5wxbiwAAAA="/>
  </w:docVars>
  <w:rsids>
    <w:rsidRoot w:val="00CF5263"/>
    <w:rsid w:val="00000226"/>
    <w:rsid w:val="00000783"/>
    <w:rsid w:val="000007FC"/>
    <w:rsid w:val="000009F1"/>
    <w:rsid w:val="00000B68"/>
    <w:rsid w:val="00000D04"/>
    <w:rsid w:val="00000DB2"/>
    <w:rsid w:val="00000E95"/>
    <w:rsid w:val="0000101E"/>
    <w:rsid w:val="000014ED"/>
    <w:rsid w:val="0000159A"/>
    <w:rsid w:val="0000195C"/>
    <w:rsid w:val="00001D10"/>
    <w:rsid w:val="00001E2D"/>
    <w:rsid w:val="00002186"/>
    <w:rsid w:val="000021E6"/>
    <w:rsid w:val="000023AA"/>
    <w:rsid w:val="000023CA"/>
    <w:rsid w:val="000026A4"/>
    <w:rsid w:val="00002893"/>
    <w:rsid w:val="000029EF"/>
    <w:rsid w:val="00002DE3"/>
    <w:rsid w:val="0000309C"/>
    <w:rsid w:val="0000326E"/>
    <w:rsid w:val="000032D9"/>
    <w:rsid w:val="000033A3"/>
    <w:rsid w:val="00003605"/>
    <w:rsid w:val="0000389E"/>
    <w:rsid w:val="00003926"/>
    <w:rsid w:val="00003C56"/>
    <w:rsid w:val="00003D01"/>
    <w:rsid w:val="00003D9C"/>
    <w:rsid w:val="00003DA4"/>
    <w:rsid w:val="00003EC2"/>
    <w:rsid w:val="000040A9"/>
    <w:rsid w:val="0000458E"/>
    <w:rsid w:val="00004E70"/>
    <w:rsid w:val="0000504D"/>
    <w:rsid w:val="000055D9"/>
    <w:rsid w:val="00005835"/>
    <w:rsid w:val="00006766"/>
    <w:rsid w:val="000072B6"/>
    <w:rsid w:val="00007596"/>
    <w:rsid w:val="000076ED"/>
    <w:rsid w:val="00007813"/>
    <w:rsid w:val="00007A80"/>
    <w:rsid w:val="00007A9D"/>
    <w:rsid w:val="00007D06"/>
    <w:rsid w:val="00007D27"/>
    <w:rsid w:val="00007D95"/>
    <w:rsid w:val="0001009A"/>
    <w:rsid w:val="00010517"/>
    <w:rsid w:val="00010518"/>
    <w:rsid w:val="0001054A"/>
    <w:rsid w:val="0001058F"/>
    <w:rsid w:val="00010950"/>
    <w:rsid w:val="000109B3"/>
    <w:rsid w:val="000109E6"/>
    <w:rsid w:val="00010EEC"/>
    <w:rsid w:val="00011174"/>
    <w:rsid w:val="000112E2"/>
    <w:rsid w:val="00011B04"/>
    <w:rsid w:val="00011C30"/>
    <w:rsid w:val="00011EAA"/>
    <w:rsid w:val="00011F67"/>
    <w:rsid w:val="0001222C"/>
    <w:rsid w:val="00012440"/>
    <w:rsid w:val="000124C5"/>
    <w:rsid w:val="00012862"/>
    <w:rsid w:val="000128E6"/>
    <w:rsid w:val="00012972"/>
    <w:rsid w:val="00012A25"/>
    <w:rsid w:val="00012CA8"/>
    <w:rsid w:val="00012F0C"/>
    <w:rsid w:val="00012F17"/>
    <w:rsid w:val="00012F1C"/>
    <w:rsid w:val="00013468"/>
    <w:rsid w:val="000135F3"/>
    <w:rsid w:val="00013856"/>
    <w:rsid w:val="000138B1"/>
    <w:rsid w:val="00013B6F"/>
    <w:rsid w:val="000140DD"/>
    <w:rsid w:val="00014AC2"/>
    <w:rsid w:val="00014BA4"/>
    <w:rsid w:val="00014EC2"/>
    <w:rsid w:val="000152C5"/>
    <w:rsid w:val="000154F7"/>
    <w:rsid w:val="000155BB"/>
    <w:rsid w:val="00015EFB"/>
    <w:rsid w:val="0001622D"/>
    <w:rsid w:val="0001644D"/>
    <w:rsid w:val="000165E2"/>
    <w:rsid w:val="00016A1C"/>
    <w:rsid w:val="000172BE"/>
    <w:rsid w:val="00017718"/>
    <w:rsid w:val="000179D8"/>
    <w:rsid w:val="00017D8A"/>
    <w:rsid w:val="00017E39"/>
    <w:rsid w:val="0002077D"/>
    <w:rsid w:val="000209F4"/>
    <w:rsid w:val="00020BB3"/>
    <w:rsid w:val="00020FFF"/>
    <w:rsid w:val="000219F3"/>
    <w:rsid w:val="00022009"/>
    <w:rsid w:val="000223DB"/>
    <w:rsid w:val="00022F3F"/>
    <w:rsid w:val="00022FB0"/>
    <w:rsid w:val="00023388"/>
    <w:rsid w:val="00023425"/>
    <w:rsid w:val="00023C01"/>
    <w:rsid w:val="00023C07"/>
    <w:rsid w:val="000241BE"/>
    <w:rsid w:val="000242DF"/>
    <w:rsid w:val="000242F2"/>
    <w:rsid w:val="0002435B"/>
    <w:rsid w:val="00024730"/>
    <w:rsid w:val="00024769"/>
    <w:rsid w:val="000248A1"/>
    <w:rsid w:val="00024C82"/>
    <w:rsid w:val="00024DAD"/>
    <w:rsid w:val="00024DCE"/>
    <w:rsid w:val="00025A11"/>
    <w:rsid w:val="00025A37"/>
    <w:rsid w:val="00025BAF"/>
    <w:rsid w:val="00025EA6"/>
    <w:rsid w:val="00026090"/>
    <w:rsid w:val="00026ADC"/>
    <w:rsid w:val="00026C29"/>
    <w:rsid w:val="00026D4B"/>
    <w:rsid w:val="00026E22"/>
    <w:rsid w:val="0002705D"/>
    <w:rsid w:val="000274E2"/>
    <w:rsid w:val="000275C6"/>
    <w:rsid w:val="000276C4"/>
    <w:rsid w:val="000278E6"/>
    <w:rsid w:val="00027AD6"/>
    <w:rsid w:val="00027B53"/>
    <w:rsid w:val="00027C41"/>
    <w:rsid w:val="00030185"/>
    <w:rsid w:val="0003024C"/>
    <w:rsid w:val="000302BC"/>
    <w:rsid w:val="000302C0"/>
    <w:rsid w:val="00030470"/>
    <w:rsid w:val="0003049C"/>
    <w:rsid w:val="00030AA2"/>
    <w:rsid w:val="00030AFB"/>
    <w:rsid w:val="00030B49"/>
    <w:rsid w:val="000318F6"/>
    <w:rsid w:val="00031ADB"/>
    <w:rsid w:val="00032056"/>
    <w:rsid w:val="00032848"/>
    <w:rsid w:val="000328CA"/>
    <w:rsid w:val="00032E40"/>
    <w:rsid w:val="00032E6F"/>
    <w:rsid w:val="00032F72"/>
    <w:rsid w:val="0003376B"/>
    <w:rsid w:val="000339B0"/>
    <w:rsid w:val="00033A03"/>
    <w:rsid w:val="00033D58"/>
    <w:rsid w:val="000344F8"/>
    <w:rsid w:val="00034676"/>
    <w:rsid w:val="000346E6"/>
    <w:rsid w:val="000348E2"/>
    <w:rsid w:val="00034947"/>
    <w:rsid w:val="00034B6B"/>
    <w:rsid w:val="00034C57"/>
    <w:rsid w:val="00034DAD"/>
    <w:rsid w:val="000352B3"/>
    <w:rsid w:val="000359EA"/>
    <w:rsid w:val="00036121"/>
    <w:rsid w:val="000365B6"/>
    <w:rsid w:val="000369EF"/>
    <w:rsid w:val="00036CB7"/>
    <w:rsid w:val="00036F2F"/>
    <w:rsid w:val="000370E4"/>
    <w:rsid w:val="000373DD"/>
    <w:rsid w:val="000375E6"/>
    <w:rsid w:val="0003761F"/>
    <w:rsid w:val="000377CB"/>
    <w:rsid w:val="00037B88"/>
    <w:rsid w:val="00037C16"/>
    <w:rsid w:val="00037E19"/>
    <w:rsid w:val="0004023E"/>
    <w:rsid w:val="0004024B"/>
    <w:rsid w:val="00040424"/>
    <w:rsid w:val="00040EDB"/>
    <w:rsid w:val="0004145A"/>
    <w:rsid w:val="00041538"/>
    <w:rsid w:val="000417BB"/>
    <w:rsid w:val="000419D8"/>
    <w:rsid w:val="00041A51"/>
    <w:rsid w:val="00041C57"/>
    <w:rsid w:val="00041C6E"/>
    <w:rsid w:val="00042407"/>
    <w:rsid w:val="00042D3F"/>
    <w:rsid w:val="000430C6"/>
    <w:rsid w:val="000434B7"/>
    <w:rsid w:val="000435E4"/>
    <w:rsid w:val="0004363D"/>
    <w:rsid w:val="000437C2"/>
    <w:rsid w:val="00043C49"/>
    <w:rsid w:val="00044555"/>
    <w:rsid w:val="00044B08"/>
    <w:rsid w:val="00044DF0"/>
    <w:rsid w:val="00045549"/>
    <w:rsid w:val="000459BA"/>
    <w:rsid w:val="00045C8E"/>
    <w:rsid w:val="00045DE8"/>
    <w:rsid w:val="00046084"/>
    <w:rsid w:val="00046126"/>
    <w:rsid w:val="00046287"/>
    <w:rsid w:val="0004669E"/>
    <w:rsid w:val="00046796"/>
    <w:rsid w:val="000467FD"/>
    <w:rsid w:val="00046AAF"/>
    <w:rsid w:val="00046DB5"/>
    <w:rsid w:val="000471F3"/>
    <w:rsid w:val="00047225"/>
    <w:rsid w:val="000474DC"/>
    <w:rsid w:val="0004756C"/>
    <w:rsid w:val="00047926"/>
    <w:rsid w:val="00047AB3"/>
    <w:rsid w:val="00047ACE"/>
    <w:rsid w:val="00047C17"/>
    <w:rsid w:val="00047E60"/>
    <w:rsid w:val="00047E82"/>
    <w:rsid w:val="00047F1B"/>
    <w:rsid w:val="00050CEF"/>
    <w:rsid w:val="0005192F"/>
    <w:rsid w:val="000519CC"/>
    <w:rsid w:val="00052042"/>
    <w:rsid w:val="000520B8"/>
    <w:rsid w:val="0005213E"/>
    <w:rsid w:val="00052291"/>
    <w:rsid w:val="0005229B"/>
    <w:rsid w:val="00052478"/>
    <w:rsid w:val="00052630"/>
    <w:rsid w:val="00052AD2"/>
    <w:rsid w:val="00052AEF"/>
    <w:rsid w:val="00052DD1"/>
    <w:rsid w:val="000530DF"/>
    <w:rsid w:val="0005338E"/>
    <w:rsid w:val="000533A2"/>
    <w:rsid w:val="00053D7D"/>
    <w:rsid w:val="0005402A"/>
    <w:rsid w:val="00054E0C"/>
    <w:rsid w:val="00055221"/>
    <w:rsid w:val="0005541D"/>
    <w:rsid w:val="0005552D"/>
    <w:rsid w:val="00055711"/>
    <w:rsid w:val="00055FF3"/>
    <w:rsid w:val="000565C8"/>
    <w:rsid w:val="00056A91"/>
    <w:rsid w:val="00056AC0"/>
    <w:rsid w:val="00056F6D"/>
    <w:rsid w:val="00057681"/>
    <w:rsid w:val="000576BD"/>
    <w:rsid w:val="00057A03"/>
    <w:rsid w:val="00057DC3"/>
    <w:rsid w:val="00057DC8"/>
    <w:rsid w:val="0006025E"/>
    <w:rsid w:val="0006036E"/>
    <w:rsid w:val="00060542"/>
    <w:rsid w:val="00060675"/>
    <w:rsid w:val="00060E9D"/>
    <w:rsid w:val="000612E1"/>
    <w:rsid w:val="000613BB"/>
    <w:rsid w:val="000613BD"/>
    <w:rsid w:val="000614FE"/>
    <w:rsid w:val="00061575"/>
    <w:rsid w:val="00061858"/>
    <w:rsid w:val="00061AA0"/>
    <w:rsid w:val="00062D79"/>
    <w:rsid w:val="00063260"/>
    <w:rsid w:val="00063A10"/>
    <w:rsid w:val="00063F27"/>
    <w:rsid w:val="00064060"/>
    <w:rsid w:val="00064AA0"/>
    <w:rsid w:val="00064B3A"/>
    <w:rsid w:val="00065B30"/>
    <w:rsid w:val="00065D38"/>
    <w:rsid w:val="00065F19"/>
    <w:rsid w:val="000660D4"/>
    <w:rsid w:val="0006640F"/>
    <w:rsid w:val="00066603"/>
    <w:rsid w:val="000668E2"/>
    <w:rsid w:val="000668E5"/>
    <w:rsid w:val="00066BB1"/>
    <w:rsid w:val="0006703A"/>
    <w:rsid w:val="000670CF"/>
    <w:rsid w:val="000672BF"/>
    <w:rsid w:val="000674E6"/>
    <w:rsid w:val="00067643"/>
    <w:rsid w:val="000679C2"/>
    <w:rsid w:val="00067BF5"/>
    <w:rsid w:val="00067DA2"/>
    <w:rsid w:val="00067DD1"/>
    <w:rsid w:val="00067E74"/>
    <w:rsid w:val="00070447"/>
    <w:rsid w:val="00070480"/>
    <w:rsid w:val="00070493"/>
    <w:rsid w:val="000706E7"/>
    <w:rsid w:val="00070B2C"/>
    <w:rsid w:val="00070EF8"/>
    <w:rsid w:val="000710A8"/>
    <w:rsid w:val="00071192"/>
    <w:rsid w:val="000713A7"/>
    <w:rsid w:val="00071525"/>
    <w:rsid w:val="00071961"/>
    <w:rsid w:val="00071CAD"/>
    <w:rsid w:val="00071D7D"/>
    <w:rsid w:val="00072081"/>
    <w:rsid w:val="0007234D"/>
    <w:rsid w:val="000726E9"/>
    <w:rsid w:val="00072872"/>
    <w:rsid w:val="00072A80"/>
    <w:rsid w:val="00072B37"/>
    <w:rsid w:val="00072BB4"/>
    <w:rsid w:val="00072C6B"/>
    <w:rsid w:val="0007301D"/>
    <w:rsid w:val="000731A0"/>
    <w:rsid w:val="000735E1"/>
    <w:rsid w:val="000736C1"/>
    <w:rsid w:val="00073797"/>
    <w:rsid w:val="000737AA"/>
    <w:rsid w:val="000737EC"/>
    <w:rsid w:val="000738DB"/>
    <w:rsid w:val="00073910"/>
    <w:rsid w:val="00073BD8"/>
    <w:rsid w:val="00073DEC"/>
    <w:rsid w:val="000743FC"/>
    <w:rsid w:val="000745AA"/>
    <w:rsid w:val="00074DB1"/>
    <w:rsid w:val="00074DFD"/>
    <w:rsid w:val="00074E86"/>
    <w:rsid w:val="00075E69"/>
    <w:rsid w:val="00076097"/>
    <w:rsid w:val="00076258"/>
    <w:rsid w:val="0007646C"/>
    <w:rsid w:val="00076541"/>
    <w:rsid w:val="000767F8"/>
    <w:rsid w:val="00076D0F"/>
    <w:rsid w:val="000770A5"/>
    <w:rsid w:val="000772F4"/>
    <w:rsid w:val="0007730D"/>
    <w:rsid w:val="000775DD"/>
    <w:rsid w:val="000776EB"/>
    <w:rsid w:val="00077A74"/>
    <w:rsid w:val="00077ECA"/>
    <w:rsid w:val="00077F64"/>
    <w:rsid w:val="00077FDE"/>
    <w:rsid w:val="000801F1"/>
    <w:rsid w:val="00080321"/>
    <w:rsid w:val="000803D1"/>
    <w:rsid w:val="00080897"/>
    <w:rsid w:val="00080B2C"/>
    <w:rsid w:val="00080C0F"/>
    <w:rsid w:val="000811D0"/>
    <w:rsid w:val="0008150C"/>
    <w:rsid w:val="00081AF2"/>
    <w:rsid w:val="00081B62"/>
    <w:rsid w:val="00081CA2"/>
    <w:rsid w:val="00081CB0"/>
    <w:rsid w:val="00081FE8"/>
    <w:rsid w:val="0008213B"/>
    <w:rsid w:val="000823A1"/>
    <w:rsid w:val="000823B0"/>
    <w:rsid w:val="000824FC"/>
    <w:rsid w:val="00082576"/>
    <w:rsid w:val="000825AA"/>
    <w:rsid w:val="00082A7B"/>
    <w:rsid w:val="00082E97"/>
    <w:rsid w:val="00083002"/>
    <w:rsid w:val="000830CD"/>
    <w:rsid w:val="0008335B"/>
    <w:rsid w:val="00083379"/>
    <w:rsid w:val="00083587"/>
    <w:rsid w:val="0008362D"/>
    <w:rsid w:val="00083838"/>
    <w:rsid w:val="000838C5"/>
    <w:rsid w:val="00083A94"/>
    <w:rsid w:val="00083B6A"/>
    <w:rsid w:val="00083C02"/>
    <w:rsid w:val="00083D9F"/>
    <w:rsid w:val="00083EF7"/>
    <w:rsid w:val="000843FE"/>
    <w:rsid w:val="00084511"/>
    <w:rsid w:val="000848E2"/>
    <w:rsid w:val="00084CF1"/>
    <w:rsid w:val="000854F8"/>
    <w:rsid w:val="0008587A"/>
    <w:rsid w:val="00085E04"/>
    <w:rsid w:val="000861CD"/>
    <w:rsid w:val="00086289"/>
    <w:rsid w:val="0008628A"/>
    <w:rsid w:val="00086543"/>
    <w:rsid w:val="00086800"/>
    <w:rsid w:val="000869C2"/>
    <w:rsid w:val="00087737"/>
    <w:rsid w:val="00087913"/>
    <w:rsid w:val="0009009D"/>
    <w:rsid w:val="000902DC"/>
    <w:rsid w:val="0009041A"/>
    <w:rsid w:val="000904C2"/>
    <w:rsid w:val="00090A4B"/>
    <w:rsid w:val="00090D73"/>
    <w:rsid w:val="00090EC6"/>
    <w:rsid w:val="000910F2"/>
    <w:rsid w:val="000911AE"/>
    <w:rsid w:val="00091349"/>
    <w:rsid w:val="00092029"/>
    <w:rsid w:val="00092574"/>
    <w:rsid w:val="00092A30"/>
    <w:rsid w:val="00092ACA"/>
    <w:rsid w:val="00092BB5"/>
    <w:rsid w:val="00092ED3"/>
    <w:rsid w:val="00092F20"/>
    <w:rsid w:val="000935C3"/>
    <w:rsid w:val="00093697"/>
    <w:rsid w:val="00093B43"/>
    <w:rsid w:val="00093D1F"/>
    <w:rsid w:val="00093D42"/>
    <w:rsid w:val="00093D46"/>
    <w:rsid w:val="00093ECE"/>
    <w:rsid w:val="000944E1"/>
    <w:rsid w:val="00094928"/>
    <w:rsid w:val="00094A16"/>
    <w:rsid w:val="00094B99"/>
    <w:rsid w:val="00094DE6"/>
    <w:rsid w:val="00095051"/>
    <w:rsid w:val="00095677"/>
    <w:rsid w:val="000957C2"/>
    <w:rsid w:val="000960AC"/>
    <w:rsid w:val="000960C4"/>
    <w:rsid w:val="00096356"/>
    <w:rsid w:val="00096430"/>
    <w:rsid w:val="000966A4"/>
    <w:rsid w:val="000970A3"/>
    <w:rsid w:val="000973D4"/>
    <w:rsid w:val="00097A93"/>
    <w:rsid w:val="00097AD0"/>
    <w:rsid w:val="00097BD9"/>
    <w:rsid w:val="00097C77"/>
    <w:rsid w:val="00097C99"/>
    <w:rsid w:val="00097EA3"/>
    <w:rsid w:val="000A051E"/>
    <w:rsid w:val="000A0638"/>
    <w:rsid w:val="000A0F14"/>
    <w:rsid w:val="000A11C8"/>
    <w:rsid w:val="000A1441"/>
    <w:rsid w:val="000A144C"/>
    <w:rsid w:val="000A14D9"/>
    <w:rsid w:val="000A1A06"/>
    <w:rsid w:val="000A1B60"/>
    <w:rsid w:val="000A1EC8"/>
    <w:rsid w:val="000A2008"/>
    <w:rsid w:val="000A21B4"/>
    <w:rsid w:val="000A251D"/>
    <w:rsid w:val="000A252D"/>
    <w:rsid w:val="000A280C"/>
    <w:rsid w:val="000A2852"/>
    <w:rsid w:val="000A2B37"/>
    <w:rsid w:val="000A2CC7"/>
    <w:rsid w:val="000A2ED6"/>
    <w:rsid w:val="000A33B6"/>
    <w:rsid w:val="000A3505"/>
    <w:rsid w:val="000A3A02"/>
    <w:rsid w:val="000A3C95"/>
    <w:rsid w:val="000A3F30"/>
    <w:rsid w:val="000A4205"/>
    <w:rsid w:val="000A45ED"/>
    <w:rsid w:val="000A48AD"/>
    <w:rsid w:val="000A4A19"/>
    <w:rsid w:val="000A5321"/>
    <w:rsid w:val="000A539A"/>
    <w:rsid w:val="000A54E3"/>
    <w:rsid w:val="000A62AF"/>
    <w:rsid w:val="000A62EF"/>
    <w:rsid w:val="000A630F"/>
    <w:rsid w:val="000A6351"/>
    <w:rsid w:val="000A63D6"/>
    <w:rsid w:val="000A6457"/>
    <w:rsid w:val="000A6732"/>
    <w:rsid w:val="000A716C"/>
    <w:rsid w:val="000A7329"/>
    <w:rsid w:val="000A74B4"/>
    <w:rsid w:val="000A75BF"/>
    <w:rsid w:val="000A7628"/>
    <w:rsid w:val="000A7767"/>
    <w:rsid w:val="000A7A21"/>
    <w:rsid w:val="000A7B38"/>
    <w:rsid w:val="000A7EFD"/>
    <w:rsid w:val="000B024F"/>
    <w:rsid w:val="000B0343"/>
    <w:rsid w:val="000B03AF"/>
    <w:rsid w:val="000B0556"/>
    <w:rsid w:val="000B0607"/>
    <w:rsid w:val="000B06DC"/>
    <w:rsid w:val="000B0792"/>
    <w:rsid w:val="000B0C0A"/>
    <w:rsid w:val="000B157A"/>
    <w:rsid w:val="000B1B7C"/>
    <w:rsid w:val="000B2416"/>
    <w:rsid w:val="000B2481"/>
    <w:rsid w:val="000B253A"/>
    <w:rsid w:val="000B2985"/>
    <w:rsid w:val="000B2B74"/>
    <w:rsid w:val="000B2C88"/>
    <w:rsid w:val="000B2F41"/>
    <w:rsid w:val="000B3342"/>
    <w:rsid w:val="000B35F8"/>
    <w:rsid w:val="000B3AE6"/>
    <w:rsid w:val="000B3BC4"/>
    <w:rsid w:val="000B3C2F"/>
    <w:rsid w:val="000B4646"/>
    <w:rsid w:val="000B4734"/>
    <w:rsid w:val="000B4A2A"/>
    <w:rsid w:val="000B4E69"/>
    <w:rsid w:val="000B4FEA"/>
    <w:rsid w:val="000B4FEB"/>
    <w:rsid w:val="000B51FA"/>
    <w:rsid w:val="000B571D"/>
    <w:rsid w:val="000B5905"/>
    <w:rsid w:val="000B5975"/>
    <w:rsid w:val="000B59CC"/>
    <w:rsid w:val="000B5A7A"/>
    <w:rsid w:val="000B5C43"/>
    <w:rsid w:val="000B5D44"/>
    <w:rsid w:val="000B6230"/>
    <w:rsid w:val="000B6485"/>
    <w:rsid w:val="000B6743"/>
    <w:rsid w:val="000B67D3"/>
    <w:rsid w:val="000B6BFB"/>
    <w:rsid w:val="000B6D5A"/>
    <w:rsid w:val="000B6E2C"/>
    <w:rsid w:val="000B6EF3"/>
    <w:rsid w:val="000B6F33"/>
    <w:rsid w:val="000B7576"/>
    <w:rsid w:val="000B76C5"/>
    <w:rsid w:val="000B7A10"/>
    <w:rsid w:val="000B7A1A"/>
    <w:rsid w:val="000B7C05"/>
    <w:rsid w:val="000C0010"/>
    <w:rsid w:val="000C06F3"/>
    <w:rsid w:val="000C0972"/>
    <w:rsid w:val="000C0A23"/>
    <w:rsid w:val="000C1139"/>
    <w:rsid w:val="000C115D"/>
    <w:rsid w:val="000C1168"/>
    <w:rsid w:val="000C11D9"/>
    <w:rsid w:val="000C1535"/>
    <w:rsid w:val="000C17A0"/>
    <w:rsid w:val="000C1A86"/>
    <w:rsid w:val="000C1B67"/>
    <w:rsid w:val="000C1C74"/>
    <w:rsid w:val="000C1CAF"/>
    <w:rsid w:val="000C1E48"/>
    <w:rsid w:val="000C1F79"/>
    <w:rsid w:val="000C252B"/>
    <w:rsid w:val="000C2A59"/>
    <w:rsid w:val="000C2BED"/>
    <w:rsid w:val="000C2F74"/>
    <w:rsid w:val="000C2FBD"/>
    <w:rsid w:val="000C39DE"/>
    <w:rsid w:val="000C3B0C"/>
    <w:rsid w:val="000C3D23"/>
    <w:rsid w:val="000C3F0B"/>
    <w:rsid w:val="000C4055"/>
    <w:rsid w:val="000C422D"/>
    <w:rsid w:val="000C4732"/>
    <w:rsid w:val="000C4A82"/>
    <w:rsid w:val="000C4F02"/>
    <w:rsid w:val="000C4FA7"/>
    <w:rsid w:val="000C57DF"/>
    <w:rsid w:val="000C5C48"/>
    <w:rsid w:val="000C5F91"/>
    <w:rsid w:val="000C6025"/>
    <w:rsid w:val="000C7283"/>
    <w:rsid w:val="000C72ED"/>
    <w:rsid w:val="000C7572"/>
    <w:rsid w:val="000C77BA"/>
    <w:rsid w:val="000D00D7"/>
    <w:rsid w:val="000D00F4"/>
    <w:rsid w:val="000D04CB"/>
    <w:rsid w:val="000D0521"/>
    <w:rsid w:val="000D0565"/>
    <w:rsid w:val="000D0CB2"/>
    <w:rsid w:val="000D0D18"/>
    <w:rsid w:val="000D0E4E"/>
    <w:rsid w:val="000D0F19"/>
    <w:rsid w:val="000D113C"/>
    <w:rsid w:val="000D12D1"/>
    <w:rsid w:val="000D14C6"/>
    <w:rsid w:val="000D159A"/>
    <w:rsid w:val="000D1A38"/>
    <w:rsid w:val="000D1BA0"/>
    <w:rsid w:val="000D216B"/>
    <w:rsid w:val="000D22CC"/>
    <w:rsid w:val="000D2636"/>
    <w:rsid w:val="000D2A10"/>
    <w:rsid w:val="000D2E64"/>
    <w:rsid w:val="000D2E83"/>
    <w:rsid w:val="000D2FC7"/>
    <w:rsid w:val="000D32E7"/>
    <w:rsid w:val="000D36AE"/>
    <w:rsid w:val="000D38A1"/>
    <w:rsid w:val="000D3E6C"/>
    <w:rsid w:val="000D3EF2"/>
    <w:rsid w:val="000D43D4"/>
    <w:rsid w:val="000D4547"/>
    <w:rsid w:val="000D4C4E"/>
    <w:rsid w:val="000D4D28"/>
    <w:rsid w:val="000D5077"/>
    <w:rsid w:val="000D5362"/>
    <w:rsid w:val="000D54BA"/>
    <w:rsid w:val="000D54E7"/>
    <w:rsid w:val="000D5621"/>
    <w:rsid w:val="000D56AD"/>
    <w:rsid w:val="000D57F8"/>
    <w:rsid w:val="000D5851"/>
    <w:rsid w:val="000D5905"/>
    <w:rsid w:val="000D594E"/>
    <w:rsid w:val="000D5AE1"/>
    <w:rsid w:val="000D5B42"/>
    <w:rsid w:val="000D5C60"/>
    <w:rsid w:val="000D5D04"/>
    <w:rsid w:val="000D5DD8"/>
    <w:rsid w:val="000D601E"/>
    <w:rsid w:val="000D6240"/>
    <w:rsid w:val="000D6ABB"/>
    <w:rsid w:val="000D6FA1"/>
    <w:rsid w:val="000D71E2"/>
    <w:rsid w:val="000D73A5"/>
    <w:rsid w:val="000E00C2"/>
    <w:rsid w:val="000E0160"/>
    <w:rsid w:val="000E068E"/>
    <w:rsid w:val="000E07D6"/>
    <w:rsid w:val="000E0806"/>
    <w:rsid w:val="000E0AF7"/>
    <w:rsid w:val="000E1019"/>
    <w:rsid w:val="000E1380"/>
    <w:rsid w:val="000E13C0"/>
    <w:rsid w:val="000E140E"/>
    <w:rsid w:val="000E175F"/>
    <w:rsid w:val="000E1769"/>
    <w:rsid w:val="000E1826"/>
    <w:rsid w:val="000E184D"/>
    <w:rsid w:val="000E18DF"/>
    <w:rsid w:val="000E1B18"/>
    <w:rsid w:val="000E2189"/>
    <w:rsid w:val="000E2825"/>
    <w:rsid w:val="000E29F9"/>
    <w:rsid w:val="000E2A73"/>
    <w:rsid w:val="000E3E70"/>
    <w:rsid w:val="000E3F04"/>
    <w:rsid w:val="000E4556"/>
    <w:rsid w:val="000E4975"/>
    <w:rsid w:val="000E4C59"/>
    <w:rsid w:val="000E579F"/>
    <w:rsid w:val="000E59A0"/>
    <w:rsid w:val="000E5B5B"/>
    <w:rsid w:val="000E61E7"/>
    <w:rsid w:val="000E63AA"/>
    <w:rsid w:val="000E6728"/>
    <w:rsid w:val="000E6B02"/>
    <w:rsid w:val="000E6C8C"/>
    <w:rsid w:val="000E7A84"/>
    <w:rsid w:val="000E7B39"/>
    <w:rsid w:val="000F09F9"/>
    <w:rsid w:val="000F0D75"/>
    <w:rsid w:val="000F1248"/>
    <w:rsid w:val="000F15BC"/>
    <w:rsid w:val="000F1746"/>
    <w:rsid w:val="000F180A"/>
    <w:rsid w:val="000F1C05"/>
    <w:rsid w:val="000F1C58"/>
    <w:rsid w:val="000F1C92"/>
    <w:rsid w:val="000F1DCC"/>
    <w:rsid w:val="000F2260"/>
    <w:rsid w:val="000F2562"/>
    <w:rsid w:val="000F27A4"/>
    <w:rsid w:val="000F2AE0"/>
    <w:rsid w:val="000F2C4F"/>
    <w:rsid w:val="000F2EEE"/>
    <w:rsid w:val="000F3697"/>
    <w:rsid w:val="000F3825"/>
    <w:rsid w:val="000F3D73"/>
    <w:rsid w:val="000F3E2D"/>
    <w:rsid w:val="000F4105"/>
    <w:rsid w:val="000F41EF"/>
    <w:rsid w:val="000F44E3"/>
    <w:rsid w:val="000F4B5F"/>
    <w:rsid w:val="000F4F82"/>
    <w:rsid w:val="000F522C"/>
    <w:rsid w:val="000F55C2"/>
    <w:rsid w:val="000F5D53"/>
    <w:rsid w:val="000F5D78"/>
    <w:rsid w:val="000F5E0B"/>
    <w:rsid w:val="000F5FEA"/>
    <w:rsid w:val="000F63BF"/>
    <w:rsid w:val="000F6959"/>
    <w:rsid w:val="000F6FCE"/>
    <w:rsid w:val="000F7152"/>
    <w:rsid w:val="000F7178"/>
    <w:rsid w:val="000F77B7"/>
    <w:rsid w:val="000F7A2D"/>
    <w:rsid w:val="000F7DE1"/>
    <w:rsid w:val="000F7F58"/>
    <w:rsid w:val="00100128"/>
    <w:rsid w:val="00100347"/>
    <w:rsid w:val="00100D0A"/>
    <w:rsid w:val="00100DDD"/>
    <w:rsid w:val="00100FF3"/>
    <w:rsid w:val="00101182"/>
    <w:rsid w:val="0010146B"/>
    <w:rsid w:val="0010172A"/>
    <w:rsid w:val="001021D5"/>
    <w:rsid w:val="001026CA"/>
    <w:rsid w:val="00102AC1"/>
    <w:rsid w:val="00102CDA"/>
    <w:rsid w:val="001039F3"/>
    <w:rsid w:val="00103ACF"/>
    <w:rsid w:val="00104187"/>
    <w:rsid w:val="001043C2"/>
    <w:rsid w:val="001043E1"/>
    <w:rsid w:val="00104630"/>
    <w:rsid w:val="00104C36"/>
    <w:rsid w:val="00104D39"/>
    <w:rsid w:val="00104FB3"/>
    <w:rsid w:val="0010505A"/>
    <w:rsid w:val="001050CC"/>
    <w:rsid w:val="001053B1"/>
    <w:rsid w:val="00105665"/>
    <w:rsid w:val="001059CE"/>
    <w:rsid w:val="00105BFC"/>
    <w:rsid w:val="00105CC7"/>
    <w:rsid w:val="00105D4F"/>
    <w:rsid w:val="00105D79"/>
    <w:rsid w:val="0010698B"/>
    <w:rsid w:val="00106C2B"/>
    <w:rsid w:val="00106DC3"/>
    <w:rsid w:val="00107779"/>
    <w:rsid w:val="001078C2"/>
    <w:rsid w:val="00107992"/>
    <w:rsid w:val="00107C4A"/>
    <w:rsid w:val="00107CAF"/>
    <w:rsid w:val="00107E1C"/>
    <w:rsid w:val="00110243"/>
    <w:rsid w:val="0011038A"/>
    <w:rsid w:val="001110BD"/>
    <w:rsid w:val="001112C4"/>
    <w:rsid w:val="001113B0"/>
    <w:rsid w:val="00111444"/>
    <w:rsid w:val="00111540"/>
    <w:rsid w:val="00111723"/>
    <w:rsid w:val="00111B77"/>
    <w:rsid w:val="00111BE4"/>
    <w:rsid w:val="00111C6E"/>
    <w:rsid w:val="00111E22"/>
    <w:rsid w:val="0011202E"/>
    <w:rsid w:val="0011214A"/>
    <w:rsid w:val="001124B7"/>
    <w:rsid w:val="00112740"/>
    <w:rsid w:val="001129B5"/>
    <w:rsid w:val="00112A23"/>
    <w:rsid w:val="0011323A"/>
    <w:rsid w:val="0011368C"/>
    <w:rsid w:val="0011393B"/>
    <w:rsid w:val="00113FA7"/>
    <w:rsid w:val="00114112"/>
    <w:rsid w:val="00114168"/>
    <w:rsid w:val="001141E3"/>
    <w:rsid w:val="001144DF"/>
    <w:rsid w:val="0011557B"/>
    <w:rsid w:val="0011605B"/>
    <w:rsid w:val="0011638C"/>
    <w:rsid w:val="00116E52"/>
    <w:rsid w:val="00117058"/>
    <w:rsid w:val="0011736B"/>
    <w:rsid w:val="001173CC"/>
    <w:rsid w:val="0011740B"/>
    <w:rsid w:val="00117C85"/>
    <w:rsid w:val="00120463"/>
    <w:rsid w:val="001205AE"/>
    <w:rsid w:val="001208B7"/>
    <w:rsid w:val="00120A1B"/>
    <w:rsid w:val="00120AC2"/>
    <w:rsid w:val="00120B13"/>
    <w:rsid w:val="00120F24"/>
    <w:rsid w:val="0012140C"/>
    <w:rsid w:val="001219DB"/>
    <w:rsid w:val="00121AD2"/>
    <w:rsid w:val="00121BFC"/>
    <w:rsid w:val="00121F61"/>
    <w:rsid w:val="00122221"/>
    <w:rsid w:val="00122264"/>
    <w:rsid w:val="001228D9"/>
    <w:rsid w:val="0012297E"/>
    <w:rsid w:val="00122A22"/>
    <w:rsid w:val="00122AF1"/>
    <w:rsid w:val="00123650"/>
    <w:rsid w:val="001237EE"/>
    <w:rsid w:val="00123B28"/>
    <w:rsid w:val="00124239"/>
    <w:rsid w:val="0012430D"/>
    <w:rsid w:val="00124942"/>
    <w:rsid w:val="00124B65"/>
    <w:rsid w:val="00124C65"/>
    <w:rsid w:val="00124D84"/>
    <w:rsid w:val="001250DD"/>
    <w:rsid w:val="00125403"/>
    <w:rsid w:val="00125733"/>
    <w:rsid w:val="00125A22"/>
    <w:rsid w:val="00125C78"/>
    <w:rsid w:val="00125DDB"/>
    <w:rsid w:val="001261DC"/>
    <w:rsid w:val="001261F2"/>
    <w:rsid w:val="00126370"/>
    <w:rsid w:val="0012637C"/>
    <w:rsid w:val="001263AA"/>
    <w:rsid w:val="001266F3"/>
    <w:rsid w:val="001268DC"/>
    <w:rsid w:val="00126F71"/>
    <w:rsid w:val="00126F74"/>
    <w:rsid w:val="001278B9"/>
    <w:rsid w:val="001278E7"/>
    <w:rsid w:val="00127905"/>
    <w:rsid w:val="00127951"/>
    <w:rsid w:val="00127AF7"/>
    <w:rsid w:val="001302CF"/>
    <w:rsid w:val="0013069C"/>
    <w:rsid w:val="00130779"/>
    <w:rsid w:val="001307A1"/>
    <w:rsid w:val="00130EA3"/>
    <w:rsid w:val="00131040"/>
    <w:rsid w:val="00131184"/>
    <w:rsid w:val="001311CC"/>
    <w:rsid w:val="001315EF"/>
    <w:rsid w:val="00131D2E"/>
    <w:rsid w:val="001321A7"/>
    <w:rsid w:val="001321AA"/>
    <w:rsid w:val="001321D3"/>
    <w:rsid w:val="00132262"/>
    <w:rsid w:val="001324E7"/>
    <w:rsid w:val="0013257A"/>
    <w:rsid w:val="00132979"/>
    <w:rsid w:val="00132CC9"/>
    <w:rsid w:val="00132DAE"/>
    <w:rsid w:val="001334CF"/>
    <w:rsid w:val="00133599"/>
    <w:rsid w:val="00133BF7"/>
    <w:rsid w:val="00134104"/>
    <w:rsid w:val="00134219"/>
    <w:rsid w:val="00134B88"/>
    <w:rsid w:val="001352D0"/>
    <w:rsid w:val="0013546D"/>
    <w:rsid w:val="001354B8"/>
    <w:rsid w:val="001354C8"/>
    <w:rsid w:val="0013580D"/>
    <w:rsid w:val="0013689F"/>
    <w:rsid w:val="00136A23"/>
    <w:rsid w:val="00136B29"/>
    <w:rsid w:val="00136B99"/>
    <w:rsid w:val="00136DD7"/>
    <w:rsid w:val="00136E02"/>
    <w:rsid w:val="001376CC"/>
    <w:rsid w:val="0013789C"/>
    <w:rsid w:val="001379A4"/>
    <w:rsid w:val="00137B46"/>
    <w:rsid w:val="001402F5"/>
    <w:rsid w:val="0014052C"/>
    <w:rsid w:val="0014053C"/>
    <w:rsid w:val="0014063E"/>
    <w:rsid w:val="0014087D"/>
    <w:rsid w:val="0014087F"/>
    <w:rsid w:val="00140B01"/>
    <w:rsid w:val="00140CDF"/>
    <w:rsid w:val="00140E07"/>
    <w:rsid w:val="00140F74"/>
    <w:rsid w:val="00141191"/>
    <w:rsid w:val="0014159C"/>
    <w:rsid w:val="001416B8"/>
    <w:rsid w:val="00141723"/>
    <w:rsid w:val="001417BB"/>
    <w:rsid w:val="00141D4E"/>
    <w:rsid w:val="00141FD5"/>
    <w:rsid w:val="00141FF3"/>
    <w:rsid w:val="001421D9"/>
    <w:rsid w:val="00142402"/>
    <w:rsid w:val="00142665"/>
    <w:rsid w:val="001429EF"/>
    <w:rsid w:val="00142C45"/>
    <w:rsid w:val="0014307E"/>
    <w:rsid w:val="00143211"/>
    <w:rsid w:val="0014324C"/>
    <w:rsid w:val="0014382A"/>
    <w:rsid w:val="0014384A"/>
    <w:rsid w:val="001439F7"/>
    <w:rsid w:val="00144221"/>
    <w:rsid w:val="0014450F"/>
    <w:rsid w:val="00144832"/>
    <w:rsid w:val="00144863"/>
    <w:rsid w:val="00144D8E"/>
    <w:rsid w:val="00144D8F"/>
    <w:rsid w:val="00144E7F"/>
    <w:rsid w:val="00145008"/>
    <w:rsid w:val="00145239"/>
    <w:rsid w:val="0014527C"/>
    <w:rsid w:val="00145C74"/>
    <w:rsid w:val="00145CDB"/>
    <w:rsid w:val="00145EB6"/>
    <w:rsid w:val="0014606B"/>
    <w:rsid w:val="0014607A"/>
    <w:rsid w:val="001462E9"/>
    <w:rsid w:val="001463A9"/>
    <w:rsid w:val="001463F7"/>
    <w:rsid w:val="0014667B"/>
    <w:rsid w:val="00146E32"/>
    <w:rsid w:val="00146EC2"/>
    <w:rsid w:val="00147200"/>
    <w:rsid w:val="00147929"/>
    <w:rsid w:val="001479D5"/>
    <w:rsid w:val="00147CFB"/>
    <w:rsid w:val="0015009F"/>
    <w:rsid w:val="00150143"/>
    <w:rsid w:val="001502DB"/>
    <w:rsid w:val="00150CDB"/>
    <w:rsid w:val="00150D21"/>
    <w:rsid w:val="00150D28"/>
    <w:rsid w:val="00150FDC"/>
    <w:rsid w:val="001512F6"/>
    <w:rsid w:val="00151573"/>
    <w:rsid w:val="00151619"/>
    <w:rsid w:val="00151763"/>
    <w:rsid w:val="00151AB0"/>
    <w:rsid w:val="00151F4B"/>
    <w:rsid w:val="00151FCB"/>
    <w:rsid w:val="001520CC"/>
    <w:rsid w:val="00152835"/>
    <w:rsid w:val="00152FD4"/>
    <w:rsid w:val="001530AC"/>
    <w:rsid w:val="00153270"/>
    <w:rsid w:val="00153740"/>
    <w:rsid w:val="00153F89"/>
    <w:rsid w:val="00154AAA"/>
    <w:rsid w:val="00154AAC"/>
    <w:rsid w:val="00154B88"/>
    <w:rsid w:val="00154D5B"/>
    <w:rsid w:val="001559FA"/>
    <w:rsid w:val="00155BEF"/>
    <w:rsid w:val="00156325"/>
    <w:rsid w:val="00156374"/>
    <w:rsid w:val="00156B1F"/>
    <w:rsid w:val="00156B73"/>
    <w:rsid w:val="00156E93"/>
    <w:rsid w:val="00157305"/>
    <w:rsid w:val="001577D8"/>
    <w:rsid w:val="0015788A"/>
    <w:rsid w:val="001579D4"/>
    <w:rsid w:val="00157E13"/>
    <w:rsid w:val="00157FC3"/>
    <w:rsid w:val="001602F8"/>
    <w:rsid w:val="00160361"/>
    <w:rsid w:val="001605B9"/>
    <w:rsid w:val="00160739"/>
    <w:rsid w:val="00160869"/>
    <w:rsid w:val="00160CFE"/>
    <w:rsid w:val="00161480"/>
    <w:rsid w:val="0016166A"/>
    <w:rsid w:val="001617AE"/>
    <w:rsid w:val="00161C00"/>
    <w:rsid w:val="0016271E"/>
    <w:rsid w:val="001628EB"/>
    <w:rsid w:val="00162AB4"/>
    <w:rsid w:val="00162D7A"/>
    <w:rsid w:val="00162E8B"/>
    <w:rsid w:val="00163053"/>
    <w:rsid w:val="001633B1"/>
    <w:rsid w:val="00163D02"/>
    <w:rsid w:val="0016436F"/>
    <w:rsid w:val="001643EF"/>
    <w:rsid w:val="001644FF"/>
    <w:rsid w:val="00164BF8"/>
    <w:rsid w:val="00164C9A"/>
    <w:rsid w:val="00164DAB"/>
    <w:rsid w:val="00164ECB"/>
    <w:rsid w:val="00164EE7"/>
    <w:rsid w:val="00165350"/>
    <w:rsid w:val="00165AD8"/>
    <w:rsid w:val="00165BBB"/>
    <w:rsid w:val="00165BD4"/>
    <w:rsid w:val="00165C75"/>
    <w:rsid w:val="00165E9A"/>
    <w:rsid w:val="0016613F"/>
    <w:rsid w:val="00166215"/>
    <w:rsid w:val="00166591"/>
    <w:rsid w:val="00166606"/>
    <w:rsid w:val="00166DB4"/>
    <w:rsid w:val="00166E57"/>
    <w:rsid w:val="00167478"/>
    <w:rsid w:val="00167A80"/>
    <w:rsid w:val="00167F82"/>
    <w:rsid w:val="001708EC"/>
    <w:rsid w:val="00170FA8"/>
    <w:rsid w:val="00171102"/>
    <w:rsid w:val="00171143"/>
    <w:rsid w:val="00171367"/>
    <w:rsid w:val="00171A05"/>
    <w:rsid w:val="00171A0A"/>
    <w:rsid w:val="00171EB3"/>
    <w:rsid w:val="00172093"/>
    <w:rsid w:val="001723FA"/>
    <w:rsid w:val="00172864"/>
    <w:rsid w:val="00172B82"/>
    <w:rsid w:val="00172DFB"/>
    <w:rsid w:val="00172EFA"/>
    <w:rsid w:val="00172F67"/>
    <w:rsid w:val="00173365"/>
    <w:rsid w:val="0017356C"/>
    <w:rsid w:val="00173608"/>
    <w:rsid w:val="00173B15"/>
    <w:rsid w:val="00173EF5"/>
    <w:rsid w:val="0017415D"/>
    <w:rsid w:val="00174522"/>
    <w:rsid w:val="001745EC"/>
    <w:rsid w:val="001747B7"/>
    <w:rsid w:val="00175B01"/>
    <w:rsid w:val="00175C30"/>
    <w:rsid w:val="00175E87"/>
    <w:rsid w:val="001767A7"/>
    <w:rsid w:val="001767E9"/>
    <w:rsid w:val="001768A8"/>
    <w:rsid w:val="00176DD6"/>
    <w:rsid w:val="00177069"/>
    <w:rsid w:val="0017718D"/>
    <w:rsid w:val="001775B3"/>
    <w:rsid w:val="001775E1"/>
    <w:rsid w:val="0017775A"/>
    <w:rsid w:val="001777E6"/>
    <w:rsid w:val="00177C5F"/>
    <w:rsid w:val="00177CC8"/>
    <w:rsid w:val="00177D4B"/>
    <w:rsid w:val="00177FC1"/>
    <w:rsid w:val="00180194"/>
    <w:rsid w:val="001805C9"/>
    <w:rsid w:val="0018086B"/>
    <w:rsid w:val="00180884"/>
    <w:rsid w:val="00180914"/>
    <w:rsid w:val="00180FD3"/>
    <w:rsid w:val="001813A3"/>
    <w:rsid w:val="001815A2"/>
    <w:rsid w:val="00181FC1"/>
    <w:rsid w:val="00181FD4"/>
    <w:rsid w:val="00182022"/>
    <w:rsid w:val="00182539"/>
    <w:rsid w:val="00182F3D"/>
    <w:rsid w:val="00183034"/>
    <w:rsid w:val="001830F7"/>
    <w:rsid w:val="00183835"/>
    <w:rsid w:val="00183C5C"/>
    <w:rsid w:val="00183E99"/>
    <w:rsid w:val="00183EE6"/>
    <w:rsid w:val="00184322"/>
    <w:rsid w:val="0018436D"/>
    <w:rsid w:val="00184463"/>
    <w:rsid w:val="0018471A"/>
    <w:rsid w:val="001849AF"/>
    <w:rsid w:val="001849D5"/>
    <w:rsid w:val="00184C23"/>
    <w:rsid w:val="00184C3E"/>
    <w:rsid w:val="00184FCE"/>
    <w:rsid w:val="0018533C"/>
    <w:rsid w:val="0018588A"/>
    <w:rsid w:val="0018591C"/>
    <w:rsid w:val="00186180"/>
    <w:rsid w:val="001865D8"/>
    <w:rsid w:val="00186712"/>
    <w:rsid w:val="00186818"/>
    <w:rsid w:val="00187252"/>
    <w:rsid w:val="001873AA"/>
    <w:rsid w:val="00187A06"/>
    <w:rsid w:val="0019069B"/>
    <w:rsid w:val="001908E7"/>
    <w:rsid w:val="0019093C"/>
    <w:rsid w:val="00190D77"/>
    <w:rsid w:val="00190D9A"/>
    <w:rsid w:val="00191614"/>
    <w:rsid w:val="0019179D"/>
    <w:rsid w:val="00191C91"/>
    <w:rsid w:val="00192207"/>
    <w:rsid w:val="0019268E"/>
    <w:rsid w:val="00192B50"/>
    <w:rsid w:val="00192DD9"/>
    <w:rsid w:val="00193182"/>
    <w:rsid w:val="001937DB"/>
    <w:rsid w:val="00193C57"/>
    <w:rsid w:val="00193F73"/>
    <w:rsid w:val="00193F77"/>
    <w:rsid w:val="00194339"/>
    <w:rsid w:val="00194773"/>
    <w:rsid w:val="00194848"/>
    <w:rsid w:val="00194A3C"/>
    <w:rsid w:val="00194C0A"/>
    <w:rsid w:val="00195319"/>
    <w:rsid w:val="001958EA"/>
    <w:rsid w:val="00195BD5"/>
    <w:rsid w:val="00195E0E"/>
    <w:rsid w:val="00195EBD"/>
    <w:rsid w:val="00195ECC"/>
    <w:rsid w:val="001961F0"/>
    <w:rsid w:val="001962DC"/>
    <w:rsid w:val="001966C4"/>
    <w:rsid w:val="00196DDD"/>
    <w:rsid w:val="001972A1"/>
    <w:rsid w:val="0019740D"/>
    <w:rsid w:val="0019741F"/>
    <w:rsid w:val="00197593"/>
    <w:rsid w:val="00197707"/>
    <w:rsid w:val="00197DF5"/>
    <w:rsid w:val="001A02BF"/>
    <w:rsid w:val="001A03C7"/>
    <w:rsid w:val="001A0703"/>
    <w:rsid w:val="001A0FA5"/>
    <w:rsid w:val="001A109D"/>
    <w:rsid w:val="001A10C6"/>
    <w:rsid w:val="001A138C"/>
    <w:rsid w:val="001A138F"/>
    <w:rsid w:val="001A13D8"/>
    <w:rsid w:val="001A180D"/>
    <w:rsid w:val="001A1AB0"/>
    <w:rsid w:val="001A1BAC"/>
    <w:rsid w:val="001A1FBC"/>
    <w:rsid w:val="001A20A8"/>
    <w:rsid w:val="001A2135"/>
    <w:rsid w:val="001A23CE"/>
    <w:rsid w:val="001A2C89"/>
    <w:rsid w:val="001A2FB1"/>
    <w:rsid w:val="001A3061"/>
    <w:rsid w:val="001A351E"/>
    <w:rsid w:val="001A3EAE"/>
    <w:rsid w:val="001A3ED8"/>
    <w:rsid w:val="001A472B"/>
    <w:rsid w:val="001A4B76"/>
    <w:rsid w:val="001A4EE9"/>
    <w:rsid w:val="001A525E"/>
    <w:rsid w:val="001A54F4"/>
    <w:rsid w:val="001A5800"/>
    <w:rsid w:val="001A598F"/>
    <w:rsid w:val="001A60B9"/>
    <w:rsid w:val="001A642A"/>
    <w:rsid w:val="001A673E"/>
    <w:rsid w:val="001A6772"/>
    <w:rsid w:val="001A6A47"/>
    <w:rsid w:val="001A6EC5"/>
    <w:rsid w:val="001A71D4"/>
    <w:rsid w:val="001A754C"/>
    <w:rsid w:val="001A7680"/>
    <w:rsid w:val="001A7763"/>
    <w:rsid w:val="001A7D43"/>
    <w:rsid w:val="001B0607"/>
    <w:rsid w:val="001B068C"/>
    <w:rsid w:val="001B0BD9"/>
    <w:rsid w:val="001B13F9"/>
    <w:rsid w:val="001B1447"/>
    <w:rsid w:val="001B1A33"/>
    <w:rsid w:val="001B3964"/>
    <w:rsid w:val="001B3C89"/>
    <w:rsid w:val="001B3E4B"/>
    <w:rsid w:val="001B413E"/>
    <w:rsid w:val="001B4452"/>
    <w:rsid w:val="001B466C"/>
    <w:rsid w:val="001B47D6"/>
    <w:rsid w:val="001B4871"/>
    <w:rsid w:val="001B48CE"/>
    <w:rsid w:val="001B4E26"/>
    <w:rsid w:val="001B4F34"/>
    <w:rsid w:val="001B52B1"/>
    <w:rsid w:val="001B52EC"/>
    <w:rsid w:val="001B554A"/>
    <w:rsid w:val="001B5652"/>
    <w:rsid w:val="001B5834"/>
    <w:rsid w:val="001B5A24"/>
    <w:rsid w:val="001B6564"/>
    <w:rsid w:val="001B6914"/>
    <w:rsid w:val="001B691A"/>
    <w:rsid w:val="001B6DDA"/>
    <w:rsid w:val="001B6EA5"/>
    <w:rsid w:val="001B6ED4"/>
    <w:rsid w:val="001B72C7"/>
    <w:rsid w:val="001B7348"/>
    <w:rsid w:val="001B73D5"/>
    <w:rsid w:val="001B74DA"/>
    <w:rsid w:val="001B7751"/>
    <w:rsid w:val="001B79BF"/>
    <w:rsid w:val="001C005A"/>
    <w:rsid w:val="001C02D8"/>
    <w:rsid w:val="001C04E3"/>
    <w:rsid w:val="001C09C8"/>
    <w:rsid w:val="001C0B19"/>
    <w:rsid w:val="001C0EA1"/>
    <w:rsid w:val="001C141F"/>
    <w:rsid w:val="001C1840"/>
    <w:rsid w:val="001C19BE"/>
    <w:rsid w:val="001C22FC"/>
    <w:rsid w:val="001C2378"/>
    <w:rsid w:val="001C2501"/>
    <w:rsid w:val="001C2BFD"/>
    <w:rsid w:val="001C2C3F"/>
    <w:rsid w:val="001C2C68"/>
    <w:rsid w:val="001C3B6F"/>
    <w:rsid w:val="001C3B74"/>
    <w:rsid w:val="001C3D3C"/>
    <w:rsid w:val="001C3E56"/>
    <w:rsid w:val="001C3EE9"/>
    <w:rsid w:val="001C3FA4"/>
    <w:rsid w:val="001C40F9"/>
    <w:rsid w:val="001C4328"/>
    <w:rsid w:val="001C458B"/>
    <w:rsid w:val="001C4657"/>
    <w:rsid w:val="001C4AAC"/>
    <w:rsid w:val="001C4AEF"/>
    <w:rsid w:val="001C4B77"/>
    <w:rsid w:val="001C4CAA"/>
    <w:rsid w:val="001C4F18"/>
    <w:rsid w:val="001C5442"/>
    <w:rsid w:val="001C5451"/>
    <w:rsid w:val="001C5619"/>
    <w:rsid w:val="001C5719"/>
    <w:rsid w:val="001C574A"/>
    <w:rsid w:val="001C5D4F"/>
    <w:rsid w:val="001C5EB7"/>
    <w:rsid w:val="001C623E"/>
    <w:rsid w:val="001C64C0"/>
    <w:rsid w:val="001C6949"/>
    <w:rsid w:val="001C69DA"/>
    <w:rsid w:val="001C6E3F"/>
    <w:rsid w:val="001C6F06"/>
    <w:rsid w:val="001C738B"/>
    <w:rsid w:val="001C740C"/>
    <w:rsid w:val="001C7464"/>
    <w:rsid w:val="001C7CD8"/>
    <w:rsid w:val="001D04CD"/>
    <w:rsid w:val="001D0834"/>
    <w:rsid w:val="001D084A"/>
    <w:rsid w:val="001D086A"/>
    <w:rsid w:val="001D1155"/>
    <w:rsid w:val="001D1425"/>
    <w:rsid w:val="001D1D76"/>
    <w:rsid w:val="001D2157"/>
    <w:rsid w:val="001D2360"/>
    <w:rsid w:val="001D25C3"/>
    <w:rsid w:val="001D26F4"/>
    <w:rsid w:val="001D2A73"/>
    <w:rsid w:val="001D3088"/>
    <w:rsid w:val="001D3109"/>
    <w:rsid w:val="001D332E"/>
    <w:rsid w:val="001D3806"/>
    <w:rsid w:val="001D3978"/>
    <w:rsid w:val="001D398E"/>
    <w:rsid w:val="001D3D99"/>
    <w:rsid w:val="001D3F62"/>
    <w:rsid w:val="001D42ED"/>
    <w:rsid w:val="001D4328"/>
    <w:rsid w:val="001D4962"/>
    <w:rsid w:val="001D4E16"/>
    <w:rsid w:val="001D5033"/>
    <w:rsid w:val="001D52C7"/>
    <w:rsid w:val="001D5694"/>
    <w:rsid w:val="001D5BEE"/>
    <w:rsid w:val="001D5C88"/>
    <w:rsid w:val="001D5D65"/>
    <w:rsid w:val="001D5D67"/>
    <w:rsid w:val="001D5E2D"/>
    <w:rsid w:val="001D5E7E"/>
    <w:rsid w:val="001D5ED1"/>
    <w:rsid w:val="001D62A8"/>
    <w:rsid w:val="001D6422"/>
    <w:rsid w:val="001D6567"/>
    <w:rsid w:val="001D695C"/>
    <w:rsid w:val="001D6FD9"/>
    <w:rsid w:val="001D73A7"/>
    <w:rsid w:val="001D73D3"/>
    <w:rsid w:val="001D780E"/>
    <w:rsid w:val="001E033D"/>
    <w:rsid w:val="001E04B0"/>
    <w:rsid w:val="001E05C3"/>
    <w:rsid w:val="001E0AD3"/>
    <w:rsid w:val="001E1412"/>
    <w:rsid w:val="001E1955"/>
    <w:rsid w:val="001E1D39"/>
    <w:rsid w:val="001E1F3D"/>
    <w:rsid w:val="001E1F7B"/>
    <w:rsid w:val="001E200F"/>
    <w:rsid w:val="001E2663"/>
    <w:rsid w:val="001E2BE3"/>
    <w:rsid w:val="001E2EF8"/>
    <w:rsid w:val="001E2F11"/>
    <w:rsid w:val="001E345E"/>
    <w:rsid w:val="001E36BA"/>
    <w:rsid w:val="001E36E4"/>
    <w:rsid w:val="001E379D"/>
    <w:rsid w:val="001E396A"/>
    <w:rsid w:val="001E3A3C"/>
    <w:rsid w:val="001E3C2B"/>
    <w:rsid w:val="001E3D56"/>
    <w:rsid w:val="001E3E3C"/>
    <w:rsid w:val="001E3F19"/>
    <w:rsid w:val="001E4039"/>
    <w:rsid w:val="001E41C0"/>
    <w:rsid w:val="001E52CC"/>
    <w:rsid w:val="001E557A"/>
    <w:rsid w:val="001E5C23"/>
    <w:rsid w:val="001E5E0B"/>
    <w:rsid w:val="001E5E6F"/>
    <w:rsid w:val="001E61F8"/>
    <w:rsid w:val="001E6687"/>
    <w:rsid w:val="001E6968"/>
    <w:rsid w:val="001E7504"/>
    <w:rsid w:val="001E75A2"/>
    <w:rsid w:val="001E76D2"/>
    <w:rsid w:val="001E76DF"/>
    <w:rsid w:val="001E7731"/>
    <w:rsid w:val="001E7AC2"/>
    <w:rsid w:val="001E7CF2"/>
    <w:rsid w:val="001F03CF"/>
    <w:rsid w:val="001F053E"/>
    <w:rsid w:val="001F0A8A"/>
    <w:rsid w:val="001F0E29"/>
    <w:rsid w:val="001F0FA9"/>
    <w:rsid w:val="001F1308"/>
    <w:rsid w:val="001F1525"/>
    <w:rsid w:val="001F155B"/>
    <w:rsid w:val="001F1E87"/>
    <w:rsid w:val="001F1EB6"/>
    <w:rsid w:val="001F1F24"/>
    <w:rsid w:val="001F1FE2"/>
    <w:rsid w:val="001F2730"/>
    <w:rsid w:val="001F2781"/>
    <w:rsid w:val="001F2BBF"/>
    <w:rsid w:val="001F2E23"/>
    <w:rsid w:val="001F341F"/>
    <w:rsid w:val="001F358D"/>
    <w:rsid w:val="001F3827"/>
    <w:rsid w:val="001F3911"/>
    <w:rsid w:val="001F3CCB"/>
    <w:rsid w:val="001F3F1A"/>
    <w:rsid w:val="001F3F59"/>
    <w:rsid w:val="001F405B"/>
    <w:rsid w:val="001F46A6"/>
    <w:rsid w:val="001F482A"/>
    <w:rsid w:val="001F4CBD"/>
    <w:rsid w:val="001F4DFB"/>
    <w:rsid w:val="001F50A6"/>
    <w:rsid w:val="001F5545"/>
    <w:rsid w:val="001F5777"/>
    <w:rsid w:val="001F5937"/>
    <w:rsid w:val="001F59E3"/>
    <w:rsid w:val="001F59ED"/>
    <w:rsid w:val="001F5CAA"/>
    <w:rsid w:val="001F6804"/>
    <w:rsid w:val="001F6C09"/>
    <w:rsid w:val="001F6DD4"/>
    <w:rsid w:val="001F6F56"/>
    <w:rsid w:val="001F7121"/>
    <w:rsid w:val="001F72B1"/>
    <w:rsid w:val="001F7530"/>
    <w:rsid w:val="001F7609"/>
    <w:rsid w:val="001F799B"/>
    <w:rsid w:val="00200213"/>
    <w:rsid w:val="0020067A"/>
    <w:rsid w:val="0020089D"/>
    <w:rsid w:val="00200AEF"/>
    <w:rsid w:val="00200D2C"/>
    <w:rsid w:val="00200FD8"/>
    <w:rsid w:val="00201053"/>
    <w:rsid w:val="0020156E"/>
    <w:rsid w:val="002019CD"/>
    <w:rsid w:val="002019D8"/>
    <w:rsid w:val="00201B8B"/>
    <w:rsid w:val="00201EC7"/>
    <w:rsid w:val="002020C9"/>
    <w:rsid w:val="0020245E"/>
    <w:rsid w:val="00202469"/>
    <w:rsid w:val="00202D53"/>
    <w:rsid w:val="00203046"/>
    <w:rsid w:val="0020349A"/>
    <w:rsid w:val="002034B4"/>
    <w:rsid w:val="00203904"/>
    <w:rsid w:val="00204032"/>
    <w:rsid w:val="002042DC"/>
    <w:rsid w:val="0020444C"/>
    <w:rsid w:val="002046C7"/>
    <w:rsid w:val="002047D9"/>
    <w:rsid w:val="00204A91"/>
    <w:rsid w:val="00204BAD"/>
    <w:rsid w:val="00204D60"/>
    <w:rsid w:val="00204EAE"/>
    <w:rsid w:val="00204F3D"/>
    <w:rsid w:val="00204F62"/>
    <w:rsid w:val="00205077"/>
    <w:rsid w:val="002052DE"/>
    <w:rsid w:val="00205627"/>
    <w:rsid w:val="002056D0"/>
    <w:rsid w:val="00205A4C"/>
    <w:rsid w:val="00205B18"/>
    <w:rsid w:val="00205B2F"/>
    <w:rsid w:val="00205C4A"/>
    <w:rsid w:val="00205CDD"/>
    <w:rsid w:val="0020603F"/>
    <w:rsid w:val="002062FE"/>
    <w:rsid w:val="0020698F"/>
    <w:rsid w:val="00206A6C"/>
    <w:rsid w:val="00206CE8"/>
    <w:rsid w:val="00206D15"/>
    <w:rsid w:val="00206E9A"/>
    <w:rsid w:val="00206F03"/>
    <w:rsid w:val="00207826"/>
    <w:rsid w:val="00207D2B"/>
    <w:rsid w:val="00207E60"/>
    <w:rsid w:val="00207FAF"/>
    <w:rsid w:val="00210860"/>
    <w:rsid w:val="002108C4"/>
    <w:rsid w:val="00210A75"/>
    <w:rsid w:val="00210A9C"/>
    <w:rsid w:val="00210B6A"/>
    <w:rsid w:val="002112B1"/>
    <w:rsid w:val="00211C3D"/>
    <w:rsid w:val="00212074"/>
    <w:rsid w:val="00212316"/>
    <w:rsid w:val="00212552"/>
    <w:rsid w:val="00212591"/>
    <w:rsid w:val="00212649"/>
    <w:rsid w:val="00212C3E"/>
    <w:rsid w:val="00212CB6"/>
    <w:rsid w:val="00212DE3"/>
    <w:rsid w:val="00212E37"/>
    <w:rsid w:val="0021304F"/>
    <w:rsid w:val="002136E8"/>
    <w:rsid w:val="00213749"/>
    <w:rsid w:val="00213844"/>
    <w:rsid w:val="00213917"/>
    <w:rsid w:val="002140FF"/>
    <w:rsid w:val="002141E6"/>
    <w:rsid w:val="00214365"/>
    <w:rsid w:val="002146D9"/>
    <w:rsid w:val="00214BDA"/>
    <w:rsid w:val="00214C8B"/>
    <w:rsid w:val="002156E0"/>
    <w:rsid w:val="00215AA8"/>
    <w:rsid w:val="00215CDD"/>
    <w:rsid w:val="0021609D"/>
    <w:rsid w:val="0021618E"/>
    <w:rsid w:val="00216E35"/>
    <w:rsid w:val="002170F5"/>
    <w:rsid w:val="002172BA"/>
    <w:rsid w:val="0021783A"/>
    <w:rsid w:val="00217A84"/>
    <w:rsid w:val="00217E0B"/>
    <w:rsid w:val="00220891"/>
    <w:rsid w:val="00220894"/>
    <w:rsid w:val="00220B1A"/>
    <w:rsid w:val="00220BE6"/>
    <w:rsid w:val="0022134B"/>
    <w:rsid w:val="002216C9"/>
    <w:rsid w:val="00221D96"/>
    <w:rsid w:val="00221DE9"/>
    <w:rsid w:val="00222173"/>
    <w:rsid w:val="0022218A"/>
    <w:rsid w:val="00222688"/>
    <w:rsid w:val="00222DB9"/>
    <w:rsid w:val="002230EC"/>
    <w:rsid w:val="002235B3"/>
    <w:rsid w:val="00223D16"/>
    <w:rsid w:val="0022454E"/>
    <w:rsid w:val="00224952"/>
    <w:rsid w:val="00224B23"/>
    <w:rsid w:val="00224C8B"/>
    <w:rsid w:val="00224DD2"/>
    <w:rsid w:val="0022510B"/>
    <w:rsid w:val="0022524D"/>
    <w:rsid w:val="00225255"/>
    <w:rsid w:val="002257FD"/>
    <w:rsid w:val="00225A6A"/>
    <w:rsid w:val="00225AC7"/>
    <w:rsid w:val="00225ACC"/>
    <w:rsid w:val="002269F7"/>
    <w:rsid w:val="00226B90"/>
    <w:rsid w:val="00226C39"/>
    <w:rsid w:val="00226C96"/>
    <w:rsid w:val="00227025"/>
    <w:rsid w:val="002276FC"/>
    <w:rsid w:val="00227791"/>
    <w:rsid w:val="002279AC"/>
    <w:rsid w:val="00227C7F"/>
    <w:rsid w:val="0023038E"/>
    <w:rsid w:val="00230584"/>
    <w:rsid w:val="0023076A"/>
    <w:rsid w:val="00230786"/>
    <w:rsid w:val="00230BA5"/>
    <w:rsid w:val="00230BDC"/>
    <w:rsid w:val="002311E4"/>
    <w:rsid w:val="0023148E"/>
    <w:rsid w:val="002314FE"/>
    <w:rsid w:val="00231C25"/>
    <w:rsid w:val="00231C6F"/>
    <w:rsid w:val="00232934"/>
    <w:rsid w:val="00232A90"/>
    <w:rsid w:val="00232CAF"/>
    <w:rsid w:val="00233303"/>
    <w:rsid w:val="00233306"/>
    <w:rsid w:val="002337BC"/>
    <w:rsid w:val="00233991"/>
    <w:rsid w:val="00233B8D"/>
    <w:rsid w:val="00233C84"/>
    <w:rsid w:val="00234151"/>
    <w:rsid w:val="0023417B"/>
    <w:rsid w:val="002344D3"/>
    <w:rsid w:val="002346FF"/>
    <w:rsid w:val="002347FE"/>
    <w:rsid w:val="00234F8C"/>
    <w:rsid w:val="0023516E"/>
    <w:rsid w:val="002352C0"/>
    <w:rsid w:val="0023535E"/>
    <w:rsid w:val="00235542"/>
    <w:rsid w:val="002359A3"/>
    <w:rsid w:val="00235AF6"/>
    <w:rsid w:val="002360B5"/>
    <w:rsid w:val="00236183"/>
    <w:rsid w:val="00236289"/>
    <w:rsid w:val="0023636A"/>
    <w:rsid w:val="00236878"/>
    <w:rsid w:val="0023690D"/>
    <w:rsid w:val="00236926"/>
    <w:rsid w:val="002369B0"/>
    <w:rsid w:val="00236AD8"/>
    <w:rsid w:val="00236D8B"/>
    <w:rsid w:val="002371FB"/>
    <w:rsid w:val="002373C1"/>
    <w:rsid w:val="002374DC"/>
    <w:rsid w:val="00237591"/>
    <w:rsid w:val="00237AEF"/>
    <w:rsid w:val="00237C15"/>
    <w:rsid w:val="00237C9E"/>
    <w:rsid w:val="002401AF"/>
    <w:rsid w:val="002401F5"/>
    <w:rsid w:val="002402C4"/>
    <w:rsid w:val="00240817"/>
    <w:rsid w:val="00240995"/>
    <w:rsid w:val="00240E54"/>
    <w:rsid w:val="00240F07"/>
    <w:rsid w:val="002414CB"/>
    <w:rsid w:val="0024157D"/>
    <w:rsid w:val="002416A0"/>
    <w:rsid w:val="002417F9"/>
    <w:rsid w:val="002419A9"/>
    <w:rsid w:val="00241BCC"/>
    <w:rsid w:val="00241C84"/>
    <w:rsid w:val="0024201C"/>
    <w:rsid w:val="00242C4C"/>
    <w:rsid w:val="00242EF1"/>
    <w:rsid w:val="002438AC"/>
    <w:rsid w:val="00243D61"/>
    <w:rsid w:val="00243E8F"/>
    <w:rsid w:val="002442B5"/>
    <w:rsid w:val="00244552"/>
    <w:rsid w:val="002448DE"/>
    <w:rsid w:val="00244F6B"/>
    <w:rsid w:val="00245026"/>
    <w:rsid w:val="0024509D"/>
    <w:rsid w:val="002451C5"/>
    <w:rsid w:val="00245682"/>
    <w:rsid w:val="002456D2"/>
    <w:rsid w:val="00245B5A"/>
    <w:rsid w:val="00245F1F"/>
    <w:rsid w:val="00245F2E"/>
    <w:rsid w:val="00246123"/>
    <w:rsid w:val="002462BB"/>
    <w:rsid w:val="0024663B"/>
    <w:rsid w:val="00246863"/>
    <w:rsid w:val="00246AF2"/>
    <w:rsid w:val="00247103"/>
    <w:rsid w:val="0024724C"/>
    <w:rsid w:val="0024784C"/>
    <w:rsid w:val="00250034"/>
    <w:rsid w:val="00250067"/>
    <w:rsid w:val="00250409"/>
    <w:rsid w:val="00250734"/>
    <w:rsid w:val="00250922"/>
    <w:rsid w:val="00250C81"/>
    <w:rsid w:val="00251204"/>
    <w:rsid w:val="00251341"/>
    <w:rsid w:val="00251372"/>
    <w:rsid w:val="00251422"/>
    <w:rsid w:val="00251523"/>
    <w:rsid w:val="002516AE"/>
    <w:rsid w:val="002516DE"/>
    <w:rsid w:val="00251B73"/>
    <w:rsid w:val="00251F81"/>
    <w:rsid w:val="0025201E"/>
    <w:rsid w:val="0025221A"/>
    <w:rsid w:val="002527C3"/>
    <w:rsid w:val="002527FF"/>
    <w:rsid w:val="00252BE0"/>
    <w:rsid w:val="00252ED3"/>
    <w:rsid w:val="002532C5"/>
    <w:rsid w:val="002532D4"/>
    <w:rsid w:val="00253588"/>
    <w:rsid w:val="00253AEF"/>
    <w:rsid w:val="00253D36"/>
    <w:rsid w:val="00253F28"/>
    <w:rsid w:val="00253F75"/>
    <w:rsid w:val="00253FB8"/>
    <w:rsid w:val="002546F4"/>
    <w:rsid w:val="00254865"/>
    <w:rsid w:val="00254CF1"/>
    <w:rsid w:val="002551D0"/>
    <w:rsid w:val="00255374"/>
    <w:rsid w:val="002557A2"/>
    <w:rsid w:val="002558BB"/>
    <w:rsid w:val="00255AAD"/>
    <w:rsid w:val="00255D73"/>
    <w:rsid w:val="00255DB7"/>
    <w:rsid w:val="00255E2A"/>
    <w:rsid w:val="00255ED4"/>
    <w:rsid w:val="00257300"/>
    <w:rsid w:val="00257BF4"/>
    <w:rsid w:val="00257C9A"/>
    <w:rsid w:val="00257CDE"/>
    <w:rsid w:val="00257F53"/>
    <w:rsid w:val="00260003"/>
    <w:rsid w:val="00260026"/>
    <w:rsid w:val="002602FE"/>
    <w:rsid w:val="0026035D"/>
    <w:rsid w:val="002603D3"/>
    <w:rsid w:val="002606A8"/>
    <w:rsid w:val="002606D6"/>
    <w:rsid w:val="00260AD3"/>
    <w:rsid w:val="00260BC8"/>
    <w:rsid w:val="00260C8F"/>
    <w:rsid w:val="00260DCB"/>
    <w:rsid w:val="00260F56"/>
    <w:rsid w:val="00260FCB"/>
    <w:rsid w:val="002611EF"/>
    <w:rsid w:val="002615BE"/>
    <w:rsid w:val="00261871"/>
    <w:rsid w:val="00261A5B"/>
    <w:rsid w:val="00261C98"/>
    <w:rsid w:val="00261DD4"/>
    <w:rsid w:val="00261EC1"/>
    <w:rsid w:val="00261FB9"/>
    <w:rsid w:val="002622FC"/>
    <w:rsid w:val="0026248E"/>
    <w:rsid w:val="00262914"/>
    <w:rsid w:val="002629B3"/>
    <w:rsid w:val="00262FC1"/>
    <w:rsid w:val="00262FD2"/>
    <w:rsid w:val="0026315A"/>
    <w:rsid w:val="00263642"/>
    <w:rsid w:val="00263721"/>
    <w:rsid w:val="002640FF"/>
    <w:rsid w:val="00264406"/>
    <w:rsid w:val="002647BF"/>
    <w:rsid w:val="002647D5"/>
    <w:rsid w:val="00264DE6"/>
    <w:rsid w:val="00265032"/>
    <w:rsid w:val="002651FB"/>
    <w:rsid w:val="0026538C"/>
    <w:rsid w:val="0026553B"/>
    <w:rsid w:val="002655A6"/>
    <w:rsid w:val="00265781"/>
    <w:rsid w:val="002659A5"/>
    <w:rsid w:val="00265DD1"/>
    <w:rsid w:val="00265E7B"/>
    <w:rsid w:val="00265F54"/>
    <w:rsid w:val="002661A7"/>
    <w:rsid w:val="00266510"/>
    <w:rsid w:val="002666A0"/>
    <w:rsid w:val="00266B13"/>
    <w:rsid w:val="00266C51"/>
    <w:rsid w:val="00266DDF"/>
    <w:rsid w:val="00266F29"/>
    <w:rsid w:val="00266F53"/>
    <w:rsid w:val="00267DA1"/>
    <w:rsid w:val="002701CB"/>
    <w:rsid w:val="002703A2"/>
    <w:rsid w:val="002706C0"/>
    <w:rsid w:val="00270728"/>
    <w:rsid w:val="00270A87"/>
    <w:rsid w:val="00270D42"/>
    <w:rsid w:val="0027124B"/>
    <w:rsid w:val="00271895"/>
    <w:rsid w:val="0027195D"/>
    <w:rsid w:val="00271D1D"/>
    <w:rsid w:val="00271D76"/>
    <w:rsid w:val="00271F7F"/>
    <w:rsid w:val="00272866"/>
    <w:rsid w:val="00272A82"/>
    <w:rsid w:val="00272B03"/>
    <w:rsid w:val="00272D16"/>
    <w:rsid w:val="00272DB2"/>
    <w:rsid w:val="00273171"/>
    <w:rsid w:val="002732ED"/>
    <w:rsid w:val="002733E2"/>
    <w:rsid w:val="0027348E"/>
    <w:rsid w:val="00273CB3"/>
    <w:rsid w:val="0027404C"/>
    <w:rsid w:val="0027422C"/>
    <w:rsid w:val="0027450A"/>
    <w:rsid w:val="002745CB"/>
    <w:rsid w:val="00274799"/>
    <w:rsid w:val="00274A19"/>
    <w:rsid w:val="002750B1"/>
    <w:rsid w:val="002755CC"/>
    <w:rsid w:val="0027583E"/>
    <w:rsid w:val="00275BF8"/>
    <w:rsid w:val="00275EFE"/>
    <w:rsid w:val="00276166"/>
    <w:rsid w:val="00276462"/>
    <w:rsid w:val="00276473"/>
    <w:rsid w:val="00276897"/>
    <w:rsid w:val="0027689C"/>
    <w:rsid w:val="002768A9"/>
    <w:rsid w:val="00276A35"/>
    <w:rsid w:val="0027715E"/>
    <w:rsid w:val="00277411"/>
    <w:rsid w:val="00277835"/>
    <w:rsid w:val="00277B56"/>
    <w:rsid w:val="00277D47"/>
    <w:rsid w:val="00277D95"/>
    <w:rsid w:val="00277DF4"/>
    <w:rsid w:val="0028065D"/>
    <w:rsid w:val="002809D4"/>
    <w:rsid w:val="00280A7B"/>
    <w:rsid w:val="00280AB1"/>
    <w:rsid w:val="00281194"/>
    <w:rsid w:val="00281C22"/>
    <w:rsid w:val="00281EC1"/>
    <w:rsid w:val="00282247"/>
    <w:rsid w:val="00282455"/>
    <w:rsid w:val="0028246F"/>
    <w:rsid w:val="00282A96"/>
    <w:rsid w:val="00282C7E"/>
    <w:rsid w:val="0028376B"/>
    <w:rsid w:val="0028389E"/>
    <w:rsid w:val="00283913"/>
    <w:rsid w:val="00283C9B"/>
    <w:rsid w:val="00283F09"/>
    <w:rsid w:val="002841CB"/>
    <w:rsid w:val="002841F0"/>
    <w:rsid w:val="00284606"/>
    <w:rsid w:val="00284643"/>
    <w:rsid w:val="0028479C"/>
    <w:rsid w:val="00284935"/>
    <w:rsid w:val="00284BAE"/>
    <w:rsid w:val="00284BEF"/>
    <w:rsid w:val="00284DA0"/>
    <w:rsid w:val="00285394"/>
    <w:rsid w:val="002853BC"/>
    <w:rsid w:val="002854A1"/>
    <w:rsid w:val="002859AF"/>
    <w:rsid w:val="00285ADA"/>
    <w:rsid w:val="002863B3"/>
    <w:rsid w:val="0028640F"/>
    <w:rsid w:val="002865A8"/>
    <w:rsid w:val="00286673"/>
    <w:rsid w:val="00286AE7"/>
    <w:rsid w:val="00286B65"/>
    <w:rsid w:val="00286BD0"/>
    <w:rsid w:val="00287243"/>
    <w:rsid w:val="00287271"/>
    <w:rsid w:val="002876E7"/>
    <w:rsid w:val="00287C4E"/>
    <w:rsid w:val="00287D65"/>
    <w:rsid w:val="00287E3A"/>
    <w:rsid w:val="00287FAE"/>
    <w:rsid w:val="00290647"/>
    <w:rsid w:val="00290BA8"/>
    <w:rsid w:val="00290C4A"/>
    <w:rsid w:val="00290F9E"/>
    <w:rsid w:val="00291178"/>
    <w:rsid w:val="00291385"/>
    <w:rsid w:val="00291422"/>
    <w:rsid w:val="00291754"/>
    <w:rsid w:val="00291AE7"/>
    <w:rsid w:val="00291E17"/>
    <w:rsid w:val="0029237F"/>
    <w:rsid w:val="00292438"/>
    <w:rsid w:val="00292715"/>
    <w:rsid w:val="002928E8"/>
    <w:rsid w:val="00292B29"/>
    <w:rsid w:val="00292BF6"/>
    <w:rsid w:val="00292FBE"/>
    <w:rsid w:val="002934F4"/>
    <w:rsid w:val="002938E3"/>
    <w:rsid w:val="00293D83"/>
    <w:rsid w:val="00293E57"/>
    <w:rsid w:val="00294092"/>
    <w:rsid w:val="00294448"/>
    <w:rsid w:val="002947D1"/>
    <w:rsid w:val="002948DF"/>
    <w:rsid w:val="00294D90"/>
    <w:rsid w:val="0029503F"/>
    <w:rsid w:val="00295048"/>
    <w:rsid w:val="0029534D"/>
    <w:rsid w:val="0029547B"/>
    <w:rsid w:val="002959C9"/>
    <w:rsid w:val="00295B4C"/>
    <w:rsid w:val="00295C1A"/>
    <w:rsid w:val="00295C22"/>
    <w:rsid w:val="00295E1A"/>
    <w:rsid w:val="00296595"/>
    <w:rsid w:val="00296940"/>
    <w:rsid w:val="00296C1E"/>
    <w:rsid w:val="00296C48"/>
    <w:rsid w:val="00296F2F"/>
    <w:rsid w:val="0029745E"/>
    <w:rsid w:val="00297889"/>
    <w:rsid w:val="00297B84"/>
    <w:rsid w:val="00297E08"/>
    <w:rsid w:val="00297E4A"/>
    <w:rsid w:val="002A0719"/>
    <w:rsid w:val="002A0805"/>
    <w:rsid w:val="002A083F"/>
    <w:rsid w:val="002A0CFF"/>
    <w:rsid w:val="002A0D10"/>
    <w:rsid w:val="002A0D25"/>
    <w:rsid w:val="002A0E5C"/>
    <w:rsid w:val="002A109E"/>
    <w:rsid w:val="002A1881"/>
    <w:rsid w:val="002A1B1B"/>
    <w:rsid w:val="002A1C48"/>
    <w:rsid w:val="002A1E92"/>
    <w:rsid w:val="002A204D"/>
    <w:rsid w:val="002A257E"/>
    <w:rsid w:val="002A2582"/>
    <w:rsid w:val="002A2616"/>
    <w:rsid w:val="002A26E1"/>
    <w:rsid w:val="002A2A37"/>
    <w:rsid w:val="002A2D69"/>
    <w:rsid w:val="002A2F85"/>
    <w:rsid w:val="002A3260"/>
    <w:rsid w:val="002A368A"/>
    <w:rsid w:val="002A39BF"/>
    <w:rsid w:val="002A4065"/>
    <w:rsid w:val="002A4C60"/>
    <w:rsid w:val="002A51DD"/>
    <w:rsid w:val="002A546C"/>
    <w:rsid w:val="002A5849"/>
    <w:rsid w:val="002A59F0"/>
    <w:rsid w:val="002A5A92"/>
    <w:rsid w:val="002A5C2F"/>
    <w:rsid w:val="002A5E49"/>
    <w:rsid w:val="002A633C"/>
    <w:rsid w:val="002A6432"/>
    <w:rsid w:val="002A65D1"/>
    <w:rsid w:val="002A666B"/>
    <w:rsid w:val="002A674B"/>
    <w:rsid w:val="002A680C"/>
    <w:rsid w:val="002A6A32"/>
    <w:rsid w:val="002A6C7C"/>
    <w:rsid w:val="002A6F25"/>
    <w:rsid w:val="002A6FD3"/>
    <w:rsid w:val="002A70D6"/>
    <w:rsid w:val="002A757B"/>
    <w:rsid w:val="002B0A7D"/>
    <w:rsid w:val="002B130E"/>
    <w:rsid w:val="002B1380"/>
    <w:rsid w:val="002B14AE"/>
    <w:rsid w:val="002B18A5"/>
    <w:rsid w:val="002B19A9"/>
    <w:rsid w:val="002B1A69"/>
    <w:rsid w:val="002B1BA7"/>
    <w:rsid w:val="002B1C21"/>
    <w:rsid w:val="002B1D71"/>
    <w:rsid w:val="002B1F66"/>
    <w:rsid w:val="002B1FEE"/>
    <w:rsid w:val="002B2723"/>
    <w:rsid w:val="002B2746"/>
    <w:rsid w:val="002B293A"/>
    <w:rsid w:val="002B2B87"/>
    <w:rsid w:val="002B303A"/>
    <w:rsid w:val="002B3143"/>
    <w:rsid w:val="002B39C0"/>
    <w:rsid w:val="002B3B32"/>
    <w:rsid w:val="002B3E8C"/>
    <w:rsid w:val="002B3EB1"/>
    <w:rsid w:val="002B3F17"/>
    <w:rsid w:val="002B409A"/>
    <w:rsid w:val="002B4398"/>
    <w:rsid w:val="002B43A0"/>
    <w:rsid w:val="002B452A"/>
    <w:rsid w:val="002B47E8"/>
    <w:rsid w:val="002B50D2"/>
    <w:rsid w:val="002B538E"/>
    <w:rsid w:val="002B53FB"/>
    <w:rsid w:val="002B5474"/>
    <w:rsid w:val="002B555C"/>
    <w:rsid w:val="002B575D"/>
    <w:rsid w:val="002B5954"/>
    <w:rsid w:val="002B5AA9"/>
    <w:rsid w:val="002B5DCA"/>
    <w:rsid w:val="002B5EA7"/>
    <w:rsid w:val="002B63C4"/>
    <w:rsid w:val="002B69DF"/>
    <w:rsid w:val="002B6BDC"/>
    <w:rsid w:val="002B6E8F"/>
    <w:rsid w:val="002B714D"/>
    <w:rsid w:val="002B728F"/>
    <w:rsid w:val="002B737A"/>
    <w:rsid w:val="002B749A"/>
    <w:rsid w:val="002B75B0"/>
    <w:rsid w:val="002B7824"/>
    <w:rsid w:val="002B7A72"/>
    <w:rsid w:val="002B7EAF"/>
    <w:rsid w:val="002C02A6"/>
    <w:rsid w:val="002C0302"/>
    <w:rsid w:val="002C034E"/>
    <w:rsid w:val="002C0636"/>
    <w:rsid w:val="002C07BE"/>
    <w:rsid w:val="002C099C"/>
    <w:rsid w:val="002C0B74"/>
    <w:rsid w:val="002C0C8B"/>
    <w:rsid w:val="002C0CBB"/>
    <w:rsid w:val="002C1201"/>
    <w:rsid w:val="002C121F"/>
    <w:rsid w:val="002C1460"/>
    <w:rsid w:val="002C182F"/>
    <w:rsid w:val="002C190A"/>
    <w:rsid w:val="002C20DC"/>
    <w:rsid w:val="002C20F2"/>
    <w:rsid w:val="002C2609"/>
    <w:rsid w:val="002C27BC"/>
    <w:rsid w:val="002C2C08"/>
    <w:rsid w:val="002C3500"/>
    <w:rsid w:val="002C387C"/>
    <w:rsid w:val="002C38B2"/>
    <w:rsid w:val="002C38DD"/>
    <w:rsid w:val="002C3A06"/>
    <w:rsid w:val="002C3CD0"/>
    <w:rsid w:val="002C3F9C"/>
    <w:rsid w:val="002C4039"/>
    <w:rsid w:val="002C420E"/>
    <w:rsid w:val="002C4264"/>
    <w:rsid w:val="002C4728"/>
    <w:rsid w:val="002C4C55"/>
    <w:rsid w:val="002C4EDF"/>
    <w:rsid w:val="002C5411"/>
    <w:rsid w:val="002C57D4"/>
    <w:rsid w:val="002C598F"/>
    <w:rsid w:val="002C5AFA"/>
    <w:rsid w:val="002C67D8"/>
    <w:rsid w:val="002C6B7D"/>
    <w:rsid w:val="002C6EDB"/>
    <w:rsid w:val="002C72B2"/>
    <w:rsid w:val="002C744E"/>
    <w:rsid w:val="002C7B25"/>
    <w:rsid w:val="002C7CDC"/>
    <w:rsid w:val="002C7FDF"/>
    <w:rsid w:val="002D00F9"/>
    <w:rsid w:val="002D01D4"/>
    <w:rsid w:val="002D0389"/>
    <w:rsid w:val="002D0439"/>
    <w:rsid w:val="002D04FC"/>
    <w:rsid w:val="002D0763"/>
    <w:rsid w:val="002D09BE"/>
    <w:rsid w:val="002D0C98"/>
    <w:rsid w:val="002D11B7"/>
    <w:rsid w:val="002D1322"/>
    <w:rsid w:val="002D17F8"/>
    <w:rsid w:val="002D1A1D"/>
    <w:rsid w:val="002D1E14"/>
    <w:rsid w:val="002D286B"/>
    <w:rsid w:val="002D2962"/>
    <w:rsid w:val="002D2CC8"/>
    <w:rsid w:val="002D2F4E"/>
    <w:rsid w:val="002D3163"/>
    <w:rsid w:val="002D32F7"/>
    <w:rsid w:val="002D3305"/>
    <w:rsid w:val="002D3AFA"/>
    <w:rsid w:val="002D3BBC"/>
    <w:rsid w:val="002D438A"/>
    <w:rsid w:val="002D4DB2"/>
    <w:rsid w:val="002D50EF"/>
    <w:rsid w:val="002D5738"/>
    <w:rsid w:val="002D5A07"/>
    <w:rsid w:val="002D5B3E"/>
    <w:rsid w:val="002D5E53"/>
    <w:rsid w:val="002D60C3"/>
    <w:rsid w:val="002D63BE"/>
    <w:rsid w:val="002D66D1"/>
    <w:rsid w:val="002D6884"/>
    <w:rsid w:val="002D6915"/>
    <w:rsid w:val="002D709F"/>
    <w:rsid w:val="002D721A"/>
    <w:rsid w:val="002D726D"/>
    <w:rsid w:val="002D7584"/>
    <w:rsid w:val="002D7A98"/>
    <w:rsid w:val="002D7F71"/>
    <w:rsid w:val="002E0319"/>
    <w:rsid w:val="002E0991"/>
    <w:rsid w:val="002E0DAE"/>
    <w:rsid w:val="002E1272"/>
    <w:rsid w:val="002E1622"/>
    <w:rsid w:val="002E167C"/>
    <w:rsid w:val="002E16C5"/>
    <w:rsid w:val="002E179B"/>
    <w:rsid w:val="002E1AC7"/>
    <w:rsid w:val="002E1C9E"/>
    <w:rsid w:val="002E22B7"/>
    <w:rsid w:val="002E257B"/>
    <w:rsid w:val="002E2A3B"/>
    <w:rsid w:val="002E2C53"/>
    <w:rsid w:val="002E2E11"/>
    <w:rsid w:val="002E2EA3"/>
    <w:rsid w:val="002E307A"/>
    <w:rsid w:val="002E37DB"/>
    <w:rsid w:val="002E3B56"/>
    <w:rsid w:val="002E3C65"/>
    <w:rsid w:val="002E3E70"/>
    <w:rsid w:val="002E3EAB"/>
    <w:rsid w:val="002E3F5B"/>
    <w:rsid w:val="002E3F84"/>
    <w:rsid w:val="002E4362"/>
    <w:rsid w:val="002E44D4"/>
    <w:rsid w:val="002E46F6"/>
    <w:rsid w:val="002E4A60"/>
    <w:rsid w:val="002E50A9"/>
    <w:rsid w:val="002E575F"/>
    <w:rsid w:val="002E593D"/>
    <w:rsid w:val="002E63D7"/>
    <w:rsid w:val="002E63D9"/>
    <w:rsid w:val="002E640E"/>
    <w:rsid w:val="002E6B1E"/>
    <w:rsid w:val="002E6CE0"/>
    <w:rsid w:val="002E6F13"/>
    <w:rsid w:val="002E6F84"/>
    <w:rsid w:val="002E7538"/>
    <w:rsid w:val="002E753D"/>
    <w:rsid w:val="002E793A"/>
    <w:rsid w:val="002E7E0E"/>
    <w:rsid w:val="002F0169"/>
    <w:rsid w:val="002F01FF"/>
    <w:rsid w:val="002F0789"/>
    <w:rsid w:val="002F0C28"/>
    <w:rsid w:val="002F1250"/>
    <w:rsid w:val="002F15D9"/>
    <w:rsid w:val="002F17FB"/>
    <w:rsid w:val="002F186B"/>
    <w:rsid w:val="002F18EF"/>
    <w:rsid w:val="002F1E2C"/>
    <w:rsid w:val="002F1E5A"/>
    <w:rsid w:val="002F20BE"/>
    <w:rsid w:val="002F2577"/>
    <w:rsid w:val="002F2662"/>
    <w:rsid w:val="002F2DE6"/>
    <w:rsid w:val="002F3168"/>
    <w:rsid w:val="002F3832"/>
    <w:rsid w:val="002F3CDE"/>
    <w:rsid w:val="002F3E13"/>
    <w:rsid w:val="002F43E7"/>
    <w:rsid w:val="002F4922"/>
    <w:rsid w:val="002F5351"/>
    <w:rsid w:val="002F53ED"/>
    <w:rsid w:val="002F5464"/>
    <w:rsid w:val="002F5625"/>
    <w:rsid w:val="002F58CD"/>
    <w:rsid w:val="002F5A59"/>
    <w:rsid w:val="002F5DD6"/>
    <w:rsid w:val="002F5FEA"/>
    <w:rsid w:val="002F63E7"/>
    <w:rsid w:val="002F6875"/>
    <w:rsid w:val="002F6D0E"/>
    <w:rsid w:val="002F774E"/>
    <w:rsid w:val="002F7910"/>
    <w:rsid w:val="002F7B8E"/>
    <w:rsid w:val="002F7BE3"/>
    <w:rsid w:val="002F7E6A"/>
    <w:rsid w:val="002F7F82"/>
    <w:rsid w:val="0030006E"/>
    <w:rsid w:val="00300165"/>
    <w:rsid w:val="003005A1"/>
    <w:rsid w:val="003005D4"/>
    <w:rsid w:val="003009AC"/>
    <w:rsid w:val="003009EF"/>
    <w:rsid w:val="003010CF"/>
    <w:rsid w:val="003013AB"/>
    <w:rsid w:val="00301617"/>
    <w:rsid w:val="0030202E"/>
    <w:rsid w:val="00302754"/>
    <w:rsid w:val="00302CF3"/>
    <w:rsid w:val="00302D13"/>
    <w:rsid w:val="00303440"/>
    <w:rsid w:val="00303C1E"/>
    <w:rsid w:val="00304052"/>
    <w:rsid w:val="003043A1"/>
    <w:rsid w:val="00304C5B"/>
    <w:rsid w:val="00304D9B"/>
    <w:rsid w:val="00304DE8"/>
    <w:rsid w:val="00305058"/>
    <w:rsid w:val="0030511B"/>
    <w:rsid w:val="00305284"/>
    <w:rsid w:val="00305664"/>
    <w:rsid w:val="00305CFC"/>
    <w:rsid w:val="00305DF0"/>
    <w:rsid w:val="00305E26"/>
    <w:rsid w:val="00305FF9"/>
    <w:rsid w:val="0030603D"/>
    <w:rsid w:val="003061F1"/>
    <w:rsid w:val="0030641E"/>
    <w:rsid w:val="00306529"/>
    <w:rsid w:val="0030697F"/>
    <w:rsid w:val="00306CBD"/>
    <w:rsid w:val="00306CD6"/>
    <w:rsid w:val="00306D76"/>
    <w:rsid w:val="00306DD7"/>
    <w:rsid w:val="00306E55"/>
    <w:rsid w:val="00306E6B"/>
    <w:rsid w:val="003072E8"/>
    <w:rsid w:val="00307338"/>
    <w:rsid w:val="003077CC"/>
    <w:rsid w:val="00307C36"/>
    <w:rsid w:val="00307DCE"/>
    <w:rsid w:val="00310097"/>
    <w:rsid w:val="003100C8"/>
    <w:rsid w:val="00310194"/>
    <w:rsid w:val="0031052E"/>
    <w:rsid w:val="003106DE"/>
    <w:rsid w:val="00310A46"/>
    <w:rsid w:val="00310EC7"/>
    <w:rsid w:val="00311161"/>
    <w:rsid w:val="00311397"/>
    <w:rsid w:val="00311B29"/>
    <w:rsid w:val="00311F68"/>
    <w:rsid w:val="00311F6F"/>
    <w:rsid w:val="00312400"/>
    <w:rsid w:val="00312739"/>
    <w:rsid w:val="00312A17"/>
    <w:rsid w:val="00312AD7"/>
    <w:rsid w:val="00312CB5"/>
    <w:rsid w:val="00312D10"/>
    <w:rsid w:val="00312EC8"/>
    <w:rsid w:val="0031306A"/>
    <w:rsid w:val="003130B6"/>
    <w:rsid w:val="00313148"/>
    <w:rsid w:val="00313280"/>
    <w:rsid w:val="0031336F"/>
    <w:rsid w:val="0031361D"/>
    <w:rsid w:val="0031382C"/>
    <w:rsid w:val="0031406C"/>
    <w:rsid w:val="003140F3"/>
    <w:rsid w:val="003144E3"/>
    <w:rsid w:val="00314BDF"/>
    <w:rsid w:val="00314C05"/>
    <w:rsid w:val="00314DBF"/>
    <w:rsid w:val="00314F2E"/>
    <w:rsid w:val="0031545F"/>
    <w:rsid w:val="003156C4"/>
    <w:rsid w:val="003158DE"/>
    <w:rsid w:val="00315D56"/>
    <w:rsid w:val="00315EDE"/>
    <w:rsid w:val="00315F63"/>
    <w:rsid w:val="00316689"/>
    <w:rsid w:val="0031674C"/>
    <w:rsid w:val="00316EB5"/>
    <w:rsid w:val="00316FE4"/>
    <w:rsid w:val="00317318"/>
    <w:rsid w:val="00317496"/>
    <w:rsid w:val="00317577"/>
    <w:rsid w:val="0031781A"/>
    <w:rsid w:val="003178DA"/>
    <w:rsid w:val="00317966"/>
    <w:rsid w:val="00317A11"/>
    <w:rsid w:val="00317C91"/>
    <w:rsid w:val="00317DB8"/>
    <w:rsid w:val="00317E99"/>
    <w:rsid w:val="00317F51"/>
    <w:rsid w:val="003202C2"/>
    <w:rsid w:val="0032040A"/>
    <w:rsid w:val="00320618"/>
    <w:rsid w:val="003209A4"/>
    <w:rsid w:val="00320BA6"/>
    <w:rsid w:val="00320C54"/>
    <w:rsid w:val="0032100B"/>
    <w:rsid w:val="00321793"/>
    <w:rsid w:val="00321BD7"/>
    <w:rsid w:val="00321C88"/>
    <w:rsid w:val="00321F40"/>
    <w:rsid w:val="00321FE0"/>
    <w:rsid w:val="0032260F"/>
    <w:rsid w:val="00322835"/>
    <w:rsid w:val="00322859"/>
    <w:rsid w:val="003228DA"/>
    <w:rsid w:val="00322B3A"/>
    <w:rsid w:val="003231E4"/>
    <w:rsid w:val="003232AF"/>
    <w:rsid w:val="003232C1"/>
    <w:rsid w:val="003238CF"/>
    <w:rsid w:val="003238DB"/>
    <w:rsid w:val="00323D6B"/>
    <w:rsid w:val="00323DFC"/>
    <w:rsid w:val="0032463B"/>
    <w:rsid w:val="00324B51"/>
    <w:rsid w:val="00324D86"/>
    <w:rsid w:val="00324E6A"/>
    <w:rsid w:val="003255C6"/>
    <w:rsid w:val="003257F6"/>
    <w:rsid w:val="003257FD"/>
    <w:rsid w:val="00325A20"/>
    <w:rsid w:val="003268B9"/>
    <w:rsid w:val="00326957"/>
    <w:rsid w:val="00326AE2"/>
    <w:rsid w:val="00326B4C"/>
    <w:rsid w:val="00327025"/>
    <w:rsid w:val="00327482"/>
    <w:rsid w:val="003275B7"/>
    <w:rsid w:val="00327981"/>
    <w:rsid w:val="00327A9F"/>
    <w:rsid w:val="00327D3E"/>
    <w:rsid w:val="00327D5C"/>
    <w:rsid w:val="003302AB"/>
    <w:rsid w:val="003308CA"/>
    <w:rsid w:val="00330AA4"/>
    <w:rsid w:val="00330FDB"/>
    <w:rsid w:val="00331525"/>
    <w:rsid w:val="0033171D"/>
    <w:rsid w:val="003318AA"/>
    <w:rsid w:val="003319B5"/>
    <w:rsid w:val="00331D0A"/>
    <w:rsid w:val="00331FC3"/>
    <w:rsid w:val="00332165"/>
    <w:rsid w:val="003322C0"/>
    <w:rsid w:val="00332F3B"/>
    <w:rsid w:val="00332F3D"/>
    <w:rsid w:val="003336B3"/>
    <w:rsid w:val="00333A5B"/>
    <w:rsid w:val="0033426B"/>
    <w:rsid w:val="0033492A"/>
    <w:rsid w:val="00334EAA"/>
    <w:rsid w:val="003351B6"/>
    <w:rsid w:val="003351FF"/>
    <w:rsid w:val="00335B75"/>
    <w:rsid w:val="00335D8C"/>
    <w:rsid w:val="00335F97"/>
    <w:rsid w:val="00336072"/>
    <w:rsid w:val="0033617E"/>
    <w:rsid w:val="0033633C"/>
    <w:rsid w:val="003363A1"/>
    <w:rsid w:val="00336B3F"/>
    <w:rsid w:val="003374A4"/>
    <w:rsid w:val="00337513"/>
    <w:rsid w:val="00337D49"/>
    <w:rsid w:val="0034038E"/>
    <w:rsid w:val="00340946"/>
    <w:rsid w:val="00340BB7"/>
    <w:rsid w:val="00341947"/>
    <w:rsid w:val="0034226D"/>
    <w:rsid w:val="0034241F"/>
    <w:rsid w:val="0034295E"/>
    <w:rsid w:val="00342972"/>
    <w:rsid w:val="00342B0A"/>
    <w:rsid w:val="00342FDD"/>
    <w:rsid w:val="00343198"/>
    <w:rsid w:val="00343479"/>
    <w:rsid w:val="00343573"/>
    <w:rsid w:val="0034371D"/>
    <w:rsid w:val="00343B4D"/>
    <w:rsid w:val="00343C97"/>
    <w:rsid w:val="00343E6E"/>
    <w:rsid w:val="0034429B"/>
    <w:rsid w:val="003442FF"/>
    <w:rsid w:val="00344645"/>
    <w:rsid w:val="00344866"/>
    <w:rsid w:val="0034492F"/>
    <w:rsid w:val="00344F9B"/>
    <w:rsid w:val="00345001"/>
    <w:rsid w:val="00345F14"/>
    <w:rsid w:val="003462FD"/>
    <w:rsid w:val="0034638C"/>
    <w:rsid w:val="003463B1"/>
    <w:rsid w:val="0034666E"/>
    <w:rsid w:val="00346746"/>
    <w:rsid w:val="00346C4F"/>
    <w:rsid w:val="00346F7F"/>
    <w:rsid w:val="00347394"/>
    <w:rsid w:val="00347700"/>
    <w:rsid w:val="0034770B"/>
    <w:rsid w:val="0034786A"/>
    <w:rsid w:val="00347877"/>
    <w:rsid w:val="003478A8"/>
    <w:rsid w:val="00347DC4"/>
    <w:rsid w:val="00347DE2"/>
    <w:rsid w:val="00350108"/>
    <w:rsid w:val="003502A8"/>
    <w:rsid w:val="00350762"/>
    <w:rsid w:val="003507C4"/>
    <w:rsid w:val="00350C10"/>
    <w:rsid w:val="00350D6F"/>
    <w:rsid w:val="00351029"/>
    <w:rsid w:val="00351110"/>
    <w:rsid w:val="00351113"/>
    <w:rsid w:val="00351124"/>
    <w:rsid w:val="00351186"/>
    <w:rsid w:val="00351947"/>
    <w:rsid w:val="003519A1"/>
    <w:rsid w:val="00351FB3"/>
    <w:rsid w:val="00352138"/>
    <w:rsid w:val="00352480"/>
    <w:rsid w:val="003525B4"/>
    <w:rsid w:val="00352853"/>
    <w:rsid w:val="00352ECF"/>
    <w:rsid w:val="003530D2"/>
    <w:rsid w:val="003531B0"/>
    <w:rsid w:val="0035331A"/>
    <w:rsid w:val="003534E1"/>
    <w:rsid w:val="003535EC"/>
    <w:rsid w:val="00353B0A"/>
    <w:rsid w:val="00353F96"/>
    <w:rsid w:val="00354652"/>
    <w:rsid w:val="003548D8"/>
    <w:rsid w:val="00354A6C"/>
    <w:rsid w:val="00354A98"/>
    <w:rsid w:val="00354EF2"/>
    <w:rsid w:val="00354EF6"/>
    <w:rsid w:val="00355021"/>
    <w:rsid w:val="003554CA"/>
    <w:rsid w:val="00355A12"/>
    <w:rsid w:val="00355F0A"/>
    <w:rsid w:val="00355F4C"/>
    <w:rsid w:val="00356164"/>
    <w:rsid w:val="003565C7"/>
    <w:rsid w:val="0035679F"/>
    <w:rsid w:val="003567B4"/>
    <w:rsid w:val="0035691E"/>
    <w:rsid w:val="0035693E"/>
    <w:rsid w:val="00356A12"/>
    <w:rsid w:val="00356F1E"/>
    <w:rsid w:val="003574B7"/>
    <w:rsid w:val="00357776"/>
    <w:rsid w:val="00357844"/>
    <w:rsid w:val="00357931"/>
    <w:rsid w:val="00360232"/>
    <w:rsid w:val="0036024F"/>
    <w:rsid w:val="003602E0"/>
    <w:rsid w:val="003608E8"/>
    <w:rsid w:val="00360922"/>
    <w:rsid w:val="00360BB0"/>
    <w:rsid w:val="00360D01"/>
    <w:rsid w:val="003610DA"/>
    <w:rsid w:val="00361539"/>
    <w:rsid w:val="003617BD"/>
    <w:rsid w:val="00361ACB"/>
    <w:rsid w:val="00361BA3"/>
    <w:rsid w:val="00361E81"/>
    <w:rsid w:val="00361F20"/>
    <w:rsid w:val="0036208A"/>
    <w:rsid w:val="003621F9"/>
    <w:rsid w:val="00362252"/>
    <w:rsid w:val="0036227F"/>
    <w:rsid w:val="00362569"/>
    <w:rsid w:val="00362760"/>
    <w:rsid w:val="00362B15"/>
    <w:rsid w:val="00362EEB"/>
    <w:rsid w:val="00362EF6"/>
    <w:rsid w:val="00363364"/>
    <w:rsid w:val="00363493"/>
    <w:rsid w:val="003636A5"/>
    <w:rsid w:val="003636CD"/>
    <w:rsid w:val="00363701"/>
    <w:rsid w:val="00363889"/>
    <w:rsid w:val="003639F6"/>
    <w:rsid w:val="00363EEF"/>
    <w:rsid w:val="0036405E"/>
    <w:rsid w:val="0036420C"/>
    <w:rsid w:val="0036425B"/>
    <w:rsid w:val="003642B6"/>
    <w:rsid w:val="00364394"/>
    <w:rsid w:val="00364518"/>
    <w:rsid w:val="003645F8"/>
    <w:rsid w:val="00364691"/>
    <w:rsid w:val="003647AF"/>
    <w:rsid w:val="0036487C"/>
    <w:rsid w:val="00364C65"/>
    <w:rsid w:val="00364EA3"/>
    <w:rsid w:val="00364F80"/>
    <w:rsid w:val="003651AB"/>
    <w:rsid w:val="00365411"/>
    <w:rsid w:val="003654C3"/>
    <w:rsid w:val="003655C4"/>
    <w:rsid w:val="00365E08"/>
    <w:rsid w:val="00365FA2"/>
    <w:rsid w:val="00366154"/>
    <w:rsid w:val="00366C69"/>
    <w:rsid w:val="00366EA5"/>
    <w:rsid w:val="003671DB"/>
    <w:rsid w:val="00367441"/>
    <w:rsid w:val="003675FB"/>
    <w:rsid w:val="00367617"/>
    <w:rsid w:val="003678A8"/>
    <w:rsid w:val="00367B1D"/>
    <w:rsid w:val="00367D34"/>
    <w:rsid w:val="00370225"/>
    <w:rsid w:val="00370D40"/>
    <w:rsid w:val="00370E4F"/>
    <w:rsid w:val="00371215"/>
    <w:rsid w:val="003713C8"/>
    <w:rsid w:val="003715AA"/>
    <w:rsid w:val="003716F2"/>
    <w:rsid w:val="003717EA"/>
    <w:rsid w:val="00371DF0"/>
    <w:rsid w:val="00371E08"/>
    <w:rsid w:val="00371E33"/>
    <w:rsid w:val="00371F65"/>
    <w:rsid w:val="00372601"/>
    <w:rsid w:val="0037295B"/>
    <w:rsid w:val="00372ACA"/>
    <w:rsid w:val="00372CF0"/>
    <w:rsid w:val="00372DF3"/>
    <w:rsid w:val="00372F0D"/>
    <w:rsid w:val="00373617"/>
    <w:rsid w:val="00373869"/>
    <w:rsid w:val="003739AE"/>
    <w:rsid w:val="00373CA2"/>
    <w:rsid w:val="00373D4F"/>
    <w:rsid w:val="00373DE3"/>
    <w:rsid w:val="00374059"/>
    <w:rsid w:val="003742F5"/>
    <w:rsid w:val="0037478D"/>
    <w:rsid w:val="00374904"/>
    <w:rsid w:val="00374BA1"/>
    <w:rsid w:val="00374DBE"/>
    <w:rsid w:val="0037535B"/>
    <w:rsid w:val="0037552D"/>
    <w:rsid w:val="00375621"/>
    <w:rsid w:val="003756DB"/>
    <w:rsid w:val="00375A80"/>
    <w:rsid w:val="00375C05"/>
    <w:rsid w:val="00375D98"/>
    <w:rsid w:val="00375DC0"/>
    <w:rsid w:val="003762BC"/>
    <w:rsid w:val="0037630F"/>
    <w:rsid w:val="003764A1"/>
    <w:rsid w:val="00376CB6"/>
    <w:rsid w:val="00376D9C"/>
    <w:rsid w:val="00376D9F"/>
    <w:rsid w:val="00376DCB"/>
    <w:rsid w:val="00376F86"/>
    <w:rsid w:val="003770BB"/>
    <w:rsid w:val="003770D2"/>
    <w:rsid w:val="00377175"/>
    <w:rsid w:val="003776A8"/>
    <w:rsid w:val="003776ED"/>
    <w:rsid w:val="0037771A"/>
    <w:rsid w:val="003777F2"/>
    <w:rsid w:val="00377A96"/>
    <w:rsid w:val="00377B5C"/>
    <w:rsid w:val="00377C81"/>
    <w:rsid w:val="003802DC"/>
    <w:rsid w:val="0038095E"/>
    <w:rsid w:val="00380AED"/>
    <w:rsid w:val="00380DD7"/>
    <w:rsid w:val="00380E4E"/>
    <w:rsid w:val="00380FBF"/>
    <w:rsid w:val="003812F9"/>
    <w:rsid w:val="003815D1"/>
    <w:rsid w:val="003815EE"/>
    <w:rsid w:val="00382404"/>
    <w:rsid w:val="003825A9"/>
    <w:rsid w:val="00382689"/>
    <w:rsid w:val="0038283C"/>
    <w:rsid w:val="00382913"/>
    <w:rsid w:val="00382A43"/>
    <w:rsid w:val="00382B1C"/>
    <w:rsid w:val="00382BE2"/>
    <w:rsid w:val="00382D60"/>
    <w:rsid w:val="00382F29"/>
    <w:rsid w:val="00383433"/>
    <w:rsid w:val="00383808"/>
    <w:rsid w:val="003839D5"/>
    <w:rsid w:val="00383C8D"/>
    <w:rsid w:val="00383D40"/>
    <w:rsid w:val="00383F13"/>
    <w:rsid w:val="00384166"/>
    <w:rsid w:val="00384698"/>
    <w:rsid w:val="00384929"/>
    <w:rsid w:val="00384954"/>
    <w:rsid w:val="00384B4C"/>
    <w:rsid w:val="00384B6A"/>
    <w:rsid w:val="00385089"/>
    <w:rsid w:val="0038519E"/>
    <w:rsid w:val="003851AD"/>
    <w:rsid w:val="003852FB"/>
    <w:rsid w:val="003853B8"/>
    <w:rsid w:val="003853F4"/>
    <w:rsid w:val="00385429"/>
    <w:rsid w:val="00385B05"/>
    <w:rsid w:val="00385E64"/>
    <w:rsid w:val="00386273"/>
    <w:rsid w:val="00386382"/>
    <w:rsid w:val="003865C1"/>
    <w:rsid w:val="003865EF"/>
    <w:rsid w:val="00386867"/>
    <w:rsid w:val="00386899"/>
    <w:rsid w:val="00386BA9"/>
    <w:rsid w:val="00386CBE"/>
    <w:rsid w:val="00387714"/>
    <w:rsid w:val="00387A0E"/>
    <w:rsid w:val="00387A25"/>
    <w:rsid w:val="00387B23"/>
    <w:rsid w:val="00387CA0"/>
    <w:rsid w:val="00387D45"/>
    <w:rsid w:val="00390017"/>
    <w:rsid w:val="003900CC"/>
    <w:rsid w:val="003901A3"/>
    <w:rsid w:val="00390452"/>
    <w:rsid w:val="003905D9"/>
    <w:rsid w:val="0039072F"/>
    <w:rsid w:val="00391324"/>
    <w:rsid w:val="00391431"/>
    <w:rsid w:val="0039164F"/>
    <w:rsid w:val="00391997"/>
    <w:rsid w:val="00391D7F"/>
    <w:rsid w:val="0039282D"/>
    <w:rsid w:val="00392988"/>
    <w:rsid w:val="00392D6D"/>
    <w:rsid w:val="0039303C"/>
    <w:rsid w:val="003934D0"/>
    <w:rsid w:val="003937C9"/>
    <w:rsid w:val="00393B48"/>
    <w:rsid w:val="00393FF9"/>
    <w:rsid w:val="003940CE"/>
    <w:rsid w:val="00394275"/>
    <w:rsid w:val="00394335"/>
    <w:rsid w:val="0039452F"/>
    <w:rsid w:val="00394BF8"/>
    <w:rsid w:val="00394D28"/>
    <w:rsid w:val="00395545"/>
    <w:rsid w:val="003955DE"/>
    <w:rsid w:val="00395704"/>
    <w:rsid w:val="00395784"/>
    <w:rsid w:val="00395E7D"/>
    <w:rsid w:val="0039643E"/>
    <w:rsid w:val="0039682C"/>
    <w:rsid w:val="00396CDF"/>
    <w:rsid w:val="00396D18"/>
    <w:rsid w:val="00396E7A"/>
    <w:rsid w:val="00397311"/>
    <w:rsid w:val="003976BD"/>
    <w:rsid w:val="003977AC"/>
    <w:rsid w:val="00397A84"/>
    <w:rsid w:val="00397C1D"/>
    <w:rsid w:val="003A0727"/>
    <w:rsid w:val="003A0967"/>
    <w:rsid w:val="003A0C27"/>
    <w:rsid w:val="003A0C3D"/>
    <w:rsid w:val="003A0C68"/>
    <w:rsid w:val="003A0D48"/>
    <w:rsid w:val="003A0E1C"/>
    <w:rsid w:val="003A11D6"/>
    <w:rsid w:val="003A180F"/>
    <w:rsid w:val="003A18DD"/>
    <w:rsid w:val="003A1A05"/>
    <w:rsid w:val="003A20C8"/>
    <w:rsid w:val="003A2132"/>
    <w:rsid w:val="003A25B6"/>
    <w:rsid w:val="003A260F"/>
    <w:rsid w:val="003A2635"/>
    <w:rsid w:val="003A2744"/>
    <w:rsid w:val="003A27EA"/>
    <w:rsid w:val="003A2ADD"/>
    <w:rsid w:val="003A2C29"/>
    <w:rsid w:val="003A2EC3"/>
    <w:rsid w:val="003A35F2"/>
    <w:rsid w:val="003A36F2"/>
    <w:rsid w:val="003A3D39"/>
    <w:rsid w:val="003A3EC7"/>
    <w:rsid w:val="003A40B4"/>
    <w:rsid w:val="003A4256"/>
    <w:rsid w:val="003A44DC"/>
    <w:rsid w:val="003A4EAB"/>
    <w:rsid w:val="003A54EA"/>
    <w:rsid w:val="003A5726"/>
    <w:rsid w:val="003A5938"/>
    <w:rsid w:val="003A5A47"/>
    <w:rsid w:val="003A5A8F"/>
    <w:rsid w:val="003A5BC9"/>
    <w:rsid w:val="003A5CD1"/>
    <w:rsid w:val="003A6651"/>
    <w:rsid w:val="003A672B"/>
    <w:rsid w:val="003A680C"/>
    <w:rsid w:val="003A6886"/>
    <w:rsid w:val="003A68F6"/>
    <w:rsid w:val="003A69E9"/>
    <w:rsid w:val="003A6CCB"/>
    <w:rsid w:val="003A6D21"/>
    <w:rsid w:val="003A6F0C"/>
    <w:rsid w:val="003A7095"/>
    <w:rsid w:val="003A710B"/>
    <w:rsid w:val="003A77B1"/>
    <w:rsid w:val="003A7834"/>
    <w:rsid w:val="003A7E23"/>
    <w:rsid w:val="003B0229"/>
    <w:rsid w:val="003B03A7"/>
    <w:rsid w:val="003B08F2"/>
    <w:rsid w:val="003B096C"/>
    <w:rsid w:val="003B09D1"/>
    <w:rsid w:val="003B0A6E"/>
    <w:rsid w:val="003B0B5B"/>
    <w:rsid w:val="003B0D60"/>
    <w:rsid w:val="003B0E79"/>
    <w:rsid w:val="003B13BA"/>
    <w:rsid w:val="003B1864"/>
    <w:rsid w:val="003B1BAA"/>
    <w:rsid w:val="003B1BCC"/>
    <w:rsid w:val="003B1F4A"/>
    <w:rsid w:val="003B215D"/>
    <w:rsid w:val="003B2521"/>
    <w:rsid w:val="003B25A9"/>
    <w:rsid w:val="003B2872"/>
    <w:rsid w:val="003B2C21"/>
    <w:rsid w:val="003B2CBC"/>
    <w:rsid w:val="003B3575"/>
    <w:rsid w:val="003B3939"/>
    <w:rsid w:val="003B3A96"/>
    <w:rsid w:val="003B3CB2"/>
    <w:rsid w:val="003B41D8"/>
    <w:rsid w:val="003B4485"/>
    <w:rsid w:val="003B45C7"/>
    <w:rsid w:val="003B47D3"/>
    <w:rsid w:val="003B494F"/>
    <w:rsid w:val="003B4B7D"/>
    <w:rsid w:val="003B50BC"/>
    <w:rsid w:val="003B52EC"/>
    <w:rsid w:val="003B5CCA"/>
    <w:rsid w:val="003B5D97"/>
    <w:rsid w:val="003B63A4"/>
    <w:rsid w:val="003B63D1"/>
    <w:rsid w:val="003B68BA"/>
    <w:rsid w:val="003B68FE"/>
    <w:rsid w:val="003B6A8B"/>
    <w:rsid w:val="003B6C1C"/>
    <w:rsid w:val="003B6D7D"/>
    <w:rsid w:val="003B795E"/>
    <w:rsid w:val="003B7A7E"/>
    <w:rsid w:val="003B7CC1"/>
    <w:rsid w:val="003B7D7E"/>
    <w:rsid w:val="003B7F9C"/>
    <w:rsid w:val="003C00F4"/>
    <w:rsid w:val="003C0186"/>
    <w:rsid w:val="003C08FF"/>
    <w:rsid w:val="003C1012"/>
    <w:rsid w:val="003C1178"/>
    <w:rsid w:val="003C11C9"/>
    <w:rsid w:val="003C1229"/>
    <w:rsid w:val="003C14CF"/>
    <w:rsid w:val="003C15D4"/>
    <w:rsid w:val="003C15F6"/>
    <w:rsid w:val="003C19E7"/>
    <w:rsid w:val="003C1FD4"/>
    <w:rsid w:val="003C2004"/>
    <w:rsid w:val="003C213D"/>
    <w:rsid w:val="003C25AD"/>
    <w:rsid w:val="003C285D"/>
    <w:rsid w:val="003C2AB1"/>
    <w:rsid w:val="003C2D21"/>
    <w:rsid w:val="003C3510"/>
    <w:rsid w:val="003C3673"/>
    <w:rsid w:val="003C388C"/>
    <w:rsid w:val="003C3F72"/>
    <w:rsid w:val="003C424C"/>
    <w:rsid w:val="003C4384"/>
    <w:rsid w:val="003C47C1"/>
    <w:rsid w:val="003C4878"/>
    <w:rsid w:val="003C4EE6"/>
    <w:rsid w:val="003C5927"/>
    <w:rsid w:val="003C5B25"/>
    <w:rsid w:val="003C5CDE"/>
    <w:rsid w:val="003C5DC0"/>
    <w:rsid w:val="003C5DF6"/>
    <w:rsid w:val="003C5E6B"/>
    <w:rsid w:val="003C5FE1"/>
    <w:rsid w:val="003C6246"/>
    <w:rsid w:val="003C63CD"/>
    <w:rsid w:val="003C6510"/>
    <w:rsid w:val="003C6DFE"/>
    <w:rsid w:val="003C705F"/>
    <w:rsid w:val="003C73ED"/>
    <w:rsid w:val="003C755B"/>
    <w:rsid w:val="003C7AD7"/>
    <w:rsid w:val="003C7B74"/>
    <w:rsid w:val="003C7F0B"/>
    <w:rsid w:val="003D01E5"/>
    <w:rsid w:val="003D05A2"/>
    <w:rsid w:val="003D08AC"/>
    <w:rsid w:val="003D0B82"/>
    <w:rsid w:val="003D0E3D"/>
    <w:rsid w:val="003D0FC3"/>
    <w:rsid w:val="003D1AF1"/>
    <w:rsid w:val="003D1F6F"/>
    <w:rsid w:val="003D2375"/>
    <w:rsid w:val="003D23B5"/>
    <w:rsid w:val="003D2550"/>
    <w:rsid w:val="003D259E"/>
    <w:rsid w:val="003D25E6"/>
    <w:rsid w:val="003D2C1D"/>
    <w:rsid w:val="003D2C34"/>
    <w:rsid w:val="003D3810"/>
    <w:rsid w:val="003D3A05"/>
    <w:rsid w:val="003D3AB5"/>
    <w:rsid w:val="003D3C95"/>
    <w:rsid w:val="003D3DDD"/>
    <w:rsid w:val="003D448E"/>
    <w:rsid w:val="003D4756"/>
    <w:rsid w:val="003D49CD"/>
    <w:rsid w:val="003D4CD1"/>
    <w:rsid w:val="003D51F4"/>
    <w:rsid w:val="003D58EE"/>
    <w:rsid w:val="003D5CBF"/>
    <w:rsid w:val="003D5D98"/>
    <w:rsid w:val="003D63D4"/>
    <w:rsid w:val="003D66D2"/>
    <w:rsid w:val="003D67AB"/>
    <w:rsid w:val="003D6804"/>
    <w:rsid w:val="003D6FBC"/>
    <w:rsid w:val="003D709F"/>
    <w:rsid w:val="003D780C"/>
    <w:rsid w:val="003D7856"/>
    <w:rsid w:val="003E0587"/>
    <w:rsid w:val="003E07AE"/>
    <w:rsid w:val="003E0E19"/>
    <w:rsid w:val="003E14FC"/>
    <w:rsid w:val="003E1584"/>
    <w:rsid w:val="003E1B7F"/>
    <w:rsid w:val="003E1CEB"/>
    <w:rsid w:val="003E292E"/>
    <w:rsid w:val="003E2976"/>
    <w:rsid w:val="003E2A7A"/>
    <w:rsid w:val="003E2B9B"/>
    <w:rsid w:val="003E2E3C"/>
    <w:rsid w:val="003E32CB"/>
    <w:rsid w:val="003E3484"/>
    <w:rsid w:val="003E38A3"/>
    <w:rsid w:val="003E3BF1"/>
    <w:rsid w:val="003E3C50"/>
    <w:rsid w:val="003E3CD7"/>
    <w:rsid w:val="003E3E99"/>
    <w:rsid w:val="003E41E8"/>
    <w:rsid w:val="003E4858"/>
    <w:rsid w:val="003E4BD0"/>
    <w:rsid w:val="003E4E30"/>
    <w:rsid w:val="003E4FB4"/>
    <w:rsid w:val="003E531F"/>
    <w:rsid w:val="003E55B8"/>
    <w:rsid w:val="003E58F3"/>
    <w:rsid w:val="003E5933"/>
    <w:rsid w:val="003E5D6C"/>
    <w:rsid w:val="003E61F0"/>
    <w:rsid w:val="003E6247"/>
    <w:rsid w:val="003E6316"/>
    <w:rsid w:val="003E6345"/>
    <w:rsid w:val="003E66FE"/>
    <w:rsid w:val="003E672D"/>
    <w:rsid w:val="003E6884"/>
    <w:rsid w:val="003E6AC5"/>
    <w:rsid w:val="003E6B72"/>
    <w:rsid w:val="003E6C49"/>
    <w:rsid w:val="003E77BA"/>
    <w:rsid w:val="003E7ABE"/>
    <w:rsid w:val="003E7E70"/>
    <w:rsid w:val="003E7EDB"/>
    <w:rsid w:val="003F0096"/>
    <w:rsid w:val="003F00AA"/>
    <w:rsid w:val="003F00FF"/>
    <w:rsid w:val="003F01DF"/>
    <w:rsid w:val="003F04B0"/>
    <w:rsid w:val="003F0850"/>
    <w:rsid w:val="003F09BD"/>
    <w:rsid w:val="003F0D12"/>
    <w:rsid w:val="003F0E52"/>
    <w:rsid w:val="003F1175"/>
    <w:rsid w:val="003F1552"/>
    <w:rsid w:val="003F160C"/>
    <w:rsid w:val="003F1C30"/>
    <w:rsid w:val="003F1CE3"/>
    <w:rsid w:val="003F2275"/>
    <w:rsid w:val="003F2455"/>
    <w:rsid w:val="003F283D"/>
    <w:rsid w:val="003F2B3D"/>
    <w:rsid w:val="003F2E34"/>
    <w:rsid w:val="003F324F"/>
    <w:rsid w:val="003F33BC"/>
    <w:rsid w:val="003F38F3"/>
    <w:rsid w:val="003F3A48"/>
    <w:rsid w:val="003F3B83"/>
    <w:rsid w:val="003F3D4E"/>
    <w:rsid w:val="003F3E38"/>
    <w:rsid w:val="003F3E4B"/>
    <w:rsid w:val="003F4358"/>
    <w:rsid w:val="003F469E"/>
    <w:rsid w:val="003F46F9"/>
    <w:rsid w:val="003F477E"/>
    <w:rsid w:val="003F4900"/>
    <w:rsid w:val="003F49C8"/>
    <w:rsid w:val="003F4BEB"/>
    <w:rsid w:val="003F4C83"/>
    <w:rsid w:val="003F4E3A"/>
    <w:rsid w:val="003F5314"/>
    <w:rsid w:val="003F545D"/>
    <w:rsid w:val="003F5888"/>
    <w:rsid w:val="003F59DB"/>
    <w:rsid w:val="003F6798"/>
    <w:rsid w:val="003F6CD2"/>
    <w:rsid w:val="003F7511"/>
    <w:rsid w:val="003F788D"/>
    <w:rsid w:val="003F7C64"/>
    <w:rsid w:val="003F7D6A"/>
    <w:rsid w:val="0040023D"/>
    <w:rsid w:val="0040032E"/>
    <w:rsid w:val="0040045F"/>
    <w:rsid w:val="004008E3"/>
    <w:rsid w:val="00400B09"/>
    <w:rsid w:val="00400B22"/>
    <w:rsid w:val="00400E2B"/>
    <w:rsid w:val="00400F66"/>
    <w:rsid w:val="0040126E"/>
    <w:rsid w:val="00401369"/>
    <w:rsid w:val="0040209D"/>
    <w:rsid w:val="004020D4"/>
    <w:rsid w:val="004021B6"/>
    <w:rsid w:val="004021C9"/>
    <w:rsid w:val="004026E1"/>
    <w:rsid w:val="004027B8"/>
    <w:rsid w:val="00402C38"/>
    <w:rsid w:val="00402F3C"/>
    <w:rsid w:val="00403088"/>
    <w:rsid w:val="00403861"/>
    <w:rsid w:val="00403B7E"/>
    <w:rsid w:val="00403DD6"/>
    <w:rsid w:val="00404262"/>
    <w:rsid w:val="0040469E"/>
    <w:rsid w:val="0040470C"/>
    <w:rsid w:val="0040477D"/>
    <w:rsid w:val="004047C4"/>
    <w:rsid w:val="004047E4"/>
    <w:rsid w:val="00405033"/>
    <w:rsid w:val="004052BC"/>
    <w:rsid w:val="0040570B"/>
    <w:rsid w:val="00405B32"/>
    <w:rsid w:val="00405EDB"/>
    <w:rsid w:val="00405FB1"/>
    <w:rsid w:val="00406023"/>
    <w:rsid w:val="004063CB"/>
    <w:rsid w:val="00406460"/>
    <w:rsid w:val="00406716"/>
    <w:rsid w:val="0040683C"/>
    <w:rsid w:val="00406BA7"/>
    <w:rsid w:val="00407309"/>
    <w:rsid w:val="0040797B"/>
    <w:rsid w:val="00410021"/>
    <w:rsid w:val="00410101"/>
    <w:rsid w:val="004102C3"/>
    <w:rsid w:val="00410581"/>
    <w:rsid w:val="004106A8"/>
    <w:rsid w:val="00410883"/>
    <w:rsid w:val="00410DE9"/>
    <w:rsid w:val="00410F11"/>
    <w:rsid w:val="00411013"/>
    <w:rsid w:val="0041142F"/>
    <w:rsid w:val="00411479"/>
    <w:rsid w:val="0041177E"/>
    <w:rsid w:val="0041226E"/>
    <w:rsid w:val="004122E3"/>
    <w:rsid w:val="00412461"/>
    <w:rsid w:val="00412546"/>
    <w:rsid w:val="0041263F"/>
    <w:rsid w:val="00412765"/>
    <w:rsid w:val="00412FFE"/>
    <w:rsid w:val="00413053"/>
    <w:rsid w:val="0041319C"/>
    <w:rsid w:val="0041333F"/>
    <w:rsid w:val="004137B6"/>
    <w:rsid w:val="004138DA"/>
    <w:rsid w:val="00413A54"/>
    <w:rsid w:val="00413C10"/>
    <w:rsid w:val="00413CD9"/>
    <w:rsid w:val="00413CE0"/>
    <w:rsid w:val="00413DB8"/>
    <w:rsid w:val="00413F9A"/>
    <w:rsid w:val="004140CA"/>
    <w:rsid w:val="004146E4"/>
    <w:rsid w:val="00414B64"/>
    <w:rsid w:val="00414C65"/>
    <w:rsid w:val="00414D82"/>
    <w:rsid w:val="004153CA"/>
    <w:rsid w:val="004159F5"/>
    <w:rsid w:val="00415C0C"/>
    <w:rsid w:val="00415D76"/>
    <w:rsid w:val="004165AD"/>
    <w:rsid w:val="00416665"/>
    <w:rsid w:val="004167BE"/>
    <w:rsid w:val="00416886"/>
    <w:rsid w:val="00416A1B"/>
    <w:rsid w:val="00416A67"/>
    <w:rsid w:val="00416A9B"/>
    <w:rsid w:val="00416ACB"/>
    <w:rsid w:val="00416F27"/>
    <w:rsid w:val="00417172"/>
    <w:rsid w:val="00417408"/>
    <w:rsid w:val="0042082A"/>
    <w:rsid w:val="0042088B"/>
    <w:rsid w:val="00420BA3"/>
    <w:rsid w:val="00420C93"/>
    <w:rsid w:val="00420D00"/>
    <w:rsid w:val="0042147B"/>
    <w:rsid w:val="00421886"/>
    <w:rsid w:val="00421A15"/>
    <w:rsid w:val="00421DCF"/>
    <w:rsid w:val="00422341"/>
    <w:rsid w:val="00422A88"/>
    <w:rsid w:val="00422AD4"/>
    <w:rsid w:val="00422B39"/>
    <w:rsid w:val="00422F28"/>
    <w:rsid w:val="00422FA9"/>
    <w:rsid w:val="00422FE0"/>
    <w:rsid w:val="004230AD"/>
    <w:rsid w:val="00423641"/>
    <w:rsid w:val="00423A48"/>
    <w:rsid w:val="00423B6B"/>
    <w:rsid w:val="00423CAD"/>
    <w:rsid w:val="00423F8E"/>
    <w:rsid w:val="004240E9"/>
    <w:rsid w:val="00424ABB"/>
    <w:rsid w:val="00424CB9"/>
    <w:rsid w:val="00424D14"/>
    <w:rsid w:val="00424FF0"/>
    <w:rsid w:val="00425DFD"/>
    <w:rsid w:val="00425FEA"/>
    <w:rsid w:val="00426266"/>
    <w:rsid w:val="0042654D"/>
    <w:rsid w:val="00426664"/>
    <w:rsid w:val="004267D0"/>
    <w:rsid w:val="004268D4"/>
    <w:rsid w:val="00426CA0"/>
    <w:rsid w:val="00426E27"/>
    <w:rsid w:val="0042739B"/>
    <w:rsid w:val="00427579"/>
    <w:rsid w:val="00427909"/>
    <w:rsid w:val="00427C5F"/>
    <w:rsid w:val="00430221"/>
    <w:rsid w:val="00430950"/>
    <w:rsid w:val="004309FA"/>
    <w:rsid w:val="00430A2D"/>
    <w:rsid w:val="0043120B"/>
    <w:rsid w:val="00431350"/>
    <w:rsid w:val="004314FC"/>
    <w:rsid w:val="00431505"/>
    <w:rsid w:val="004317D9"/>
    <w:rsid w:val="004319EF"/>
    <w:rsid w:val="00431AC2"/>
    <w:rsid w:val="00431AF0"/>
    <w:rsid w:val="00431BA7"/>
    <w:rsid w:val="0043213A"/>
    <w:rsid w:val="0043227E"/>
    <w:rsid w:val="004322D3"/>
    <w:rsid w:val="00432684"/>
    <w:rsid w:val="0043272E"/>
    <w:rsid w:val="00432C49"/>
    <w:rsid w:val="004330F4"/>
    <w:rsid w:val="00433134"/>
    <w:rsid w:val="004331E1"/>
    <w:rsid w:val="00433318"/>
    <w:rsid w:val="00433563"/>
    <w:rsid w:val="00433590"/>
    <w:rsid w:val="0043393D"/>
    <w:rsid w:val="00433A77"/>
    <w:rsid w:val="00434095"/>
    <w:rsid w:val="0043409A"/>
    <w:rsid w:val="00434464"/>
    <w:rsid w:val="004344C7"/>
    <w:rsid w:val="004344F4"/>
    <w:rsid w:val="004349F4"/>
    <w:rsid w:val="00434F52"/>
    <w:rsid w:val="00434FB0"/>
    <w:rsid w:val="00435274"/>
    <w:rsid w:val="004352AD"/>
    <w:rsid w:val="0043545D"/>
    <w:rsid w:val="004354EE"/>
    <w:rsid w:val="004356DE"/>
    <w:rsid w:val="00435FE2"/>
    <w:rsid w:val="00436382"/>
    <w:rsid w:val="0043638B"/>
    <w:rsid w:val="004365CD"/>
    <w:rsid w:val="00436762"/>
    <w:rsid w:val="0043676F"/>
    <w:rsid w:val="0043685B"/>
    <w:rsid w:val="00436B60"/>
    <w:rsid w:val="00436E2F"/>
    <w:rsid w:val="00436EAB"/>
    <w:rsid w:val="004376A7"/>
    <w:rsid w:val="00437849"/>
    <w:rsid w:val="00437A1F"/>
    <w:rsid w:val="00437BAF"/>
    <w:rsid w:val="00437C7C"/>
    <w:rsid w:val="00437DB4"/>
    <w:rsid w:val="00437E2C"/>
    <w:rsid w:val="00437FF7"/>
    <w:rsid w:val="0044002F"/>
    <w:rsid w:val="004412FA"/>
    <w:rsid w:val="00441651"/>
    <w:rsid w:val="004418D9"/>
    <w:rsid w:val="00441E35"/>
    <w:rsid w:val="00441EA1"/>
    <w:rsid w:val="00442A3D"/>
    <w:rsid w:val="00442BB2"/>
    <w:rsid w:val="0044318F"/>
    <w:rsid w:val="00443319"/>
    <w:rsid w:val="00443408"/>
    <w:rsid w:val="004434E4"/>
    <w:rsid w:val="0044372D"/>
    <w:rsid w:val="004438B7"/>
    <w:rsid w:val="0044397D"/>
    <w:rsid w:val="00443DEA"/>
    <w:rsid w:val="004440D0"/>
    <w:rsid w:val="004442EC"/>
    <w:rsid w:val="00444654"/>
    <w:rsid w:val="00444A5B"/>
    <w:rsid w:val="00444C22"/>
    <w:rsid w:val="00445119"/>
    <w:rsid w:val="004454A9"/>
    <w:rsid w:val="00445610"/>
    <w:rsid w:val="004456AA"/>
    <w:rsid w:val="004457BA"/>
    <w:rsid w:val="004457C0"/>
    <w:rsid w:val="0044615D"/>
    <w:rsid w:val="00446194"/>
    <w:rsid w:val="004461D9"/>
    <w:rsid w:val="00446747"/>
    <w:rsid w:val="00446AC6"/>
    <w:rsid w:val="00446EC6"/>
    <w:rsid w:val="0044759B"/>
    <w:rsid w:val="004476AE"/>
    <w:rsid w:val="00447D34"/>
    <w:rsid w:val="00447F54"/>
    <w:rsid w:val="004501DE"/>
    <w:rsid w:val="00450B7E"/>
    <w:rsid w:val="00450D53"/>
    <w:rsid w:val="00450F73"/>
    <w:rsid w:val="004510D0"/>
    <w:rsid w:val="0045136B"/>
    <w:rsid w:val="004517BB"/>
    <w:rsid w:val="00451C74"/>
    <w:rsid w:val="00451C7E"/>
    <w:rsid w:val="004521A6"/>
    <w:rsid w:val="004524A5"/>
    <w:rsid w:val="00452535"/>
    <w:rsid w:val="00452AC6"/>
    <w:rsid w:val="00452B21"/>
    <w:rsid w:val="00453413"/>
    <w:rsid w:val="00453BB6"/>
    <w:rsid w:val="00453CAA"/>
    <w:rsid w:val="00453F17"/>
    <w:rsid w:val="00454368"/>
    <w:rsid w:val="0045451D"/>
    <w:rsid w:val="00454646"/>
    <w:rsid w:val="0045481A"/>
    <w:rsid w:val="00454851"/>
    <w:rsid w:val="00454B35"/>
    <w:rsid w:val="00454BE8"/>
    <w:rsid w:val="00454CFA"/>
    <w:rsid w:val="00454E8E"/>
    <w:rsid w:val="00454EB8"/>
    <w:rsid w:val="00455113"/>
    <w:rsid w:val="004552BB"/>
    <w:rsid w:val="00455356"/>
    <w:rsid w:val="004556EB"/>
    <w:rsid w:val="004556F5"/>
    <w:rsid w:val="00455BC2"/>
    <w:rsid w:val="00455F37"/>
    <w:rsid w:val="00456421"/>
    <w:rsid w:val="004564DC"/>
    <w:rsid w:val="00456A0D"/>
    <w:rsid w:val="00456D23"/>
    <w:rsid w:val="00456DAB"/>
    <w:rsid w:val="00456FD3"/>
    <w:rsid w:val="00457244"/>
    <w:rsid w:val="004573E8"/>
    <w:rsid w:val="004573E9"/>
    <w:rsid w:val="00457CED"/>
    <w:rsid w:val="00457E96"/>
    <w:rsid w:val="00460144"/>
    <w:rsid w:val="004605CA"/>
    <w:rsid w:val="004606E7"/>
    <w:rsid w:val="00460CC3"/>
    <w:rsid w:val="00460E86"/>
    <w:rsid w:val="0046111A"/>
    <w:rsid w:val="00461536"/>
    <w:rsid w:val="00461626"/>
    <w:rsid w:val="0046199B"/>
    <w:rsid w:val="00461A42"/>
    <w:rsid w:val="00461C4E"/>
    <w:rsid w:val="00461CB5"/>
    <w:rsid w:val="00462165"/>
    <w:rsid w:val="0046232A"/>
    <w:rsid w:val="00462661"/>
    <w:rsid w:val="00462697"/>
    <w:rsid w:val="004627C4"/>
    <w:rsid w:val="004629D9"/>
    <w:rsid w:val="00462D64"/>
    <w:rsid w:val="00463329"/>
    <w:rsid w:val="0046338E"/>
    <w:rsid w:val="004636CD"/>
    <w:rsid w:val="00463A59"/>
    <w:rsid w:val="00463BA4"/>
    <w:rsid w:val="00463DCE"/>
    <w:rsid w:val="00463F7A"/>
    <w:rsid w:val="004640AF"/>
    <w:rsid w:val="00464142"/>
    <w:rsid w:val="004644D0"/>
    <w:rsid w:val="0046455E"/>
    <w:rsid w:val="004646B4"/>
    <w:rsid w:val="00464865"/>
    <w:rsid w:val="00464A88"/>
    <w:rsid w:val="00465028"/>
    <w:rsid w:val="0046508C"/>
    <w:rsid w:val="004651A0"/>
    <w:rsid w:val="0046533E"/>
    <w:rsid w:val="0046586C"/>
    <w:rsid w:val="00465CFA"/>
    <w:rsid w:val="00465DDC"/>
    <w:rsid w:val="00465E51"/>
    <w:rsid w:val="00466153"/>
    <w:rsid w:val="00466532"/>
    <w:rsid w:val="004667DD"/>
    <w:rsid w:val="004668CA"/>
    <w:rsid w:val="00466A1B"/>
    <w:rsid w:val="00467319"/>
    <w:rsid w:val="00467488"/>
    <w:rsid w:val="00467726"/>
    <w:rsid w:val="004678C3"/>
    <w:rsid w:val="00467BE8"/>
    <w:rsid w:val="00467C41"/>
    <w:rsid w:val="00467F45"/>
    <w:rsid w:val="00470624"/>
    <w:rsid w:val="004707FE"/>
    <w:rsid w:val="0047083E"/>
    <w:rsid w:val="00470DB7"/>
    <w:rsid w:val="00470EB5"/>
    <w:rsid w:val="00471175"/>
    <w:rsid w:val="004711F2"/>
    <w:rsid w:val="00471357"/>
    <w:rsid w:val="00471481"/>
    <w:rsid w:val="004715BD"/>
    <w:rsid w:val="00471C55"/>
    <w:rsid w:val="00471D37"/>
    <w:rsid w:val="00471FA6"/>
    <w:rsid w:val="00472068"/>
    <w:rsid w:val="00472310"/>
    <w:rsid w:val="00472526"/>
    <w:rsid w:val="00472595"/>
    <w:rsid w:val="0047286B"/>
    <w:rsid w:val="00472BC0"/>
    <w:rsid w:val="00472E27"/>
    <w:rsid w:val="00472E62"/>
    <w:rsid w:val="004730C7"/>
    <w:rsid w:val="004739D4"/>
    <w:rsid w:val="00474220"/>
    <w:rsid w:val="004742A0"/>
    <w:rsid w:val="0047432B"/>
    <w:rsid w:val="0047433A"/>
    <w:rsid w:val="00474B75"/>
    <w:rsid w:val="0047512C"/>
    <w:rsid w:val="0047529A"/>
    <w:rsid w:val="0047529E"/>
    <w:rsid w:val="004752D3"/>
    <w:rsid w:val="004754E1"/>
    <w:rsid w:val="00475A03"/>
    <w:rsid w:val="00475A81"/>
    <w:rsid w:val="00475C2C"/>
    <w:rsid w:val="00475CE0"/>
    <w:rsid w:val="00476168"/>
    <w:rsid w:val="004763B1"/>
    <w:rsid w:val="00476827"/>
    <w:rsid w:val="00476B00"/>
    <w:rsid w:val="00476BD4"/>
    <w:rsid w:val="00476D1C"/>
    <w:rsid w:val="00476D66"/>
    <w:rsid w:val="00476DCE"/>
    <w:rsid w:val="004772E8"/>
    <w:rsid w:val="0047737F"/>
    <w:rsid w:val="004775D7"/>
    <w:rsid w:val="0047776E"/>
    <w:rsid w:val="0047779F"/>
    <w:rsid w:val="00477C35"/>
    <w:rsid w:val="0048033D"/>
    <w:rsid w:val="00480548"/>
    <w:rsid w:val="004808C8"/>
    <w:rsid w:val="004808DC"/>
    <w:rsid w:val="00480988"/>
    <w:rsid w:val="00480A0A"/>
    <w:rsid w:val="00480CBA"/>
    <w:rsid w:val="00480E05"/>
    <w:rsid w:val="0048144B"/>
    <w:rsid w:val="00481E59"/>
    <w:rsid w:val="004820A8"/>
    <w:rsid w:val="004820F3"/>
    <w:rsid w:val="0048230A"/>
    <w:rsid w:val="0048231F"/>
    <w:rsid w:val="004828E0"/>
    <w:rsid w:val="00482BBE"/>
    <w:rsid w:val="004832A5"/>
    <w:rsid w:val="00483362"/>
    <w:rsid w:val="004836A0"/>
    <w:rsid w:val="00483A12"/>
    <w:rsid w:val="00483A1A"/>
    <w:rsid w:val="00484343"/>
    <w:rsid w:val="004845AB"/>
    <w:rsid w:val="004846B4"/>
    <w:rsid w:val="004848B0"/>
    <w:rsid w:val="004848B7"/>
    <w:rsid w:val="00484A77"/>
    <w:rsid w:val="00484DFF"/>
    <w:rsid w:val="0048515A"/>
    <w:rsid w:val="0048515B"/>
    <w:rsid w:val="00485396"/>
    <w:rsid w:val="0048540F"/>
    <w:rsid w:val="0048546C"/>
    <w:rsid w:val="00485970"/>
    <w:rsid w:val="00485A2D"/>
    <w:rsid w:val="00485BDA"/>
    <w:rsid w:val="00485C0D"/>
    <w:rsid w:val="00485D81"/>
    <w:rsid w:val="00485DDD"/>
    <w:rsid w:val="00485E42"/>
    <w:rsid w:val="004860E4"/>
    <w:rsid w:val="0048610A"/>
    <w:rsid w:val="004861E1"/>
    <w:rsid w:val="00486575"/>
    <w:rsid w:val="004866D0"/>
    <w:rsid w:val="00486CB4"/>
    <w:rsid w:val="00486CC8"/>
    <w:rsid w:val="004876EA"/>
    <w:rsid w:val="00490999"/>
    <w:rsid w:val="00490D12"/>
    <w:rsid w:val="00490F46"/>
    <w:rsid w:val="0049131A"/>
    <w:rsid w:val="0049149F"/>
    <w:rsid w:val="004915C2"/>
    <w:rsid w:val="0049165B"/>
    <w:rsid w:val="00491BD3"/>
    <w:rsid w:val="00492118"/>
    <w:rsid w:val="00492509"/>
    <w:rsid w:val="004925E0"/>
    <w:rsid w:val="00492660"/>
    <w:rsid w:val="00492768"/>
    <w:rsid w:val="00492AC1"/>
    <w:rsid w:val="00492F8B"/>
    <w:rsid w:val="00493016"/>
    <w:rsid w:val="00493292"/>
    <w:rsid w:val="004934EE"/>
    <w:rsid w:val="00493A74"/>
    <w:rsid w:val="00493CFA"/>
    <w:rsid w:val="00493EAC"/>
    <w:rsid w:val="00494242"/>
    <w:rsid w:val="0049481B"/>
    <w:rsid w:val="0049486B"/>
    <w:rsid w:val="004948C6"/>
    <w:rsid w:val="00494907"/>
    <w:rsid w:val="00494E8E"/>
    <w:rsid w:val="00494F1B"/>
    <w:rsid w:val="00495320"/>
    <w:rsid w:val="004955BC"/>
    <w:rsid w:val="0049564A"/>
    <w:rsid w:val="00495752"/>
    <w:rsid w:val="00495AD3"/>
    <w:rsid w:val="00495CC7"/>
    <w:rsid w:val="00495D63"/>
    <w:rsid w:val="00495DF7"/>
    <w:rsid w:val="00495E6B"/>
    <w:rsid w:val="0049648F"/>
    <w:rsid w:val="00496606"/>
    <w:rsid w:val="00496870"/>
    <w:rsid w:val="00496A57"/>
    <w:rsid w:val="00496AC1"/>
    <w:rsid w:val="00496F05"/>
    <w:rsid w:val="00497370"/>
    <w:rsid w:val="00497602"/>
    <w:rsid w:val="00497616"/>
    <w:rsid w:val="00497935"/>
    <w:rsid w:val="00497B03"/>
    <w:rsid w:val="004A0191"/>
    <w:rsid w:val="004A01C1"/>
    <w:rsid w:val="004A0B5B"/>
    <w:rsid w:val="004A0F30"/>
    <w:rsid w:val="004A0F39"/>
    <w:rsid w:val="004A131E"/>
    <w:rsid w:val="004A17F4"/>
    <w:rsid w:val="004A198C"/>
    <w:rsid w:val="004A1AA3"/>
    <w:rsid w:val="004A1B5C"/>
    <w:rsid w:val="004A1C72"/>
    <w:rsid w:val="004A1CA2"/>
    <w:rsid w:val="004A1E4C"/>
    <w:rsid w:val="004A2394"/>
    <w:rsid w:val="004A251F"/>
    <w:rsid w:val="004A2725"/>
    <w:rsid w:val="004A2A37"/>
    <w:rsid w:val="004A2B26"/>
    <w:rsid w:val="004A2D12"/>
    <w:rsid w:val="004A2D4B"/>
    <w:rsid w:val="004A3068"/>
    <w:rsid w:val="004A320E"/>
    <w:rsid w:val="004A34E7"/>
    <w:rsid w:val="004A38AC"/>
    <w:rsid w:val="004A3BF1"/>
    <w:rsid w:val="004A3E42"/>
    <w:rsid w:val="004A4166"/>
    <w:rsid w:val="004A4574"/>
    <w:rsid w:val="004A4715"/>
    <w:rsid w:val="004A48F9"/>
    <w:rsid w:val="004A4B47"/>
    <w:rsid w:val="004A4D7F"/>
    <w:rsid w:val="004A5046"/>
    <w:rsid w:val="004A565E"/>
    <w:rsid w:val="004A5DF3"/>
    <w:rsid w:val="004A612C"/>
    <w:rsid w:val="004A6134"/>
    <w:rsid w:val="004A694A"/>
    <w:rsid w:val="004A69BE"/>
    <w:rsid w:val="004A6B6F"/>
    <w:rsid w:val="004A7092"/>
    <w:rsid w:val="004A79CA"/>
    <w:rsid w:val="004A7B79"/>
    <w:rsid w:val="004B01BD"/>
    <w:rsid w:val="004B0C4B"/>
    <w:rsid w:val="004B0F25"/>
    <w:rsid w:val="004B132E"/>
    <w:rsid w:val="004B1685"/>
    <w:rsid w:val="004B1EE4"/>
    <w:rsid w:val="004B200C"/>
    <w:rsid w:val="004B228E"/>
    <w:rsid w:val="004B231E"/>
    <w:rsid w:val="004B2514"/>
    <w:rsid w:val="004B267B"/>
    <w:rsid w:val="004B2835"/>
    <w:rsid w:val="004B2BB2"/>
    <w:rsid w:val="004B2C7F"/>
    <w:rsid w:val="004B2D0E"/>
    <w:rsid w:val="004B333C"/>
    <w:rsid w:val="004B3396"/>
    <w:rsid w:val="004B3819"/>
    <w:rsid w:val="004B3E69"/>
    <w:rsid w:val="004B3F40"/>
    <w:rsid w:val="004B44A5"/>
    <w:rsid w:val="004B49E6"/>
    <w:rsid w:val="004B4A83"/>
    <w:rsid w:val="004B4B39"/>
    <w:rsid w:val="004B4BEB"/>
    <w:rsid w:val="004B4C08"/>
    <w:rsid w:val="004B4D69"/>
    <w:rsid w:val="004B4F45"/>
    <w:rsid w:val="004B51C0"/>
    <w:rsid w:val="004B5F3E"/>
    <w:rsid w:val="004B6078"/>
    <w:rsid w:val="004B64DE"/>
    <w:rsid w:val="004B6E03"/>
    <w:rsid w:val="004B6F9D"/>
    <w:rsid w:val="004B7413"/>
    <w:rsid w:val="004B7921"/>
    <w:rsid w:val="004B792F"/>
    <w:rsid w:val="004B7F15"/>
    <w:rsid w:val="004B7F16"/>
    <w:rsid w:val="004C01A8"/>
    <w:rsid w:val="004C0310"/>
    <w:rsid w:val="004C0A61"/>
    <w:rsid w:val="004C0AF7"/>
    <w:rsid w:val="004C0BBE"/>
    <w:rsid w:val="004C0F66"/>
    <w:rsid w:val="004C0FCB"/>
    <w:rsid w:val="004C0FD2"/>
    <w:rsid w:val="004C14BE"/>
    <w:rsid w:val="004C1840"/>
    <w:rsid w:val="004C1CF9"/>
    <w:rsid w:val="004C1D28"/>
    <w:rsid w:val="004C1FA2"/>
    <w:rsid w:val="004C2093"/>
    <w:rsid w:val="004C20BC"/>
    <w:rsid w:val="004C20EE"/>
    <w:rsid w:val="004C24C9"/>
    <w:rsid w:val="004C2A4F"/>
    <w:rsid w:val="004C2C76"/>
    <w:rsid w:val="004C311C"/>
    <w:rsid w:val="004C31B6"/>
    <w:rsid w:val="004C363A"/>
    <w:rsid w:val="004C36DE"/>
    <w:rsid w:val="004C3FA7"/>
    <w:rsid w:val="004C4384"/>
    <w:rsid w:val="004C46D6"/>
    <w:rsid w:val="004C495A"/>
    <w:rsid w:val="004C4B0D"/>
    <w:rsid w:val="004C4BE8"/>
    <w:rsid w:val="004C4D7F"/>
    <w:rsid w:val="004C50CA"/>
    <w:rsid w:val="004C5178"/>
    <w:rsid w:val="004C5319"/>
    <w:rsid w:val="004C5325"/>
    <w:rsid w:val="004C537C"/>
    <w:rsid w:val="004C53FC"/>
    <w:rsid w:val="004C5AE2"/>
    <w:rsid w:val="004C621F"/>
    <w:rsid w:val="004C625B"/>
    <w:rsid w:val="004C6704"/>
    <w:rsid w:val="004C67FD"/>
    <w:rsid w:val="004C6883"/>
    <w:rsid w:val="004C6A83"/>
    <w:rsid w:val="004C6AD0"/>
    <w:rsid w:val="004C6C5A"/>
    <w:rsid w:val="004C704A"/>
    <w:rsid w:val="004C7051"/>
    <w:rsid w:val="004C73CE"/>
    <w:rsid w:val="004C75CA"/>
    <w:rsid w:val="004C76BA"/>
    <w:rsid w:val="004C7944"/>
    <w:rsid w:val="004C7948"/>
    <w:rsid w:val="004C7B0F"/>
    <w:rsid w:val="004C7B30"/>
    <w:rsid w:val="004C7BB8"/>
    <w:rsid w:val="004C7BFC"/>
    <w:rsid w:val="004C7C60"/>
    <w:rsid w:val="004C7C79"/>
    <w:rsid w:val="004C7FBA"/>
    <w:rsid w:val="004D0366"/>
    <w:rsid w:val="004D0482"/>
    <w:rsid w:val="004D04A5"/>
    <w:rsid w:val="004D050B"/>
    <w:rsid w:val="004D0760"/>
    <w:rsid w:val="004D0B75"/>
    <w:rsid w:val="004D0CA9"/>
    <w:rsid w:val="004D0DFE"/>
    <w:rsid w:val="004D0E82"/>
    <w:rsid w:val="004D123F"/>
    <w:rsid w:val="004D1613"/>
    <w:rsid w:val="004D16B2"/>
    <w:rsid w:val="004D19E5"/>
    <w:rsid w:val="004D1B0A"/>
    <w:rsid w:val="004D1D7E"/>
    <w:rsid w:val="004D1D91"/>
    <w:rsid w:val="004D200C"/>
    <w:rsid w:val="004D22C3"/>
    <w:rsid w:val="004D29DB"/>
    <w:rsid w:val="004D2B0C"/>
    <w:rsid w:val="004D32D7"/>
    <w:rsid w:val="004D3B6F"/>
    <w:rsid w:val="004D3DEE"/>
    <w:rsid w:val="004D3E0D"/>
    <w:rsid w:val="004D46E2"/>
    <w:rsid w:val="004D48FE"/>
    <w:rsid w:val="004D5292"/>
    <w:rsid w:val="004D5622"/>
    <w:rsid w:val="004D5758"/>
    <w:rsid w:val="004D60D6"/>
    <w:rsid w:val="004D6103"/>
    <w:rsid w:val="004D6B47"/>
    <w:rsid w:val="004D6C6F"/>
    <w:rsid w:val="004D6D48"/>
    <w:rsid w:val="004D6E87"/>
    <w:rsid w:val="004D6E99"/>
    <w:rsid w:val="004D6F4D"/>
    <w:rsid w:val="004D6F95"/>
    <w:rsid w:val="004D708D"/>
    <w:rsid w:val="004D7283"/>
    <w:rsid w:val="004D72FE"/>
    <w:rsid w:val="004D7757"/>
    <w:rsid w:val="004D7781"/>
    <w:rsid w:val="004D784D"/>
    <w:rsid w:val="004D7B00"/>
    <w:rsid w:val="004D7E91"/>
    <w:rsid w:val="004D7EA4"/>
    <w:rsid w:val="004E003A"/>
    <w:rsid w:val="004E04C0"/>
    <w:rsid w:val="004E0610"/>
    <w:rsid w:val="004E069B"/>
    <w:rsid w:val="004E0768"/>
    <w:rsid w:val="004E0A0C"/>
    <w:rsid w:val="004E0B8E"/>
    <w:rsid w:val="004E10A3"/>
    <w:rsid w:val="004E13E5"/>
    <w:rsid w:val="004E1853"/>
    <w:rsid w:val="004E1A31"/>
    <w:rsid w:val="004E1C55"/>
    <w:rsid w:val="004E20FD"/>
    <w:rsid w:val="004E2579"/>
    <w:rsid w:val="004E2826"/>
    <w:rsid w:val="004E2908"/>
    <w:rsid w:val="004E29BA"/>
    <w:rsid w:val="004E29D2"/>
    <w:rsid w:val="004E2D34"/>
    <w:rsid w:val="004E2DBD"/>
    <w:rsid w:val="004E2DE0"/>
    <w:rsid w:val="004E3237"/>
    <w:rsid w:val="004E345F"/>
    <w:rsid w:val="004E34C3"/>
    <w:rsid w:val="004E3A22"/>
    <w:rsid w:val="004E3EC5"/>
    <w:rsid w:val="004E3F2A"/>
    <w:rsid w:val="004E4060"/>
    <w:rsid w:val="004E409A"/>
    <w:rsid w:val="004E43A1"/>
    <w:rsid w:val="004E4B9D"/>
    <w:rsid w:val="004E4F8E"/>
    <w:rsid w:val="004E53A1"/>
    <w:rsid w:val="004E548D"/>
    <w:rsid w:val="004E5559"/>
    <w:rsid w:val="004E575C"/>
    <w:rsid w:val="004E5913"/>
    <w:rsid w:val="004E59B2"/>
    <w:rsid w:val="004E5CD8"/>
    <w:rsid w:val="004E5FB5"/>
    <w:rsid w:val="004E5FDD"/>
    <w:rsid w:val="004E6087"/>
    <w:rsid w:val="004E61F5"/>
    <w:rsid w:val="004E640A"/>
    <w:rsid w:val="004E66FE"/>
    <w:rsid w:val="004E6B62"/>
    <w:rsid w:val="004E6EBF"/>
    <w:rsid w:val="004E71D0"/>
    <w:rsid w:val="004E72EA"/>
    <w:rsid w:val="004E7411"/>
    <w:rsid w:val="004E7773"/>
    <w:rsid w:val="004E77A7"/>
    <w:rsid w:val="004E7832"/>
    <w:rsid w:val="004E7A5B"/>
    <w:rsid w:val="004E7E94"/>
    <w:rsid w:val="004F085D"/>
    <w:rsid w:val="004F08C4"/>
    <w:rsid w:val="004F0F1C"/>
    <w:rsid w:val="004F0FB9"/>
    <w:rsid w:val="004F162B"/>
    <w:rsid w:val="004F1BE2"/>
    <w:rsid w:val="004F1C13"/>
    <w:rsid w:val="004F2129"/>
    <w:rsid w:val="004F2153"/>
    <w:rsid w:val="004F23C8"/>
    <w:rsid w:val="004F273B"/>
    <w:rsid w:val="004F291F"/>
    <w:rsid w:val="004F29EC"/>
    <w:rsid w:val="004F2A8C"/>
    <w:rsid w:val="004F2F7E"/>
    <w:rsid w:val="004F308D"/>
    <w:rsid w:val="004F32B5"/>
    <w:rsid w:val="004F3342"/>
    <w:rsid w:val="004F3AA1"/>
    <w:rsid w:val="004F3B88"/>
    <w:rsid w:val="004F3C7E"/>
    <w:rsid w:val="004F4021"/>
    <w:rsid w:val="004F407E"/>
    <w:rsid w:val="004F41FC"/>
    <w:rsid w:val="004F45B4"/>
    <w:rsid w:val="004F4714"/>
    <w:rsid w:val="004F4B64"/>
    <w:rsid w:val="004F4C12"/>
    <w:rsid w:val="004F4E98"/>
    <w:rsid w:val="004F5172"/>
    <w:rsid w:val="004F52C6"/>
    <w:rsid w:val="004F5479"/>
    <w:rsid w:val="004F5629"/>
    <w:rsid w:val="004F56D9"/>
    <w:rsid w:val="004F5C36"/>
    <w:rsid w:val="004F6090"/>
    <w:rsid w:val="004F609B"/>
    <w:rsid w:val="004F638F"/>
    <w:rsid w:val="004F7151"/>
    <w:rsid w:val="004F7528"/>
    <w:rsid w:val="004F765A"/>
    <w:rsid w:val="004F7BCA"/>
    <w:rsid w:val="004F7D89"/>
    <w:rsid w:val="00500892"/>
    <w:rsid w:val="00500DB1"/>
    <w:rsid w:val="00500E2E"/>
    <w:rsid w:val="00501706"/>
    <w:rsid w:val="00501981"/>
    <w:rsid w:val="00501A85"/>
    <w:rsid w:val="00501BB3"/>
    <w:rsid w:val="005021DD"/>
    <w:rsid w:val="00502408"/>
    <w:rsid w:val="00502696"/>
    <w:rsid w:val="005026CA"/>
    <w:rsid w:val="005028EA"/>
    <w:rsid w:val="00502B72"/>
    <w:rsid w:val="00502FBD"/>
    <w:rsid w:val="005034C5"/>
    <w:rsid w:val="00503518"/>
    <w:rsid w:val="00503725"/>
    <w:rsid w:val="00503C6E"/>
    <w:rsid w:val="00503C78"/>
    <w:rsid w:val="0050415F"/>
    <w:rsid w:val="00504653"/>
    <w:rsid w:val="00504773"/>
    <w:rsid w:val="00504BB0"/>
    <w:rsid w:val="00504BC1"/>
    <w:rsid w:val="00504EC9"/>
    <w:rsid w:val="00504EF6"/>
    <w:rsid w:val="00505134"/>
    <w:rsid w:val="00505B27"/>
    <w:rsid w:val="00505C04"/>
    <w:rsid w:val="0050650E"/>
    <w:rsid w:val="00506E88"/>
    <w:rsid w:val="00506EFC"/>
    <w:rsid w:val="00506FC9"/>
    <w:rsid w:val="00506FD8"/>
    <w:rsid w:val="005071DE"/>
    <w:rsid w:val="00507451"/>
    <w:rsid w:val="0050765C"/>
    <w:rsid w:val="005076BD"/>
    <w:rsid w:val="00507738"/>
    <w:rsid w:val="00507A95"/>
    <w:rsid w:val="00507E57"/>
    <w:rsid w:val="005104F2"/>
    <w:rsid w:val="0051084B"/>
    <w:rsid w:val="00510B05"/>
    <w:rsid w:val="00510BC5"/>
    <w:rsid w:val="005115D3"/>
    <w:rsid w:val="00511703"/>
    <w:rsid w:val="0051175B"/>
    <w:rsid w:val="00511F15"/>
    <w:rsid w:val="00511F75"/>
    <w:rsid w:val="005120CD"/>
    <w:rsid w:val="005124A8"/>
    <w:rsid w:val="0051257D"/>
    <w:rsid w:val="0051259B"/>
    <w:rsid w:val="00512765"/>
    <w:rsid w:val="00513186"/>
    <w:rsid w:val="0051318C"/>
    <w:rsid w:val="00513413"/>
    <w:rsid w:val="005142CD"/>
    <w:rsid w:val="005143C9"/>
    <w:rsid w:val="00514B86"/>
    <w:rsid w:val="00514EA6"/>
    <w:rsid w:val="00514EA8"/>
    <w:rsid w:val="0051510D"/>
    <w:rsid w:val="0051520E"/>
    <w:rsid w:val="0051545D"/>
    <w:rsid w:val="005157A9"/>
    <w:rsid w:val="0051582B"/>
    <w:rsid w:val="00516701"/>
    <w:rsid w:val="00516C51"/>
    <w:rsid w:val="005173A7"/>
    <w:rsid w:val="00517795"/>
    <w:rsid w:val="005177E1"/>
    <w:rsid w:val="0051791B"/>
    <w:rsid w:val="00517978"/>
    <w:rsid w:val="00517DEE"/>
    <w:rsid w:val="00517F53"/>
    <w:rsid w:val="0052012E"/>
    <w:rsid w:val="00520C0A"/>
    <w:rsid w:val="00521027"/>
    <w:rsid w:val="0052156F"/>
    <w:rsid w:val="005218B6"/>
    <w:rsid w:val="0052242E"/>
    <w:rsid w:val="00522589"/>
    <w:rsid w:val="00522A49"/>
    <w:rsid w:val="00522E68"/>
    <w:rsid w:val="00522EF9"/>
    <w:rsid w:val="005236FF"/>
    <w:rsid w:val="0052384C"/>
    <w:rsid w:val="00524176"/>
    <w:rsid w:val="00524545"/>
    <w:rsid w:val="0052470E"/>
    <w:rsid w:val="0052477B"/>
    <w:rsid w:val="00525053"/>
    <w:rsid w:val="005251A9"/>
    <w:rsid w:val="005254EC"/>
    <w:rsid w:val="005255BF"/>
    <w:rsid w:val="005256D1"/>
    <w:rsid w:val="005257DE"/>
    <w:rsid w:val="00525909"/>
    <w:rsid w:val="00525BD5"/>
    <w:rsid w:val="00525E97"/>
    <w:rsid w:val="00525FDB"/>
    <w:rsid w:val="00526256"/>
    <w:rsid w:val="005262A9"/>
    <w:rsid w:val="00526D5F"/>
    <w:rsid w:val="00526E5C"/>
    <w:rsid w:val="00526EEA"/>
    <w:rsid w:val="00527097"/>
    <w:rsid w:val="00527200"/>
    <w:rsid w:val="00527DCD"/>
    <w:rsid w:val="00530157"/>
    <w:rsid w:val="005305FE"/>
    <w:rsid w:val="005312FB"/>
    <w:rsid w:val="005313B5"/>
    <w:rsid w:val="0053154A"/>
    <w:rsid w:val="00531EBE"/>
    <w:rsid w:val="0053260A"/>
    <w:rsid w:val="005327CA"/>
    <w:rsid w:val="0053286B"/>
    <w:rsid w:val="005328DD"/>
    <w:rsid w:val="00532CF7"/>
    <w:rsid w:val="00532D47"/>
    <w:rsid w:val="00532DC5"/>
    <w:rsid w:val="00532EF2"/>
    <w:rsid w:val="00532F8B"/>
    <w:rsid w:val="00533170"/>
    <w:rsid w:val="005332FA"/>
    <w:rsid w:val="00533737"/>
    <w:rsid w:val="00533A46"/>
    <w:rsid w:val="00533B2C"/>
    <w:rsid w:val="00533C3B"/>
    <w:rsid w:val="00533CB6"/>
    <w:rsid w:val="00533D02"/>
    <w:rsid w:val="00533FC3"/>
    <w:rsid w:val="00534419"/>
    <w:rsid w:val="0053487B"/>
    <w:rsid w:val="005354B5"/>
    <w:rsid w:val="0053586E"/>
    <w:rsid w:val="005358AC"/>
    <w:rsid w:val="0053592C"/>
    <w:rsid w:val="005359BA"/>
    <w:rsid w:val="00535A06"/>
    <w:rsid w:val="00535AD9"/>
    <w:rsid w:val="00535B79"/>
    <w:rsid w:val="00535D7C"/>
    <w:rsid w:val="00536056"/>
    <w:rsid w:val="0053629F"/>
    <w:rsid w:val="00536579"/>
    <w:rsid w:val="005368E3"/>
    <w:rsid w:val="00536A5A"/>
    <w:rsid w:val="00536C1E"/>
    <w:rsid w:val="00536CDF"/>
    <w:rsid w:val="00536DE4"/>
    <w:rsid w:val="0053777B"/>
    <w:rsid w:val="00537E07"/>
    <w:rsid w:val="00540F93"/>
    <w:rsid w:val="00541026"/>
    <w:rsid w:val="0054102D"/>
    <w:rsid w:val="005416CA"/>
    <w:rsid w:val="00541C95"/>
    <w:rsid w:val="00541D6B"/>
    <w:rsid w:val="00542128"/>
    <w:rsid w:val="0054212E"/>
    <w:rsid w:val="0054224D"/>
    <w:rsid w:val="005423B1"/>
    <w:rsid w:val="00542461"/>
    <w:rsid w:val="00542812"/>
    <w:rsid w:val="005433D9"/>
    <w:rsid w:val="0054343A"/>
    <w:rsid w:val="00543739"/>
    <w:rsid w:val="00543974"/>
    <w:rsid w:val="00543EBF"/>
    <w:rsid w:val="005441E2"/>
    <w:rsid w:val="005441F2"/>
    <w:rsid w:val="00544222"/>
    <w:rsid w:val="005444BF"/>
    <w:rsid w:val="00544635"/>
    <w:rsid w:val="00544ABA"/>
    <w:rsid w:val="00544D47"/>
    <w:rsid w:val="005451D6"/>
    <w:rsid w:val="0054593A"/>
    <w:rsid w:val="005459D3"/>
    <w:rsid w:val="005463C5"/>
    <w:rsid w:val="005466A3"/>
    <w:rsid w:val="005467FB"/>
    <w:rsid w:val="00546AE9"/>
    <w:rsid w:val="00546C7B"/>
    <w:rsid w:val="00546DC1"/>
    <w:rsid w:val="0054726B"/>
    <w:rsid w:val="00547309"/>
    <w:rsid w:val="005476FF"/>
    <w:rsid w:val="00547989"/>
    <w:rsid w:val="00547B63"/>
    <w:rsid w:val="00547D46"/>
    <w:rsid w:val="00550100"/>
    <w:rsid w:val="00550366"/>
    <w:rsid w:val="00550880"/>
    <w:rsid w:val="0055094B"/>
    <w:rsid w:val="00551012"/>
    <w:rsid w:val="00551125"/>
    <w:rsid w:val="00551320"/>
    <w:rsid w:val="005516C3"/>
    <w:rsid w:val="005518A4"/>
    <w:rsid w:val="0055220D"/>
    <w:rsid w:val="0055249E"/>
    <w:rsid w:val="0055261B"/>
    <w:rsid w:val="005526FF"/>
    <w:rsid w:val="00552768"/>
    <w:rsid w:val="00552866"/>
    <w:rsid w:val="00552935"/>
    <w:rsid w:val="005529D6"/>
    <w:rsid w:val="005529DE"/>
    <w:rsid w:val="005529E5"/>
    <w:rsid w:val="00552A08"/>
    <w:rsid w:val="00552A9C"/>
    <w:rsid w:val="00552C6E"/>
    <w:rsid w:val="005530A1"/>
    <w:rsid w:val="00553127"/>
    <w:rsid w:val="00553225"/>
    <w:rsid w:val="00553241"/>
    <w:rsid w:val="005537D5"/>
    <w:rsid w:val="0055390A"/>
    <w:rsid w:val="00553A2C"/>
    <w:rsid w:val="00553A37"/>
    <w:rsid w:val="00554510"/>
    <w:rsid w:val="00554B23"/>
    <w:rsid w:val="00554BE7"/>
    <w:rsid w:val="00554D73"/>
    <w:rsid w:val="00554E03"/>
    <w:rsid w:val="00555221"/>
    <w:rsid w:val="00555362"/>
    <w:rsid w:val="005557A0"/>
    <w:rsid w:val="00555905"/>
    <w:rsid w:val="00555F94"/>
    <w:rsid w:val="005562AF"/>
    <w:rsid w:val="005564D5"/>
    <w:rsid w:val="00556B52"/>
    <w:rsid w:val="00556B6A"/>
    <w:rsid w:val="00556D68"/>
    <w:rsid w:val="00557173"/>
    <w:rsid w:val="00557234"/>
    <w:rsid w:val="0055742E"/>
    <w:rsid w:val="005576A1"/>
    <w:rsid w:val="00557A1A"/>
    <w:rsid w:val="00557A64"/>
    <w:rsid w:val="00560007"/>
    <w:rsid w:val="00560313"/>
    <w:rsid w:val="00560509"/>
    <w:rsid w:val="005605C0"/>
    <w:rsid w:val="00560609"/>
    <w:rsid w:val="00560D23"/>
    <w:rsid w:val="00560FC0"/>
    <w:rsid w:val="0056143A"/>
    <w:rsid w:val="00561590"/>
    <w:rsid w:val="005615D8"/>
    <w:rsid w:val="005617B8"/>
    <w:rsid w:val="00561A4A"/>
    <w:rsid w:val="00561A57"/>
    <w:rsid w:val="005626D6"/>
    <w:rsid w:val="005627F9"/>
    <w:rsid w:val="005628B3"/>
    <w:rsid w:val="0056299C"/>
    <w:rsid w:val="00562AA2"/>
    <w:rsid w:val="00562B6E"/>
    <w:rsid w:val="00563793"/>
    <w:rsid w:val="005638D4"/>
    <w:rsid w:val="00563E8F"/>
    <w:rsid w:val="00564068"/>
    <w:rsid w:val="00564070"/>
    <w:rsid w:val="0056457B"/>
    <w:rsid w:val="00564D9F"/>
    <w:rsid w:val="00564F30"/>
    <w:rsid w:val="005651EA"/>
    <w:rsid w:val="005656ED"/>
    <w:rsid w:val="005657E8"/>
    <w:rsid w:val="00566439"/>
    <w:rsid w:val="00566544"/>
    <w:rsid w:val="00566608"/>
    <w:rsid w:val="00566707"/>
    <w:rsid w:val="00566C27"/>
    <w:rsid w:val="00566C83"/>
    <w:rsid w:val="00566D7A"/>
    <w:rsid w:val="00566DC4"/>
    <w:rsid w:val="00567086"/>
    <w:rsid w:val="00567604"/>
    <w:rsid w:val="00567661"/>
    <w:rsid w:val="00567C15"/>
    <w:rsid w:val="00567DA3"/>
    <w:rsid w:val="00567FB3"/>
    <w:rsid w:val="0057005E"/>
    <w:rsid w:val="005700FE"/>
    <w:rsid w:val="00570150"/>
    <w:rsid w:val="00570B27"/>
    <w:rsid w:val="00570E24"/>
    <w:rsid w:val="00570E4D"/>
    <w:rsid w:val="00570E8A"/>
    <w:rsid w:val="00570F4B"/>
    <w:rsid w:val="00570F7C"/>
    <w:rsid w:val="00571CA1"/>
    <w:rsid w:val="00571D9C"/>
    <w:rsid w:val="00571DD0"/>
    <w:rsid w:val="00572210"/>
    <w:rsid w:val="00572760"/>
    <w:rsid w:val="00572D09"/>
    <w:rsid w:val="00572D82"/>
    <w:rsid w:val="00572DFD"/>
    <w:rsid w:val="0057305B"/>
    <w:rsid w:val="00573191"/>
    <w:rsid w:val="00573268"/>
    <w:rsid w:val="005732F9"/>
    <w:rsid w:val="00573904"/>
    <w:rsid w:val="00573E9D"/>
    <w:rsid w:val="00574132"/>
    <w:rsid w:val="00574139"/>
    <w:rsid w:val="0057417C"/>
    <w:rsid w:val="005743DE"/>
    <w:rsid w:val="00574ACF"/>
    <w:rsid w:val="00574C08"/>
    <w:rsid w:val="00574C53"/>
    <w:rsid w:val="00574F3F"/>
    <w:rsid w:val="005751B2"/>
    <w:rsid w:val="0057562C"/>
    <w:rsid w:val="005756A0"/>
    <w:rsid w:val="005759F6"/>
    <w:rsid w:val="00575A1B"/>
    <w:rsid w:val="00575A52"/>
    <w:rsid w:val="00575E3E"/>
    <w:rsid w:val="00576589"/>
    <w:rsid w:val="005765AD"/>
    <w:rsid w:val="005765F5"/>
    <w:rsid w:val="00576600"/>
    <w:rsid w:val="00576AB3"/>
    <w:rsid w:val="00576CA9"/>
    <w:rsid w:val="00576D6C"/>
    <w:rsid w:val="00576DBE"/>
    <w:rsid w:val="005772DB"/>
    <w:rsid w:val="005775C2"/>
    <w:rsid w:val="005779D3"/>
    <w:rsid w:val="00577A2E"/>
    <w:rsid w:val="00577AEC"/>
    <w:rsid w:val="00577FC0"/>
    <w:rsid w:val="00580380"/>
    <w:rsid w:val="00580395"/>
    <w:rsid w:val="00580501"/>
    <w:rsid w:val="00580713"/>
    <w:rsid w:val="005808F4"/>
    <w:rsid w:val="00580D63"/>
    <w:rsid w:val="00580E48"/>
    <w:rsid w:val="00580F0A"/>
    <w:rsid w:val="00580F92"/>
    <w:rsid w:val="00581246"/>
    <w:rsid w:val="00581418"/>
    <w:rsid w:val="00581ABD"/>
    <w:rsid w:val="00581C9F"/>
    <w:rsid w:val="005821BE"/>
    <w:rsid w:val="005823E9"/>
    <w:rsid w:val="00582AA5"/>
    <w:rsid w:val="00582BAB"/>
    <w:rsid w:val="00582BD8"/>
    <w:rsid w:val="00582C3A"/>
    <w:rsid w:val="00582E1A"/>
    <w:rsid w:val="00583147"/>
    <w:rsid w:val="0058319B"/>
    <w:rsid w:val="00583260"/>
    <w:rsid w:val="00583AC0"/>
    <w:rsid w:val="00583BC2"/>
    <w:rsid w:val="00583CB5"/>
    <w:rsid w:val="0058440E"/>
    <w:rsid w:val="00584416"/>
    <w:rsid w:val="00584B39"/>
    <w:rsid w:val="00584D59"/>
    <w:rsid w:val="00585028"/>
    <w:rsid w:val="005851C8"/>
    <w:rsid w:val="005854D1"/>
    <w:rsid w:val="005855CE"/>
    <w:rsid w:val="00585F5B"/>
    <w:rsid w:val="00586149"/>
    <w:rsid w:val="0058620A"/>
    <w:rsid w:val="00586269"/>
    <w:rsid w:val="005862CE"/>
    <w:rsid w:val="00586543"/>
    <w:rsid w:val="00587433"/>
    <w:rsid w:val="00587478"/>
    <w:rsid w:val="0058760D"/>
    <w:rsid w:val="005876A5"/>
    <w:rsid w:val="005878D3"/>
    <w:rsid w:val="00587B9C"/>
    <w:rsid w:val="00587FC0"/>
    <w:rsid w:val="0059021E"/>
    <w:rsid w:val="00590359"/>
    <w:rsid w:val="00590460"/>
    <w:rsid w:val="005906AD"/>
    <w:rsid w:val="00590BCD"/>
    <w:rsid w:val="00590DA6"/>
    <w:rsid w:val="00591127"/>
    <w:rsid w:val="00591824"/>
    <w:rsid w:val="00591A00"/>
    <w:rsid w:val="00591C7D"/>
    <w:rsid w:val="00592115"/>
    <w:rsid w:val="005921DB"/>
    <w:rsid w:val="00592B03"/>
    <w:rsid w:val="00592FE7"/>
    <w:rsid w:val="0059316F"/>
    <w:rsid w:val="00593406"/>
    <w:rsid w:val="00593706"/>
    <w:rsid w:val="005939E1"/>
    <w:rsid w:val="00593AB9"/>
    <w:rsid w:val="00593BF7"/>
    <w:rsid w:val="005948DF"/>
    <w:rsid w:val="00594ABB"/>
    <w:rsid w:val="00594D1C"/>
    <w:rsid w:val="00594E36"/>
    <w:rsid w:val="00594F0A"/>
    <w:rsid w:val="0059525E"/>
    <w:rsid w:val="0059559E"/>
    <w:rsid w:val="00595887"/>
    <w:rsid w:val="005958AC"/>
    <w:rsid w:val="005961F7"/>
    <w:rsid w:val="00596367"/>
    <w:rsid w:val="005964F8"/>
    <w:rsid w:val="00596B9C"/>
    <w:rsid w:val="00596D65"/>
    <w:rsid w:val="00596E0C"/>
    <w:rsid w:val="00597248"/>
    <w:rsid w:val="0059725F"/>
    <w:rsid w:val="00597644"/>
    <w:rsid w:val="00597BA5"/>
    <w:rsid w:val="00597BC4"/>
    <w:rsid w:val="00597D17"/>
    <w:rsid w:val="00597DBD"/>
    <w:rsid w:val="00597EF9"/>
    <w:rsid w:val="005A019A"/>
    <w:rsid w:val="005A034E"/>
    <w:rsid w:val="005A054D"/>
    <w:rsid w:val="005A0564"/>
    <w:rsid w:val="005A0659"/>
    <w:rsid w:val="005A065D"/>
    <w:rsid w:val="005A0766"/>
    <w:rsid w:val="005A0A46"/>
    <w:rsid w:val="005A0BAF"/>
    <w:rsid w:val="005A10B9"/>
    <w:rsid w:val="005A11EA"/>
    <w:rsid w:val="005A1764"/>
    <w:rsid w:val="005A1847"/>
    <w:rsid w:val="005A1F03"/>
    <w:rsid w:val="005A1F25"/>
    <w:rsid w:val="005A1FEB"/>
    <w:rsid w:val="005A256C"/>
    <w:rsid w:val="005A269F"/>
    <w:rsid w:val="005A305E"/>
    <w:rsid w:val="005A30BB"/>
    <w:rsid w:val="005A3215"/>
    <w:rsid w:val="005A323A"/>
    <w:rsid w:val="005A3287"/>
    <w:rsid w:val="005A383F"/>
    <w:rsid w:val="005A3887"/>
    <w:rsid w:val="005A3C3A"/>
    <w:rsid w:val="005A3E87"/>
    <w:rsid w:val="005A41AE"/>
    <w:rsid w:val="005A45B5"/>
    <w:rsid w:val="005A46E8"/>
    <w:rsid w:val="005A4A79"/>
    <w:rsid w:val="005A51DE"/>
    <w:rsid w:val="005A550D"/>
    <w:rsid w:val="005A5768"/>
    <w:rsid w:val="005A5B4A"/>
    <w:rsid w:val="005A5F49"/>
    <w:rsid w:val="005A6171"/>
    <w:rsid w:val="005A69EA"/>
    <w:rsid w:val="005A6F7A"/>
    <w:rsid w:val="005A77C8"/>
    <w:rsid w:val="005A7938"/>
    <w:rsid w:val="005A7AAB"/>
    <w:rsid w:val="005B0542"/>
    <w:rsid w:val="005B0957"/>
    <w:rsid w:val="005B0AF2"/>
    <w:rsid w:val="005B10F1"/>
    <w:rsid w:val="005B165B"/>
    <w:rsid w:val="005B177A"/>
    <w:rsid w:val="005B17FA"/>
    <w:rsid w:val="005B1DEA"/>
    <w:rsid w:val="005B2225"/>
    <w:rsid w:val="005B2799"/>
    <w:rsid w:val="005B2B77"/>
    <w:rsid w:val="005B3694"/>
    <w:rsid w:val="005B3D4A"/>
    <w:rsid w:val="005B454C"/>
    <w:rsid w:val="005B4606"/>
    <w:rsid w:val="005B4AB9"/>
    <w:rsid w:val="005B4AFD"/>
    <w:rsid w:val="005B4D87"/>
    <w:rsid w:val="005B50EC"/>
    <w:rsid w:val="005B52D4"/>
    <w:rsid w:val="005B54C7"/>
    <w:rsid w:val="005B57BE"/>
    <w:rsid w:val="005B5BF6"/>
    <w:rsid w:val="005B5D13"/>
    <w:rsid w:val="005B6174"/>
    <w:rsid w:val="005B656C"/>
    <w:rsid w:val="005B67A0"/>
    <w:rsid w:val="005B6910"/>
    <w:rsid w:val="005B6AC9"/>
    <w:rsid w:val="005B6FF6"/>
    <w:rsid w:val="005B76D9"/>
    <w:rsid w:val="005B7725"/>
    <w:rsid w:val="005B7A48"/>
    <w:rsid w:val="005B7DD1"/>
    <w:rsid w:val="005B7E6F"/>
    <w:rsid w:val="005B7EAB"/>
    <w:rsid w:val="005C00A0"/>
    <w:rsid w:val="005C01DD"/>
    <w:rsid w:val="005C02F8"/>
    <w:rsid w:val="005C07F6"/>
    <w:rsid w:val="005C08B4"/>
    <w:rsid w:val="005C0F72"/>
    <w:rsid w:val="005C0FC6"/>
    <w:rsid w:val="005C13AE"/>
    <w:rsid w:val="005C19BC"/>
    <w:rsid w:val="005C23C9"/>
    <w:rsid w:val="005C25C2"/>
    <w:rsid w:val="005C2898"/>
    <w:rsid w:val="005C28FA"/>
    <w:rsid w:val="005C2C55"/>
    <w:rsid w:val="005C2CF7"/>
    <w:rsid w:val="005C3191"/>
    <w:rsid w:val="005C32F1"/>
    <w:rsid w:val="005C3AB6"/>
    <w:rsid w:val="005C3AD2"/>
    <w:rsid w:val="005C3E7D"/>
    <w:rsid w:val="005C4019"/>
    <w:rsid w:val="005C40F4"/>
    <w:rsid w:val="005C41A2"/>
    <w:rsid w:val="005C43BE"/>
    <w:rsid w:val="005C44F3"/>
    <w:rsid w:val="005C4527"/>
    <w:rsid w:val="005C47E3"/>
    <w:rsid w:val="005C4C2F"/>
    <w:rsid w:val="005C4DD2"/>
    <w:rsid w:val="005C545E"/>
    <w:rsid w:val="005C5604"/>
    <w:rsid w:val="005C5609"/>
    <w:rsid w:val="005C6EB8"/>
    <w:rsid w:val="005C6F51"/>
    <w:rsid w:val="005C712D"/>
    <w:rsid w:val="005C77DD"/>
    <w:rsid w:val="005C7C75"/>
    <w:rsid w:val="005C7CA4"/>
    <w:rsid w:val="005C7E1B"/>
    <w:rsid w:val="005D008F"/>
    <w:rsid w:val="005D036F"/>
    <w:rsid w:val="005D0C5C"/>
    <w:rsid w:val="005D0D6A"/>
    <w:rsid w:val="005D0D71"/>
    <w:rsid w:val="005D0E4F"/>
    <w:rsid w:val="005D0E67"/>
    <w:rsid w:val="005D18BA"/>
    <w:rsid w:val="005D1AEB"/>
    <w:rsid w:val="005D1DAA"/>
    <w:rsid w:val="005D1E32"/>
    <w:rsid w:val="005D2008"/>
    <w:rsid w:val="005D206B"/>
    <w:rsid w:val="005D20EF"/>
    <w:rsid w:val="005D22B7"/>
    <w:rsid w:val="005D2610"/>
    <w:rsid w:val="005D2878"/>
    <w:rsid w:val="005D2A84"/>
    <w:rsid w:val="005D2BDE"/>
    <w:rsid w:val="005D2D6A"/>
    <w:rsid w:val="005D2E86"/>
    <w:rsid w:val="005D3781"/>
    <w:rsid w:val="005D395B"/>
    <w:rsid w:val="005D3A67"/>
    <w:rsid w:val="005D3C94"/>
    <w:rsid w:val="005D3D76"/>
    <w:rsid w:val="005D3E42"/>
    <w:rsid w:val="005D42F0"/>
    <w:rsid w:val="005D42FA"/>
    <w:rsid w:val="005D4343"/>
    <w:rsid w:val="005D445B"/>
    <w:rsid w:val="005D4578"/>
    <w:rsid w:val="005D45DE"/>
    <w:rsid w:val="005D4645"/>
    <w:rsid w:val="005D4BFA"/>
    <w:rsid w:val="005D4EAD"/>
    <w:rsid w:val="005D4EFA"/>
    <w:rsid w:val="005D5226"/>
    <w:rsid w:val="005D552F"/>
    <w:rsid w:val="005D55BA"/>
    <w:rsid w:val="005D56E5"/>
    <w:rsid w:val="005D5ADB"/>
    <w:rsid w:val="005D5B21"/>
    <w:rsid w:val="005D635F"/>
    <w:rsid w:val="005D648A"/>
    <w:rsid w:val="005D7023"/>
    <w:rsid w:val="005D718A"/>
    <w:rsid w:val="005D74F8"/>
    <w:rsid w:val="005D7754"/>
    <w:rsid w:val="005D7840"/>
    <w:rsid w:val="005D7AEA"/>
    <w:rsid w:val="005D7E0D"/>
    <w:rsid w:val="005D7F22"/>
    <w:rsid w:val="005E0104"/>
    <w:rsid w:val="005E0214"/>
    <w:rsid w:val="005E02C8"/>
    <w:rsid w:val="005E039C"/>
    <w:rsid w:val="005E0D58"/>
    <w:rsid w:val="005E145E"/>
    <w:rsid w:val="005E1700"/>
    <w:rsid w:val="005E181B"/>
    <w:rsid w:val="005E1874"/>
    <w:rsid w:val="005E1928"/>
    <w:rsid w:val="005E19E2"/>
    <w:rsid w:val="005E1ADD"/>
    <w:rsid w:val="005E1C48"/>
    <w:rsid w:val="005E22A7"/>
    <w:rsid w:val="005E234A"/>
    <w:rsid w:val="005E2551"/>
    <w:rsid w:val="005E2A27"/>
    <w:rsid w:val="005E2AE9"/>
    <w:rsid w:val="005E2D01"/>
    <w:rsid w:val="005E3200"/>
    <w:rsid w:val="005E35CC"/>
    <w:rsid w:val="005E371E"/>
    <w:rsid w:val="005E3C14"/>
    <w:rsid w:val="005E3E81"/>
    <w:rsid w:val="005E4119"/>
    <w:rsid w:val="005E4374"/>
    <w:rsid w:val="005E439B"/>
    <w:rsid w:val="005E45B7"/>
    <w:rsid w:val="005E4825"/>
    <w:rsid w:val="005E49CD"/>
    <w:rsid w:val="005E4CD6"/>
    <w:rsid w:val="005E4CE6"/>
    <w:rsid w:val="005E4EC1"/>
    <w:rsid w:val="005E4EF3"/>
    <w:rsid w:val="005E522D"/>
    <w:rsid w:val="005E525E"/>
    <w:rsid w:val="005E53F9"/>
    <w:rsid w:val="005E5477"/>
    <w:rsid w:val="005E58B6"/>
    <w:rsid w:val="005E59D3"/>
    <w:rsid w:val="005E5B3B"/>
    <w:rsid w:val="005E5E7A"/>
    <w:rsid w:val="005E6AA5"/>
    <w:rsid w:val="005E7188"/>
    <w:rsid w:val="005E775D"/>
    <w:rsid w:val="005E7A10"/>
    <w:rsid w:val="005E7D06"/>
    <w:rsid w:val="005E7DA2"/>
    <w:rsid w:val="005F0A43"/>
    <w:rsid w:val="005F0AC0"/>
    <w:rsid w:val="005F0D6E"/>
    <w:rsid w:val="005F1016"/>
    <w:rsid w:val="005F11EE"/>
    <w:rsid w:val="005F1496"/>
    <w:rsid w:val="005F14A9"/>
    <w:rsid w:val="005F185E"/>
    <w:rsid w:val="005F1C60"/>
    <w:rsid w:val="005F1D60"/>
    <w:rsid w:val="005F1DEC"/>
    <w:rsid w:val="005F22BF"/>
    <w:rsid w:val="005F27BF"/>
    <w:rsid w:val="005F28F4"/>
    <w:rsid w:val="005F2F12"/>
    <w:rsid w:val="005F3063"/>
    <w:rsid w:val="005F30C0"/>
    <w:rsid w:val="005F3275"/>
    <w:rsid w:val="005F3C3B"/>
    <w:rsid w:val="005F4171"/>
    <w:rsid w:val="005F43A3"/>
    <w:rsid w:val="005F4414"/>
    <w:rsid w:val="005F46D6"/>
    <w:rsid w:val="005F48B8"/>
    <w:rsid w:val="005F4929"/>
    <w:rsid w:val="005F4DD6"/>
    <w:rsid w:val="005F50D8"/>
    <w:rsid w:val="005F53A1"/>
    <w:rsid w:val="005F5801"/>
    <w:rsid w:val="005F5874"/>
    <w:rsid w:val="005F5E07"/>
    <w:rsid w:val="005F6152"/>
    <w:rsid w:val="005F653B"/>
    <w:rsid w:val="005F659F"/>
    <w:rsid w:val="005F68F4"/>
    <w:rsid w:val="005F6A3A"/>
    <w:rsid w:val="005F6A8C"/>
    <w:rsid w:val="005F6B77"/>
    <w:rsid w:val="005F6E31"/>
    <w:rsid w:val="005F6FF5"/>
    <w:rsid w:val="005F70BA"/>
    <w:rsid w:val="005F7487"/>
    <w:rsid w:val="005F753F"/>
    <w:rsid w:val="005F7A27"/>
    <w:rsid w:val="005F7F7F"/>
    <w:rsid w:val="00600033"/>
    <w:rsid w:val="00600048"/>
    <w:rsid w:val="006001D7"/>
    <w:rsid w:val="006002C7"/>
    <w:rsid w:val="0060032A"/>
    <w:rsid w:val="00600378"/>
    <w:rsid w:val="006005F9"/>
    <w:rsid w:val="00600F95"/>
    <w:rsid w:val="006011F3"/>
    <w:rsid w:val="006015F8"/>
    <w:rsid w:val="00601651"/>
    <w:rsid w:val="00601839"/>
    <w:rsid w:val="00601883"/>
    <w:rsid w:val="00601929"/>
    <w:rsid w:val="00601DF6"/>
    <w:rsid w:val="00602759"/>
    <w:rsid w:val="0060277A"/>
    <w:rsid w:val="0060287C"/>
    <w:rsid w:val="00602B7C"/>
    <w:rsid w:val="00603101"/>
    <w:rsid w:val="00603312"/>
    <w:rsid w:val="006037B6"/>
    <w:rsid w:val="00603839"/>
    <w:rsid w:val="00603CE2"/>
    <w:rsid w:val="00603CE7"/>
    <w:rsid w:val="00603FDF"/>
    <w:rsid w:val="00603FE6"/>
    <w:rsid w:val="00604034"/>
    <w:rsid w:val="0060478C"/>
    <w:rsid w:val="006048B6"/>
    <w:rsid w:val="00604DC7"/>
    <w:rsid w:val="00604E47"/>
    <w:rsid w:val="00604FB9"/>
    <w:rsid w:val="0060501F"/>
    <w:rsid w:val="00605248"/>
    <w:rsid w:val="00605441"/>
    <w:rsid w:val="0060556B"/>
    <w:rsid w:val="00605705"/>
    <w:rsid w:val="0060585A"/>
    <w:rsid w:val="00605A6F"/>
    <w:rsid w:val="00606534"/>
    <w:rsid w:val="006066D7"/>
    <w:rsid w:val="00606970"/>
    <w:rsid w:val="00606A20"/>
    <w:rsid w:val="00606B75"/>
    <w:rsid w:val="00606CD6"/>
    <w:rsid w:val="006070A4"/>
    <w:rsid w:val="00607116"/>
    <w:rsid w:val="00607285"/>
    <w:rsid w:val="006072C6"/>
    <w:rsid w:val="00607666"/>
    <w:rsid w:val="0060785D"/>
    <w:rsid w:val="00607A2E"/>
    <w:rsid w:val="0061008B"/>
    <w:rsid w:val="006102FA"/>
    <w:rsid w:val="00610A8E"/>
    <w:rsid w:val="00610D44"/>
    <w:rsid w:val="00611317"/>
    <w:rsid w:val="006118C1"/>
    <w:rsid w:val="00611CD6"/>
    <w:rsid w:val="00611D2D"/>
    <w:rsid w:val="00612306"/>
    <w:rsid w:val="006123A6"/>
    <w:rsid w:val="006126D6"/>
    <w:rsid w:val="00612905"/>
    <w:rsid w:val="00612976"/>
    <w:rsid w:val="00613014"/>
    <w:rsid w:val="0061303B"/>
    <w:rsid w:val="006130F7"/>
    <w:rsid w:val="006135DF"/>
    <w:rsid w:val="00613946"/>
    <w:rsid w:val="00613A10"/>
    <w:rsid w:val="00613AF8"/>
    <w:rsid w:val="00613D2F"/>
    <w:rsid w:val="00613D8E"/>
    <w:rsid w:val="00614282"/>
    <w:rsid w:val="006142E0"/>
    <w:rsid w:val="00614443"/>
    <w:rsid w:val="0061445D"/>
    <w:rsid w:val="006146DC"/>
    <w:rsid w:val="00614AE7"/>
    <w:rsid w:val="00614D3B"/>
    <w:rsid w:val="00614DE5"/>
    <w:rsid w:val="00614F2E"/>
    <w:rsid w:val="00615181"/>
    <w:rsid w:val="006153EB"/>
    <w:rsid w:val="006154FE"/>
    <w:rsid w:val="00615682"/>
    <w:rsid w:val="00615E49"/>
    <w:rsid w:val="00616112"/>
    <w:rsid w:val="00616195"/>
    <w:rsid w:val="006161FD"/>
    <w:rsid w:val="00616785"/>
    <w:rsid w:val="006169BE"/>
    <w:rsid w:val="00616A34"/>
    <w:rsid w:val="00616C24"/>
    <w:rsid w:val="00616C9B"/>
    <w:rsid w:val="00616FD7"/>
    <w:rsid w:val="00617028"/>
    <w:rsid w:val="006174DD"/>
    <w:rsid w:val="00617C9F"/>
    <w:rsid w:val="00617E14"/>
    <w:rsid w:val="00620039"/>
    <w:rsid w:val="00620144"/>
    <w:rsid w:val="006204F4"/>
    <w:rsid w:val="00620528"/>
    <w:rsid w:val="0062054C"/>
    <w:rsid w:val="006205CA"/>
    <w:rsid w:val="0062089F"/>
    <w:rsid w:val="006208AB"/>
    <w:rsid w:val="0062156F"/>
    <w:rsid w:val="00621990"/>
    <w:rsid w:val="00621CFF"/>
    <w:rsid w:val="00621F53"/>
    <w:rsid w:val="006220A7"/>
    <w:rsid w:val="0062236E"/>
    <w:rsid w:val="006226A8"/>
    <w:rsid w:val="00622A69"/>
    <w:rsid w:val="00622DE8"/>
    <w:rsid w:val="00622E2A"/>
    <w:rsid w:val="00622E6E"/>
    <w:rsid w:val="00623089"/>
    <w:rsid w:val="0062308E"/>
    <w:rsid w:val="006231A4"/>
    <w:rsid w:val="006233E5"/>
    <w:rsid w:val="006234C4"/>
    <w:rsid w:val="00623B5F"/>
    <w:rsid w:val="00623D6B"/>
    <w:rsid w:val="00623EDB"/>
    <w:rsid w:val="00623F50"/>
    <w:rsid w:val="00624046"/>
    <w:rsid w:val="006242A1"/>
    <w:rsid w:val="00624336"/>
    <w:rsid w:val="00624383"/>
    <w:rsid w:val="006244C9"/>
    <w:rsid w:val="006245F6"/>
    <w:rsid w:val="0062475D"/>
    <w:rsid w:val="0062495F"/>
    <w:rsid w:val="00625481"/>
    <w:rsid w:val="006258DB"/>
    <w:rsid w:val="00625DEA"/>
    <w:rsid w:val="0062660B"/>
    <w:rsid w:val="00626662"/>
    <w:rsid w:val="00626AD1"/>
    <w:rsid w:val="00626CD5"/>
    <w:rsid w:val="00626D70"/>
    <w:rsid w:val="00626F4C"/>
    <w:rsid w:val="00627774"/>
    <w:rsid w:val="0062790A"/>
    <w:rsid w:val="0062790D"/>
    <w:rsid w:val="00627EB7"/>
    <w:rsid w:val="006302B7"/>
    <w:rsid w:val="006304BC"/>
    <w:rsid w:val="00630725"/>
    <w:rsid w:val="00630A59"/>
    <w:rsid w:val="00630DCE"/>
    <w:rsid w:val="0063120A"/>
    <w:rsid w:val="00631475"/>
    <w:rsid w:val="0063150B"/>
    <w:rsid w:val="00631585"/>
    <w:rsid w:val="00631872"/>
    <w:rsid w:val="00631DAE"/>
    <w:rsid w:val="00631F00"/>
    <w:rsid w:val="0063200E"/>
    <w:rsid w:val="0063235A"/>
    <w:rsid w:val="00632553"/>
    <w:rsid w:val="00632B1F"/>
    <w:rsid w:val="00632F55"/>
    <w:rsid w:val="006333F4"/>
    <w:rsid w:val="006334ED"/>
    <w:rsid w:val="0063363D"/>
    <w:rsid w:val="006337DC"/>
    <w:rsid w:val="00633895"/>
    <w:rsid w:val="006339CF"/>
    <w:rsid w:val="00633AD2"/>
    <w:rsid w:val="00633B3F"/>
    <w:rsid w:val="00633F7C"/>
    <w:rsid w:val="006340C5"/>
    <w:rsid w:val="0063414C"/>
    <w:rsid w:val="006341C0"/>
    <w:rsid w:val="0063467A"/>
    <w:rsid w:val="00634730"/>
    <w:rsid w:val="0063474D"/>
    <w:rsid w:val="0063484A"/>
    <w:rsid w:val="006348A9"/>
    <w:rsid w:val="00634ACF"/>
    <w:rsid w:val="00634BE6"/>
    <w:rsid w:val="00634CEB"/>
    <w:rsid w:val="00635035"/>
    <w:rsid w:val="0063580D"/>
    <w:rsid w:val="006358C9"/>
    <w:rsid w:val="00635952"/>
    <w:rsid w:val="00635B12"/>
    <w:rsid w:val="00635CAE"/>
    <w:rsid w:val="00635D22"/>
    <w:rsid w:val="00635DC3"/>
    <w:rsid w:val="0063606C"/>
    <w:rsid w:val="00636679"/>
    <w:rsid w:val="00636A61"/>
    <w:rsid w:val="00636F19"/>
    <w:rsid w:val="006371F8"/>
    <w:rsid w:val="006371FD"/>
    <w:rsid w:val="00637240"/>
    <w:rsid w:val="006376E1"/>
    <w:rsid w:val="006377CE"/>
    <w:rsid w:val="00637A06"/>
    <w:rsid w:val="0064003B"/>
    <w:rsid w:val="00640288"/>
    <w:rsid w:val="006406B0"/>
    <w:rsid w:val="00640776"/>
    <w:rsid w:val="0064080C"/>
    <w:rsid w:val="00640F5B"/>
    <w:rsid w:val="00641116"/>
    <w:rsid w:val="006411C4"/>
    <w:rsid w:val="00641C32"/>
    <w:rsid w:val="0064232D"/>
    <w:rsid w:val="006424FE"/>
    <w:rsid w:val="00642835"/>
    <w:rsid w:val="00642AAA"/>
    <w:rsid w:val="00642CD6"/>
    <w:rsid w:val="00643202"/>
    <w:rsid w:val="0064357E"/>
    <w:rsid w:val="0064358F"/>
    <w:rsid w:val="00643660"/>
    <w:rsid w:val="006438AB"/>
    <w:rsid w:val="00643908"/>
    <w:rsid w:val="00643BBF"/>
    <w:rsid w:val="00644388"/>
    <w:rsid w:val="00644804"/>
    <w:rsid w:val="00644934"/>
    <w:rsid w:val="00644D0C"/>
    <w:rsid w:val="00644D5B"/>
    <w:rsid w:val="00644E74"/>
    <w:rsid w:val="006452D8"/>
    <w:rsid w:val="00645612"/>
    <w:rsid w:val="00645E77"/>
    <w:rsid w:val="00645FC7"/>
    <w:rsid w:val="0064602A"/>
    <w:rsid w:val="00646099"/>
    <w:rsid w:val="006463D0"/>
    <w:rsid w:val="0064663E"/>
    <w:rsid w:val="006467F7"/>
    <w:rsid w:val="00646D76"/>
    <w:rsid w:val="00647134"/>
    <w:rsid w:val="006476A7"/>
    <w:rsid w:val="00650139"/>
    <w:rsid w:val="00650441"/>
    <w:rsid w:val="006507EC"/>
    <w:rsid w:val="00650A63"/>
    <w:rsid w:val="00650DAA"/>
    <w:rsid w:val="0065122E"/>
    <w:rsid w:val="0065128D"/>
    <w:rsid w:val="00651524"/>
    <w:rsid w:val="006516C9"/>
    <w:rsid w:val="00651764"/>
    <w:rsid w:val="00651961"/>
    <w:rsid w:val="00651E5A"/>
    <w:rsid w:val="0065213C"/>
    <w:rsid w:val="00652756"/>
    <w:rsid w:val="006528DA"/>
    <w:rsid w:val="00652AD8"/>
    <w:rsid w:val="00652B79"/>
    <w:rsid w:val="00652CE5"/>
    <w:rsid w:val="00652F05"/>
    <w:rsid w:val="0065313E"/>
    <w:rsid w:val="006533C3"/>
    <w:rsid w:val="00653FCF"/>
    <w:rsid w:val="00654068"/>
    <w:rsid w:val="00654583"/>
    <w:rsid w:val="006549A1"/>
    <w:rsid w:val="00654B38"/>
    <w:rsid w:val="00654B83"/>
    <w:rsid w:val="00654F1D"/>
    <w:rsid w:val="00655061"/>
    <w:rsid w:val="006550BF"/>
    <w:rsid w:val="0065510C"/>
    <w:rsid w:val="00655ABD"/>
    <w:rsid w:val="00655B63"/>
    <w:rsid w:val="00655C40"/>
    <w:rsid w:val="00655C68"/>
    <w:rsid w:val="00656615"/>
    <w:rsid w:val="00656DB4"/>
    <w:rsid w:val="00656E5F"/>
    <w:rsid w:val="006571F6"/>
    <w:rsid w:val="006572DF"/>
    <w:rsid w:val="0065736B"/>
    <w:rsid w:val="00657434"/>
    <w:rsid w:val="00657544"/>
    <w:rsid w:val="00657B95"/>
    <w:rsid w:val="00657D20"/>
    <w:rsid w:val="00661353"/>
    <w:rsid w:val="006618CC"/>
    <w:rsid w:val="00661BBC"/>
    <w:rsid w:val="00662111"/>
    <w:rsid w:val="00662118"/>
    <w:rsid w:val="00662337"/>
    <w:rsid w:val="00662D85"/>
    <w:rsid w:val="00662DD6"/>
    <w:rsid w:val="00663197"/>
    <w:rsid w:val="006631E4"/>
    <w:rsid w:val="006638AD"/>
    <w:rsid w:val="00663B2C"/>
    <w:rsid w:val="00663C0A"/>
    <w:rsid w:val="00663C14"/>
    <w:rsid w:val="00663D9F"/>
    <w:rsid w:val="00663DC0"/>
    <w:rsid w:val="00663EC5"/>
    <w:rsid w:val="00663F75"/>
    <w:rsid w:val="006641EB"/>
    <w:rsid w:val="006643FD"/>
    <w:rsid w:val="0066474C"/>
    <w:rsid w:val="006648B0"/>
    <w:rsid w:val="00664B28"/>
    <w:rsid w:val="00664BCF"/>
    <w:rsid w:val="00664C76"/>
    <w:rsid w:val="0066507A"/>
    <w:rsid w:val="00665229"/>
    <w:rsid w:val="006654BC"/>
    <w:rsid w:val="00665EA3"/>
    <w:rsid w:val="006661B3"/>
    <w:rsid w:val="006663A7"/>
    <w:rsid w:val="00666B5D"/>
    <w:rsid w:val="00666C5A"/>
    <w:rsid w:val="00666DE2"/>
    <w:rsid w:val="00666E0E"/>
    <w:rsid w:val="00667028"/>
    <w:rsid w:val="0066732C"/>
    <w:rsid w:val="006679F5"/>
    <w:rsid w:val="00667B77"/>
    <w:rsid w:val="00667CCB"/>
    <w:rsid w:val="00670179"/>
    <w:rsid w:val="00670388"/>
    <w:rsid w:val="00670613"/>
    <w:rsid w:val="0067073A"/>
    <w:rsid w:val="00670942"/>
    <w:rsid w:val="00670A0D"/>
    <w:rsid w:val="0067160A"/>
    <w:rsid w:val="006716DA"/>
    <w:rsid w:val="00671784"/>
    <w:rsid w:val="006717A7"/>
    <w:rsid w:val="0067195A"/>
    <w:rsid w:val="00671C6D"/>
    <w:rsid w:val="00671ED0"/>
    <w:rsid w:val="006726FE"/>
    <w:rsid w:val="00672832"/>
    <w:rsid w:val="006728ED"/>
    <w:rsid w:val="00672DB9"/>
    <w:rsid w:val="00672EF4"/>
    <w:rsid w:val="006730CA"/>
    <w:rsid w:val="006732B1"/>
    <w:rsid w:val="006733AE"/>
    <w:rsid w:val="00673454"/>
    <w:rsid w:val="006734B9"/>
    <w:rsid w:val="00673578"/>
    <w:rsid w:val="00673777"/>
    <w:rsid w:val="00673A18"/>
    <w:rsid w:val="00673E10"/>
    <w:rsid w:val="006740D6"/>
    <w:rsid w:val="006742CE"/>
    <w:rsid w:val="0067446F"/>
    <w:rsid w:val="0067447C"/>
    <w:rsid w:val="006745B4"/>
    <w:rsid w:val="006745E1"/>
    <w:rsid w:val="006746A4"/>
    <w:rsid w:val="00674A80"/>
    <w:rsid w:val="00674CD8"/>
    <w:rsid w:val="00674FE3"/>
    <w:rsid w:val="0067542D"/>
    <w:rsid w:val="006754BE"/>
    <w:rsid w:val="00675558"/>
    <w:rsid w:val="00675611"/>
    <w:rsid w:val="0067564A"/>
    <w:rsid w:val="006756F4"/>
    <w:rsid w:val="00675757"/>
    <w:rsid w:val="00675A60"/>
    <w:rsid w:val="00675B1D"/>
    <w:rsid w:val="00675B9A"/>
    <w:rsid w:val="00675BA8"/>
    <w:rsid w:val="00675DF6"/>
    <w:rsid w:val="00676521"/>
    <w:rsid w:val="0067697E"/>
    <w:rsid w:val="006769A2"/>
    <w:rsid w:val="006771A8"/>
    <w:rsid w:val="006772B2"/>
    <w:rsid w:val="00677443"/>
    <w:rsid w:val="0067769A"/>
    <w:rsid w:val="0067780C"/>
    <w:rsid w:val="00680210"/>
    <w:rsid w:val="00680328"/>
    <w:rsid w:val="0068050E"/>
    <w:rsid w:val="00680597"/>
    <w:rsid w:val="006806A3"/>
    <w:rsid w:val="006806A6"/>
    <w:rsid w:val="00680897"/>
    <w:rsid w:val="00680C00"/>
    <w:rsid w:val="00680C4F"/>
    <w:rsid w:val="00681211"/>
    <w:rsid w:val="00681317"/>
    <w:rsid w:val="0068144F"/>
    <w:rsid w:val="0068154E"/>
    <w:rsid w:val="0068162C"/>
    <w:rsid w:val="0068170F"/>
    <w:rsid w:val="00681797"/>
    <w:rsid w:val="00681896"/>
    <w:rsid w:val="00681B36"/>
    <w:rsid w:val="00681BFA"/>
    <w:rsid w:val="006822C8"/>
    <w:rsid w:val="00682560"/>
    <w:rsid w:val="006827DC"/>
    <w:rsid w:val="00682A92"/>
    <w:rsid w:val="00682C40"/>
    <w:rsid w:val="00682DFE"/>
    <w:rsid w:val="00682E14"/>
    <w:rsid w:val="0068321C"/>
    <w:rsid w:val="0068354B"/>
    <w:rsid w:val="0068371E"/>
    <w:rsid w:val="0068426A"/>
    <w:rsid w:val="0068436C"/>
    <w:rsid w:val="0068454C"/>
    <w:rsid w:val="006845A1"/>
    <w:rsid w:val="006845EE"/>
    <w:rsid w:val="00684793"/>
    <w:rsid w:val="006847B4"/>
    <w:rsid w:val="00684C2A"/>
    <w:rsid w:val="0068545E"/>
    <w:rsid w:val="006855F4"/>
    <w:rsid w:val="00685655"/>
    <w:rsid w:val="00685C69"/>
    <w:rsid w:val="00685D9F"/>
    <w:rsid w:val="00685FD4"/>
    <w:rsid w:val="00686612"/>
    <w:rsid w:val="0068661E"/>
    <w:rsid w:val="006867B7"/>
    <w:rsid w:val="00686991"/>
    <w:rsid w:val="006869C9"/>
    <w:rsid w:val="00686B56"/>
    <w:rsid w:val="00686D6B"/>
    <w:rsid w:val="006878F6"/>
    <w:rsid w:val="00687F86"/>
    <w:rsid w:val="00690089"/>
    <w:rsid w:val="006900F0"/>
    <w:rsid w:val="00690A49"/>
    <w:rsid w:val="00690AE0"/>
    <w:rsid w:val="00690B21"/>
    <w:rsid w:val="00690BB6"/>
    <w:rsid w:val="00690DFC"/>
    <w:rsid w:val="00690FFC"/>
    <w:rsid w:val="00691502"/>
    <w:rsid w:val="00691B30"/>
    <w:rsid w:val="00691C86"/>
    <w:rsid w:val="00691F2F"/>
    <w:rsid w:val="006921A0"/>
    <w:rsid w:val="006924A5"/>
    <w:rsid w:val="00692B3C"/>
    <w:rsid w:val="00693937"/>
    <w:rsid w:val="006939CC"/>
    <w:rsid w:val="00693B2B"/>
    <w:rsid w:val="00693D37"/>
    <w:rsid w:val="00693E1F"/>
    <w:rsid w:val="00693ECB"/>
    <w:rsid w:val="006941D1"/>
    <w:rsid w:val="00694334"/>
    <w:rsid w:val="00694574"/>
    <w:rsid w:val="00694797"/>
    <w:rsid w:val="00694A6E"/>
    <w:rsid w:val="00694C14"/>
    <w:rsid w:val="00694CD1"/>
    <w:rsid w:val="00695887"/>
    <w:rsid w:val="0069599C"/>
    <w:rsid w:val="00695B54"/>
    <w:rsid w:val="00696DAA"/>
    <w:rsid w:val="00697367"/>
    <w:rsid w:val="00697575"/>
    <w:rsid w:val="00697733"/>
    <w:rsid w:val="006977DC"/>
    <w:rsid w:val="00697BB6"/>
    <w:rsid w:val="006A01C4"/>
    <w:rsid w:val="006A0266"/>
    <w:rsid w:val="006A0389"/>
    <w:rsid w:val="006A090E"/>
    <w:rsid w:val="006A1314"/>
    <w:rsid w:val="006A19DA"/>
    <w:rsid w:val="006A1B72"/>
    <w:rsid w:val="006A1D91"/>
    <w:rsid w:val="006A21B4"/>
    <w:rsid w:val="006A2455"/>
    <w:rsid w:val="006A254E"/>
    <w:rsid w:val="006A25D6"/>
    <w:rsid w:val="006A2AF3"/>
    <w:rsid w:val="006A2C30"/>
    <w:rsid w:val="006A301C"/>
    <w:rsid w:val="006A366A"/>
    <w:rsid w:val="006A374D"/>
    <w:rsid w:val="006A39EE"/>
    <w:rsid w:val="006A3E2B"/>
    <w:rsid w:val="006A3F21"/>
    <w:rsid w:val="006A412A"/>
    <w:rsid w:val="006A44DE"/>
    <w:rsid w:val="006A45AF"/>
    <w:rsid w:val="006A5B8F"/>
    <w:rsid w:val="006A5D01"/>
    <w:rsid w:val="006A5D22"/>
    <w:rsid w:val="006A60AA"/>
    <w:rsid w:val="006A665A"/>
    <w:rsid w:val="006A67CA"/>
    <w:rsid w:val="006A6BFF"/>
    <w:rsid w:val="006A6E17"/>
    <w:rsid w:val="006A73C2"/>
    <w:rsid w:val="006A7F5D"/>
    <w:rsid w:val="006B0556"/>
    <w:rsid w:val="006B0640"/>
    <w:rsid w:val="006B0B7F"/>
    <w:rsid w:val="006B0E09"/>
    <w:rsid w:val="006B120D"/>
    <w:rsid w:val="006B17E7"/>
    <w:rsid w:val="006B19E8"/>
    <w:rsid w:val="006B1A8A"/>
    <w:rsid w:val="006B1CDE"/>
    <w:rsid w:val="006B1D79"/>
    <w:rsid w:val="006B1EA7"/>
    <w:rsid w:val="006B1F77"/>
    <w:rsid w:val="006B1FD5"/>
    <w:rsid w:val="006B1FEC"/>
    <w:rsid w:val="006B1FF7"/>
    <w:rsid w:val="006B2124"/>
    <w:rsid w:val="006B24E8"/>
    <w:rsid w:val="006B2897"/>
    <w:rsid w:val="006B28BC"/>
    <w:rsid w:val="006B2917"/>
    <w:rsid w:val="006B2B2D"/>
    <w:rsid w:val="006B2D5E"/>
    <w:rsid w:val="006B3834"/>
    <w:rsid w:val="006B38A4"/>
    <w:rsid w:val="006B3949"/>
    <w:rsid w:val="006B394F"/>
    <w:rsid w:val="006B39D7"/>
    <w:rsid w:val="006B3AF9"/>
    <w:rsid w:val="006B3B4F"/>
    <w:rsid w:val="006B4376"/>
    <w:rsid w:val="006B44B5"/>
    <w:rsid w:val="006B453C"/>
    <w:rsid w:val="006B47C6"/>
    <w:rsid w:val="006B4855"/>
    <w:rsid w:val="006B4DAA"/>
    <w:rsid w:val="006B555A"/>
    <w:rsid w:val="006B5589"/>
    <w:rsid w:val="006B5935"/>
    <w:rsid w:val="006B5D94"/>
    <w:rsid w:val="006B5E80"/>
    <w:rsid w:val="006B600A"/>
    <w:rsid w:val="006B64FB"/>
    <w:rsid w:val="006B6635"/>
    <w:rsid w:val="006B6B89"/>
    <w:rsid w:val="006B700D"/>
    <w:rsid w:val="006B713B"/>
    <w:rsid w:val="006B77C0"/>
    <w:rsid w:val="006B7D22"/>
    <w:rsid w:val="006B7D2C"/>
    <w:rsid w:val="006B7D55"/>
    <w:rsid w:val="006B7EF1"/>
    <w:rsid w:val="006C0626"/>
    <w:rsid w:val="006C065B"/>
    <w:rsid w:val="006C1019"/>
    <w:rsid w:val="006C1094"/>
    <w:rsid w:val="006C1627"/>
    <w:rsid w:val="006C17FF"/>
    <w:rsid w:val="006C1B0A"/>
    <w:rsid w:val="006C1F3C"/>
    <w:rsid w:val="006C2014"/>
    <w:rsid w:val="006C23E0"/>
    <w:rsid w:val="006C2551"/>
    <w:rsid w:val="006C2B53"/>
    <w:rsid w:val="006C2BB5"/>
    <w:rsid w:val="006C2BEE"/>
    <w:rsid w:val="006C2E21"/>
    <w:rsid w:val="006C31F4"/>
    <w:rsid w:val="006C35C2"/>
    <w:rsid w:val="006C35E0"/>
    <w:rsid w:val="006C361F"/>
    <w:rsid w:val="006C3664"/>
    <w:rsid w:val="006C382F"/>
    <w:rsid w:val="006C3AD8"/>
    <w:rsid w:val="006C3C6D"/>
    <w:rsid w:val="006C3E82"/>
    <w:rsid w:val="006C3EB4"/>
    <w:rsid w:val="006C4516"/>
    <w:rsid w:val="006C455E"/>
    <w:rsid w:val="006C4E6C"/>
    <w:rsid w:val="006C561C"/>
    <w:rsid w:val="006C5958"/>
    <w:rsid w:val="006C5B4F"/>
    <w:rsid w:val="006C614B"/>
    <w:rsid w:val="006C643C"/>
    <w:rsid w:val="006C651F"/>
    <w:rsid w:val="006C661D"/>
    <w:rsid w:val="006C6AB1"/>
    <w:rsid w:val="006C6E3A"/>
    <w:rsid w:val="006C6EBD"/>
    <w:rsid w:val="006C6FD7"/>
    <w:rsid w:val="006C733D"/>
    <w:rsid w:val="006C750E"/>
    <w:rsid w:val="006C7A5A"/>
    <w:rsid w:val="006C7D92"/>
    <w:rsid w:val="006C7EC5"/>
    <w:rsid w:val="006D00DB"/>
    <w:rsid w:val="006D0361"/>
    <w:rsid w:val="006D04D0"/>
    <w:rsid w:val="006D092C"/>
    <w:rsid w:val="006D0A13"/>
    <w:rsid w:val="006D16B0"/>
    <w:rsid w:val="006D1977"/>
    <w:rsid w:val="006D19E9"/>
    <w:rsid w:val="006D1A5A"/>
    <w:rsid w:val="006D1A9E"/>
    <w:rsid w:val="006D2182"/>
    <w:rsid w:val="006D2444"/>
    <w:rsid w:val="006D254B"/>
    <w:rsid w:val="006D25EE"/>
    <w:rsid w:val="006D289B"/>
    <w:rsid w:val="006D28DC"/>
    <w:rsid w:val="006D2CFE"/>
    <w:rsid w:val="006D2E54"/>
    <w:rsid w:val="006D2E56"/>
    <w:rsid w:val="006D307C"/>
    <w:rsid w:val="006D319C"/>
    <w:rsid w:val="006D3BE1"/>
    <w:rsid w:val="006D3C1A"/>
    <w:rsid w:val="006D3E63"/>
    <w:rsid w:val="006D3FC1"/>
    <w:rsid w:val="006D4201"/>
    <w:rsid w:val="006D4248"/>
    <w:rsid w:val="006D46B2"/>
    <w:rsid w:val="006D48FC"/>
    <w:rsid w:val="006D4D18"/>
    <w:rsid w:val="006D5119"/>
    <w:rsid w:val="006D529C"/>
    <w:rsid w:val="006D5315"/>
    <w:rsid w:val="006D600C"/>
    <w:rsid w:val="006D6196"/>
    <w:rsid w:val="006D6229"/>
    <w:rsid w:val="006D62BC"/>
    <w:rsid w:val="006D6450"/>
    <w:rsid w:val="006D65DE"/>
    <w:rsid w:val="006D6939"/>
    <w:rsid w:val="006D6DB4"/>
    <w:rsid w:val="006D6FC3"/>
    <w:rsid w:val="006D77AA"/>
    <w:rsid w:val="006D7E40"/>
    <w:rsid w:val="006D7EB0"/>
    <w:rsid w:val="006E0138"/>
    <w:rsid w:val="006E0573"/>
    <w:rsid w:val="006E061A"/>
    <w:rsid w:val="006E07E8"/>
    <w:rsid w:val="006E0BB0"/>
    <w:rsid w:val="006E12C3"/>
    <w:rsid w:val="006E16B2"/>
    <w:rsid w:val="006E1935"/>
    <w:rsid w:val="006E1AC0"/>
    <w:rsid w:val="006E1B6F"/>
    <w:rsid w:val="006E212B"/>
    <w:rsid w:val="006E2460"/>
    <w:rsid w:val="006E2529"/>
    <w:rsid w:val="006E2777"/>
    <w:rsid w:val="006E2A73"/>
    <w:rsid w:val="006E2F86"/>
    <w:rsid w:val="006E32C5"/>
    <w:rsid w:val="006E3324"/>
    <w:rsid w:val="006E3334"/>
    <w:rsid w:val="006E34BF"/>
    <w:rsid w:val="006E3735"/>
    <w:rsid w:val="006E375F"/>
    <w:rsid w:val="006E3CE9"/>
    <w:rsid w:val="006E3E25"/>
    <w:rsid w:val="006E3ECD"/>
    <w:rsid w:val="006E3F26"/>
    <w:rsid w:val="006E4099"/>
    <w:rsid w:val="006E40C2"/>
    <w:rsid w:val="006E4394"/>
    <w:rsid w:val="006E45F3"/>
    <w:rsid w:val="006E4852"/>
    <w:rsid w:val="006E4A2F"/>
    <w:rsid w:val="006E4DA0"/>
    <w:rsid w:val="006E4ED4"/>
    <w:rsid w:val="006E522B"/>
    <w:rsid w:val="006E528F"/>
    <w:rsid w:val="006E5326"/>
    <w:rsid w:val="006E5437"/>
    <w:rsid w:val="006E5909"/>
    <w:rsid w:val="006E5CA3"/>
    <w:rsid w:val="006E5E19"/>
    <w:rsid w:val="006E61C3"/>
    <w:rsid w:val="006E64C8"/>
    <w:rsid w:val="006E6660"/>
    <w:rsid w:val="006E6DFC"/>
    <w:rsid w:val="006E6F16"/>
    <w:rsid w:val="006E7003"/>
    <w:rsid w:val="006E7094"/>
    <w:rsid w:val="006E71C9"/>
    <w:rsid w:val="006E745F"/>
    <w:rsid w:val="006E7525"/>
    <w:rsid w:val="006E7922"/>
    <w:rsid w:val="006E799D"/>
    <w:rsid w:val="006E7C06"/>
    <w:rsid w:val="006F02CE"/>
    <w:rsid w:val="006F0395"/>
    <w:rsid w:val="006F0593"/>
    <w:rsid w:val="006F0653"/>
    <w:rsid w:val="006F0889"/>
    <w:rsid w:val="006F0D1C"/>
    <w:rsid w:val="006F1064"/>
    <w:rsid w:val="006F1977"/>
    <w:rsid w:val="006F1A28"/>
    <w:rsid w:val="006F1E6F"/>
    <w:rsid w:val="006F1EB7"/>
    <w:rsid w:val="006F20CB"/>
    <w:rsid w:val="006F20FB"/>
    <w:rsid w:val="006F2136"/>
    <w:rsid w:val="006F27B2"/>
    <w:rsid w:val="006F2BD1"/>
    <w:rsid w:val="006F2C76"/>
    <w:rsid w:val="006F2CD3"/>
    <w:rsid w:val="006F39AF"/>
    <w:rsid w:val="006F3AC2"/>
    <w:rsid w:val="006F3BB5"/>
    <w:rsid w:val="006F4117"/>
    <w:rsid w:val="006F42BF"/>
    <w:rsid w:val="006F42D5"/>
    <w:rsid w:val="006F46EB"/>
    <w:rsid w:val="006F48BA"/>
    <w:rsid w:val="006F496D"/>
    <w:rsid w:val="006F4CDA"/>
    <w:rsid w:val="006F52E5"/>
    <w:rsid w:val="006F57D3"/>
    <w:rsid w:val="006F5887"/>
    <w:rsid w:val="006F5A44"/>
    <w:rsid w:val="006F5B83"/>
    <w:rsid w:val="006F6066"/>
    <w:rsid w:val="006F673B"/>
    <w:rsid w:val="006F67D5"/>
    <w:rsid w:val="006F6850"/>
    <w:rsid w:val="006F68F4"/>
    <w:rsid w:val="006F6B62"/>
    <w:rsid w:val="006F6BC2"/>
    <w:rsid w:val="006F707E"/>
    <w:rsid w:val="006F70D2"/>
    <w:rsid w:val="006F74F1"/>
    <w:rsid w:val="006F760F"/>
    <w:rsid w:val="006F78C2"/>
    <w:rsid w:val="0070012D"/>
    <w:rsid w:val="007001DC"/>
    <w:rsid w:val="0070064E"/>
    <w:rsid w:val="007008CE"/>
    <w:rsid w:val="00700C81"/>
    <w:rsid w:val="00700FBF"/>
    <w:rsid w:val="007017D1"/>
    <w:rsid w:val="00701834"/>
    <w:rsid w:val="007019ED"/>
    <w:rsid w:val="00701F61"/>
    <w:rsid w:val="00702065"/>
    <w:rsid w:val="00702244"/>
    <w:rsid w:val="007022F3"/>
    <w:rsid w:val="007025CB"/>
    <w:rsid w:val="00702654"/>
    <w:rsid w:val="0070273B"/>
    <w:rsid w:val="007027F6"/>
    <w:rsid w:val="00702A43"/>
    <w:rsid w:val="00702B12"/>
    <w:rsid w:val="007034AA"/>
    <w:rsid w:val="0070395F"/>
    <w:rsid w:val="00703C9D"/>
    <w:rsid w:val="00703E9E"/>
    <w:rsid w:val="00703EE9"/>
    <w:rsid w:val="00703F50"/>
    <w:rsid w:val="007040F5"/>
    <w:rsid w:val="0070438E"/>
    <w:rsid w:val="0070490C"/>
    <w:rsid w:val="00704B74"/>
    <w:rsid w:val="007050E6"/>
    <w:rsid w:val="00705454"/>
    <w:rsid w:val="00705716"/>
    <w:rsid w:val="00705C38"/>
    <w:rsid w:val="00705EFD"/>
    <w:rsid w:val="007060BE"/>
    <w:rsid w:val="007063E3"/>
    <w:rsid w:val="00706465"/>
    <w:rsid w:val="007064D6"/>
    <w:rsid w:val="00706894"/>
    <w:rsid w:val="0070695A"/>
    <w:rsid w:val="0070782D"/>
    <w:rsid w:val="00710085"/>
    <w:rsid w:val="0071086D"/>
    <w:rsid w:val="007109C2"/>
    <w:rsid w:val="00710D8A"/>
    <w:rsid w:val="00710FDE"/>
    <w:rsid w:val="0071102B"/>
    <w:rsid w:val="0071116F"/>
    <w:rsid w:val="0071118C"/>
    <w:rsid w:val="00711340"/>
    <w:rsid w:val="0071145A"/>
    <w:rsid w:val="00711F24"/>
    <w:rsid w:val="00711F5E"/>
    <w:rsid w:val="0071265A"/>
    <w:rsid w:val="00712843"/>
    <w:rsid w:val="00712A40"/>
    <w:rsid w:val="00712C42"/>
    <w:rsid w:val="00712D48"/>
    <w:rsid w:val="0071301D"/>
    <w:rsid w:val="007130C0"/>
    <w:rsid w:val="0071320E"/>
    <w:rsid w:val="00713252"/>
    <w:rsid w:val="007133FE"/>
    <w:rsid w:val="00713697"/>
    <w:rsid w:val="00713736"/>
    <w:rsid w:val="0071373D"/>
    <w:rsid w:val="00713DE4"/>
    <w:rsid w:val="00714313"/>
    <w:rsid w:val="00714A76"/>
    <w:rsid w:val="00714C47"/>
    <w:rsid w:val="0071507C"/>
    <w:rsid w:val="007152C1"/>
    <w:rsid w:val="00715368"/>
    <w:rsid w:val="007155C4"/>
    <w:rsid w:val="00715CB8"/>
    <w:rsid w:val="00715EB0"/>
    <w:rsid w:val="00716462"/>
    <w:rsid w:val="00716802"/>
    <w:rsid w:val="00716C7E"/>
    <w:rsid w:val="00716D21"/>
    <w:rsid w:val="00716E86"/>
    <w:rsid w:val="00716E92"/>
    <w:rsid w:val="00716FB8"/>
    <w:rsid w:val="0071735E"/>
    <w:rsid w:val="00717714"/>
    <w:rsid w:val="007179D9"/>
    <w:rsid w:val="00717A5D"/>
    <w:rsid w:val="00717BEB"/>
    <w:rsid w:val="007203A1"/>
    <w:rsid w:val="00720410"/>
    <w:rsid w:val="007205F8"/>
    <w:rsid w:val="00720A8D"/>
    <w:rsid w:val="00721084"/>
    <w:rsid w:val="007210AB"/>
    <w:rsid w:val="00721262"/>
    <w:rsid w:val="00721D21"/>
    <w:rsid w:val="00721D9B"/>
    <w:rsid w:val="00722121"/>
    <w:rsid w:val="00722367"/>
    <w:rsid w:val="007224B9"/>
    <w:rsid w:val="00722507"/>
    <w:rsid w:val="00722552"/>
    <w:rsid w:val="00722910"/>
    <w:rsid w:val="00722A6A"/>
    <w:rsid w:val="00722F94"/>
    <w:rsid w:val="00723240"/>
    <w:rsid w:val="0072379D"/>
    <w:rsid w:val="007239D8"/>
    <w:rsid w:val="00723AA7"/>
    <w:rsid w:val="0072432E"/>
    <w:rsid w:val="00724657"/>
    <w:rsid w:val="00724AE9"/>
    <w:rsid w:val="00725DD1"/>
    <w:rsid w:val="00725FEE"/>
    <w:rsid w:val="00726036"/>
    <w:rsid w:val="00726279"/>
    <w:rsid w:val="00726444"/>
    <w:rsid w:val="0072644D"/>
    <w:rsid w:val="007265BD"/>
    <w:rsid w:val="00726603"/>
    <w:rsid w:val="0072672F"/>
    <w:rsid w:val="00726A4B"/>
    <w:rsid w:val="00726A9B"/>
    <w:rsid w:val="00726F1C"/>
    <w:rsid w:val="00727530"/>
    <w:rsid w:val="007278D1"/>
    <w:rsid w:val="0072791C"/>
    <w:rsid w:val="00727BAF"/>
    <w:rsid w:val="00727C69"/>
    <w:rsid w:val="00730323"/>
    <w:rsid w:val="007305A9"/>
    <w:rsid w:val="00730660"/>
    <w:rsid w:val="0073072A"/>
    <w:rsid w:val="00730ABB"/>
    <w:rsid w:val="00730C28"/>
    <w:rsid w:val="00731431"/>
    <w:rsid w:val="0073195A"/>
    <w:rsid w:val="007319BA"/>
    <w:rsid w:val="007319DD"/>
    <w:rsid w:val="00731E7C"/>
    <w:rsid w:val="00732026"/>
    <w:rsid w:val="00732277"/>
    <w:rsid w:val="007323C4"/>
    <w:rsid w:val="0073251E"/>
    <w:rsid w:val="00732607"/>
    <w:rsid w:val="00732817"/>
    <w:rsid w:val="007328E8"/>
    <w:rsid w:val="007329EF"/>
    <w:rsid w:val="00732A6C"/>
    <w:rsid w:val="00732D60"/>
    <w:rsid w:val="00732E4C"/>
    <w:rsid w:val="0073325F"/>
    <w:rsid w:val="0073327A"/>
    <w:rsid w:val="00733328"/>
    <w:rsid w:val="00733D89"/>
    <w:rsid w:val="00733FD1"/>
    <w:rsid w:val="00734100"/>
    <w:rsid w:val="007342F5"/>
    <w:rsid w:val="00734714"/>
    <w:rsid w:val="00734A33"/>
    <w:rsid w:val="00734E39"/>
    <w:rsid w:val="00734EBE"/>
    <w:rsid w:val="00735498"/>
    <w:rsid w:val="00735546"/>
    <w:rsid w:val="00735C2C"/>
    <w:rsid w:val="00736487"/>
    <w:rsid w:val="0073665E"/>
    <w:rsid w:val="00736690"/>
    <w:rsid w:val="00736DD8"/>
    <w:rsid w:val="007373A3"/>
    <w:rsid w:val="00737555"/>
    <w:rsid w:val="00737628"/>
    <w:rsid w:val="007376F1"/>
    <w:rsid w:val="00737770"/>
    <w:rsid w:val="00737806"/>
    <w:rsid w:val="00737D3C"/>
    <w:rsid w:val="00740113"/>
    <w:rsid w:val="007403EF"/>
    <w:rsid w:val="00740548"/>
    <w:rsid w:val="0074059A"/>
    <w:rsid w:val="0074076A"/>
    <w:rsid w:val="007407D9"/>
    <w:rsid w:val="007408D3"/>
    <w:rsid w:val="007409BE"/>
    <w:rsid w:val="00740A8E"/>
    <w:rsid w:val="00740B49"/>
    <w:rsid w:val="0074114B"/>
    <w:rsid w:val="007411E1"/>
    <w:rsid w:val="00741240"/>
    <w:rsid w:val="007418C7"/>
    <w:rsid w:val="007419EF"/>
    <w:rsid w:val="00741AED"/>
    <w:rsid w:val="00741AF4"/>
    <w:rsid w:val="00741DCC"/>
    <w:rsid w:val="0074203A"/>
    <w:rsid w:val="00742112"/>
    <w:rsid w:val="007426EB"/>
    <w:rsid w:val="0074276D"/>
    <w:rsid w:val="007427B5"/>
    <w:rsid w:val="00742865"/>
    <w:rsid w:val="0074296C"/>
    <w:rsid w:val="00742C1B"/>
    <w:rsid w:val="00742C83"/>
    <w:rsid w:val="00742DB1"/>
    <w:rsid w:val="00742EE2"/>
    <w:rsid w:val="00743324"/>
    <w:rsid w:val="007433C8"/>
    <w:rsid w:val="007435B9"/>
    <w:rsid w:val="0074360F"/>
    <w:rsid w:val="007436CD"/>
    <w:rsid w:val="00743722"/>
    <w:rsid w:val="00743786"/>
    <w:rsid w:val="00743EAE"/>
    <w:rsid w:val="00743EED"/>
    <w:rsid w:val="00744256"/>
    <w:rsid w:val="007442BC"/>
    <w:rsid w:val="00744397"/>
    <w:rsid w:val="0074458E"/>
    <w:rsid w:val="007447D9"/>
    <w:rsid w:val="0074494C"/>
    <w:rsid w:val="0074497A"/>
    <w:rsid w:val="00744A64"/>
    <w:rsid w:val="00744D47"/>
    <w:rsid w:val="00744D5F"/>
    <w:rsid w:val="00744EA0"/>
    <w:rsid w:val="00744F8A"/>
    <w:rsid w:val="007457E6"/>
    <w:rsid w:val="00745903"/>
    <w:rsid w:val="0074599C"/>
    <w:rsid w:val="00745B31"/>
    <w:rsid w:val="00745E55"/>
    <w:rsid w:val="007461DC"/>
    <w:rsid w:val="00746285"/>
    <w:rsid w:val="00746317"/>
    <w:rsid w:val="0074638D"/>
    <w:rsid w:val="0074639F"/>
    <w:rsid w:val="00746484"/>
    <w:rsid w:val="007465A4"/>
    <w:rsid w:val="0074690D"/>
    <w:rsid w:val="00746C8B"/>
    <w:rsid w:val="00746DD0"/>
    <w:rsid w:val="0074704F"/>
    <w:rsid w:val="007472D0"/>
    <w:rsid w:val="00747429"/>
    <w:rsid w:val="00747F48"/>
    <w:rsid w:val="00747F4C"/>
    <w:rsid w:val="007500B0"/>
    <w:rsid w:val="007500B6"/>
    <w:rsid w:val="00750130"/>
    <w:rsid w:val="0075047C"/>
    <w:rsid w:val="007504AD"/>
    <w:rsid w:val="007505C0"/>
    <w:rsid w:val="0075079C"/>
    <w:rsid w:val="007508CE"/>
    <w:rsid w:val="007509F0"/>
    <w:rsid w:val="00751091"/>
    <w:rsid w:val="0075124A"/>
    <w:rsid w:val="007514B2"/>
    <w:rsid w:val="0075161C"/>
    <w:rsid w:val="007519E2"/>
    <w:rsid w:val="00751B2A"/>
    <w:rsid w:val="00751B83"/>
    <w:rsid w:val="00752893"/>
    <w:rsid w:val="00752BCC"/>
    <w:rsid w:val="00752C47"/>
    <w:rsid w:val="00752CAA"/>
    <w:rsid w:val="00752E6E"/>
    <w:rsid w:val="00752F9D"/>
    <w:rsid w:val="0075357E"/>
    <w:rsid w:val="00753654"/>
    <w:rsid w:val="00753766"/>
    <w:rsid w:val="007537F7"/>
    <w:rsid w:val="00753874"/>
    <w:rsid w:val="00753ADB"/>
    <w:rsid w:val="00753E80"/>
    <w:rsid w:val="0075425B"/>
    <w:rsid w:val="00754359"/>
    <w:rsid w:val="00754411"/>
    <w:rsid w:val="00754564"/>
    <w:rsid w:val="00754AF5"/>
    <w:rsid w:val="00754BD9"/>
    <w:rsid w:val="00754E7A"/>
    <w:rsid w:val="00754E8E"/>
    <w:rsid w:val="0075540C"/>
    <w:rsid w:val="00755709"/>
    <w:rsid w:val="00755AD0"/>
    <w:rsid w:val="00755C1E"/>
    <w:rsid w:val="00755DB1"/>
    <w:rsid w:val="007560F5"/>
    <w:rsid w:val="0075700F"/>
    <w:rsid w:val="007574FC"/>
    <w:rsid w:val="0075757A"/>
    <w:rsid w:val="00757632"/>
    <w:rsid w:val="00757800"/>
    <w:rsid w:val="007600F2"/>
    <w:rsid w:val="00760975"/>
    <w:rsid w:val="00760D96"/>
    <w:rsid w:val="00761046"/>
    <w:rsid w:val="00761063"/>
    <w:rsid w:val="0076146B"/>
    <w:rsid w:val="00761795"/>
    <w:rsid w:val="0076189E"/>
    <w:rsid w:val="00761C29"/>
    <w:rsid w:val="00761FDA"/>
    <w:rsid w:val="007621FF"/>
    <w:rsid w:val="007624A8"/>
    <w:rsid w:val="0076271F"/>
    <w:rsid w:val="00762CC2"/>
    <w:rsid w:val="0076344C"/>
    <w:rsid w:val="007634E3"/>
    <w:rsid w:val="00763589"/>
    <w:rsid w:val="007639EB"/>
    <w:rsid w:val="00763A0E"/>
    <w:rsid w:val="00764194"/>
    <w:rsid w:val="007642D4"/>
    <w:rsid w:val="00764582"/>
    <w:rsid w:val="0076472A"/>
    <w:rsid w:val="007647EE"/>
    <w:rsid w:val="00764A14"/>
    <w:rsid w:val="0076567B"/>
    <w:rsid w:val="0076592F"/>
    <w:rsid w:val="00765C0F"/>
    <w:rsid w:val="00765ED3"/>
    <w:rsid w:val="0076607C"/>
    <w:rsid w:val="00766590"/>
    <w:rsid w:val="0076681D"/>
    <w:rsid w:val="00766A65"/>
    <w:rsid w:val="00766BCF"/>
    <w:rsid w:val="007671F5"/>
    <w:rsid w:val="00767280"/>
    <w:rsid w:val="007676B8"/>
    <w:rsid w:val="00767887"/>
    <w:rsid w:val="00767B80"/>
    <w:rsid w:val="00767BAE"/>
    <w:rsid w:val="0077008C"/>
    <w:rsid w:val="007700FD"/>
    <w:rsid w:val="00770213"/>
    <w:rsid w:val="007703D2"/>
    <w:rsid w:val="007705AF"/>
    <w:rsid w:val="00770704"/>
    <w:rsid w:val="00770A12"/>
    <w:rsid w:val="0077175C"/>
    <w:rsid w:val="00771870"/>
    <w:rsid w:val="00771B87"/>
    <w:rsid w:val="00771BF9"/>
    <w:rsid w:val="00771D41"/>
    <w:rsid w:val="00771D51"/>
    <w:rsid w:val="00771F31"/>
    <w:rsid w:val="007721EF"/>
    <w:rsid w:val="00772204"/>
    <w:rsid w:val="0077230A"/>
    <w:rsid w:val="0077233C"/>
    <w:rsid w:val="007724A2"/>
    <w:rsid w:val="00772D31"/>
    <w:rsid w:val="00772F46"/>
    <w:rsid w:val="00772F8A"/>
    <w:rsid w:val="0077302A"/>
    <w:rsid w:val="007733BC"/>
    <w:rsid w:val="00773599"/>
    <w:rsid w:val="007739C6"/>
    <w:rsid w:val="00773D5E"/>
    <w:rsid w:val="00773EC0"/>
    <w:rsid w:val="00773EC2"/>
    <w:rsid w:val="007743D0"/>
    <w:rsid w:val="007743EA"/>
    <w:rsid w:val="00774889"/>
    <w:rsid w:val="00774DA5"/>
    <w:rsid w:val="00774F2E"/>
    <w:rsid w:val="00774FF5"/>
    <w:rsid w:val="007750B3"/>
    <w:rsid w:val="00775436"/>
    <w:rsid w:val="007756AA"/>
    <w:rsid w:val="00775876"/>
    <w:rsid w:val="0077588C"/>
    <w:rsid w:val="0077596C"/>
    <w:rsid w:val="00775B20"/>
    <w:rsid w:val="00775F11"/>
    <w:rsid w:val="00775F76"/>
    <w:rsid w:val="0077609E"/>
    <w:rsid w:val="00776AEA"/>
    <w:rsid w:val="007770FB"/>
    <w:rsid w:val="007776A9"/>
    <w:rsid w:val="0077780D"/>
    <w:rsid w:val="00777BA0"/>
    <w:rsid w:val="00777D9A"/>
    <w:rsid w:val="007803BD"/>
    <w:rsid w:val="007803C9"/>
    <w:rsid w:val="0078058E"/>
    <w:rsid w:val="0078085D"/>
    <w:rsid w:val="007809E5"/>
    <w:rsid w:val="00780C5C"/>
    <w:rsid w:val="00780DD7"/>
    <w:rsid w:val="00780E60"/>
    <w:rsid w:val="00781092"/>
    <w:rsid w:val="007811DC"/>
    <w:rsid w:val="007820FA"/>
    <w:rsid w:val="0078229B"/>
    <w:rsid w:val="007822C0"/>
    <w:rsid w:val="00782583"/>
    <w:rsid w:val="00782637"/>
    <w:rsid w:val="0078285F"/>
    <w:rsid w:val="00782FDB"/>
    <w:rsid w:val="007830F1"/>
    <w:rsid w:val="00783207"/>
    <w:rsid w:val="00783389"/>
    <w:rsid w:val="0078362A"/>
    <w:rsid w:val="007836D4"/>
    <w:rsid w:val="00783A97"/>
    <w:rsid w:val="00783DDD"/>
    <w:rsid w:val="00783E1D"/>
    <w:rsid w:val="00783F09"/>
    <w:rsid w:val="0078405D"/>
    <w:rsid w:val="0078455B"/>
    <w:rsid w:val="0078483B"/>
    <w:rsid w:val="00784CB1"/>
    <w:rsid w:val="00784EED"/>
    <w:rsid w:val="007851E4"/>
    <w:rsid w:val="00785900"/>
    <w:rsid w:val="00785A46"/>
    <w:rsid w:val="007862D2"/>
    <w:rsid w:val="00786446"/>
    <w:rsid w:val="007865FA"/>
    <w:rsid w:val="0078667B"/>
    <w:rsid w:val="00786861"/>
    <w:rsid w:val="00786958"/>
    <w:rsid w:val="00786E71"/>
    <w:rsid w:val="007875E2"/>
    <w:rsid w:val="00787656"/>
    <w:rsid w:val="007877CD"/>
    <w:rsid w:val="00787815"/>
    <w:rsid w:val="00787886"/>
    <w:rsid w:val="00787998"/>
    <w:rsid w:val="00787D84"/>
    <w:rsid w:val="00787DC5"/>
    <w:rsid w:val="0079020C"/>
    <w:rsid w:val="0079063A"/>
    <w:rsid w:val="00790B83"/>
    <w:rsid w:val="00790BDF"/>
    <w:rsid w:val="00790F07"/>
    <w:rsid w:val="00790F6E"/>
    <w:rsid w:val="00791402"/>
    <w:rsid w:val="00791603"/>
    <w:rsid w:val="0079162F"/>
    <w:rsid w:val="007919CE"/>
    <w:rsid w:val="00791F8A"/>
    <w:rsid w:val="00792449"/>
    <w:rsid w:val="00792A6D"/>
    <w:rsid w:val="0079315F"/>
    <w:rsid w:val="00793688"/>
    <w:rsid w:val="00793703"/>
    <w:rsid w:val="00793B56"/>
    <w:rsid w:val="00793BED"/>
    <w:rsid w:val="00793D1C"/>
    <w:rsid w:val="00793F26"/>
    <w:rsid w:val="007946E9"/>
    <w:rsid w:val="00794771"/>
    <w:rsid w:val="00794924"/>
    <w:rsid w:val="00794A6E"/>
    <w:rsid w:val="00794B65"/>
    <w:rsid w:val="00794DAB"/>
    <w:rsid w:val="00794FFD"/>
    <w:rsid w:val="007951B1"/>
    <w:rsid w:val="0079573B"/>
    <w:rsid w:val="0079577B"/>
    <w:rsid w:val="00795B95"/>
    <w:rsid w:val="00795EBF"/>
    <w:rsid w:val="007962BA"/>
    <w:rsid w:val="0079689D"/>
    <w:rsid w:val="00797409"/>
    <w:rsid w:val="00797516"/>
    <w:rsid w:val="007A002C"/>
    <w:rsid w:val="007A015A"/>
    <w:rsid w:val="007A01D1"/>
    <w:rsid w:val="007A0575"/>
    <w:rsid w:val="007A05FB"/>
    <w:rsid w:val="007A0658"/>
    <w:rsid w:val="007A0BAC"/>
    <w:rsid w:val="007A0BC2"/>
    <w:rsid w:val="007A0FF9"/>
    <w:rsid w:val="007A1142"/>
    <w:rsid w:val="007A13E3"/>
    <w:rsid w:val="007A1E86"/>
    <w:rsid w:val="007A1F44"/>
    <w:rsid w:val="007A23FF"/>
    <w:rsid w:val="007A2827"/>
    <w:rsid w:val="007A295B"/>
    <w:rsid w:val="007A2B30"/>
    <w:rsid w:val="007A2FCF"/>
    <w:rsid w:val="007A30C4"/>
    <w:rsid w:val="007A3424"/>
    <w:rsid w:val="007A35EF"/>
    <w:rsid w:val="007A43A2"/>
    <w:rsid w:val="007A454E"/>
    <w:rsid w:val="007A46F6"/>
    <w:rsid w:val="007A48D2"/>
    <w:rsid w:val="007A4C68"/>
    <w:rsid w:val="007A4D04"/>
    <w:rsid w:val="007A5680"/>
    <w:rsid w:val="007A5855"/>
    <w:rsid w:val="007A5BDC"/>
    <w:rsid w:val="007A5BE7"/>
    <w:rsid w:val="007A5CFC"/>
    <w:rsid w:val="007A5E26"/>
    <w:rsid w:val="007A66B4"/>
    <w:rsid w:val="007A6920"/>
    <w:rsid w:val="007A72AC"/>
    <w:rsid w:val="007A75D8"/>
    <w:rsid w:val="007A7A96"/>
    <w:rsid w:val="007A7C6B"/>
    <w:rsid w:val="007B00F3"/>
    <w:rsid w:val="007B03AF"/>
    <w:rsid w:val="007B0606"/>
    <w:rsid w:val="007B0726"/>
    <w:rsid w:val="007B0BE9"/>
    <w:rsid w:val="007B0C1B"/>
    <w:rsid w:val="007B0D1F"/>
    <w:rsid w:val="007B0D84"/>
    <w:rsid w:val="007B1121"/>
    <w:rsid w:val="007B114F"/>
    <w:rsid w:val="007B1543"/>
    <w:rsid w:val="007B193C"/>
    <w:rsid w:val="007B194B"/>
    <w:rsid w:val="007B1AC0"/>
    <w:rsid w:val="007B1AD1"/>
    <w:rsid w:val="007B1FA9"/>
    <w:rsid w:val="007B250B"/>
    <w:rsid w:val="007B2582"/>
    <w:rsid w:val="007B270A"/>
    <w:rsid w:val="007B2CE2"/>
    <w:rsid w:val="007B2D3B"/>
    <w:rsid w:val="007B366F"/>
    <w:rsid w:val="007B3A81"/>
    <w:rsid w:val="007B3B79"/>
    <w:rsid w:val="007B3F97"/>
    <w:rsid w:val="007B4574"/>
    <w:rsid w:val="007B4D52"/>
    <w:rsid w:val="007B5169"/>
    <w:rsid w:val="007B51A3"/>
    <w:rsid w:val="007B52CD"/>
    <w:rsid w:val="007B5D4B"/>
    <w:rsid w:val="007B5FBA"/>
    <w:rsid w:val="007B6028"/>
    <w:rsid w:val="007B6256"/>
    <w:rsid w:val="007B6269"/>
    <w:rsid w:val="007B62A6"/>
    <w:rsid w:val="007B6C25"/>
    <w:rsid w:val="007B7091"/>
    <w:rsid w:val="007B71AD"/>
    <w:rsid w:val="007B7601"/>
    <w:rsid w:val="007B7A08"/>
    <w:rsid w:val="007B7D70"/>
    <w:rsid w:val="007B7DC1"/>
    <w:rsid w:val="007B7EDB"/>
    <w:rsid w:val="007C026E"/>
    <w:rsid w:val="007C05AB"/>
    <w:rsid w:val="007C0D16"/>
    <w:rsid w:val="007C0F78"/>
    <w:rsid w:val="007C1517"/>
    <w:rsid w:val="007C19AD"/>
    <w:rsid w:val="007C1AF5"/>
    <w:rsid w:val="007C1B76"/>
    <w:rsid w:val="007C1FEA"/>
    <w:rsid w:val="007C24C5"/>
    <w:rsid w:val="007C2978"/>
    <w:rsid w:val="007C30DB"/>
    <w:rsid w:val="007C31C6"/>
    <w:rsid w:val="007C3598"/>
    <w:rsid w:val="007C39EB"/>
    <w:rsid w:val="007C3D1C"/>
    <w:rsid w:val="007C3FA8"/>
    <w:rsid w:val="007C474D"/>
    <w:rsid w:val="007C4850"/>
    <w:rsid w:val="007C49D6"/>
    <w:rsid w:val="007C4CD6"/>
    <w:rsid w:val="007C4D93"/>
    <w:rsid w:val="007C5158"/>
    <w:rsid w:val="007C5359"/>
    <w:rsid w:val="007C5675"/>
    <w:rsid w:val="007C5764"/>
    <w:rsid w:val="007C6201"/>
    <w:rsid w:val="007C6225"/>
    <w:rsid w:val="007C62B3"/>
    <w:rsid w:val="007C6353"/>
    <w:rsid w:val="007C68DA"/>
    <w:rsid w:val="007C7668"/>
    <w:rsid w:val="007D0124"/>
    <w:rsid w:val="007D043D"/>
    <w:rsid w:val="007D0579"/>
    <w:rsid w:val="007D05A2"/>
    <w:rsid w:val="007D060D"/>
    <w:rsid w:val="007D0686"/>
    <w:rsid w:val="007D0A44"/>
    <w:rsid w:val="007D0E63"/>
    <w:rsid w:val="007D1533"/>
    <w:rsid w:val="007D1654"/>
    <w:rsid w:val="007D1B4D"/>
    <w:rsid w:val="007D1DAD"/>
    <w:rsid w:val="007D1DB9"/>
    <w:rsid w:val="007D229A"/>
    <w:rsid w:val="007D241C"/>
    <w:rsid w:val="007D24FA"/>
    <w:rsid w:val="007D2D12"/>
    <w:rsid w:val="007D2D8D"/>
    <w:rsid w:val="007D2F44"/>
    <w:rsid w:val="007D2F4D"/>
    <w:rsid w:val="007D3887"/>
    <w:rsid w:val="007D3C4A"/>
    <w:rsid w:val="007D413F"/>
    <w:rsid w:val="007D4178"/>
    <w:rsid w:val="007D41A3"/>
    <w:rsid w:val="007D41C6"/>
    <w:rsid w:val="007D422B"/>
    <w:rsid w:val="007D4D33"/>
    <w:rsid w:val="007D572F"/>
    <w:rsid w:val="007D5B81"/>
    <w:rsid w:val="007D6B03"/>
    <w:rsid w:val="007D6B41"/>
    <w:rsid w:val="007D7175"/>
    <w:rsid w:val="007D7A9A"/>
    <w:rsid w:val="007D7ED3"/>
    <w:rsid w:val="007E02CD"/>
    <w:rsid w:val="007E03E6"/>
    <w:rsid w:val="007E05B9"/>
    <w:rsid w:val="007E05BA"/>
    <w:rsid w:val="007E0E01"/>
    <w:rsid w:val="007E1235"/>
    <w:rsid w:val="007E1294"/>
    <w:rsid w:val="007E1369"/>
    <w:rsid w:val="007E14E9"/>
    <w:rsid w:val="007E177C"/>
    <w:rsid w:val="007E1A1B"/>
    <w:rsid w:val="007E1A5F"/>
    <w:rsid w:val="007E1A88"/>
    <w:rsid w:val="007E1C1C"/>
    <w:rsid w:val="007E21B2"/>
    <w:rsid w:val="007E299A"/>
    <w:rsid w:val="007E2DBE"/>
    <w:rsid w:val="007E2EA6"/>
    <w:rsid w:val="007E2FC7"/>
    <w:rsid w:val="007E32F7"/>
    <w:rsid w:val="007E33AE"/>
    <w:rsid w:val="007E3652"/>
    <w:rsid w:val="007E3765"/>
    <w:rsid w:val="007E37F8"/>
    <w:rsid w:val="007E3945"/>
    <w:rsid w:val="007E4041"/>
    <w:rsid w:val="007E410F"/>
    <w:rsid w:val="007E4283"/>
    <w:rsid w:val="007E4874"/>
    <w:rsid w:val="007E48E4"/>
    <w:rsid w:val="007E4C88"/>
    <w:rsid w:val="007E4CBC"/>
    <w:rsid w:val="007E4F2C"/>
    <w:rsid w:val="007E5098"/>
    <w:rsid w:val="007E5650"/>
    <w:rsid w:val="007E571D"/>
    <w:rsid w:val="007E5813"/>
    <w:rsid w:val="007E585E"/>
    <w:rsid w:val="007E5878"/>
    <w:rsid w:val="007E5924"/>
    <w:rsid w:val="007E5B7B"/>
    <w:rsid w:val="007E5CC5"/>
    <w:rsid w:val="007E5FCA"/>
    <w:rsid w:val="007E649F"/>
    <w:rsid w:val="007E65EF"/>
    <w:rsid w:val="007E66B7"/>
    <w:rsid w:val="007E6A06"/>
    <w:rsid w:val="007E6C29"/>
    <w:rsid w:val="007E7169"/>
    <w:rsid w:val="007E71B5"/>
    <w:rsid w:val="007E7213"/>
    <w:rsid w:val="007E79DD"/>
    <w:rsid w:val="007E7DDF"/>
    <w:rsid w:val="007E7F2D"/>
    <w:rsid w:val="007F0063"/>
    <w:rsid w:val="007F0682"/>
    <w:rsid w:val="007F0C56"/>
    <w:rsid w:val="007F0F1A"/>
    <w:rsid w:val="007F0F52"/>
    <w:rsid w:val="007F0F96"/>
    <w:rsid w:val="007F11C8"/>
    <w:rsid w:val="007F1210"/>
    <w:rsid w:val="007F132F"/>
    <w:rsid w:val="007F1784"/>
    <w:rsid w:val="007F1881"/>
    <w:rsid w:val="007F1B98"/>
    <w:rsid w:val="007F1C51"/>
    <w:rsid w:val="007F1CFB"/>
    <w:rsid w:val="007F1D94"/>
    <w:rsid w:val="007F20D4"/>
    <w:rsid w:val="007F21FC"/>
    <w:rsid w:val="007F220B"/>
    <w:rsid w:val="007F27DD"/>
    <w:rsid w:val="007F2C76"/>
    <w:rsid w:val="007F3038"/>
    <w:rsid w:val="007F3390"/>
    <w:rsid w:val="007F36DB"/>
    <w:rsid w:val="007F3DC6"/>
    <w:rsid w:val="007F425E"/>
    <w:rsid w:val="007F440F"/>
    <w:rsid w:val="007F463D"/>
    <w:rsid w:val="007F4690"/>
    <w:rsid w:val="007F4DFB"/>
    <w:rsid w:val="007F4F39"/>
    <w:rsid w:val="007F5022"/>
    <w:rsid w:val="007F5570"/>
    <w:rsid w:val="007F5E10"/>
    <w:rsid w:val="007F5E1E"/>
    <w:rsid w:val="007F614C"/>
    <w:rsid w:val="007F6486"/>
    <w:rsid w:val="007F648D"/>
    <w:rsid w:val="007F6681"/>
    <w:rsid w:val="007F66BD"/>
    <w:rsid w:val="007F6880"/>
    <w:rsid w:val="007F6F10"/>
    <w:rsid w:val="007F6F96"/>
    <w:rsid w:val="007F733A"/>
    <w:rsid w:val="007F76B4"/>
    <w:rsid w:val="007F7771"/>
    <w:rsid w:val="007F77EA"/>
    <w:rsid w:val="007F7A9A"/>
    <w:rsid w:val="007F7C5C"/>
    <w:rsid w:val="007F7D2D"/>
    <w:rsid w:val="007F7FCA"/>
    <w:rsid w:val="008001B4"/>
    <w:rsid w:val="00800769"/>
    <w:rsid w:val="00800935"/>
    <w:rsid w:val="00800C0A"/>
    <w:rsid w:val="00800D01"/>
    <w:rsid w:val="00800ED2"/>
    <w:rsid w:val="008010FB"/>
    <w:rsid w:val="0080117C"/>
    <w:rsid w:val="00801523"/>
    <w:rsid w:val="008015AE"/>
    <w:rsid w:val="008015C3"/>
    <w:rsid w:val="00801E6F"/>
    <w:rsid w:val="00801F54"/>
    <w:rsid w:val="008022AE"/>
    <w:rsid w:val="008027D7"/>
    <w:rsid w:val="008028B0"/>
    <w:rsid w:val="008028D7"/>
    <w:rsid w:val="00802E74"/>
    <w:rsid w:val="008034B2"/>
    <w:rsid w:val="008036C6"/>
    <w:rsid w:val="00803765"/>
    <w:rsid w:val="00803AC3"/>
    <w:rsid w:val="00803C22"/>
    <w:rsid w:val="00803C9D"/>
    <w:rsid w:val="00803E3C"/>
    <w:rsid w:val="0080404B"/>
    <w:rsid w:val="00804924"/>
    <w:rsid w:val="008049F5"/>
    <w:rsid w:val="00804B92"/>
    <w:rsid w:val="00804BEC"/>
    <w:rsid w:val="00804E21"/>
    <w:rsid w:val="00804E95"/>
    <w:rsid w:val="00804F02"/>
    <w:rsid w:val="00805092"/>
    <w:rsid w:val="00805653"/>
    <w:rsid w:val="00806019"/>
    <w:rsid w:val="0080675B"/>
    <w:rsid w:val="008067DA"/>
    <w:rsid w:val="0080685E"/>
    <w:rsid w:val="00806A98"/>
    <w:rsid w:val="00806AAF"/>
    <w:rsid w:val="008070AC"/>
    <w:rsid w:val="0080714F"/>
    <w:rsid w:val="00807541"/>
    <w:rsid w:val="00807D77"/>
    <w:rsid w:val="008101FD"/>
    <w:rsid w:val="00810882"/>
    <w:rsid w:val="0081096B"/>
    <w:rsid w:val="00810AC0"/>
    <w:rsid w:val="00810C74"/>
    <w:rsid w:val="00810CB8"/>
    <w:rsid w:val="00810D8D"/>
    <w:rsid w:val="00810FF6"/>
    <w:rsid w:val="008116BB"/>
    <w:rsid w:val="0081174D"/>
    <w:rsid w:val="00811835"/>
    <w:rsid w:val="008120DC"/>
    <w:rsid w:val="00812DCD"/>
    <w:rsid w:val="008131CF"/>
    <w:rsid w:val="00813489"/>
    <w:rsid w:val="008135F0"/>
    <w:rsid w:val="00813B7B"/>
    <w:rsid w:val="00813E1B"/>
    <w:rsid w:val="00813F2F"/>
    <w:rsid w:val="00814278"/>
    <w:rsid w:val="00814A3B"/>
    <w:rsid w:val="00814CC6"/>
    <w:rsid w:val="0081581D"/>
    <w:rsid w:val="00815929"/>
    <w:rsid w:val="008159C8"/>
    <w:rsid w:val="00815DB2"/>
    <w:rsid w:val="0081623E"/>
    <w:rsid w:val="008164DD"/>
    <w:rsid w:val="00816835"/>
    <w:rsid w:val="008169B1"/>
    <w:rsid w:val="00816C92"/>
    <w:rsid w:val="00816F98"/>
    <w:rsid w:val="00817165"/>
    <w:rsid w:val="0081723D"/>
    <w:rsid w:val="00817263"/>
    <w:rsid w:val="008172BE"/>
    <w:rsid w:val="0081745A"/>
    <w:rsid w:val="008176B0"/>
    <w:rsid w:val="00817B71"/>
    <w:rsid w:val="008200EF"/>
    <w:rsid w:val="00820244"/>
    <w:rsid w:val="0082081A"/>
    <w:rsid w:val="00820A46"/>
    <w:rsid w:val="00820ADC"/>
    <w:rsid w:val="0082100A"/>
    <w:rsid w:val="008214F0"/>
    <w:rsid w:val="00821684"/>
    <w:rsid w:val="008219B9"/>
    <w:rsid w:val="00821DE2"/>
    <w:rsid w:val="008221B3"/>
    <w:rsid w:val="0082248E"/>
    <w:rsid w:val="0082262F"/>
    <w:rsid w:val="00822926"/>
    <w:rsid w:val="00822A57"/>
    <w:rsid w:val="00822B48"/>
    <w:rsid w:val="00822D59"/>
    <w:rsid w:val="00822EAD"/>
    <w:rsid w:val="00823279"/>
    <w:rsid w:val="00823710"/>
    <w:rsid w:val="00823831"/>
    <w:rsid w:val="00823E38"/>
    <w:rsid w:val="0082423D"/>
    <w:rsid w:val="00824321"/>
    <w:rsid w:val="00824DA1"/>
    <w:rsid w:val="00824E03"/>
    <w:rsid w:val="00824ECF"/>
    <w:rsid w:val="00824FDF"/>
    <w:rsid w:val="00825098"/>
    <w:rsid w:val="00825125"/>
    <w:rsid w:val="008257CC"/>
    <w:rsid w:val="00825E74"/>
    <w:rsid w:val="0082623E"/>
    <w:rsid w:val="00826880"/>
    <w:rsid w:val="0082689F"/>
    <w:rsid w:val="00826A11"/>
    <w:rsid w:val="00826DE2"/>
    <w:rsid w:val="00827005"/>
    <w:rsid w:val="008274BF"/>
    <w:rsid w:val="00827A94"/>
    <w:rsid w:val="00827AFC"/>
    <w:rsid w:val="00827F7A"/>
    <w:rsid w:val="0083015A"/>
    <w:rsid w:val="008302F9"/>
    <w:rsid w:val="0083098F"/>
    <w:rsid w:val="008309E5"/>
    <w:rsid w:val="00830BBB"/>
    <w:rsid w:val="00830DC3"/>
    <w:rsid w:val="00830E13"/>
    <w:rsid w:val="0083115C"/>
    <w:rsid w:val="00831555"/>
    <w:rsid w:val="0083168F"/>
    <w:rsid w:val="00831C67"/>
    <w:rsid w:val="00831CA0"/>
    <w:rsid w:val="00831F52"/>
    <w:rsid w:val="00831FAE"/>
    <w:rsid w:val="008320C0"/>
    <w:rsid w:val="00832154"/>
    <w:rsid w:val="008321EE"/>
    <w:rsid w:val="008322E3"/>
    <w:rsid w:val="00832887"/>
    <w:rsid w:val="0083294F"/>
    <w:rsid w:val="00832DD4"/>
    <w:rsid w:val="00832EC0"/>
    <w:rsid w:val="00832F0D"/>
    <w:rsid w:val="00832F5C"/>
    <w:rsid w:val="008332D0"/>
    <w:rsid w:val="00833A64"/>
    <w:rsid w:val="00833F32"/>
    <w:rsid w:val="008340AF"/>
    <w:rsid w:val="008344B5"/>
    <w:rsid w:val="00834827"/>
    <w:rsid w:val="00834ADD"/>
    <w:rsid w:val="00834F86"/>
    <w:rsid w:val="00834FC0"/>
    <w:rsid w:val="008350EE"/>
    <w:rsid w:val="008353FE"/>
    <w:rsid w:val="008359D3"/>
    <w:rsid w:val="008359E0"/>
    <w:rsid w:val="00835BAC"/>
    <w:rsid w:val="00836120"/>
    <w:rsid w:val="00836E2F"/>
    <w:rsid w:val="00837135"/>
    <w:rsid w:val="00837238"/>
    <w:rsid w:val="008373BA"/>
    <w:rsid w:val="0083755A"/>
    <w:rsid w:val="008376F6"/>
    <w:rsid w:val="008377DA"/>
    <w:rsid w:val="00837D5B"/>
    <w:rsid w:val="00837EA6"/>
    <w:rsid w:val="00837F00"/>
    <w:rsid w:val="00837F35"/>
    <w:rsid w:val="00840032"/>
    <w:rsid w:val="00840201"/>
    <w:rsid w:val="00840607"/>
    <w:rsid w:val="0084093D"/>
    <w:rsid w:val="00840B34"/>
    <w:rsid w:val="00840E0A"/>
    <w:rsid w:val="00840F90"/>
    <w:rsid w:val="0084125F"/>
    <w:rsid w:val="008415F4"/>
    <w:rsid w:val="00841783"/>
    <w:rsid w:val="008419A7"/>
    <w:rsid w:val="008419FE"/>
    <w:rsid w:val="00841CD2"/>
    <w:rsid w:val="00842058"/>
    <w:rsid w:val="00842736"/>
    <w:rsid w:val="00842B77"/>
    <w:rsid w:val="00842CA3"/>
    <w:rsid w:val="00842D8A"/>
    <w:rsid w:val="0084309F"/>
    <w:rsid w:val="008430AC"/>
    <w:rsid w:val="0084322D"/>
    <w:rsid w:val="00843435"/>
    <w:rsid w:val="00843451"/>
    <w:rsid w:val="00843EC8"/>
    <w:rsid w:val="00843F0E"/>
    <w:rsid w:val="008441E1"/>
    <w:rsid w:val="00844ABC"/>
    <w:rsid w:val="00844B7E"/>
    <w:rsid w:val="00845BC4"/>
    <w:rsid w:val="00845BE9"/>
    <w:rsid w:val="00845C12"/>
    <w:rsid w:val="00845EEE"/>
    <w:rsid w:val="00846778"/>
    <w:rsid w:val="008469D9"/>
    <w:rsid w:val="00846DC0"/>
    <w:rsid w:val="008474A7"/>
    <w:rsid w:val="00847672"/>
    <w:rsid w:val="00847919"/>
    <w:rsid w:val="00847A19"/>
    <w:rsid w:val="00847B03"/>
    <w:rsid w:val="00847B2C"/>
    <w:rsid w:val="00847D5A"/>
    <w:rsid w:val="00847E99"/>
    <w:rsid w:val="00847F91"/>
    <w:rsid w:val="00850079"/>
    <w:rsid w:val="0085042C"/>
    <w:rsid w:val="008506B6"/>
    <w:rsid w:val="00850AE0"/>
    <w:rsid w:val="00850CBB"/>
    <w:rsid w:val="00850DA9"/>
    <w:rsid w:val="00850F0E"/>
    <w:rsid w:val="0085123F"/>
    <w:rsid w:val="00851849"/>
    <w:rsid w:val="00851B1C"/>
    <w:rsid w:val="008524D2"/>
    <w:rsid w:val="008528D6"/>
    <w:rsid w:val="00852999"/>
    <w:rsid w:val="00852B81"/>
    <w:rsid w:val="00852BB6"/>
    <w:rsid w:val="00852E19"/>
    <w:rsid w:val="008530D8"/>
    <w:rsid w:val="008531DD"/>
    <w:rsid w:val="008534E8"/>
    <w:rsid w:val="0085360F"/>
    <w:rsid w:val="0085378B"/>
    <w:rsid w:val="0085386A"/>
    <w:rsid w:val="008538DD"/>
    <w:rsid w:val="00853AEA"/>
    <w:rsid w:val="00854021"/>
    <w:rsid w:val="00854247"/>
    <w:rsid w:val="0085464D"/>
    <w:rsid w:val="00854720"/>
    <w:rsid w:val="008547DA"/>
    <w:rsid w:val="008549BB"/>
    <w:rsid w:val="00854CF0"/>
    <w:rsid w:val="00854E1A"/>
    <w:rsid w:val="00854EDA"/>
    <w:rsid w:val="008556B6"/>
    <w:rsid w:val="00855A28"/>
    <w:rsid w:val="00855E0F"/>
    <w:rsid w:val="00856090"/>
    <w:rsid w:val="008561A0"/>
    <w:rsid w:val="008563DE"/>
    <w:rsid w:val="0085640C"/>
    <w:rsid w:val="00856563"/>
    <w:rsid w:val="00856833"/>
    <w:rsid w:val="00856840"/>
    <w:rsid w:val="00856CF6"/>
    <w:rsid w:val="00857659"/>
    <w:rsid w:val="00857A0A"/>
    <w:rsid w:val="0086011A"/>
    <w:rsid w:val="00860579"/>
    <w:rsid w:val="008607B5"/>
    <w:rsid w:val="0086087C"/>
    <w:rsid w:val="00860D8E"/>
    <w:rsid w:val="00860DFA"/>
    <w:rsid w:val="008611B6"/>
    <w:rsid w:val="00861593"/>
    <w:rsid w:val="008623DA"/>
    <w:rsid w:val="00862440"/>
    <w:rsid w:val="008626AA"/>
    <w:rsid w:val="0086275E"/>
    <w:rsid w:val="00862C81"/>
    <w:rsid w:val="008631FD"/>
    <w:rsid w:val="00863219"/>
    <w:rsid w:val="00863297"/>
    <w:rsid w:val="00863636"/>
    <w:rsid w:val="008636AB"/>
    <w:rsid w:val="00863707"/>
    <w:rsid w:val="00863778"/>
    <w:rsid w:val="0086379A"/>
    <w:rsid w:val="00863970"/>
    <w:rsid w:val="0086404C"/>
    <w:rsid w:val="0086440E"/>
    <w:rsid w:val="0086443C"/>
    <w:rsid w:val="00864440"/>
    <w:rsid w:val="0086469D"/>
    <w:rsid w:val="0086486F"/>
    <w:rsid w:val="00864937"/>
    <w:rsid w:val="00864B4A"/>
    <w:rsid w:val="00864D76"/>
    <w:rsid w:val="00864EB0"/>
    <w:rsid w:val="00864FDD"/>
    <w:rsid w:val="008650FC"/>
    <w:rsid w:val="00865327"/>
    <w:rsid w:val="0086574A"/>
    <w:rsid w:val="008659B6"/>
    <w:rsid w:val="00865DE9"/>
    <w:rsid w:val="00865FA0"/>
    <w:rsid w:val="00866318"/>
    <w:rsid w:val="0086647D"/>
    <w:rsid w:val="008667A6"/>
    <w:rsid w:val="00866DAE"/>
    <w:rsid w:val="00866EB3"/>
    <w:rsid w:val="00866EF5"/>
    <w:rsid w:val="00866F62"/>
    <w:rsid w:val="0086701A"/>
    <w:rsid w:val="008674B4"/>
    <w:rsid w:val="008675DB"/>
    <w:rsid w:val="00867BD2"/>
    <w:rsid w:val="00867C96"/>
    <w:rsid w:val="00867E42"/>
    <w:rsid w:val="00867F85"/>
    <w:rsid w:val="00870148"/>
    <w:rsid w:val="00870432"/>
    <w:rsid w:val="008704AF"/>
    <w:rsid w:val="00870C23"/>
    <w:rsid w:val="008712FD"/>
    <w:rsid w:val="0087138E"/>
    <w:rsid w:val="008716A1"/>
    <w:rsid w:val="008717FE"/>
    <w:rsid w:val="00871EDC"/>
    <w:rsid w:val="0087221C"/>
    <w:rsid w:val="00872284"/>
    <w:rsid w:val="00872530"/>
    <w:rsid w:val="00872644"/>
    <w:rsid w:val="008728CB"/>
    <w:rsid w:val="00872998"/>
    <w:rsid w:val="00872D3F"/>
    <w:rsid w:val="00873132"/>
    <w:rsid w:val="008733E4"/>
    <w:rsid w:val="00873692"/>
    <w:rsid w:val="00873D8A"/>
    <w:rsid w:val="00873F15"/>
    <w:rsid w:val="00873F8A"/>
    <w:rsid w:val="00874040"/>
    <w:rsid w:val="00874096"/>
    <w:rsid w:val="00874552"/>
    <w:rsid w:val="00874B4E"/>
    <w:rsid w:val="00874F84"/>
    <w:rsid w:val="008754BC"/>
    <w:rsid w:val="008756A4"/>
    <w:rsid w:val="0087572F"/>
    <w:rsid w:val="0087574B"/>
    <w:rsid w:val="008759E0"/>
    <w:rsid w:val="00875C09"/>
    <w:rsid w:val="00875F73"/>
    <w:rsid w:val="00875FB1"/>
    <w:rsid w:val="00876462"/>
    <w:rsid w:val="00876502"/>
    <w:rsid w:val="0087675C"/>
    <w:rsid w:val="00876A02"/>
    <w:rsid w:val="00876A1F"/>
    <w:rsid w:val="00876BA6"/>
    <w:rsid w:val="00876CA9"/>
    <w:rsid w:val="00876F78"/>
    <w:rsid w:val="00876FFE"/>
    <w:rsid w:val="00877941"/>
    <w:rsid w:val="00877C72"/>
    <w:rsid w:val="00877C76"/>
    <w:rsid w:val="00880182"/>
    <w:rsid w:val="008803D4"/>
    <w:rsid w:val="008805C8"/>
    <w:rsid w:val="008806BD"/>
    <w:rsid w:val="008806F0"/>
    <w:rsid w:val="008807E1"/>
    <w:rsid w:val="00880F30"/>
    <w:rsid w:val="00880F38"/>
    <w:rsid w:val="008811B1"/>
    <w:rsid w:val="008811E4"/>
    <w:rsid w:val="008811F6"/>
    <w:rsid w:val="00881492"/>
    <w:rsid w:val="00881B37"/>
    <w:rsid w:val="00881D7E"/>
    <w:rsid w:val="00881DA0"/>
    <w:rsid w:val="008820F8"/>
    <w:rsid w:val="00882239"/>
    <w:rsid w:val="00882269"/>
    <w:rsid w:val="00882580"/>
    <w:rsid w:val="008828A4"/>
    <w:rsid w:val="00882952"/>
    <w:rsid w:val="00882B2E"/>
    <w:rsid w:val="00883093"/>
    <w:rsid w:val="008832E1"/>
    <w:rsid w:val="008833E8"/>
    <w:rsid w:val="00883462"/>
    <w:rsid w:val="008834BA"/>
    <w:rsid w:val="008834F0"/>
    <w:rsid w:val="00884432"/>
    <w:rsid w:val="0088477D"/>
    <w:rsid w:val="00884C69"/>
    <w:rsid w:val="00884F33"/>
    <w:rsid w:val="008851B5"/>
    <w:rsid w:val="008852D8"/>
    <w:rsid w:val="008856DF"/>
    <w:rsid w:val="008859C6"/>
    <w:rsid w:val="00885C52"/>
    <w:rsid w:val="00885F65"/>
    <w:rsid w:val="00886030"/>
    <w:rsid w:val="00886299"/>
    <w:rsid w:val="00886378"/>
    <w:rsid w:val="008864A4"/>
    <w:rsid w:val="00886734"/>
    <w:rsid w:val="00886E51"/>
    <w:rsid w:val="0088701C"/>
    <w:rsid w:val="0088702F"/>
    <w:rsid w:val="008874DA"/>
    <w:rsid w:val="008874EA"/>
    <w:rsid w:val="00887925"/>
    <w:rsid w:val="00887B48"/>
    <w:rsid w:val="0089012B"/>
    <w:rsid w:val="00890990"/>
    <w:rsid w:val="00890A69"/>
    <w:rsid w:val="0089176E"/>
    <w:rsid w:val="008917E0"/>
    <w:rsid w:val="00891AE5"/>
    <w:rsid w:val="0089224F"/>
    <w:rsid w:val="00892365"/>
    <w:rsid w:val="0089294F"/>
    <w:rsid w:val="00892A47"/>
    <w:rsid w:val="00892A5E"/>
    <w:rsid w:val="00892BE5"/>
    <w:rsid w:val="00893247"/>
    <w:rsid w:val="0089387C"/>
    <w:rsid w:val="00893A6C"/>
    <w:rsid w:val="00893B46"/>
    <w:rsid w:val="00893C2D"/>
    <w:rsid w:val="00893E36"/>
    <w:rsid w:val="008940B6"/>
    <w:rsid w:val="00894170"/>
    <w:rsid w:val="00894298"/>
    <w:rsid w:val="008942EE"/>
    <w:rsid w:val="0089444E"/>
    <w:rsid w:val="008945C3"/>
    <w:rsid w:val="0089480C"/>
    <w:rsid w:val="0089494F"/>
    <w:rsid w:val="008949DF"/>
    <w:rsid w:val="00894C60"/>
    <w:rsid w:val="00894E86"/>
    <w:rsid w:val="008951DB"/>
    <w:rsid w:val="00895270"/>
    <w:rsid w:val="008953E1"/>
    <w:rsid w:val="008956DD"/>
    <w:rsid w:val="00895791"/>
    <w:rsid w:val="008959A4"/>
    <w:rsid w:val="00895B8A"/>
    <w:rsid w:val="008962E4"/>
    <w:rsid w:val="00896734"/>
    <w:rsid w:val="0089673A"/>
    <w:rsid w:val="0089687D"/>
    <w:rsid w:val="00896904"/>
    <w:rsid w:val="00896C81"/>
    <w:rsid w:val="00896D83"/>
    <w:rsid w:val="00896DE6"/>
    <w:rsid w:val="00896F24"/>
    <w:rsid w:val="00896FE8"/>
    <w:rsid w:val="00897289"/>
    <w:rsid w:val="0089745D"/>
    <w:rsid w:val="00897529"/>
    <w:rsid w:val="008978C6"/>
    <w:rsid w:val="008978F0"/>
    <w:rsid w:val="008A052D"/>
    <w:rsid w:val="008A0720"/>
    <w:rsid w:val="008A0851"/>
    <w:rsid w:val="008A0A4B"/>
    <w:rsid w:val="008A0AB2"/>
    <w:rsid w:val="008A0CFC"/>
    <w:rsid w:val="008A102A"/>
    <w:rsid w:val="008A12FE"/>
    <w:rsid w:val="008A1328"/>
    <w:rsid w:val="008A161F"/>
    <w:rsid w:val="008A1DA8"/>
    <w:rsid w:val="008A2055"/>
    <w:rsid w:val="008A2434"/>
    <w:rsid w:val="008A28B6"/>
    <w:rsid w:val="008A2AD2"/>
    <w:rsid w:val="008A2BB1"/>
    <w:rsid w:val="008A2F52"/>
    <w:rsid w:val="008A3187"/>
    <w:rsid w:val="008A3387"/>
    <w:rsid w:val="008A338B"/>
    <w:rsid w:val="008A3466"/>
    <w:rsid w:val="008A389F"/>
    <w:rsid w:val="008A3A01"/>
    <w:rsid w:val="008A3D02"/>
    <w:rsid w:val="008A44DC"/>
    <w:rsid w:val="008A45A7"/>
    <w:rsid w:val="008A45C5"/>
    <w:rsid w:val="008A4717"/>
    <w:rsid w:val="008A47B1"/>
    <w:rsid w:val="008A48D4"/>
    <w:rsid w:val="008A49DD"/>
    <w:rsid w:val="008A5499"/>
    <w:rsid w:val="008A5940"/>
    <w:rsid w:val="008A6807"/>
    <w:rsid w:val="008A7381"/>
    <w:rsid w:val="008A73B2"/>
    <w:rsid w:val="008A7929"/>
    <w:rsid w:val="008A79B5"/>
    <w:rsid w:val="008A7A65"/>
    <w:rsid w:val="008A7B90"/>
    <w:rsid w:val="008A7F94"/>
    <w:rsid w:val="008B01E0"/>
    <w:rsid w:val="008B043F"/>
    <w:rsid w:val="008B075F"/>
    <w:rsid w:val="008B0808"/>
    <w:rsid w:val="008B0AEC"/>
    <w:rsid w:val="008B0C82"/>
    <w:rsid w:val="008B0CD6"/>
    <w:rsid w:val="008B0EAD"/>
    <w:rsid w:val="008B1213"/>
    <w:rsid w:val="008B1216"/>
    <w:rsid w:val="008B1473"/>
    <w:rsid w:val="008B1BBC"/>
    <w:rsid w:val="008B1BE0"/>
    <w:rsid w:val="008B1C2D"/>
    <w:rsid w:val="008B1DFC"/>
    <w:rsid w:val="008B1E53"/>
    <w:rsid w:val="008B1E5B"/>
    <w:rsid w:val="008B2045"/>
    <w:rsid w:val="008B20BF"/>
    <w:rsid w:val="008B235A"/>
    <w:rsid w:val="008B23E6"/>
    <w:rsid w:val="008B258F"/>
    <w:rsid w:val="008B2975"/>
    <w:rsid w:val="008B2DAE"/>
    <w:rsid w:val="008B306D"/>
    <w:rsid w:val="008B317C"/>
    <w:rsid w:val="008B31C8"/>
    <w:rsid w:val="008B329F"/>
    <w:rsid w:val="008B389D"/>
    <w:rsid w:val="008B3C5C"/>
    <w:rsid w:val="008B414C"/>
    <w:rsid w:val="008B4390"/>
    <w:rsid w:val="008B43CC"/>
    <w:rsid w:val="008B4823"/>
    <w:rsid w:val="008B5008"/>
    <w:rsid w:val="008B5099"/>
    <w:rsid w:val="008B50E7"/>
    <w:rsid w:val="008B5299"/>
    <w:rsid w:val="008B52C0"/>
    <w:rsid w:val="008B55F3"/>
    <w:rsid w:val="008B5A5F"/>
    <w:rsid w:val="008B5AB0"/>
    <w:rsid w:val="008B5AFB"/>
    <w:rsid w:val="008B5BCE"/>
    <w:rsid w:val="008B6051"/>
    <w:rsid w:val="008B6054"/>
    <w:rsid w:val="008B61D8"/>
    <w:rsid w:val="008B64BB"/>
    <w:rsid w:val="008B68BF"/>
    <w:rsid w:val="008B6A78"/>
    <w:rsid w:val="008B6FF4"/>
    <w:rsid w:val="008B7187"/>
    <w:rsid w:val="008B7437"/>
    <w:rsid w:val="008B75A4"/>
    <w:rsid w:val="008B7A86"/>
    <w:rsid w:val="008B7AE7"/>
    <w:rsid w:val="008B7B08"/>
    <w:rsid w:val="008B7F8A"/>
    <w:rsid w:val="008C0217"/>
    <w:rsid w:val="008C0BDF"/>
    <w:rsid w:val="008C13EA"/>
    <w:rsid w:val="008C13F0"/>
    <w:rsid w:val="008C1425"/>
    <w:rsid w:val="008C1463"/>
    <w:rsid w:val="008C14E3"/>
    <w:rsid w:val="008C1DC8"/>
    <w:rsid w:val="008C1F26"/>
    <w:rsid w:val="008C20A9"/>
    <w:rsid w:val="008C20E8"/>
    <w:rsid w:val="008C2195"/>
    <w:rsid w:val="008C2339"/>
    <w:rsid w:val="008C23AF"/>
    <w:rsid w:val="008C2470"/>
    <w:rsid w:val="008C2A3A"/>
    <w:rsid w:val="008C2C4C"/>
    <w:rsid w:val="008C3061"/>
    <w:rsid w:val="008C344F"/>
    <w:rsid w:val="008C356C"/>
    <w:rsid w:val="008C3857"/>
    <w:rsid w:val="008C3F0B"/>
    <w:rsid w:val="008C40D1"/>
    <w:rsid w:val="008C4225"/>
    <w:rsid w:val="008C4C7E"/>
    <w:rsid w:val="008C5791"/>
    <w:rsid w:val="008C5854"/>
    <w:rsid w:val="008C5862"/>
    <w:rsid w:val="008C5C46"/>
    <w:rsid w:val="008C5FDA"/>
    <w:rsid w:val="008C6119"/>
    <w:rsid w:val="008C6184"/>
    <w:rsid w:val="008C6C6B"/>
    <w:rsid w:val="008C6CBA"/>
    <w:rsid w:val="008C6F0E"/>
    <w:rsid w:val="008C73A9"/>
    <w:rsid w:val="008C785E"/>
    <w:rsid w:val="008C79A6"/>
    <w:rsid w:val="008D060F"/>
    <w:rsid w:val="008D0907"/>
    <w:rsid w:val="008D0AFB"/>
    <w:rsid w:val="008D0D40"/>
    <w:rsid w:val="008D0FD4"/>
    <w:rsid w:val="008D1034"/>
    <w:rsid w:val="008D1253"/>
    <w:rsid w:val="008D1511"/>
    <w:rsid w:val="008D1653"/>
    <w:rsid w:val="008D17D5"/>
    <w:rsid w:val="008D197E"/>
    <w:rsid w:val="008D1BA8"/>
    <w:rsid w:val="008D2232"/>
    <w:rsid w:val="008D290C"/>
    <w:rsid w:val="008D2CFE"/>
    <w:rsid w:val="008D2D7A"/>
    <w:rsid w:val="008D3035"/>
    <w:rsid w:val="008D30D5"/>
    <w:rsid w:val="008D3198"/>
    <w:rsid w:val="008D32DF"/>
    <w:rsid w:val="008D34F0"/>
    <w:rsid w:val="008D3564"/>
    <w:rsid w:val="008D35CD"/>
    <w:rsid w:val="008D35E9"/>
    <w:rsid w:val="008D3951"/>
    <w:rsid w:val="008D3959"/>
    <w:rsid w:val="008D3966"/>
    <w:rsid w:val="008D3AE8"/>
    <w:rsid w:val="008D3C5E"/>
    <w:rsid w:val="008D4352"/>
    <w:rsid w:val="008D49B2"/>
    <w:rsid w:val="008D4D1A"/>
    <w:rsid w:val="008D56A6"/>
    <w:rsid w:val="008D57EA"/>
    <w:rsid w:val="008D5812"/>
    <w:rsid w:val="008D5D61"/>
    <w:rsid w:val="008D5E08"/>
    <w:rsid w:val="008D5F96"/>
    <w:rsid w:val="008D60BC"/>
    <w:rsid w:val="008D6D7B"/>
    <w:rsid w:val="008D7152"/>
    <w:rsid w:val="008D75EB"/>
    <w:rsid w:val="008D781A"/>
    <w:rsid w:val="008D7B6B"/>
    <w:rsid w:val="008D7EB7"/>
    <w:rsid w:val="008D7EDD"/>
    <w:rsid w:val="008E018B"/>
    <w:rsid w:val="008E03D6"/>
    <w:rsid w:val="008E08E0"/>
    <w:rsid w:val="008E0EB8"/>
    <w:rsid w:val="008E10A6"/>
    <w:rsid w:val="008E1271"/>
    <w:rsid w:val="008E12F0"/>
    <w:rsid w:val="008E1480"/>
    <w:rsid w:val="008E1579"/>
    <w:rsid w:val="008E1694"/>
    <w:rsid w:val="008E1950"/>
    <w:rsid w:val="008E1B36"/>
    <w:rsid w:val="008E1B6F"/>
    <w:rsid w:val="008E20FB"/>
    <w:rsid w:val="008E2134"/>
    <w:rsid w:val="008E2251"/>
    <w:rsid w:val="008E22F1"/>
    <w:rsid w:val="008E24B3"/>
    <w:rsid w:val="008E24CA"/>
    <w:rsid w:val="008E273E"/>
    <w:rsid w:val="008E2F6E"/>
    <w:rsid w:val="008E31AA"/>
    <w:rsid w:val="008E38AD"/>
    <w:rsid w:val="008E3EEC"/>
    <w:rsid w:val="008E408F"/>
    <w:rsid w:val="008E4526"/>
    <w:rsid w:val="008E4A78"/>
    <w:rsid w:val="008E4CA9"/>
    <w:rsid w:val="008E4DE6"/>
    <w:rsid w:val="008E54A3"/>
    <w:rsid w:val="008E55B7"/>
    <w:rsid w:val="008E5BF2"/>
    <w:rsid w:val="008E5C81"/>
    <w:rsid w:val="008E6017"/>
    <w:rsid w:val="008E6A05"/>
    <w:rsid w:val="008E73FA"/>
    <w:rsid w:val="008E7468"/>
    <w:rsid w:val="008E7663"/>
    <w:rsid w:val="008E780F"/>
    <w:rsid w:val="008E7C26"/>
    <w:rsid w:val="008E7D7C"/>
    <w:rsid w:val="008E7DA7"/>
    <w:rsid w:val="008E7F12"/>
    <w:rsid w:val="008F0475"/>
    <w:rsid w:val="008F04C2"/>
    <w:rsid w:val="008F0A38"/>
    <w:rsid w:val="008F0F84"/>
    <w:rsid w:val="008F1014"/>
    <w:rsid w:val="008F118F"/>
    <w:rsid w:val="008F11B9"/>
    <w:rsid w:val="008F11C9"/>
    <w:rsid w:val="008F14EA"/>
    <w:rsid w:val="008F1924"/>
    <w:rsid w:val="008F1F88"/>
    <w:rsid w:val="008F20C3"/>
    <w:rsid w:val="008F23D8"/>
    <w:rsid w:val="008F27C7"/>
    <w:rsid w:val="008F27FF"/>
    <w:rsid w:val="008F2FD5"/>
    <w:rsid w:val="008F30E5"/>
    <w:rsid w:val="008F35FA"/>
    <w:rsid w:val="008F37E5"/>
    <w:rsid w:val="008F3864"/>
    <w:rsid w:val="008F4082"/>
    <w:rsid w:val="008F4508"/>
    <w:rsid w:val="008F454F"/>
    <w:rsid w:val="008F46C3"/>
    <w:rsid w:val="008F48C2"/>
    <w:rsid w:val="008F4D34"/>
    <w:rsid w:val="008F4E9F"/>
    <w:rsid w:val="008F5270"/>
    <w:rsid w:val="008F5367"/>
    <w:rsid w:val="008F5840"/>
    <w:rsid w:val="008F5B7D"/>
    <w:rsid w:val="008F5E65"/>
    <w:rsid w:val="008F5EEF"/>
    <w:rsid w:val="008F645A"/>
    <w:rsid w:val="008F658D"/>
    <w:rsid w:val="008F65D7"/>
    <w:rsid w:val="008F66FE"/>
    <w:rsid w:val="008F6A63"/>
    <w:rsid w:val="008F6B52"/>
    <w:rsid w:val="008F7072"/>
    <w:rsid w:val="008F7271"/>
    <w:rsid w:val="008F72CC"/>
    <w:rsid w:val="008F72CD"/>
    <w:rsid w:val="008F7662"/>
    <w:rsid w:val="008F79B8"/>
    <w:rsid w:val="009000F2"/>
    <w:rsid w:val="009004EC"/>
    <w:rsid w:val="00900550"/>
    <w:rsid w:val="00900879"/>
    <w:rsid w:val="0090116C"/>
    <w:rsid w:val="009013AD"/>
    <w:rsid w:val="00901BF9"/>
    <w:rsid w:val="00901D69"/>
    <w:rsid w:val="00901DDB"/>
    <w:rsid w:val="00902179"/>
    <w:rsid w:val="0090257E"/>
    <w:rsid w:val="00902AC8"/>
    <w:rsid w:val="00902B96"/>
    <w:rsid w:val="00902BA5"/>
    <w:rsid w:val="009035EA"/>
    <w:rsid w:val="00903802"/>
    <w:rsid w:val="00903822"/>
    <w:rsid w:val="00903D22"/>
    <w:rsid w:val="00903F53"/>
    <w:rsid w:val="00904271"/>
    <w:rsid w:val="009046E4"/>
    <w:rsid w:val="00904938"/>
    <w:rsid w:val="00904D52"/>
    <w:rsid w:val="00904E5F"/>
    <w:rsid w:val="009052DA"/>
    <w:rsid w:val="00905BD0"/>
    <w:rsid w:val="00905BD5"/>
    <w:rsid w:val="00906450"/>
    <w:rsid w:val="00906493"/>
    <w:rsid w:val="009067BE"/>
    <w:rsid w:val="0090696D"/>
    <w:rsid w:val="00906CD6"/>
    <w:rsid w:val="00906E4D"/>
    <w:rsid w:val="00906F31"/>
    <w:rsid w:val="009078B3"/>
    <w:rsid w:val="00907A77"/>
    <w:rsid w:val="00907E00"/>
    <w:rsid w:val="00907E44"/>
    <w:rsid w:val="0091023F"/>
    <w:rsid w:val="009102DB"/>
    <w:rsid w:val="009103BF"/>
    <w:rsid w:val="00910471"/>
    <w:rsid w:val="0091088D"/>
    <w:rsid w:val="00910D0B"/>
    <w:rsid w:val="00910D65"/>
    <w:rsid w:val="00910FC9"/>
    <w:rsid w:val="009111A1"/>
    <w:rsid w:val="00911413"/>
    <w:rsid w:val="009114A4"/>
    <w:rsid w:val="00911A80"/>
    <w:rsid w:val="00911E66"/>
    <w:rsid w:val="00912016"/>
    <w:rsid w:val="00912084"/>
    <w:rsid w:val="009123F5"/>
    <w:rsid w:val="00912784"/>
    <w:rsid w:val="00912841"/>
    <w:rsid w:val="00912893"/>
    <w:rsid w:val="0091291A"/>
    <w:rsid w:val="0091294B"/>
    <w:rsid w:val="009129D7"/>
    <w:rsid w:val="00912A4F"/>
    <w:rsid w:val="00912B01"/>
    <w:rsid w:val="00912B7A"/>
    <w:rsid w:val="009134C7"/>
    <w:rsid w:val="009135A2"/>
    <w:rsid w:val="00913612"/>
    <w:rsid w:val="0091366A"/>
    <w:rsid w:val="009136D0"/>
    <w:rsid w:val="00913824"/>
    <w:rsid w:val="009139B8"/>
    <w:rsid w:val="00913CD0"/>
    <w:rsid w:val="00913D0F"/>
    <w:rsid w:val="00914086"/>
    <w:rsid w:val="009154AC"/>
    <w:rsid w:val="009155D5"/>
    <w:rsid w:val="00915757"/>
    <w:rsid w:val="009159B3"/>
    <w:rsid w:val="00915BA9"/>
    <w:rsid w:val="00915D9D"/>
    <w:rsid w:val="0091610E"/>
    <w:rsid w:val="00916181"/>
    <w:rsid w:val="00916682"/>
    <w:rsid w:val="00916924"/>
    <w:rsid w:val="009169E0"/>
    <w:rsid w:val="00916AB1"/>
    <w:rsid w:val="00916BE7"/>
    <w:rsid w:val="00916C8C"/>
    <w:rsid w:val="00916CEC"/>
    <w:rsid w:val="00916DED"/>
    <w:rsid w:val="00917180"/>
    <w:rsid w:val="00917354"/>
    <w:rsid w:val="0091743F"/>
    <w:rsid w:val="00917851"/>
    <w:rsid w:val="00917A81"/>
    <w:rsid w:val="00917CF6"/>
    <w:rsid w:val="00920182"/>
    <w:rsid w:val="00920498"/>
    <w:rsid w:val="009204C5"/>
    <w:rsid w:val="0092066C"/>
    <w:rsid w:val="00920A2D"/>
    <w:rsid w:val="00920C10"/>
    <w:rsid w:val="00920EBE"/>
    <w:rsid w:val="0092140F"/>
    <w:rsid w:val="00921615"/>
    <w:rsid w:val="00921762"/>
    <w:rsid w:val="0092180D"/>
    <w:rsid w:val="0092193A"/>
    <w:rsid w:val="00921B6B"/>
    <w:rsid w:val="00921CB8"/>
    <w:rsid w:val="00921EC3"/>
    <w:rsid w:val="00922430"/>
    <w:rsid w:val="00922495"/>
    <w:rsid w:val="0092275D"/>
    <w:rsid w:val="009232C9"/>
    <w:rsid w:val="009232E8"/>
    <w:rsid w:val="00923608"/>
    <w:rsid w:val="009236F2"/>
    <w:rsid w:val="009238E5"/>
    <w:rsid w:val="00923C1F"/>
    <w:rsid w:val="00923F12"/>
    <w:rsid w:val="00923F5A"/>
    <w:rsid w:val="009243AE"/>
    <w:rsid w:val="009245E4"/>
    <w:rsid w:val="00924652"/>
    <w:rsid w:val="00924A1E"/>
    <w:rsid w:val="00924A67"/>
    <w:rsid w:val="00924C53"/>
    <w:rsid w:val="00924E62"/>
    <w:rsid w:val="00924E6E"/>
    <w:rsid w:val="00924FF8"/>
    <w:rsid w:val="009250BB"/>
    <w:rsid w:val="009251D5"/>
    <w:rsid w:val="009256B5"/>
    <w:rsid w:val="009257E8"/>
    <w:rsid w:val="00925A4A"/>
    <w:rsid w:val="00925BA8"/>
    <w:rsid w:val="00925D1D"/>
    <w:rsid w:val="00925E4C"/>
    <w:rsid w:val="009266E7"/>
    <w:rsid w:val="00926BCF"/>
    <w:rsid w:val="00926DA7"/>
    <w:rsid w:val="00926E45"/>
    <w:rsid w:val="00927610"/>
    <w:rsid w:val="00927655"/>
    <w:rsid w:val="0092794D"/>
    <w:rsid w:val="009279AF"/>
    <w:rsid w:val="00927AC8"/>
    <w:rsid w:val="00927F88"/>
    <w:rsid w:val="00927F8B"/>
    <w:rsid w:val="00930007"/>
    <w:rsid w:val="00930075"/>
    <w:rsid w:val="009302D0"/>
    <w:rsid w:val="0093094D"/>
    <w:rsid w:val="0093097D"/>
    <w:rsid w:val="00930F0F"/>
    <w:rsid w:val="00931104"/>
    <w:rsid w:val="009311C4"/>
    <w:rsid w:val="00931672"/>
    <w:rsid w:val="009319E6"/>
    <w:rsid w:val="00931BAF"/>
    <w:rsid w:val="00931DC0"/>
    <w:rsid w:val="009328C7"/>
    <w:rsid w:val="00932A2F"/>
    <w:rsid w:val="00932A85"/>
    <w:rsid w:val="00932BCE"/>
    <w:rsid w:val="00932D07"/>
    <w:rsid w:val="00932ECF"/>
    <w:rsid w:val="0093336F"/>
    <w:rsid w:val="009336EC"/>
    <w:rsid w:val="00933997"/>
    <w:rsid w:val="00933CC1"/>
    <w:rsid w:val="00933F56"/>
    <w:rsid w:val="009349A7"/>
    <w:rsid w:val="00934C13"/>
    <w:rsid w:val="00934C90"/>
    <w:rsid w:val="00934F6D"/>
    <w:rsid w:val="00935228"/>
    <w:rsid w:val="009355A2"/>
    <w:rsid w:val="00935D20"/>
    <w:rsid w:val="00935F9E"/>
    <w:rsid w:val="00936780"/>
    <w:rsid w:val="00936D98"/>
    <w:rsid w:val="00936E9D"/>
    <w:rsid w:val="009375B9"/>
    <w:rsid w:val="00937779"/>
    <w:rsid w:val="009401AC"/>
    <w:rsid w:val="00940200"/>
    <w:rsid w:val="00940314"/>
    <w:rsid w:val="00940A58"/>
    <w:rsid w:val="00940A68"/>
    <w:rsid w:val="00940BCF"/>
    <w:rsid w:val="00940D2E"/>
    <w:rsid w:val="00940DE7"/>
    <w:rsid w:val="00940FC5"/>
    <w:rsid w:val="00941059"/>
    <w:rsid w:val="0094130D"/>
    <w:rsid w:val="009414EB"/>
    <w:rsid w:val="00941B00"/>
    <w:rsid w:val="00941EB0"/>
    <w:rsid w:val="00942409"/>
    <w:rsid w:val="009425EC"/>
    <w:rsid w:val="00942B16"/>
    <w:rsid w:val="00942BBA"/>
    <w:rsid w:val="00942C80"/>
    <w:rsid w:val="00942D0A"/>
    <w:rsid w:val="0094309B"/>
    <w:rsid w:val="00943197"/>
    <w:rsid w:val="009435F2"/>
    <w:rsid w:val="00943638"/>
    <w:rsid w:val="00943E86"/>
    <w:rsid w:val="00943EA7"/>
    <w:rsid w:val="00943FAC"/>
    <w:rsid w:val="0094471C"/>
    <w:rsid w:val="00944918"/>
    <w:rsid w:val="00945180"/>
    <w:rsid w:val="00945339"/>
    <w:rsid w:val="0094542C"/>
    <w:rsid w:val="0094582B"/>
    <w:rsid w:val="0094590C"/>
    <w:rsid w:val="00946355"/>
    <w:rsid w:val="009468B7"/>
    <w:rsid w:val="0094691B"/>
    <w:rsid w:val="00946B02"/>
    <w:rsid w:val="0094724E"/>
    <w:rsid w:val="009474A0"/>
    <w:rsid w:val="009474C2"/>
    <w:rsid w:val="00947801"/>
    <w:rsid w:val="00947BE6"/>
    <w:rsid w:val="00947E19"/>
    <w:rsid w:val="00947E54"/>
    <w:rsid w:val="0095026C"/>
    <w:rsid w:val="0095043B"/>
    <w:rsid w:val="0095048D"/>
    <w:rsid w:val="00950DD7"/>
    <w:rsid w:val="00951355"/>
    <w:rsid w:val="00951528"/>
    <w:rsid w:val="009517F9"/>
    <w:rsid w:val="00951839"/>
    <w:rsid w:val="00951864"/>
    <w:rsid w:val="00951ADB"/>
    <w:rsid w:val="00951BF4"/>
    <w:rsid w:val="00951DB4"/>
    <w:rsid w:val="00951F79"/>
    <w:rsid w:val="00952111"/>
    <w:rsid w:val="0095224D"/>
    <w:rsid w:val="009524B1"/>
    <w:rsid w:val="00952564"/>
    <w:rsid w:val="00952E29"/>
    <w:rsid w:val="00952F27"/>
    <w:rsid w:val="009535FF"/>
    <w:rsid w:val="0095380C"/>
    <w:rsid w:val="0095399D"/>
    <w:rsid w:val="00953AEE"/>
    <w:rsid w:val="00953BEB"/>
    <w:rsid w:val="00953C6C"/>
    <w:rsid w:val="009542B4"/>
    <w:rsid w:val="00954353"/>
    <w:rsid w:val="009544CF"/>
    <w:rsid w:val="00954FFA"/>
    <w:rsid w:val="0095507A"/>
    <w:rsid w:val="00955C0A"/>
    <w:rsid w:val="00955C4F"/>
    <w:rsid w:val="00956102"/>
    <w:rsid w:val="0095629B"/>
    <w:rsid w:val="009563D9"/>
    <w:rsid w:val="00956671"/>
    <w:rsid w:val="00956914"/>
    <w:rsid w:val="00956A13"/>
    <w:rsid w:val="00956D4B"/>
    <w:rsid w:val="00956E25"/>
    <w:rsid w:val="00956F76"/>
    <w:rsid w:val="00957217"/>
    <w:rsid w:val="0095739A"/>
    <w:rsid w:val="009601F0"/>
    <w:rsid w:val="00960884"/>
    <w:rsid w:val="00960DE0"/>
    <w:rsid w:val="00961205"/>
    <w:rsid w:val="0096142F"/>
    <w:rsid w:val="00961448"/>
    <w:rsid w:val="00961472"/>
    <w:rsid w:val="00961587"/>
    <w:rsid w:val="00961AA4"/>
    <w:rsid w:val="00961BCC"/>
    <w:rsid w:val="00962202"/>
    <w:rsid w:val="009628D1"/>
    <w:rsid w:val="00962E7C"/>
    <w:rsid w:val="00963040"/>
    <w:rsid w:val="009635BA"/>
    <w:rsid w:val="00963B21"/>
    <w:rsid w:val="00963C5D"/>
    <w:rsid w:val="00964C4A"/>
    <w:rsid w:val="00964EC8"/>
    <w:rsid w:val="00965178"/>
    <w:rsid w:val="0096520D"/>
    <w:rsid w:val="0096556B"/>
    <w:rsid w:val="009657F1"/>
    <w:rsid w:val="00965A0D"/>
    <w:rsid w:val="00965C3C"/>
    <w:rsid w:val="0096616A"/>
    <w:rsid w:val="0096625D"/>
    <w:rsid w:val="0096628D"/>
    <w:rsid w:val="009664ED"/>
    <w:rsid w:val="0096691B"/>
    <w:rsid w:val="00966AFE"/>
    <w:rsid w:val="00966DAD"/>
    <w:rsid w:val="00966DDD"/>
    <w:rsid w:val="00966F1E"/>
    <w:rsid w:val="00967041"/>
    <w:rsid w:val="00967042"/>
    <w:rsid w:val="009671D2"/>
    <w:rsid w:val="00967267"/>
    <w:rsid w:val="00967575"/>
    <w:rsid w:val="009677CB"/>
    <w:rsid w:val="00967A01"/>
    <w:rsid w:val="00967BB8"/>
    <w:rsid w:val="00967E04"/>
    <w:rsid w:val="009700E1"/>
    <w:rsid w:val="0097047E"/>
    <w:rsid w:val="00970517"/>
    <w:rsid w:val="009709DF"/>
    <w:rsid w:val="009709F8"/>
    <w:rsid w:val="00970D01"/>
    <w:rsid w:val="00970F1C"/>
    <w:rsid w:val="00971121"/>
    <w:rsid w:val="00971571"/>
    <w:rsid w:val="009716FD"/>
    <w:rsid w:val="00971A9C"/>
    <w:rsid w:val="00971B45"/>
    <w:rsid w:val="00971C02"/>
    <w:rsid w:val="00971DF5"/>
    <w:rsid w:val="00971F76"/>
    <w:rsid w:val="0097244E"/>
    <w:rsid w:val="00972579"/>
    <w:rsid w:val="00972791"/>
    <w:rsid w:val="00972922"/>
    <w:rsid w:val="00972929"/>
    <w:rsid w:val="00972A68"/>
    <w:rsid w:val="00972F91"/>
    <w:rsid w:val="0097306C"/>
    <w:rsid w:val="00973094"/>
    <w:rsid w:val="009733D8"/>
    <w:rsid w:val="009737B0"/>
    <w:rsid w:val="00973827"/>
    <w:rsid w:val="00973A21"/>
    <w:rsid w:val="00973E9D"/>
    <w:rsid w:val="009742D3"/>
    <w:rsid w:val="0097465A"/>
    <w:rsid w:val="0097499E"/>
    <w:rsid w:val="00974AA2"/>
    <w:rsid w:val="00974BA4"/>
    <w:rsid w:val="00974FE0"/>
    <w:rsid w:val="00975183"/>
    <w:rsid w:val="009755CD"/>
    <w:rsid w:val="009758F1"/>
    <w:rsid w:val="00975A1A"/>
    <w:rsid w:val="00975A29"/>
    <w:rsid w:val="00975B2C"/>
    <w:rsid w:val="00976068"/>
    <w:rsid w:val="009760D0"/>
    <w:rsid w:val="00976311"/>
    <w:rsid w:val="009764AF"/>
    <w:rsid w:val="009768A6"/>
    <w:rsid w:val="00977059"/>
    <w:rsid w:val="009773B5"/>
    <w:rsid w:val="00977838"/>
    <w:rsid w:val="00977939"/>
    <w:rsid w:val="00977BA7"/>
    <w:rsid w:val="009800CE"/>
    <w:rsid w:val="00980520"/>
    <w:rsid w:val="00980D7B"/>
    <w:rsid w:val="0098152F"/>
    <w:rsid w:val="0098172F"/>
    <w:rsid w:val="0098194F"/>
    <w:rsid w:val="00981CD3"/>
    <w:rsid w:val="009821C0"/>
    <w:rsid w:val="009826C8"/>
    <w:rsid w:val="009829E3"/>
    <w:rsid w:val="00982D20"/>
    <w:rsid w:val="00983117"/>
    <w:rsid w:val="0098323C"/>
    <w:rsid w:val="009835BD"/>
    <w:rsid w:val="00983612"/>
    <w:rsid w:val="009836E4"/>
    <w:rsid w:val="0098380C"/>
    <w:rsid w:val="009838D0"/>
    <w:rsid w:val="00983F62"/>
    <w:rsid w:val="0098412F"/>
    <w:rsid w:val="009843ED"/>
    <w:rsid w:val="0098471D"/>
    <w:rsid w:val="00984FDB"/>
    <w:rsid w:val="009854D5"/>
    <w:rsid w:val="00985531"/>
    <w:rsid w:val="009856B7"/>
    <w:rsid w:val="009858DD"/>
    <w:rsid w:val="00985AB7"/>
    <w:rsid w:val="00985F28"/>
    <w:rsid w:val="00986149"/>
    <w:rsid w:val="00986157"/>
    <w:rsid w:val="00986176"/>
    <w:rsid w:val="009868C8"/>
    <w:rsid w:val="00986A57"/>
    <w:rsid w:val="00986CE7"/>
    <w:rsid w:val="00986E7F"/>
    <w:rsid w:val="009870A6"/>
    <w:rsid w:val="00987536"/>
    <w:rsid w:val="0098781E"/>
    <w:rsid w:val="00987837"/>
    <w:rsid w:val="009878EC"/>
    <w:rsid w:val="00990103"/>
    <w:rsid w:val="0099038E"/>
    <w:rsid w:val="009906EE"/>
    <w:rsid w:val="00990BD5"/>
    <w:rsid w:val="00990F29"/>
    <w:rsid w:val="00990F51"/>
    <w:rsid w:val="00991506"/>
    <w:rsid w:val="0099158C"/>
    <w:rsid w:val="009915E1"/>
    <w:rsid w:val="00991701"/>
    <w:rsid w:val="00991860"/>
    <w:rsid w:val="0099196F"/>
    <w:rsid w:val="009919CA"/>
    <w:rsid w:val="009923B6"/>
    <w:rsid w:val="009928DB"/>
    <w:rsid w:val="00992B98"/>
    <w:rsid w:val="0099359F"/>
    <w:rsid w:val="00993AC9"/>
    <w:rsid w:val="00993C58"/>
    <w:rsid w:val="009945B5"/>
    <w:rsid w:val="009945E5"/>
    <w:rsid w:val="00994871"/>
    <w:rsid w:val="00994A08"/>
    <w:rsid w:val="00994BFD"/>
    <w:rsid w:val="00994C1D"/>
    <w:rsid w:val="00994E08"/>
    <w:rsid w:val="00994E35"/>
    <w:rsid w:val="009951F9"/>
    <w:rsid w:val="009952FE"/>
    <w:rsid w:val="0099537A"/>
    <w:rsid w:val="0099544C"/>
    <w:rsid w:val="00995498"/>
    <w:rsid w:val="009958B0"/>
    <w:rsid w:val="0099599E"/>
    <w:rsid w:val="00995C95"/>
    <w:rsid w:val="00995DB8"/>
    <w:rsid w:val="00995E85"/>
    <w:rsid w:val="00995EC7"/>
    <w:rsid w:val="00996468"/>
    <w:rsid w:val="0099664D"/>
    <w:rsid w:val="00996876"/>
    <w:rsid w:val="00996DD4"/>
    <w:rsid w:val="00996FFA"/>
    <w:rsid w:val="009973F1"/>
    <w:rsid w:val="009973F3"/>
    <w:rsid w:val="009979C6"/>
    <w:rsid w:val="00997D39"/>
    <w:rsid w:val="00997DB5"/>
    <w:rsid w:val="009A010D"/>
    <w:rsid w:val="009A0130"/>
    <w:rsid w:val="009A0199"/>
    <w:rsid w:val="009A03E1"/>
    <w:rsid w:val="009A044F"/>
    <w:rsid w:val="009A07B3"/>
    <w:rsid w:val="009A0C19"/>
    <w:rsid w:val="009A0C6F"/>
    <w:rsid w:val="009A0D3B"/>
    <w:rsid w:val="009A0E3A"/>
    <w:rsid w:val="009A0EA1"/>
    <w:rsid w:val="009A0EA7"/>
    <w:rsid w:val="009A0F97"/>
    <w:rsid w:val="009A1287"/>
    <w:rsid w:val="009A1314"/>
    <w:rsid w:val="009A14EF"/>
    <w:rsid w:val="009A1618"/>
    <w:rsid w:val="009A1738"/>
    <w:rsid w:val="009A1A7E"/>
    <w:rsid w:val="009A29D9"/>
    <w:rsid w:val="009A2DF9"/>
    <w:rsid w:val="009A2E6B"/>
    <w:rsid w:val="009A31AC"/>
    <w:rsid w:val="009A31F1"/>
    <w:rsid w:val="009A333E"/>
    <w:rsid w:val="009A348C"/>
    <w:rsid w:val="009A389B"/>
    <w:rsid w:val="009A3A86"/>
    <w:rsid w:val="009A3BC1"/>
    <w:rsid w:val="009A3E78"/>
    <w:rsid w:val="009A414F"/>
    <w:rsid w:val="009A44D0"/>
    <w:rsid w:val="009A4668"/>
    <w:rsid w:val="009A4869"/>
    <w:rsid w:val="009A4965"/>
    <w:rsid w:val="009A4F78"/>
    <w:rsid w:val="009A51BA"/>
    <w:rsid w:val="009A55DD"/>
    <w:rsid w:val="009A5837"/>
    <w:rsid w:val="009A62AB"/>
    <w:rsid w:val="009A6472"/>
    <w:rsid w:val="009A66AF"/>
    <w:rsid w:val="009A690D"/>
    <w:rsid w:val="009A6A6B"/>
    <w:rsid w:val="009A74A6"/>
    <w:rsid w:val="009A7969"/>
    <w:rsid w:val="009A7F58"/>
    <w:rsid w:val="009A7FA2"/>
    <w:rsid w:val="009B0088"/>
    <w:rsid w:val="009B02B0"/>
    <w:rsid w:val="009B0DDF"/>
    <w:rsid w:val="009B107D"/>
    <w:rsid w:val="009B1291"/>
    <w:rsid w:val="009B12C8"/>
    <w:rsid w:val="009B12E5"/>
    <w:rsid w:val="009B1AEC"/>
    <w:rsid w:val="009B1E52"/>
    <w:rsid w:val="009B1EF9"/>
    <w:rsid w:val="009B1F63"/>
    <w:rsid w:val="009B26AC"/>
    <w:rsid w:val="009B2A64"/>
    <w:rsid w:val="009B2D2B"/>
    <w:rsid w:val="009B2F22"/>
    <w:rsid w:val="009B32B4"/>
    <w:rsid w:val="009B350D"/>
    <w:rsid w:val="009B37E2"/>
    <w:rsid w:val="009B3E26"/>
    <w:rsid w:val="009B40E6"/>
    <w:rsid w:val="009B4461"/>
    <w:rsid w:val="009B4519"/>
    <w:rsid w:val="009B4676"/>
    <w:rsid w:val="009B486F"/>
    <w:rsid w:val="009B4AF5"/>
    <w:rsid w:val="009B4B36"/>
    <w:rsid w:val="009B4BC3"/>
    <w:rsid w:val="009B4D4D"/>
    <w:rsid w:val="009B506B"/>
    <w:rsid w:val="009B54DB"/>
    <w:rsid w:val="009B567A"/>
    <w:rsid w:val="009B57EF"/>
    <w:rsid w:val="009B58CA"/>
    <w:rsid w:val="009B59F4"/>
    <w:rsid w:val="009B5AF3"/>
    <w:rsid w:val="009B5B85"/>
    <w:rsid w:val="009B5F52"/>
    <w:rsid w:val="009B617F"/>
    <w:rsid w:val="009B6C4C"/>
    <w:rsid w:val="009B6F59"/>
    <w:rsid w:val="009B7204"/>
    <w:rsid w:val="009B74F3"/>
    <w:rsid w:val="009B75CA"/>
    <w:rsid w:val="009B7AFC"/>
    <w:rsid w:val="009C0074"/>
    <w:rsid w:val="009C0564"/>
    <w:rsid w:val="009C15AE"/>
    <w:rsid w:val="009C15E6"/>
    <w:rsid w:val="009C1D3A"/>
    <w:rsid w:val="009C22F6"/>
    <w:rsid w:val="009C2685"/>
    <w:rsid w:val="009C2934"/>
    <w:rsid w:val="009C2AF8"/>
    <w:rsid w:val="009C2ED6"/>
    <w:rsid w:val="009C316E"/>
    <w:rsid w:val="009C372F"/>
    <w:rsid w:val="009C37A3"/>
    <w:rsid w:val="009C39BC"/>
    <w:rsid w:val="009C3B5F"/>
    <w:rsid w:val="009C3E20"/>
    <w:rsid w:val="009C4048"/>
    <w:rsid w:val="009C456E"/>
    <w:rsid w:val="009C4A01"/>
    <w:rsid w:val="009C4BC2"/>
    <w:rsid w:val="009C4CAE"/>
    <w:rsid w:val="009C4D22"/>
    <w:rsid w:val="009C5103"/>
    <w:rsid w:val="009C53F9"/>
    <w:rsid w:val="009C5462"/>
    <w:rsid w:val="009C584F"/>
    <w:rsid w:val="009C5980"/>
    <w:rsid w:val="009C5A52"/>
    <w:rsid w:val="009C6006"/>
    <w:rsid w:val="009C68C6"/>
    <w:rsid w:val="009C6943"/>
    <w:rsid w:val="009C696B"/>
    <w:rsid w:val="009C6E1A"/>
    <w:rsid w:val="009C6E96"/>
    <w:rsid w:val="009C7320"/>
    <w:rsid w:val="009C7401"/>
    <w:rsid w:val="009C75CE"/>
    <w:rsid w:val="009C7896"/>
    <w:rsid w:val="009D00BD"/>
    <w:rsid w:val="009D0342"/>
    <w:rsid w:val="009D0487"/>
    <w:rsid w:val="009D0615"/>
    <w:rsid w:val="009D071A"/>
    <w:rsid w:val="009D0729"/>
    <w:rsid w:val="009D07BB"/>
    <w:rsid w:val="009D0E2E"/>
    <w:rsid w:val="009D0E52"/>
    <w:rsid w:val="009D0F62"/>
    <w:rsid w:val="009D0F66"/>
    <w:rsid w:val="009D12B2"/>
    <w:rsid w:val="009D1A06"/>
    <w:rsid w:val="009D1BA4"/>
    <w:rsid w:val="009D1C84"/>
    <w:rsid w:val="009D1FB2"/>
    <w:rsid w:val="009D21A5"/>
    <w:rsid w:val="009D22E4"/>
    <w:rsid w:val="009D22F6"/>
    <w:rsid w:val="009D22F7"/>
    <w:rsid w:val="009D2AAF"/>
    <w:rsid w:val="009D2B3E"/>
    <w:rsid w:val="009D319C"/>
    <w:rsid w:val="009D32E6"/>
    <w:rsid w:val="009D3B30"/>
    <w:rsid w:val="009D4964"/>
    <w:rsid w:val="009D5035"/>
    <w:rsid w:val="009D5098"/>
    <w:rsid w:val="009D50A2"/>
    <w:rsid w:val="009D50E3"/>
    <w:rsid w:val="009D511C"/>
    <w:rsid w:val="009D5524"/>
    <w:rsid w:val="009D5964"/>
    <w:rsid w:val="009D5BAB"/>
    <w:rsid w:val="009D5D5F"/>
    <w:rsid w:val="009D6439"/>
    <w:rsid w:val="009D6A0A"/>
    <w:rsid w:val="009D6BD6"/>
    <w:rsid w:val="009D7032"/>
    <w:rsid w:val="009D73C2"/>
    <w:rsid w:val="009D7768"/>
    <w:rsid w:val="009D77C5"/>
    <w:rsid w:val="009D7FB4"/>
    <w:rsid w:val="009E005A"/>
    <w:rsid w:val="009E016F"/>
    <w:rsid w:val="009E058F"/>
    <w:rsid w:val="009E0A9E"/>
    <w:rsid w:val="009E186E"/>
    <w:rsid w:val="009E19A2"/>
    <w:rsid w:val="009E1D83"/>
    <w:rsid w:val="009E22CA"/>
    <w:rsid w:val="009E2B01"/>
    <w:rsid w:val="009E2DAB"/>
    <w:rsid w:val="009E3AFD"/>
    <w:rsid w:val="009E3CDD"/>
    <w:rsid w:val="009E41CA"/>
    <w:rsid w:val="009E4413"/>
    <w:rsid w:val="009E4A97"/>
    <w:rsid w:val="009E4B16"/>
    <w:rsid w:val="009E4D80"/>
    <w:rsid w:val="009E54CB"/>
    <w:rsid w:val="009E57D0"/>
    <w:rsid w:val="009E58E0"/>
    <w:rsid w:val="009E5A72"/>
    <w:rsid w:val="009E5C60"/>
    <w:rsid w:val="009E61CB"/>
    <w:rsid w:val="009E62B7"/>
    <w:rsid w:val="009E634B"/>
    <w:rsid w:val="009E64DB"/>
    <w:rsid w:val="009E65B4"/>
    <w:rsid w:val="009E669C"/>
    <w:rsid w:val="009E6794"/>
    <w:rsid w:val="009E69C1"/>
    <w:rsid w:val="009E700D"/>
    <w:rsid w:val="009E7189"/>
    <w:rsid w:val="009E72C6"/>
    <w:rsid w:val="009E7661"/>
    <w:rsid w:val="009E7894"/>
    <w:rsid w:val="009E7B3C"/>
    <w:rsid w:val="009E7CEE"/>
    <w:rsid w:val="009E7E46"/>
    <w:rsid w:val="009E7EA9"/>
    <w:rsid w:val="009E7FC1"/>
    <w:rsid w:val="009F013D"/>
    <w:rsid w:val="009F01E1"/>
    <w:rsid w:val="009F0947"/>
    <w:rsid w:val="009F0B4D"/>
    <w:rsid w:val="009F0D22"/>
    <w:rsid w:val="009F0ECB"/>
    <w:rsid w:val="009F1096"/>
    <w:rsid w:val="009F10D5"/>
    <w:rsid w:val="009F1388"/>
    <w:rsid w:val="009F14AE"/>
    <w:rsid w:val="009F150E"/>
    <w:rsid w:val="009F17C9"/>
    <w:rsid w:val="009F1B11"/>
    <w:rsid w:val="009F1BF4"/>
    <w:rsid w:val="009F2318"/>
    <w:rsid w:val="009F2625"/>
    <w:rsid w:val="009F27AD"/>
    <w:rsid w:val="009F36CC"/>
    <w:rsid w:val="009F36D3"/>
    <w:rsid w:val="009F3FB5"/>
    <w:rsid w:val="009F485C"/>
    <w:rsid w:val="009F48F2"/>
    <w:rsid w:val="009F4CF3"/>
    <w:rsid w:val="009F4FCC"/>
    <w:rsid w:val="009F521F"/>
    <w:rsid w:val="009F53A9"/>
    <w:rsid w:val="009F553C"/>
    <w:rsid w:val="009F57C3"/>
    <w:rsid w:val="009F59F8"/>
    <w:rsid w:val="009F5CB0"/>
    <w:rsid w:val="009F5D0C"/>
    <w:rsid w:val="009F5E3F"/>
    <w:rsid w:val="009F6842"/>
    <w:rsid w:val="009F69BA"/>
    <w:rsid w:val="009F6D1E"/>
    <w:rsid w:val="009F719A"/>
    <w:rsid w:val="009F7206"/>
    <w:rsid w:val="009F72A2"/>
    <w:rsid w:val="009F75BF"/>
    <w:rsid w:val="009F75ED"/>
    <w:rsid w:val="009F76B3"/>
    <w:rsid w:val="00A0035F"/>
    <w:rsid w:val="00A00466"/>
    <w:rsid w:val="00A00467"/>
    <w:rsid w:val="00A0051A"/>
    <w:rsid w:val="00A005B0"/>
    <w:rsid w:val="00A00DE6"/>
    <w:rsid w:val="00A00EEA"/>
    <w:rsid w:val="00A01102"/>
    <w:rsid w:val="00A01448"/>
    <w:rsid w:val="00A018FC"/>
    <w:rsid w:val="00A01A09"/>
    <w:rsid w:val="00A01D8E"/>
    <w:rsid w:val="00A01F17"/>
    <w:rsid w:val="00A02061"/>
    <w:rsid w:val="00A022A5"/>
    <w:rsid w:val="00A025FB"/>
    <w:rsid w:val="00A02839"/>
    <w:rsid w:val="00A02D3B"/>
    <w:rsid w:val="00A02D6F"/>
    <w:rsid w:val="00A0314B"/>
    <w:rsid w:val="00A032D9"/>
    <w:rsid w:val="00A037FF"/>
    <w:rsid w:val="00A038F9"/>
    <w:rsid w:val="00A03961"/>
    <w:rsid w:val="00A03A22"/>
    <w:rsid w:val="00A03CDA"/>
    <w:rsid w:val="00A04634"/>
    <w:rsid w:val="00A050C1"/>
    <w:rsid w:val="00A05123"/>
    <w:rsid w:val="00A05265"/>
    <w:rsid w:val="00A05648"/>
    <w:rsid w:val="00A05737"/>
    <w:rsid w:val="00A06119"/>
    <w:rsid w:val="00A06199"/>
    <w:rsid w:val="00A065ED"/>
    <w:rsid w:val="00A0667A"/>
    <w:rsid w:val="00A0681C"/>
    <w:rsid w:val="00A069AF"/>
    <w:rsid w:val="00A07217"/>
    <w:rsid w:val="00A07286"/>
    <w:rsid w:val="00A07A48"/>
    <w:rsid w:val="00A07B38"/>
    <w:rsid w:val="00A108EE"/>
    <w:rsid w:val="00A10BB8"/>
    <w:rsid w:val="00A11361"/>
    <w:rsid w:val="00A11367"/>
    <w:rsid w:val="00A114F1"/>
    <w:rsid w:val="00A11B7F"/>
    <w:rsid w:val="00A11E5D"/>
    <w:rsid w:val="00A11F54"/>
    <w:rsid w:val="00A12028"/>
    <w:rsid w:val="00A126C1"/>
    <w:rsid w:val="00A127D7"/>
    <w:rsid w:val="00A1287B"/>
    <w:rsid w:val="00A12BAB"/>
    <w:rsid w:val="00A12D99"/>
    <w:rsid w:val="00A137E4"/>
    <w:rsid w:val="00A13C8D"/>
    <w:rsid w:val="00A14224"/>
    <w:rsid w:val="00A14813"/>
    <w:rsid w:val="00A14A0F"/>
    <w:rsid w:val="00A15094"/>
    <w:rsid w:val="00A15157"/>
    <w:rsid w:val="00A152B7"/>
    <w:rsid w:val="00A152C5"/>
    <w:rsid w:val="00A1566A"/>
    <w:rsid w:val="00A156D3"/>
    <w:rsid w:val="00A15833"/>
    <w:rsid w:val="00A15C5E"/>
    <w:rsid w:val="00A15E57"/>
    <w:rsid w:val="00A165BF"/>
    <w:rsid w:val="00A16800"/>
    <w:rsid w:val="00A17001"/>
    <w:rsid w:val="00A17171"/>
    <w:rsid w:val="00A172E8"/>
    <w:rsid w:val="00A173AB"/>
    <w:rsid w:val="00A174FE"/>
    <w:rsid w:val="00A175CD"/>
    <w:rsid w:val="00A179FF"/>
    <w:rsid w:val="00A17FD1"/>
    <w:rsid w:val="00A20046"/>
    <w:rsid w:val="00A20706"/>
    <w:rsid w:val="00A208EA"/>
    <w:rsid w:val="00A2095A"/>
    <w:rsid w:val="00A209DE"/>
    <w:rsid w:val="00A20C6F"/>
    <w:rsid w:val="00A21167"/>
    <w:rsid w:val="00A2140F"/>
    <w:rsid w:val="00A2182B"/>
    <w:rsid w:val="00A218CD"/>
    <w:rsid w:val="00A2191D"/>
    <w:rsid w:val="00A21A36"/>
    <w:rsid w:val="00A22794"/>
    <w:rsid w:val="00A22939"/>
    <w:rsid w:val="00A229FF"/>
    <w:rsid w:val="00A22ADC"/>
    <w:rsid w:val="00A22D83"/>
    <w:rsid w:val="00A23131"/>
    <w:rsid w:val="00A23285"/>
    <w:rsid w:val="00A237A2"/>
    <w:rsid w:val="00A23952"/>
    <w:rsid w:val="00A2444C"/>
    <w:rsid w:val="00A24833"/>
    <w:rsid w:val="00A248A0"/>
    <w:rsid w:val="00A24C05"/>
    <w:rsid w:val="00A24EB4"/>
    <w:rsid w:val="00A25102"/>
    <w:rsid w:val="00A25294"/>
    <w:rsid w:val="00A254EE"/>
    <w:rsid w:val="00A25516"/>
    <w:rsid w:val="00A25A94"/>
    <w:rsid w:val="00A25BE7"/>
    <w:rsid w:val="00A26260"/>
    <w:rsid w:val="00A26316"/>
    <w:rsid w:val="00A26549"/>
    <w:rsid w:val="00A26F64"/>
    <w:rsid w:val="00A26FD6"/>
    <w:rsid w:val="00A27008"/>
    <w:rsid w:val="00A27235"/>
    <w:rsid w:val="00A2743B"/>
    <w:rsid w:val="00A27620"/>
    <w:rsid w:val="00A27850"/>
    <w:rsid w:val="00A27B7A"/>
    <w:rsid w:val="00A27C97"/>
    <w:rsid w:val="00A27CDF"/>
    <w:rsid w:val="00A301CB"/>
    <w:rsid w:val="00A30349"/>
    <w:rsid w:val="00A304E2"/>
    <w:rsid w:val="00A3098E"/>
    <w:rsid w:val="00A309C6"/>
    <w:rsid w:val="00A30A5E"/>
    <w:rsid w:val="00A30D13"/>
    <w:rsid w:val="00A310FC"/>
    <w:rsid w:val="00A31142"/>
    <w:rsid w:val="00A319D0"/>
    <w:rsid w:val="00A31AF0"/>
    <w:rsid w:val="00A32316"/>
    <w:rsid w:val="00A32774"/>
    <w:rsid w:val="00A33172"/>
    <w:rsid w:val="00A33316"/>
    <w:rsid w:val="00A333C1"/>
    <w:rsid w:val="00A3349A"/>
    <w:rsid w:val="00A335AB"/>
    <w:rsid w:val="00A3360A"/>
    <w:rsid w:val="00A33FC1"/>
    <w:rsid w:val="00A34041"/>
    <w:rsid w:val="00A3432B"/>
    <w:rsid w:val="00A3466B"/>
    <w:rsid w:val="00A346BA"/>
    <w:rsid w:val="00A34757"/>
    <w:rsid w:val="00A34BD1"/>
    <w:rsid w:val="00A34C67"/>
    <w:rsid w:val="00A34D62"/>
    <w:rsid w:val="00A350B6"/>
    <w:rsid w:val="00A35552"/>
    <w:rsid w:val="00A35689"/>
    <w:rsid w:val="00A3588E"/>
    <w:rsid w:val="00A3596F"/>
    <w:rsid w:val="00A35ACC"/>
    <w:rsid w:val="00A35B4A"/>
    <w:rsid w:val="00A35BBE"/>
    <w:rsid w:val="00A35DAC"/>
    <w:rsid w:val="00A35FFC"/>
    <w:rsid w:val="00A3611D"/>
    <w:rsid w:val="00A36140"/>
    <w:rsid w:val="00A36339"/>
    <w:rsid w:val="00A36479"/>
    <w:rsid w:val="00A366E4"/>
    <w:rsid w:val="00A368B4"/>
    <w:rsid w:val="00A36CF4"/>
    <w:rsid w:val="00A375A3"/>
    <w:rsid w:val="00A377C4"/>
    <w:rsid w:val="00A377F2"/>
    <w:rsid w:val="00A37A84"/>
    <w:rsid w:val="00A40079"/>
    <w:rsid w:val="00A402E9"/>
    <w:rsid w:val="00A40607"/>
    <w:rsid w:val="00A407A1"/>
    <w:rsid w:val="00A40A3B"/>
    <w:rsid w:val="00A40AAC"/>
    <w:rsid w:val="00A40D80"/>
    <w:rsid w:val="00A40F9F"/>
    <w:rsid w:val="00A40FDC"/>
    <w:rsid w:val="00A41987"/>
    <w:rsid w:val="00A41D64"/>
    <w:rsid w:val="00A422A7"/>
    <w:rsid w:val="00A42358"/>
    <w:rsid w:val="00A42457"/>
    <w:rsid w:val="00A42540"/>
    <w:rsid w:val="00A42861"/>
    <w:rsid w:val="00A42C47"/>
    <w:rsid w:val="00A43644"/>
    <w:rsid w:val="00A4376F"/>
    <w:rsid w:val="00A4398F"/>
    <w:rsid w:val="00A439B5"/>
    <w:rsid w:val="00A43A94"/>
    <w:rsid w:val="00A43D47"/>
    <w:rsid w:val="00A43F1F"/>
    <w:rsid w:val="00A43F37"/>
    <w:rsid w:val="00A43F77"/>
    <w:rsid w:val="00A440ED"/>
    <w:rsid w:val="00A4466F"/>
    <w:rsid w:val="00A449E1"/>
    <w:rsid w:val="00A44C89"/>
    <w:rsid w:val="00A450EC"/>
    <w:rsid w:val="00A450F7"/>
    <w:rsid w:val="00A4549F"/>
    <w:rsid w:val="00A45798"/>
    <w:rsid w:val="00A45847"/>
    <w:rsid w:val="00A45B9B"/>
    <w:rsid w:val="00A45C69"/>
    <w:rsid w:val="00A45DCA"/>
    <w:rsid w:val="00A45F1C"/>
    <w:rsid w:val="00A462FE"/>
    <w:rsid w:val="00A46389"/>
    <w:rsid w:val="00A4656C"/>
    <w:rsid w:val="00A46639"/>
    <w:rsid w:val="00A46B68"/>
    <w:rsid w:val="00A47003"/>
    <w:rsid w:val="00A4700A"/>
    <w:rsid w:val="00A47131"/>
    <w:rsid w:val="00A47154"/>
    <w:rsid w:val="00A472F1"/>
    <w:rsid w:val="00A4757A"/>
    <w:rsid w:val="00A47588"/>
    <w:rsid w:val="00A478F0"/>
    <w:rsid w:val="00A47AB7"/>
    <w:rsid w:val="00A47EBB"/>
    <w:rsid w:val="00A501C9"/>
    <w:rsid w:val="00A502B7"/>
    <w:rsid w:val="00A50506"/>
    <w:rsid w:val="00A509EB"/>
    <w:rsid w:val="00A50AE6"/>
    <w:rsid w:val="00A50C65"/>
    <w:rsid w:val="00A50CCA"/>
    <w:rsid w:val="00A50DE3"/>
    <w:rsid w:val="00A516B5"/>
    <w:rsid w:val="00A517BC"/>
    <w:rsid w:val="00A51CF9"/>
    <w:rsid w:val="00A51E9B"/>
    <w:rsid w:val="00A521BB"/>
    <w:rsid w:val="00A5226E"/>
    <w:rsid w:val="00A52BF5"/>
    <w:rsid w:val="00A534ED"/>
    <w:rsid w:val="00A539E4"/>
    <w:rsid w:val="00A53EF5"/>
    <w:rsid w:val="00A53F55"/>
    <w:rsid w:val="00A5417B"/>
    <w:rsid w:val="00A541E0"/>
    <w:rsid w:val="00A54599"/>
    <w:rsid w:val="00A5462D"/>
    <w:rsid w:val="00A54794"/>
    <w:rsid w:val="00A54B82"/>
    <w:rsid w:val="00A54B87"/>
    <w:rsid w:val="00A54E4B"/>
    <w:rsid w:val="00A550B0"/>
    <w:rsid w:val="00A550D4"/>
    <w:rsid w:val="00A55331"/>
    <w:rsid w:val="00A5549C"/>
    <w:rsid w:val="00A556C6"/>
    <w:rsid w:val="00A559B3"/>
    <w:rsid w:val="00A55EEE"/>
    <w:rsid w:val="00A56104"/>
    <w:rsid w:val="00A56185"/>
    <w:rsid w:val="00A56332"/>
    <w:rsid w:val="00A565D6"/>
    <w:rsid w:val="00A565E0"/>
    <w:rsid w:val="00A56773"/>
    <w:rsid w:val="00A56899"/>
    <w:rsid w:val="00A569D4"/>
    <w:rsid w:val="00A56B9A"/>
    <w:rsid w:val="00A56C33"/>
    <w:rsid w:val="00A56C7C"/>
    <w:rsid w:val="00A56EB8"/>
    <w:rsid w:val="00A56FC9"/>
    <w:rsid w:val="00A57114"/>
    <w:rsid w:val="00A57279"/>
    <w:rsid w:val="00A573F8"/>
    <w:rsid w:val="00A57665"/>
    <w:rsid w:val="00A57AB3"/>
    <w:rsid w:val="00A57AE2"/>
    <w:rsid w:val="00A57AEC"/>
    <w:rsid w:val="00A57DF6"/>
    <w:rsid w:val="00A57F1A"/>
    <w:rsid w:val="00A60163"/>
    <w:rsid w:val="00A601B7"/>
    <w:rsid w:val="00A6038D"/>
    <w:rsid w:val="00A60CF0"/>
    <w:rsid w:val="00A60D9C"/>
    <w:rsid w:val="00A60E67"/>
    <w:rsid w:val="00A60F9A"/>
    <w:rsid w:val="00A613BE"/>
    <w:rsid w:val="00A61429"/>
    <w:rsid w:val="00A6146A"/>
    <w:rsid w:val="00A61514"/>
    <w:rsid w:val="00A61645"/>
    <w:rsid w:val="00A61A0E"/>
    <w:rsid w:val="00A61A77"/>
    <w:rsid w:val="00A61A78"/>
    <w:rsid w:val="00A61D5D"/>
    <w:rsid w:val="00A61E37"/>
    <w:rsid w:val="00A62080"/>
    <w:rsid w:val="00A6226D"/>
    <w:rsid w:val="00A62340"/>
    <w:rsid w:val="00A627DD"/>
    <w:rsid w:val="00A62A20"/>
    <w:rsid w:val="00A62B8D"/>
    <w:rsid w:val="00A62F61"/>
    <w:rsid w:val="00A630A2"/>
    <w:rsid w:val="00A631C5"/>
    <w:rsid w:val="00A632B8"/>
    <w:rsid w:val="00A634E2"/>
    <w:rsid w:val="00A63748"/>
    <w:rsid w:val="00A63BF3"/>
    <w:rsid w:val="00A63F9F"/>
    <w:rsid w:val="00A640E3"/>
    <w:rsid w:val="00A64583"/>
    <w:rsid w:val="00A64942"/>
    <w:rsid w:val="00A649E2"/>
    <w:rsid w:val="00A64B8B"/>
    <w:rsid w:val="00A64C88"/>
    <w:rsid w:val="00A65162"/>
    <w:rsid w:val="00A65487"/>
    <w:rsid w:val="00A65894"/>
    <w:rsid w:val="00A65911"/>
    <w:rsid w:val="00A659C0"/>
    <w:rsid w:val="00A65A57"/>
    <w:rsid w:val="00A66142"/>
    <w:rsid w:val="00A6643C"/>
    <w:rsid w:val="00A666C4"/>
    <w:rsid w:val="00A669E8"/>
    <w:rsid w:val="00A66AE1"/>
    <w:rsid w:val="00A66B9D"/>
    <w:rsid w:val="00A66C73"/>
    <w:rsid w:val="00A66DB4"/>
    <w:rsid w:val="00A66F11"/>
    <w:rsid w:val="00A67102"/>
    <w:rsid w:val="00A67544"/>
    <w:rsid w:val="00A67641"/>
    <w:rsid w:val="00A67A44"/>
    <w:rsid w:val="00A7025E"/>
    <w:rsid w:val="00A703FC"/>
    <w:rsid w:val="00A70469"/>
    <w:rsid w:val="00A7075B"/>
    <w:rsid w:val="00A70AC2"/>
    <w:rsid w:val="00A70B0D"/>
    <w:rsid w:val="00A70FA8"/>
    <w:rsid w:val="00A71CE6"/>
    <w:rsid w:val="00A71D23"/>
    <w:rsid w:val="00A71FBC"/>
    <w:rsid w:val="00A721BD"/>
    <w:rsid w:val="00A72465"/>
    <w:rsid w:val="00A72953"/>
    <w:rsid w:val="00A72956"/>
    <w:rsid w:val="00A72B89"/>
    <w:rsid w:val="00A72B9F"/>
    <w:rsid w:val="00A7333A"/>
    <w:rsid w:val="00A73457"/>
    <w:rsid w:val="00A73D0D"/>
    <w:rsid w:val="00A7443C"/>
    <w:rsid w:val="00A74A92"/>
    <w:rsid w:val="00A74FFD"/>
    <w:rsid w:val="00A75127"/>
    <w:rsid w:val="00A7541E"/>
    <w:rsid w:val="00A754CA"/>
    <w:rsid w:val="00A7569D"/>
    <w:rsid w:val="00A75BB8"/>
    <w:rsid w:val="00A75CC1"/>
    <w:rsid w:val="00A75CE7"/>
    <w:rsid w:val="00A75E88"/>
    <w:rsid w:val="00A75F07"/>
    <w:rsid w:val="00A76381"/>
    <w:rsid w:val="00A80166"/>
    <w:rsid w:val="00A8056E"/>
    <w:rsid w:val="00A80751"/>
    <w:rsid w:val="00A80FD0"/>
    <w:rsid w:val="00A81234"/>
    <w:rsid w:val="00A8164A"/>
    <w:rsid w:val="00A817E5"/>
    <w:rsid w:val="00A818EC"/>
    <w:rsid w:val="00A81D3C"/>
    <w:rsid w:val="00A81F9D"/>
    <w:rsid w:val="00A8233F"/>
    <w:rsid w:val="00A82583"/>
    <w:rsid w:val="00A82D58"/>
    <w:rsid w:val="00A82E4F"/>
    <w:rsid w:val="00A82FDE"/>
    <w:rsid w:val="00A83050"/>
    <w:rsid w:val="00A8399D"/>
    <w:rsid w:val="00A83CF6"/>
    <w:rsid w:val="00A83DF0"/>
    <w:rsid w:val="00A83E3D"/>
    <w:rsid w:val="00A84281"/>
    <w:rsid w:val="00A842BA"/>
    <w:rsid w:val="00A84318"/>
    <w:rsid w:val="00A843F2"/>
    <w:rsid w:val="00A8443A"/>
    <w:rsid w:val="00A84694"/>
    <w:rsid w:val="00A84722"/>
    <w:rsid w:val="00A8479C"/>
    <w:rsid w:val="00A84995"/>
    <w:rsid w:val="00A84CDB"/>
    <w:rsid w:val="00A85051"/>
    <w:rsid w:val="00A85564"/>
    <w:rsid w:val="00A8557B"/>
    <w:rsid w:val="00A85703"/>
    <w:rsid w:val="00A85931"/>
    <w:rsid w:val="00A85A05"/>
    <w:rsid w:val="00A85AA5"/>
    <w:rsid w:val="00A85BC2"/>
    <w:rsid w:val="00A860A4"/>
    <w:rsid w:val="00A863EE"/>
    <w:rsid w:val="00A8661A"/>
    <w:rsid w:val="00A86BBF"/>
    <w:rsid w:val="00A86D63"/>
    <w:rsid w:val="00A871BF"/>
    <w:rsid w:val="00A87797"/>
    <w:rsid w:val="00A8780B"/>
    <w:rsid w:val="00A878F8"/>
    <w:rsid w:val="00A87B42"/>
    <w:rsid w:val="00A87CD9"/>
    <w:rsid w:val="00A9010F"/>
    <w:rsid w:val="00A90CAC"/>
    <w:rsid w:val="00A90E72"/>
    <w:rsid w:val="00A91048"/>
    <w:rsid w:val="00A9195D"/>
    <w:rsid w:val="00A91B14"/>
    <w:rsid w:val="00A92157"/>
    <w:rsid w:val="00A922A2"/>
    <w:rsid w:val="00A924A7"/>
    <w:rsid w:val="00A925D3"/>
    <w:rsid w:val="00A9270A"/>
    <w:rsid w:val="00A9278E"/>
    <w:rsid w:val="00A92ECF"/>
    <w:rsid w:val="00A9306B"/>
    <w:rsid w:val="00A930EE"/>
    <w:rsid w:val="00A93114"/>
    <w:rsid w:val="00A9327B"/>
    <w:rsid w:val="00A93748"/>
    <w:rsid w:val="00A93ACA"/>
    <w:rsid w:val="00A93B2D"/>
    <w:rsid w:val="00A93B69"/>
    <w:rsid w:val="00A93FD6"/>
    <w:rsid w:val="00A941CE"/>
    <w:rsid w:val="00A942D4"/>
    <w:rsid w:val="00A94BCF"/>
    <w:rsid w:val="00A94D43"/>
    <w:rsid w:val="00A94E61"/>
    <w:rsid w:val="00A95850"/>
    <w:rsid w:val="00A9586E"/>
    <w:rsid w:val="00A95B03"/>
    <w:rsid w:val="00A95DFA"/>
    <w:rsid w:val="00A96158"/>
    <w:rsid w:val="00A963C7"/>
    <w:rsid w:val="00A96555"/>
    <w:rsid w:val="00A965B0"/>
    <w:rsid w:val="00A965E7"/>
    <w:rsid w:val="00A96B33"/>
    <w:rsid w:val="00A96E83"/>
    <w:rsid w:val="00A97094"/>
    <w:rsid w:val="00A971BF"/>
    <w:rsid w:val="00A97573"/>
    <w:rsid w:val="00A975AD"/>
    <w:rsid w:val="00A97A3B"/>
    <w:rsid w:val="00A97F2D"/>
    <w:rsid w:val="00AA012F"/>
    <w:rsid w:val="00AA0173"/>
    <w:rsid w:val="00AA0345"/>
    <w:rsid w:val="00AA0A92"/>
    <w:rsid w:val="00AA137C"/>
    <w:rsid w:val="00AA1626"/>
    <w:rsid w:val="00AA1C25"/>
    <w:rsid w:val="00AA1C98"/>
    <w:rsid w:val="00AA1F3B"/>
    <w:rsid w:val="00AA2442"/>
    <w:rsid w:val="00AA32D0"/>
    <w:rsid w:val="00AA3488"/>
    <w:rsid w:val="00AA3A0F"/>
    <w:rsid w:val="00AA3AB0"/>
    <w:rsid w:val="00AA3AFB"/>
    <w:rsid w:val="00AA3DB7"/>
    <w:rsid w:val="00AA4601"/>
    <w:rsid w:val="00AA46AB"/>
    <w:rsid w:val="00AA4808"/>
    <w:rsid w:val="00AA495A"/>
    <w:rsid w:val="00AA4C97"/>
    <w:rsid w:val="00AA4F92"/>
    <w:rsid w:val="00AA51F5"/>
    <w:rsid w:val="00AA54EF"/>
    <w:rsid w:val="00AA5936"/>
    <w:rsid w:val="00AA59FE"/>
    <w:rsid w:val="00AA5A56"/>
    <w:rsid w:val="00AA5BF8"/>
    <w:rsid w:val="00AA5E3B"/>
    <w:rsid w:val="00AA6011"/>
    <w:rsid w:val="00AA68B4"/>
    <w:rsid w:val="00AA69DC"/>
    <w:rsid w:val="00AA6B4F"/>
    <w:rsid w:val="00AA6F4B"/>
    <w:rsid w:val="00AA7107"/>
    <w:rsid w:val="00AA7661"/>
    <w:rsid w:val="00AA7CCA"/>
    <w:rsid w:val="00AA7CD0"/>
    <w:rsid w:val="00AB0543"/>
    <w:rsid w:val="00AB07F3"/>
    <w:rsid w:val="00AB0AC9"/>
    <w:rsid w:val="00AB0FD3"/>
    <w:rsid w:val="00AB1488"/>
    <w:rsid w:val="00AB14D8"/>
    <w:rsid w:val="00AB185A"/>
    <w:rsid w:val="00AB18AC"/>
    <w:rsid w:val="00AB1BA7"/>
    <w:rsid w:val="00AB1E04"/>
    <w:rsid w:val="00AB26BA"/>
    <w:rsid w:val="00AB28FF"/>
    <w:rsid w:val="00AB294B"/>
    <w:rsid w:val="00AB2A74"/>
    <w:rsid w:val="00AB2F73"/>
    <w:rsid w:val="00AB3113"/>
    <w:rsid w:val="00AB3348"/>
    <w:rsid w:val="00AB3472"/>
    <w:rsid w:val="00AB348A"/>
    <w:rsid w:val="00AB3627"/>
    <w:rsid w:val="00AB38FB"/>
    <w:rsid w:val="00AB3EDF"/>
    <w:rsid w:val="00AB3F38"/>
    <w:rsid w:val="00AB43EC"/>
    <w:rsid w:val="00AB4646"/>
    <w:rsid w:val="00AB4793"/>
    <w:rsid w:val="00AB4B38"/>
    <w:rsid w:val="00AB4BF4"/>
    <w:rsid w:val="00AB4E0A"/>
    <w:rsid w:val="00AB57F3"/>
    <w:rsid w:val="00AB5ADF"/>
    <w:rsid w:val="00AB5E57"/>
    <w:rsid w:val="00AB632D"/>
    <w:rsid w:val="00AB6425"/>
    <w:rsid w:val="00AB66C6"/>
    <w:rsid w:val="00AB67B4"/>
    <w:rsid w:val="00AB692A"/>
    <w:rsid w:val="00AB6FF9"/>
    <w:rsid w:val="00AB7053"/>
    <w:rsid w:val="00AB725F"/>
    <w:rsid w:val="00AB7C69"/>
    <w:rsid w:val="00AC01C9"/>
    <w:rsid w:val="00AC03D9"/>
    <w:rsid w:val="00AC0481"/>
    <w:rsid w:val="00AC05E5"/>
    <w:rsid w:val="00AC0705"/>
    <w:rsid w:val="00AC0864"/>
    <w:rsid w:val="00AC0C36"/>
    <w:rsid w:val="00AC0F72"/>
    <w:rsid w:val="00AC109B"/>
    <w:rsid w:val="00AC1472"/>
    <w:rsid w:val="00AC1533"/>
    <w:rsid w:val="00AC15DA"/>
    <w:rsid w:val="00AC1911"/>
    <w:rsid w:val="00AC1B3C"/>
    <w:rsid w:val="00AC1EAB"/>
    <w:rsid w:val="00AC2510"/>
    <w:rsid w:val="00AC261E"/>
    <w:rsid w:val="00AC27EA"/>
    <w:rsid w:val="00AC289A"/>
    <w:rsid w:val="00AC2ADE"/>
    <w:rsid w:val="00AC2C0D"/>
    <w:rsid w:val="00AC2CF2"/>
    <w:rsid w:val="00AC2F83"/>
    <w:rsid w:val="00AC3305"/>
    <w:rsid w:val="00AC3DFC"/>
    <w:rsid w:val="00AC43C6"/>
    <w:rsid w:val="00AC43D5"/>
    <w:rsid w:val="00AC45AE"/>
    <w:rsid w:val="00AC47E2"/>
    <w:rsid w:val="00AC49A7"/>
    <w:rsid w:val="00AC4C93"/>
    <w:rsid w:val="00AC4EB3"/>
    <w:rsid w:val="00AC4FBF"/>
    <w:rsid w:val="00AC509D"/>
    <w:rsid w:val="00AC5F33"/>
    <w:rsid w:val="00AC6496"/>
    <w:rsid w:val="00AC6519"/>
    <w:rsid w:val="00AC6CCE"/>
    <w:rsid w:val="00AC71A6"/>
    <w:rsid w:val="00AC74B0"/>
    <w:rsid w:val="00AC74DA"/>
    <w:rsid w:val="00AC7A2B"/>
    <w:rsid w:val="00AC7C25"/>
    <w:rsid w:val="00AD01DD"/>
    <w:rsid w:val="00AD0A51"/>
    <w:rsid w:val="00AD0AB8"/>
    <w:rsid w:val="00AD0B37"/>
    <w:rsid w:val="00AD0DB2"/>
    <w:rsid w:val="00AD1029"/>
    <w:rsid w:val="00AD11F7"/>
    <w:rsid w:val="00AD18DE"/>
    <w:rsid w:val="00AD1DB5"/>
    <w:rsid w:val="00AD1DB7"/>
    <w:rsid w:val="00AD1F26"/>
    <w:rsid w:val="00AD20B1"/>
    <w:rsid w:val="00AD23A6"/>
    <w:rsid w:val="00AD242B"/>
    <w:rsid w:val="00AD266D"/>
    <w:rsid w:val="00AD2852"/>
    <w:rsid w:val="00AD3976"/>
    <w:rsid w:val="00AD40D3"/>
    <w:rsid w:val="00AD455C"/>
    <w:rsid w:val="00AD4B6D"/>
    <w:rsid w:val="00AD4BFF"/>
    <w:rsid w:val="00AD4D2A"/>
    <w:rsid w:val="00AD4FCB"/>
    <w:rsid w:val="00AD50E1"/>
    <w:rsid w:val="00AD5147"/>
    <w:rsid w:val="00AD5176"/>
    <w:rsid w:val="00AD542F"/>
    <w:rsid w:val="00AD5C3E"/>
    <w:rsid w:val="00AD6007"/>
    <w:rsid w:val="00AD60AF"/>
    <w:rsid w:val="00AD6A7C"/>
    <w:rsid w:val="00AD6CAB"/>
    <w:rsid w:val="00AD7305"/>
    <w:rsid w:val="00AD7795"/>
    <w:rsid w:val="00AD7E64"/>
    <w:rsid w:val="00AD7F38"/>
    <w:rsid w:val="00AE0633"/>
    <w:rsid w:val="00AE07BE"/>
    <w:rsid w:val="00AE0A18"/>
    <w:rsid w:val="00AE0C56"/>
    <w:rsid w:val="00AE125E"/>
    <w:rsid w:val="00AE149E"/>
    <w:rsid w:val="00AE14C9"/>
    <w:rsid w:val="00AE1640"/>
    <w:rsid w:val="00AE168B"/>
    <w:rsid w:val="00AE16E4"/>
    <w:rsid w:val="00AE17B1"/>
    <w:rsid w:val="00AE1878"/>
    <w:rsid w:val="00AE197B"/>
    <w:rsid w:val="00AE1C2B"/>
    <w:rsid w:val="00AE1C41"/>
    <w:rsid w:val="00AE22F2"/>
    <w:rsid w:val="00AE271A"/>
    <w:rsid w:val="00AE29FC"/>
    <w:rsid w:val="00AE2F3F"/>
    <w:rsid w:val="00AE3331"/>
    <w:rsid w:val="00AE334D"/>
    <w:rsid w:val="00AE3518"/>
    <w:rsid w:val="00AE3771"/>
    <w:rsid w:val="00AE3A0D"/>
    <w:rsid w:val="00AE3A94"/>
    <w:rsid w:val="00AE3B4E"/>
    <w:rsid w:val="00AE3B65"/>
    <w:rsid w:val="00AE4218"/>
    <w:rsid w:val="00AE43F7"/>
    <w:rsid w:val="00AE443D"/>
    <w:rsid w:val="00AE4A37"/>
    <w:rsid w:val="00AE4AC0"/>
    <w:rsid w:val="00AE536F"/>
    <w:rsid w:val="00AE53BC"/>
    <w:rsid w:val="00AE5963"/>
    <w:rsid w:val="00AE59EC"/>
    <w:rsid w:val="00AE5A88"/>
    <w:rsid w:val="00AE5EC6"/>
    <w:rsid w:val="00AE67B3"/>
    <w:rsid w:val="00AE6868"/>
    <w:rsid w:val="00AE6E1E"/>
    <w:rsid w:val="00AE706A"/>
    <w:rsid w:val="00AE7153"/>
    <w:rsid w:val="00AE7864"/>
    <w:rsid w:val="00AE7949"/>
    <w:rsid w:val="00AE7F32"/>
    <w:rsid w:val="00AE7F3C"/>
    <w:rsid w:val="00AE7F88"/>
    <w:rsid w:val="00AF0535"/>
    <w:rsid w:val="00AF0A0D"/>
    <w:rsid w:val="00AF0BA7"/>
    <w:rsid w:val="00AF1132"/>
    <w:rsid w:val="00AF11A4"/>
    <w:rsid w:val="00AF15D2"/>
    <w:rsid w:val="00AF1755"/>
    <w:rsid w:val="00AF1E9C"/>
    <w:rsid w:val="00AF212C"/>
    <w:rsid w:val="00AF23AC"/>
    <w:rsid w:val="00AF25D5"/>
    <w:rsid w:val="00AF2915"/>
    <w:rsid w:val="00AF2A41"/>
    <w:rsid w:val="00AF2E0F"/>
    <w:rsid w:val="00AF301D"/>
    <w:rsid w:val="00AF3199"/>
    <w:rsid w:val="00AF3579"/>
    <w:rsid w:val="00AF3669"/>
    <w:rsid w:val="00AF3764"/>
    <w:rsid w:val="00AF3A22"/>
    <w:rsid w:val="00AF3DBB"/>
    <w:rsid w:val="00AF42A3"/>
    <w:rsid w:val="00AF4EA8"/>
    <w:rsid w:val="00AF5194"/>
    <w:rsid w:val="00AF521A"/>
    <w:rsid w:val="00AF53EF"/>
    <w:rsid w:val="00AF5656"/>
    <w:rsid w:val="00AF591A"/>
    <w:rsid w:val="00AF593B"/>
    <w:rsid w:val="00AF5A1E"/>
    <w:rsid w:val="00AF5E4B"/>
    <w:rsid w:val="00AF638B"/>
    <w:rsid w:val="00AF6427"/>
    <w:rsid w:val="00AF674E"/>
    <w:rsid w:val="00AF694C"/>
    <w:rsid w:val="00AF6DFF"/>
    <w:rsid w:val="00AF6E15"/>
    <w:rsid w:val="00AF70A4"/>
    <w:rsid w:val="00AF7240"/>
    <w:rsid w:val="00AF7282"/>
    <w:rsid w:val="00AF739F"/>
    <w:rsid w:val="00AF73C3"/>
    <w:rsid w:val="00AF73CE"/>
    <w:rsid w:val="00AF73F5"/>
    <w:rsid w:val="00AF7662"/>
    <w:rsid w:val="00AF780E"/>
    <w:rsid w:val="00AF795C"/>
    <w:rsid w:val="00AF7AF4"/>
    <w:rsid w:val="00AF7CD7"/>
    <w:rsid w:val="00B00115"/>
    <w:rsid w:val="00B00752"/>
    <w:rsid w:val="00B0096C"/>
    <w:rsid w:val="00B00AC9"/>
    <w:rsid w:val="00B01218"/>
    <w:rsid w:val="00B01433"/>
    <w:rsid w:val="00B01D8F"/>
    <w:rsid w:val="00B026C1"/>
    <w:rsid w:val="00B02833"/>
    <w:rsid w:val="00B02B9C"/>
    <w:rsid w:val="00B034BE"/>
    <w:rsid w:val="00B0353B"/>
    <w:rsid w:val="00B0358F"/>
    <w:rsid w:val="00B03B57"/>
    <w:rsid w:val="00B03B7C"/>
    <w:rsid w:val="00B03F37"/>
    <w:rsid w:val="00B040B2"/>
    <w:rsid w:val="00B04469"/>
    <w:rsid w:val="00B04470"/>
    <w:rsid w:val="00B04E55"/>
    <w:rsid w:val="00B04EF2"/>
    <w:rsid w:val="00B051D5"/>
    <w:rsid w:val="00B05291"/>
    <w:rsid w:val="00B05574"/>
    <w:rsid w:val="00B05ABE"/>
    <w:rsid w:val="00B05C15"/>
    <w:rsid w:val="00B05E39"/>
    <w:rsid w:val="00B05EB3"/>
    <w:rsid w:val="00B06096"/>
    <w:rsid w:val="00B06105"/>
    <w:rsid w:val="00B06260"/>
    <w:rsid w:val="00B06C88"/>
    <w:rsid w:val="00B06CFE"/>
    <w:rsid w:val="00B06EEB"/>
    <w:rsid w:val="00B070CB"/>
    <w:rsid w:val="00B0771E"/>
    <w:rsid w:val="00B0791B"/>
    <w:rsid w:val="00B07990"/>
    <w:rsid w:val="00B10558"/>
    <w:rsid w:val="00B10A8E"/>
    <w:rsid w:val="00B10B36"/>
    <w:rsid w:val="00B10E55"/>
    <w:rsid w:val="00B113DD"/>
    <w:rsid w:val="00B115B7"/>
    <w:rsid w:val="00B11DF8"/>
    <w:rsid w:val="00B125DC"/>
    <w:rsid w:val="00B126D0"/>
    <w:rsid w:val="00B12761"/>
    <w:rsid w:val="00B13771"/>
    <w:rsid w:val="00B13800"/>
    <w:rsid w:val="00B13868"/>
    <w:rsid w:val="00B13EAB"/>
    <w:rsid w:val="00B140EA"/>
    <w:rsid w:val="00B14195"/>
    <w:rsid w:val="00B14787"/>
    <w:rsid w:val="00B14A36"/>
    <w:rsid w:val="00B152CB"/>
    <w:rsid w:val="00B15630"/>
    <w:rsid w:val="00B156A9"/>
    <w:rsid w:val="00B15C93"/>
    <w:rsid w:val="00B15F0D"/>
    <w:rsid w:val="00B15F83"/>
    <w:rsid w:val="00B160FF"/>
    <w:rsid w:val="00B161D0"/>
    <w:rsid w:val="00B16322"/>
    <w:rsid w:val="00B164C9"/>
    <w:rsid w:val="00B1662E"/>
    <w:rsid w:val="00B16750"/>
    <w:rsid w:val="00B168EE"/>
    <w:rsid w:val="00B176E7"/>
    <w:rsid w:val="00B179C0"/>
    <w:rsid w:val="00B17A1A"/>
    <w:rsid w:val="00B17AD8"/>
    <w:rsid w:val="00B209A1"/>
    <w:rsid w:val="00B20CD2"/>
    <w:rsid w:val="00B20F25"/>
    <w:rsid w:val="00B21B6A"/>
    <w:rsid w:val="00B22633"/>
    <w:rsid w:val="00B228D8"/>
    <w:rsid w:val="00B22923"/>
    <w:rsid w:val="00B22B6D"/>
    <w:rsid w:val="00B22C0D"/>
    <w:rsid w:val="00B23338"/>
    <w:rsid w:val="00B23361"/>
    <w:rsid w:val="00B238E3"/>
    <w:rsid w:val="00B238F3"/>
    <w:rsid w:val="00B23AF4"/>
    <w:rsid w:val="00B23C15"/>
    <w:rsid w:val="00B2452A"/>
    <w:rsid w:val="00B24CC9"/>
    <w:rsid w:val="00B253C4"/>
    <w:rsid w:val="00B2575D"/>
    <w:rsid w:val="00B25762"/>
    <w:rsid w:val="00B25969"/>
    <w:rsid w:val="00B25B40"/>
    <w:rsid w:val="00B25DFF"/>
    <w:rsid w:val="00B25F57"/>
    <w:rsid w:val="00B25FDE"/>
    <w:rsid w:val="00B26576"/>
    <w:rsid w:val="00B2678A"/>
    <w:rsid w:val="00B267FE"/>
    <w:rsid w:val="00B268C2"/>
    <w:rsid w:val="00B26AB0"/>
    <w:rsid w:val="00B26AD2"/>
    <w:rsid w:val="00B26C11"/>
    <w:rsid w:val="00B26CA2"/>
    <w:rsid w:val="00B26FED"/>
    <w:rsid w:val="00B27166"/>
    <w:rsid w:val="00B2721E"/>
    <w:rsid w:val="00B275AC"/>
    <w:rsid w:val="00B277D7"/>
    <w:rsid w:val="00B30393"/>
    <w:rsid w:val="00B30560"/>
    <w:rsid w:val="00B30B4E"/>
    <w:rsid w:val="00B30CA8"/>
    <w:rsid w:val="00B31246"/>
    <w:rsid w:val="00B31A9B"/>
    <w:rsid w:val="00B31FCA"/>
    <w:rsid w:val="00B32202"/>
    <w:rsid w:val="00B326FF"/>
    <w:rsid w:val="00B32C87"/>
    <w:rsid w:val="00B3362F"/>
    <w:rsid w:val="00B33851"/>
    <w:rsid w:val="00B338DC"/>
    <w:rsid w:val="00B33D38"/>
    <w:rsid w:val="00B33E7E"/>
    <w:rsid w:val="00B340AA"/>
    <w:rsid w:val="00B34A9F"/>
    <w:rsid w:val="00B34ACA"/>
    <w:rsid w:val="00B34B80"/>
    <w:rsid w:val="00B34D5D"/>
    <w:rsid w:val="00B353B6"/>
    <w:rsid w:val="00B355BC"/>
    <w:rsid w:val="00B355E9"/>
    <w:rsid w:val="00B3572C"/>
    <w:rsid w:val="00B358A7"/>
    <w:rsid w:val="00B35CDA"/>
    <w:rsid w:val="00B36273"/>
    <w:rsid w:val="00B3661B"/>
    <w:rsid w:val="00B36654"/>
    <w:rsid w:val="00B3676C"/>
    <w:rsid w:val="00B367C5"/>
    <w:rsid w:val="00B36C28"/>
    <w:rsid w:val="00B36F97"/>
    <w:rsid w:val="00B37D97"/>
    <w:rsid w:val="00B37F15"/>
    <w:rsid w:val="00B37F2E"/>
    <w:rsid w:val="00B40150"/>
    <w:rsid w:val="00B411BD"/>
    <w:rsid w:val="00B4135E"/>
    <w:rsid w:val="00B41371"/>
    <w:rsid w:val="00B41559"/>
    <w:rsid w:val="00B418E8"/>
    <w:rsid w:val="00B41BAA"/>
    <w:rsid w:val="00B42285"/>
    <w:rsid w:val="00B4252A"/>
    <w:rsid w:val="00B4274B"/>
    <w:rsid w:val="00B42DA8"/>
    <w:rsid w:val="00B42E08"/>
    <w:rsid w:val="00B42E88"/>
    <w:rsid w:val="00B4302B"/>
    <w:rsid w:val="00B433AB"/>
    <w:rsid w:val="00B435B1"/>
    <w:rsid w:val="00B4367F"/>
    <w:rsid w:val="00B4389E"/>
    <w:rsid w:val="00B438BA"/>
    <w:rsid w:val="00B43E12"/>
    <w:rsid w:val="00B449E3"/>
    <w:rsid w:val="00B44CE1"/>
    <w:rsid w:val="00B44F99"/>
    <w:rsid w:val="00B45483"/>
    <w:rsid w:val="00B454DF"/>
    <w:rsid w:val="00B45701"/>
    <w:rsid w:val="00B4580E"/>
    <w:rsid w:val="00B45876"/>
    <w:rsid w:val="00B45927"/>
    <w:rsid w:val="00B45E9A"/>
    <w:rsid w:val="00B462A3"/>
    <w:rsid w:val="00B46682"/>
    <w:rsid w:val="00B468B6"/>
    <w:rsid w:val="00B46D80"/>
    <w:rsid w:val="00B46D99"/>
    <w:rsid w:val="00B46EB3"/>
    <w:rsid w:val="00B4701B"/>
    <w:rsid w:val="00B470F7"/>
    <w:rsid w:val="00B47136"/>
    <w:rsid w:val="00B476D1"/>
    <w:rsid w:val="00B476DD"/>
    <w:rsid w:val="00B4783B"/>
    <w:rsid w:val="00B47EB1"/>
    <w:rsid w:val="00B47F50"/>
    <w:rsid w:val="00B47F64"/>
    <w:rsid w:val="00B50072"/>
    <w:rsid w:val="00B50399"/>
    <w:rsid w:val="00B50585"/>
    <w:rsid w:val="00B50610"/>
    <w:rsid w:val="00B506C0"/>
    <w:rsid w:val="00B506E9"/>
    <w:rsid w:val="00B5074C"/>
    <w:rsid w:val="00B5093A"/>
    <w:rsid w:val="00B50BD8"/>
    <w:rsid w:val="00B51542"/>
    <w:rsid w:val="00B51757"/>
    <w:rsid w:val="00B51C2F"/>
    <w:rsid w:val="00B51D1D"/>
    <w:rsid w:val="00B51DC1"/>
    <w:rsid w:val="00B522B3"/>
    <w:rsid w:val="00B52323"/>
    <w:rsid w:val="00B5234B"/>
    <w:rsid w:val="00B52567"/>
    <w:rsid w:val="00B52CF8"/>
    <w:rsid w:val="00B5310E"/>
    <w:rsid w:val="00B53685"/>
    <w:rsid w:val="00B5372D"/>
    <w:rsid w:val="00B53A54"/>
    <w:rsid w:val="00B53BFD"/>
    <w:rsid w:val="00B53C1B"/>
    <w:rsid w:val="00B53C93"/>
    <w:rsid w:val="00B54179"/>
    <w:rsid w:val="00B549A4"/>
    <w:rsid w:val="00B54AB7"/>
    <w:rsid w:val="00B54ACC"/>
    <w:rsid w:val="00B54DCB"/>
    <w:rsid w:val="00B5509E"/>
    <w:rsid w:val="00B55935"/>
    <w:rsid w:val="00B55AC2"/>
    <w:rsid w:val="00B55CE8"/>
    <w:rsid w:val="00B55F34"/>
    <w:rsid w:val="00B560C9"/>
    <w:rsid w:val="00B562ED"/>
    <w:rsid w:val="00B56533"/>
    <w:rsid w:val="00B56586"/>
    <w:rsid w:val="00B5681C"/>
    <w:rsid w:val="00B56CFC"/>
    <w:rsid w:val="00B56F67"/>
    <w:rsid w:val="00B57589"/>
    <w:rsid w:val="00B57777"/>
    <w:rsid w:val="00B57A17"/>
    <w:rsid w:val="00B57B2A"/>
    <w:rsid w:val="00B60570"/>
    <w:rsid w:val="00B60C57"/>
    <w:rsid w:val="00B612A8"/>
    <w:rsid w:val="00B6140E"/>
    <w:rsid w:val="00B614D0"/>
    <w:rsid w:val="00B61BE2"/>
    <w:rsid w:val="00B61CD8"/>
    <w:rsid w:val="00B61D66"/>
    <w:rsid w:val="00B62084"/>
    <w:rsid w:val="00B6213D"/>
    <w:rsid w:val="00B621BD"/>
    <w:rsid w:val="00B6266F"/>
    <w:rsid w:val="00B6279B"/>
    <w:rsid w:val="00B6285D"/>
    <w:rsid w:val="00B62E0B"/>
    <w:rsid w:val="00B62E8B"/>
    <w:rsid w:val="00B634ED"/>
    <w:rsid w:val="00B63759"/>
    <w:rsid w:val="00B639D5"/>
    <w:rsid w:val="00B63AA1"/>
    <w:rsid w:val="00B63C32"/>
    <w:rsid w:val="00B641ED"/>
    <w:rsid w:val="00B6431C"/>
    <w:rsid w:val="00B64434"/>
    <w:rsid w:val="00B64D1C"/>
    <w:rsid w:val="00B64D48"/>
    <w:rsid w:val="00B659FF"/>
    <w:rsid w:val="00B65AE0"/>
    <w:rsid w:val="00B66039"/>
    <w:rsid w:val="00B663BD"/>
    <w:rsid w:val="00B6653F"/>
    <w:rsid w:val="00B6676E"/>
    <w:rsid w:val="00B66863"/>
    <w:rsid w:val="00B67B09"/>
    <w:rsid w:val="00B67C87"/>
    <w:rsid w:val="00B67EC3"/>
    <w:rsid w:val="00B7028D"/>
    <w:rsid w:val="00B70717"/>
    <w:rsid w:val="00B708B5"/>
    <w:rsid w:val="00B708E1"/>
    <w:rsid w:val="00B70A0C"/>
    <w:rsid w:val="00B70D1B"/>
    <w:rsid w:val="00B70D96"/>
    <w:rsid w:val="00B711CE"/>
    <w:rsid w:val="00B712F6"/>
    <w:rsid w:val="00B719EB"/>
    <w:rsid w:val="00B71DC8"/>
    <w:rsid w:val="00B71EBA"/>
    <w:rsid w:val="00B72772"/>
    <w:rsid w:val="00B72985"/>
    <w:rsid w:val="00B73648"/>
    <w:rsid w:val="00B73E0F"/>
    <w:rsid w:val="00B746C6"/>
    <w:rsid w:val="00B74F46"/>
    <w:rsid w:val="00B759E8"/>
    <w:rsid w:val="00B75CEB"/>
    <w:rsid w:val="00B75F8E"/>
    <w:rsid w:val="00B7604C"/>
    <w:rsid w:val="00B7622C"/>
    <w:rsid w:val="00B76463"/>
    <w:rsid w:val="00B7652C"/>
    <w:rsid w:val="00B766BF"/>
    <w:rsid w:val="00B76936"/>
    <w:rsid w:val="00B76B59"/>
    <w:rsid w:val="00B76BAC"/>
    <w:rsid w:val="00B76D59"/>
    <w:rsid w:val="00B76D63"/>
    <w:rsid w:val="00B76FA6"/>
    <w:rsid w:val="00B7783A"/>
    <w:rsid w:val="00B77896"/>
    <w:rsid w:val="00B779E3"/>
    <w:rsid w:val="00B77A3B"/>
    <w:rsid w:val="00B80026"/>
    <w:rsid w:val="00B80093"/>
    <w:rsid w:val="00B803A0"/>
    <w:rsid w:val="00B80910"/>
    <w:rsid w:val="00B80B9E"/>
    <w:rsid w:val="00B80F0B"/>
    <w:rsid w:val="00B8125B"/>
    <w:rsid w:val="00B812F4"/>
    <w:rsid w:val="00B81502"/>
    <w:rsid w:val="00B817F6"/>
    <w:rsid w:val="00B81833"/>
    <w:rsid w:val="00B818F4"/>
    <w:rsid w:val="00B81A00"/>
    <w:rsid w:val="00B81BC9"/>
    <w:rsid w:val="00B8222F"/>
    <w:rsid w:val="00B825FA"/>
    <w:rsid w:val="00B82615"/>
    <w:rsid w:val="00B82635"/>
    <w:rsid w:val="00B8280F"/>
    <w:rsid w:val="00B828A1"/>
    <w:rsid w:val="00B828FC"/>
    <w:rsid w:val="00B83444"/>
    <w:rsid w:val="00B836ED"/>
    <w:rsid w:val="00B838EC"/>
    <w:rsid w:val="00B8399A"/>
    <w:rsid w:val="00B83AEB"/>
    <w:rsid w:val="00B83D1C"/>
    <w:rsid w:val="00B84042"/>
    <w:rsid w:val="00B84CFD"/>
    <w:rsid w:val="00B850DD"/>
    <w:rsid w:val="00B853BE"/>
    <w:rsid w:val="00B85716"/>
    <w:rsid w:val="00B85859"/>
    <w:rsid w:val="00B85DDE"/>
    <w:rsid w:val="00B85EA7"/>
    <w:rsid w:val="00B8616D"/>
    <w:rsid w:val="00B86476"/>
    <w:rsid w:val="00B8683D"/>
    <w:rsid w:val="00B86955"/>
    <w:rsid w:val="00B86A3D"/>
    <w:rsid w:val="00B87398"/>
    <w:rsid w:val="00B875C7"/>
    <w:rsid w:val="00B876D4"/>
    <w:rsid w:val="00B879F6"/>
    <w:rsid w:val="00B87B54"/>
    <w:rsid w:val="00B87F00"/>
    <w:rsid w:val="00B90162"/>
    <w:rsid w:val="00B90305"/>
    <w:rsid w:val="00B90D10"/>
    <w:rsid w:val="00B90DB6"/>
    <w:rsid w:val="00B90FBF"/>
    <w:rsid w:val="00B90FE5"/>
    <w:rsid w:val="00B91326"/>
    <w:rsid w:val="00B91884"/>
    <w:rsid w:val="00B919AD"/>
    <w:rsid w:val="00B91A2B"/>
    <w:rsid w:val="00B91B14"/>
    <w:rsid w:val="00B927D3"/>
    <w:rsid w:val="00B927FC"/>
    <w:rsid w:val="00B92BC8"/>
    <w:rsid w:val="00B93204"/>
    <w:rsid w:val="00B93301"/>
    <w:rsid w:val="00B938F1"/>
    <w:rsid w:val="00B93A1C"/>
    <w:rsid w:val="00B94751"/>
    <w:rsid w:val="00B94A65"/>
    <w:rsid w:val="00B94AFF"/>
    <w:rsid w:val="00B94CEF"/>
    <w:rsid w:val="00B94E17"/>
    <w:rsid w:val="00B94F06"/>
    <w:rsid w:val="00B95004"/>
    <w:rsid w:val="00B952F5"/>
    <w:rsid w:val="00B957FE"/>
    <w:rsid w:val="00B95AFB"/>
    <w:rsid w:val="00B95DB1"/>
    <w:rsid w:val="00B95EEB"/>
    <w:rsid w:val="00B95F02"/>
    <w:rsid w:val="00B96195"/>
    <w:rsid w:val="00B963E5"/>
    <w:rsid w:val="00B965AE"/>
    <w:rsid w:val="00B96BEF"/>
    <w:rsid w:val="00B96FC0"/>
    <w:rsid w:val="00B97260"/>
    <w:rsid w:val="00B97A69"/>
    <w:rsid w:val="00B97DBD"/>
    <w:rsid w:val="00BA05CB"/>
    <w:rsid w:val="00BA0632"/>
    <w:rsid w:val="00BA09D9"/>
    <w:rsid w:val="00BA0AAA"/>
    <w:rsid w:val="00BA0DFB"/>
    <w:rsid w:val="00BA0E1B"/>
    <w:rsid w:val="00BA0F6E"/>
    <w:rsid w:val="00BA10D4"/>
    <w:rsid w:val="00BA111C"/>
    <w:rsid w:val="00BA126E"/>
    <w:rsid w:val="00BA16D1"/>
    <w:rsid w:val="00BA18C4"/>
    <w:rsid w:val="00BA1B63"/>
    <w:rsid w:val="00BA1EB0"/>
    <w:rsid w:val="00BA1FED"/>
    <w:rsid w:val="00BA2024"/>
    <w:rsid w:val="00BA284E"/>
    <w:rsid w:val="00BA2AF9"/>
    <w:rsid w:val="00BA2DEB"/>
    <w:rsid w:val="00BA2FEF"/>
    <w:rsid w:val="00BA32E7"/>
    <w:rsid w:val="00BA3348"/>
    <w:rsid w:val="00BA34DF"/>
    <w:rsid w:val="00BA39D0"/>
    <w:rsid w:val="00BA45C1"/>
    <w:rsid w:val="00BA47F1"/>
    <w:rsid w:val="00BA4923"/>
    <w:rsid w:val="00BA5307"/>
    <w:rsid w:val="00BA5695"/>
    <w:rsid w:val="00BA5767"/>
    <w:rsid w:val="00BA57A9"/>
    <w:rsid w:val="00BA581B"/>
    <w:rsid w:val="00BA6010"/>
    <w:rsid w:val="00BA60C0"/>
    <w:rsid w:val="00BA6311"/>
    <w:rsid w:val="00BA639D"/>
    <w:rsid w:val="00BA63C1"/>
    <w:rsid w:val="00BA641B"/>
    <w:rsid w:val="00BA66AB"/>
    <w:rsid w:val="00BA6A16"/>
    <w:rsid w:val="00BA6AF8"/>
    <w:rsid w:val="00BA6E2B"/>
    <w:rsid w:val="00BA6F88"/>
    <w:rsid w:val="00BA79BF"/>
    <w:rsid w:val="00BA7D29"/>
    <w:rsid w:val="00BA7E95"/>
    <w:rsid w:val="00BA7F0F"/>
    <w:rsid w:val="00BB0727"/>
    <w:rsid w:val="00BB0FD4"/>
    <w:rsid w:val="00BB13AF"/>
    <w:rsid w:val="00BB143D"/>
    <w:rsid w:val="00BB152E"/>
    <w:rsid w:val="00BB1548"/>
    <w:rsid w:val="00BB1884"/>
    <w:rsid w:val="00BB1979"/>
    <w:rsid w:val="00BB1A8A"/>
    <w:rsid w:val="00BB1B64"/>
    <w:rsid w:val="00BB1CE7"/>
    <w:rsid w:val="00BB23C7"/>
    <w:rsid w:val="00BB23DE"/>
    <w:rsid w:val="00BB2774"/>
    <w:rsid w:val="00BB2E29"/>
    <w:rsid w:val="00BB2EFB"/>
    <w:rsid w:val="00BB2FD3"/>
    <w:rsid w:val="00BB2FDF"/>
    <w:rsid w:val="00BB2FFF"/>
    <w:rsid w:val="00BB3B68"/>
    <w:rsid w:val="00BB3B93"/>
    <w:rsid w:val="00BB3DBF"/>
    <w:rsid w:val="00BB3F66"/>
    <w:rsid w:val="00BB42E7"/>
    <w:rsid w:val="00BB48D6"/>
    <w:rsid w:val="00BB48FE"/>
    <w:rsid w:val="00BB4B31"/>
    <w:rsid w:val="00BB4B60"/>
    <w:rsid w:val="00BB4BC0"/>
    <w:rsid w:val="00BB4C26"/>
    <w:rsid w:val="00BB50D6"/>
    <w:rsid w:val="00BB5214"/>
    <w:rsid w:val="00BB53CC"/>
    <w:rsid w:val="00BB559A"/>
    <w:rsid w:val="00BB5760"/>
    <w:rsid w:val="00BB5FCB"/>
    <w:rsid w:val="00BB5FD0"/>
    <w:rsid w:val="00BB604B"/>
    <w:rsid w:val="00BB6DC8"/>
    <w:rsid w:val="00BB6DFD"/>
    <w:rsid w:val="00BB6E0D"/>
    <w:rsid w:val="00BB7C69"/>
    <w:rsid w:val="00BB7CF3"/>
    <w:rsid w:val="00BC00EC"/>
    <w:rsid w:val="00BC01B9"/>
    <w:rsid w:val="00BC08C5"/>
    <w:rsid w:val="00BC0D78"/>
    <w:rsid w:val="00BC0D8C"/>
    <w:rsid w:val="00BC12FB"/>
    <w:rsid w:val="00BC1362"/>
    <w:rsid w:val="00BC1C3C"/>
    <w:rsid w:val="00BC1EE7"/>
    <w:rsid w:val="00BC20B9"/>
    <w:rsid w:val="00BC248F"/>
    <w:rsid w:val="00BC264D"/>
    <w:rsid w:val="00BC2725"/>
    <w:rsid w:val="00BC28D9"/>
    <w:rsid w:val="00BC2930"/>
    <w:rsid w:val="00BC2EC0"/>
    <w:rsid w:val="00BC307F"/>
    <w:rsid w:val="00BC3159"/>
    <w:rsid w:val="00BC3257"/>
    <w:rsid w:val="00BC34BB"/>
    <w:rsid w:val="00BC35AA"/>
    <w:rsid w:val="00BC39DB"/>
    <w:rsid w:val="00BC3A32"/>
    <w:rsid w:val="00BC3CB0"/>
    <w:rsid w:val="00BC3D75"/>
    <w:rsid w:val="00BC3F51"/>
    <w:rsid w:val="00BC43C5"/>
    <w:rsid w:val="00BC45A8"/>
    <w:rsid w:val="00BC46EF"/>
    <w:rsid w:val="00BC4DAC"/>
    <w:rsid w:val="00BC5166"/>
    <w:rsid w:val="00BC563F"/>
    <w:rsid w:val="00BC57D0"/>
    <w:rsid w:val="00BC5D90"/>
    <w:rsid w:val="00BC63F2"/>
    <w:rsid w:val="00BC6546"/>
    <w:rsid w:val="00BC6B13"/>
    <w:rsid w:val="00BC6B4A"/>
    <w:rsid w:val="00BC6FD6"/>
    <w:rsid w:val="00BC73B2"/>
    <w:rsid w:val="00BC7494"/>
    <w:rsid w:val="00BC74CC"/>
    <w:rsid w:val="00BC7FEC"/>
    <w:rsid w:val="00BD008E"/>
    <w:rsid w:val="00BD01EA"/>
    <w:rsid w:val="00BD0506"/>
    <w:rsid w:val="00BD081A"/>
    <w:rsid w:val="00BD0C9F"/>
    <w:rsid w:val="00BD15E8"/>
    <w:rsid w:val="00BD1C5B"/>
    <w:rsid w:val="00BD2783"/>
    <w:rsid w:val="00BD29C2"/>
    <w:rsid w:val="00BD2F3B"/>
    <w:rsid w:val="00BD30BD"/>
    <w:rsid w:val="00BD3372"/>
    <w:rsid w:val="00BD353D"/>
    <w:rsid w:val="00BD35F0"/>
    <w:rsid w:val="00BD3B4F"/>
    <w:rsid w:val="00BD3E6E"/>
    <w:rsid w:val="00BD42DA"/>
    <w:rsid w:val="00BD4633"/>
    <w:rsid w:val="00BD4806"/>
    <w:rsid w:val="00BD4842"/>
    <w:rsid w:val="00BD4C49"/>
    <w:rsid w:val="00BD50AA"/>
    <w:rsid w:val="00BD5135"/>
    <w:rsid w:val="00BD52BC"/>
    <w:rsid w:val="00BD5337"/>
    <w:rsid w:val="00BD5603"/>
    <w:rsid w:val="00BD5818"/>
    <w:rsid w:val="00BD5D41"/>
    <w:rsid w:val="00BD6625"/>
    <w:rsid w:val="00BD6CA1"/>
    <w:rsid w:val="00BD6D02"/>
    <w:rsid w:val="00BD6F31"/>
    <w:rsid w:val="00BD706F"/>
    <w:rsid w:val="00BD71E2"/>
    <w:rsid w:val="00BD722C"/>
    <w:rsid w:val="00BD7291"/>
    <w:rsid w:val="00BD733A"/>
    <w:rsid w:val="00BD7612"/>
    <w:rsid w:val="00BD7CA1"/>
    <w:rsid w:val="00BD7D97"/>
    <w:rsid w:val="00BD7EA3"/>
    <w:rsid w:val="00BD7FE2"/>
    <w:rsid w:val="00BE006C"/>
    <w:rsid w:val="00BE019C"/>
    <w:rsid w:val="00BE0444"/>
    <w:rsid w:val="00BE078B"/>
    <w:rsid w:val="00BE07C4"/>
    <w:rsid w:val="00BE0B19"/>
    <w:rsid w:val="00BE0DD8"/>
    <w:rsid w:val="00BE1404"/>
    <w:rsid w:val="00BE1714"/>
    <w:rsid w:val="00BE1D82"/>
    <w:rsid w:val="00BE1E94"/>
    <w:rsid w:val="00BE1EE4"/>
    <w:rsid w:val="00BE1F8B"/>
    <w:rsid w:val="00BE2200"/>
    <w:rsid w:val="00BE2956"/>
    <w:rsid w:val="00BE2B4F"/>
    <w:rsid w:val="00BE2F39"/>
    <w:rsid w:val="00BE332D"/>
    <w:rsid w:val="00BE36C6"/>
    <w:rsid w:val="00BE3CF1"/>
    <w:rsid w:val="00BE3E65"/>
    <w:rsid w:val="00BE462C"/>
    <w:rsid w:val="00BE4B20"/>
    <w:rsid w:val="00BE4F9D"/>
    <w:rsid w:val="00BE4FF1"/>
    <w:rsid w:val="00BE59B2"/>
    <w:rsid w:val="00BE5B84"/>
    <w:rsid w:val="00BE5D2C"/>
    <w:rsid w:val="00BE5FC4"/>
    <w:rsid w:val="00BE68D3"/>
    <w:rsid w:val="00BE6F49"/>
    <w:rsid w:val="00BE6FA8"/>
    <w:rsid w:val="00BE765E"/>
    <w:rsid w:val="00BE7697"/>
    <w:rsid w:val="00BE7860"/>
    <w:rsid w:val="00BE7875"/>
    <w:rsid w:val="00BE7A37"/>
    <w:rsid w:val="00BE7BC2"/>
    <w:rsid w:val="00BE7C4D"/>
    <w:rsid w:val="00BE7F6A"/>
    <w:rsid w:val="00BF0274"/>
    <w:rsid w:val="00BF037D"/>
    <w:rsid w:val="00BF04DF"/>
    <w:rsid w:val="00BF06B5"/>
    <w:rsid w:val="00BF08C4"/>
    <w:rsid w:val="00BF0998"/>
    <w:rsid w:val="00BF0BAF"/>
    <w:rsid w:val="00BF0BE3"/>
    <w:rsid w:val="00BF176C"/>
    <w:rsid w:val="00BF19CE"/>
    <w:rsid w:val="00BF1CB2"/>
    <w:rsid w:val="00BF230C"/>
    <w:rsid w:val="00BF2B6F"/>
    <w:rsid w:val="00BF2C89"/>
    <w:rsid w:val="00BF3392"/>
    <w:rsid w:val="00BF351A"/>
    <w:rsid w:val="00BF3528"/>
    <w:rsid w:val="00BF3914"/>
    <w:rsid w:val="00BF3A6A"/>
    <w:rsid w:val="00BF3EF3"/>
    <w:rsid w:val="00BF3FB5"/>
    <w:rsid w:val="00BF3FDB"/>
    <w:rsid w:val="00BF415C"/>
    <w:rsid w:val="00BF45F0"/>
    <w:rsid w:val="00BF491C"/>
    <w:rsid w:val="00BF49B1"/>
    <w:rsid w:val="00BF4A26"/>
    <w:rsid w:val="00BF51A6"/>
    <w:rsid w:val="00BF5547"/>
    <w:rsid w:val="00BF5552"/>
    <w:rsid w:val="00BF5EDF"/>
    <w:rsid w:val="00BF6207"/>
    <w:rsid w:val="00BF67CD"/>
    <w:rsid w:val="00BF6A20"/>
    <w:rsid w:val="00BF7304"/>
    <w:rsid w:val="00BF7325"/>
    <w:rsid w:val="00BF73F2"/>
    <w:rsid w:val="00BF746E"/>
    <w:rsid w:val="00BF7653"/>
    <w:rsid w:val="00C005B6"/>
    <w:rsid w:val="00C00957"/>
    <w:rsid w:val="00C00ADF"/>
    <w:rsid w:val="00C00D5E"/>
    <w:rsid w:val="00C00E6B"/>
    <w:rsid w:val="00C00F6F"/>
    <w:rsid w:val="00C014A5"/>
    <w:rsid w:val="00C01671"/>
    <w:rsid w:val="00C017F2"/>
    <w:rsid w:val="00C0196B"/>
    <w:rsid w:val="00C01B24"/>
    <w:rsid w:val="00C02419"/>
    <w:rsid w:val="00C02643"/>
    <w:rsid w:val="00C02766"/>
    <w:rsid w:val="00C029E1"/>
    <w:rsid w:val="00C02CB7"/>
    <w:rsid w:val="00C02F12"/>
    <w:rsid w:val="00C0373A"/>
    <w:rsid w:val="00C03B47"/>
    <w:rsid w:val="00C03EE8"/>
    <w:rsid w:val="00C03F61"/>
    <w:rsid w:val="00C046C4"/>
    <w:rsid w:val="00C04AF7"/>
    <w:rsid w:val="00C05116"/>
    <w:rsid w:val="00C051CB"/>
    <w:rsid w:val="00C05334"/>
    <w:rsid w:val="00C05506"/>
    <w:rsid w:val="00C05BEC"/>
    <w:rsid w:val="00C060F1"/>
    <w:rsid w:val="00C06127"/>
    <w:rsid w:val="00C0627F"/>
    <w:rsid w:val="00C0631B"/>
    <w:rsid w:val="00C06E67"/>
    <w:rsid w:val="00C06E7D"/>
    <w:rsid w:val="00C07118"/>
    <w:rsid w:val="00C07260"/>
    <w:rsid w:val="00C07291"/>
    <w:rsid w:val="00C07AF5"/>
    <w:rsid w:val="00C07C90"/>
    <w:rsid w:val="00C07D9F"/>
    <w:rsid w:val="00C07FF4"/>
    <w:rsid w:val="00C102B0"/>
    <w:rsid w:val="00C10419"/>
    <w:rsid w:val="00C10504"/>
    <w:rsid w:val="00C10815"/>
    <w:rsid w:val="00C10BE9"/>
    <w:rsid w:val="00C10F8C"/>
    <w:rsid w:val="00C1103E"/>
    <w:rsid w:val="00C1107C"/>
    <w:rsid w:val="00C1112B"/>
    <w:rsid w:val="00C11485"/>
    <w:rsid w:val="00C11A88"/>
    <w:rsid w:val="00C11B14"/>
    <w:rsid w:val="00C11BCF"/>
    <w:rsid w:val="00C12012"/>
    <w:rsid w:val="00C12317"/>
    <w:rsid w:val="00C123A8"/>
    <w:rsid w:val="00C12834"/>
    <w:rsid w:val="00C12874"/>
    <w:rsid w:val="00C12A63"/>
    <w:rsid w:val="00C12BA9"/>
    <w:rsid w:val="00C12BC1"/>
    <w:rsid w:val="00C12E95"/>
    <w:rsid w:val="00C12EFE"/>
    <w:rsid w:val="00C13041"/>
    <w:rsid w:val="00C139C1"/>
    <w:rsid w:val="00C13A4D"/>
    <w:rsid w:val="00C13BDA"/>
    <w:rsid w:val="00C13DDB"/>
    <w:rsid w:val="00C13FFD"/>
    <w:rsid w:val="00C14632"/>
    <w:rsid w:val="00C1495E"/>
    <w:rsid w:val="00C15F40"/>
    <w:rsid w:val="00C160C3"/>
    <w:rsid w:val="00C16475"/>
    <w:rsid w:val="00C169D5"/>
    <w:rsid w:val="00C16BB6"/>
    <w:rsid w:val="00C16C30"/>
    <w:rsid w:val="00C16E29"/>
    <w:rsid w:val="00C171F2"/>
    <w:rsid w:val="00C171F9"/>
    <w:rsid w:val="00C17389"/>
    <w:rsid w:val="00C17877"/>
    <w:rsid w:val="00C17BEF"/>
    <w:rsid w:val="00C202AE"/>
    <w:rsid w:val="00C20588"/>
    <w:rsid w:val="00C2099D"/>
    <w:rsid w:val="00C20A00"/>
    <w:rsid w:val="00C21036"/>
    <w:rsid w:val="00C211BC"/>
    <w:rsid w:val="00C2145A"/>
    <w:rsid w:val="00C214C4"/>
    <w:rsid w:val="00C21673"/>
    <w:rsid w:val="00C2178A"/>
    <w:rsid w:val="00C21A22"/>
    <w:rsid w:val="00C21BF3"/>
    <w:rsid w:val="00C21C7A"/>
    <w:rsid w:val="00C220B4"/>
    <w:rsid w:val="00C224CA"/>
    <w:rsid w:val="00C22E85"/>
    <w:rsid w:val="00C23130"/>
    <w:rsid w:val="00C23614"/>
    <w:rsid w:val="00C23660"/>
    <w:rsid w:val="00C238C0"/>
    <w:rsid w:val="00C24679"/>
    <w:rsid w:val="00C24D59"/>
    <w:rsid w:val="00C24E19"/>
    <w:rsid w:val="00C24E2A"/>
    <w:rsid w:val="00C2508F"/>
    <w:rsid w:val="00C25415"/>
    <w:rsid w:val="00C255A5"/>
    <w:rsid w:val="00C2584B"/>
    <w:rsid w:val="00C25942"/>
    <w:rsid w:val="00C259F4"/>
    <w:rsid w:val="00C25ADC"/>
    <w:rsid w:val="00C25C58"/>
    <w:rsid w:val="00C25DD9"/>
    <w:rsid w:val="00C2610B"/>
    <w:rsid w:val="00C26355"/>
    <w:rsid w:val="00C26468"/>
    <w:rsid w:val="00C2663F"/>
    <w:rsid w:val="00C269C3"/>
    <w:rsid w:val="00C26B4D"/>
    <w:rsid w:val="00C26DB8"/>
    <w:rsid w:val="00C26F3E"/>
    <w:rsid w:val="00C26F42"/>
    <w:rsid w:val="00C270B8"/>
    <w:rsid w:val="00C27378"/>
    <w:rsid w:val="00C27524"/>
    <w:rsid w:val="00C2799C"/>
    <w:rsid w:val="00C27AB4"/>
    <w:rsid w:val="00C27EA6"/>
    <w:rsid w:val="00C300CF"/>
    <w:rsid w:val="00C303C8"/>
    <w:rsid w:val="00C3066D"/>
    <w:rsid w:val="00C30989"/>
    <w:rsid w:val="00C30C42"/>
    <w:rsid w:val="00C3139A"/>
    <w:rsid w:val="00C314ED"/>
    <w:rsid w:val="00C31A8B"/>
    <w:rsid w:val="00C32C15"/>
    <w:rsid w:val="00C32E7F"/>
    <w:rsid w:val="00C33419"/>
    <w:rsid w:val="00C334AB"/>
    <w:rsid w:val="00C335CF"/>
    <w:rsid w:val="00C33788"/>
    <w:rsid w:val="00C3386D"/>
    <w:rsid w:val="00C338DD"/>
    <w:rsid w:val="00C33C60"/>
    <w:rsid w:val="00C33D17"/>
    <w:rsid w:val="00C3400F"/>
    <w:rsid w:val="00C3407E"/>
    <w:rsid w:val="00C34520"/>
    <w:rsid w:val="00C34775"/>
    <w:rsid w:val="00C34AF8"/>
    <w:rsid w:val="00C34B64"/>
    <w:rsid w:val="00C34C36"/>
    <w:rsid w:val="00C34D66"/>
    <w:rsid w:val="00C34E55"/>
    <w:rsid w:val="00C34E96"/>
    <w:rsid w:val="00C34EEF"/>
    <w:rsid w:val="00C35153"/>
    <w:rsid w:val="00C351AB"/>
    <w:rsid w:val="00C352B3"/>
    <w:rsid w:val="00C35606"/>
    <w:rsid w:val="00C3575B"/>
    <w:rsid w:val="00C35793"/>
    <w:rsid w:val="00C35F8E"/>
    <w:rsid w:val="00C364EC"/>
    <w:rsid w:val="00C3654C"/>
    <w:rsid w:val="00C3666F"/>
    <w:rsid w:val="00C36761"/>
    <w:rsid w:val="00C36814"/>
    <w:rsid w:val="00C36BF5"/>
    <w:rsid w:val="00C36DBC"/>
    <w:rsid w:val="00C37100"/>
    <w:rsid w:val="00C374D2"/>
    <w:rsid w:val="00C375FD"/>
    <w:rsid w:val="00C376BA"/>
    <w:rsid w:val="00C37B39"/>
    <w:rsid w:val="00C37E7F"/>
    <w:rsid w:val="00C37EB1"/>
    <w:rsid w:val="00C37FDF"/>
    <w:rsid w:val="00C401E8"/>
    <w:rsid w:val="00C402DA"/>
    <w:rsid w:val="00C40373"/>
    <w:rsid w:val="00C4082D"/>
    <w:rsid w:val="00C40AE6"/>
    <w:rsid w:val="00C40D6E"/>
    <w:rsid w:val="00C40F48"/>
    <w:rsid w:val="00C41004"/>
    <w:rsid w:val="00C411AF"/>
    <w:rsid w:val="00C4138D"/>
    <w:rsid w:val="00C41406"/>
    <w:rsid w:val="00C41832"/>
    <w:rsid w:val="00C41C6F"/>
    <w:rsid w:val="00C41E3A"/>
    <w:rsid w:val="00C41FF6"/>
    <w:rsid w:val="00C422D4"/>
    <w:rsid w:val="00C42383"/>
    <w:rsid w:val="00C4242D"/>
    <w:rsid w:val="00C425C1"/>
    <w:rsid w:val="00C426AE"/>
    <w:rsid w:val="00C4285B"/>
    <w:rsid w:val="00C42BBD"/>
    <w:rsid w:val="00C42FA6"/>
    <w:rsid w:val="00C4304C"/>
    <w:rsid w:val="00C432C4"/>
    <w:rsid w:val="00C43315"/>
    <w:rsid w:val="00C4354B"/>
    <w:rsid w:val="00C437AB"/>
    <w:rsid w:val="00C43CF8"/>
    <w:rsid w:val="00C43F23"/>
    <w:rsid w:val="00C43F31"/>
    <w:rsid w:val="00C4426F"/>
    <w:rsid w:val="00C444BF"/>
    <w:rsid w:val="00C446ED"/>
    <w:rsid w:val="00C44B1E"/>
    <w:rsid w:val="00C44C85"/>
    <w:rsid w:val="00C44D01"/>
    <w:rsid w:val="00C44EFE"/>
    <w:rsid w:val="00C450BD"/>
    <w:rsid w:val="00C450D5"/>
    <w:rsid w:val="00C452F5"/>
    <w:rsid w:val="00C46555"/>
    <w:rsid w:val="00C467A1"/>
    <w:rsid w:val="00C467D6"/>
    <w:rsid w:val="00C467F3"/>
    <w:rsid w:val="00C4685C"/>
    <w:rsid w:val="00C46A7D"/>
    <w:rsid w:val="00C46B15"/>
    <w:rsid w:val="00C46F7D"/>
    <w:rsid w:val="00C47076"/>
    <w:rsid w:val="00C47274"/>
    <w:rsid w:val="00C473C2"/>
    <w:rsid w:val="00C4755B"/>
    <w:rsid w:val="00C47628"/>
    <w:rsid w:val="00C4765F"/>
    <w:rsid w:val="00C476BC"/>
    <w:rsid w:val="00C47705"/>
    <w:rsid w:val="00C479B5"/>
    <w:rsid w:val="00C47B12"/>
    <w:rsid w:val="00C47FF0"/>
    <w:rsid w:val="00C500F8"/>
    <w:rsid w:val="00C50169"/>
    <w:rsid w:val="00C501F9"/>
    <w:rsid w:val="00C50242"/>
    <w:rsid w:val="00C5034D"/>
    <w:rsid w:val="00C5050E"/>
    <w:rsid w:val="00C50AEE"/>
    <w:rsid w:val="00C50E99"/>
    <w:rsid w:val="00C50F8F"/>
    <w:rsid w:val="00C51143"/>
    <w:rsid w:val="00C51635"/>
    <w:rsid w:val="00C518D6"/>
    <w:rsid w:val="00C51BD5"/>
    <w:rsid w:val="00C52287"/>
    <w:rsid w:val="00C52522"/>
    <w:rsid w:val="00C52744"/>
    <w:rsid w:val="00C52965"/>
    <w:rsid w:val="00C52972"/>
    <w:rsid w:val="00C5298E"/>
    <w:rsid w:val="00C52DED"/>
    <w:rsid w:val="00C52EE2"/>
    <w:rsid w:val="00C52EE9"/>
    <w:rsid w:val="00C532DD"/>
    <w:rsid w:val="00C53318"/>
    <w:rsid w:val="00C5345B"/>
    <w:rsid w:val="00C53EB3"/>
    <w:rsid w:val="00C53F17"/>
    <w:rsid w:val="00C54263"/>
    <w:rsid w:val="00C542D4"/>
    <w:rsid w:val="00C546A6"/>
    <w:rsid w:val="00C548AF"/>
    <w:rsid w:val="00C54D2C"/>
    <w:rsid w:val="00C54D71"/>
    <w:rsid w:val="00C5501C"/>
    <w:rsid w:val="00C552FB"/>
    <w:rsid w:val="00C55594"/>
    <w:rsid w:val="00C558A5"/>
    <w:rsid w:val="00C55CAE"/>
    <w:rsid w:val="00C55FB5"/>
    <w:rsid w:val="00C563F5"/>
    <w:rsid w:val="00C56456"/>
    <w:rsid w:val="00C5651B"/>
    <w:rsid w:val="00C56D09"/>
    <w:rsid w:val="00C56FA8"/>
    <w:rsid w:val="00C570F7"/>
    <w:rsid w:val="00C57314"/>
    <w:rsid w:val="00C57638"/>
    <w:rsid w:val="00C57978"/>
    <w:rsid w:val="00C57D55"/>
    <w:rsid w:val="00C600F6"/>
    <w:rsid w:val="00C602E3"/>
    <w:rsid w:val="00C602F1"/>
    <w:rsid w:val="00C60685"/>
    <w:rsid w:val="00C6085D"/>
    <w:rsid w:val="00C609CA"/>
    <w:rsid w:val="00C60B99"/>
    <w:rsid w:val="00C6143A"/>
    <w:rsid w:val="00C6151B"/>
    <w:rsid w:val="00C61F1C"/>
    <w:rsid w:val="00C61F78"/>
    <w:rsid w:val="00C623E4"/>
    <w:rsid w:val="00C6257F"/>
    <w:rsid w:val="00C629B8"/>
    <w:rsid w:val="00C62A48"/>
    <w:rsid w:val="00C62CD5"/>
    <w:rsid w:val="00C62F17"/>
    <w:rsid w:val="00C62F27"/>
    <w:rsid w:val="00C6310F"/>
    <w:rsid w:val="00C6365B"/>
    <w:rsid w:val="00C636E6"/>
    <w:rsid w:val="00C639D6"/>
    <w:rsid w:val="00C63F8E"/>
    <w:rsid w:val="00C647FB"/>
    <w:rsid w:val="00C649D4"/>
    <w:rsid w:val="00C64F2A"/>
    <w:rsid w:val="00C653B3"/>
    <w:rsid w:val="00C654E0"/>
    <w:rsid w:val="00C661EE"/>
    <w:rsid w:val="00C666EA"/>
    <w:rsid w:val="00C66A26"/>
    <w:rsid w:val="00C66B7A"/>
    <w:rsid w:val="00C66CDF"/>
    <w:rsid w:val="00C66DFA"/>
    <w:rsid w:val="00C6714F"/>
    <w:rsid w:val="00C6755D"/>
    <w:rsid w:val="00C679A7"/>
    <w:rsid w:val="00C67D35"/>
    <w:rsid w:val="00C67EAB"/>
    <w:rsid w:val="00C67FED"/>
    <w:rsid w:val="00C70110"/>
    <w:rsid w:val="00C701C2"/>
    <w:rsid w:val="00C706B6"/>
    <w:rsid w:val="00C70827"/>
    <w:rsid w:val="00C70A9B"/>
    <w:rsid w:val="00C70DFF"/>
    <w:rsid w:val="00C70E07"/>
    <w:rsid w:val="00C71CC8"/>
    <w:rsid w:val="00C71FE6"/>
    <w:rsid w:val="00C72546"/>
    <w:rsid w:val="00C72827"/>
    <w:rsid w:val="00C72F0D"/>
    <w:rsid w:val="00C73418"/>
    <w:rsid w:val="00C73798"/>
    <w:rsid w:val="00C73E1E"/>
    <w:rsid w:val="00C73E68"/>
    <w:rsid w:val="00C74253"/>
    <w:rsid w:val="00C743AC"/>
    <w:rsid w:val="00C747CC"/>
    <w:rsid w:val="00C747F8"/>
    <w:rsid w:val="00C74D97"/>
    <w:rsid w:val="00C751A0"/>
    <w:rsid w:val="00C7528D"/>
    <w:rsid w:val="00C75593"/>
    <w:rsid w:val="00C75863"/>
    <w:rsid w:val="00C75A41"/>
    <w:rsid w:val="00C75A6B"/>
    <w:rsid w:val="00C75E2E"/>
    <w:rsid w:val="00C763B6"/>
    <w:rsid w:val="00C7644B"/>
    <w:rsid w:val="00C7644F"/>
    <w:rsid w:val="00C76842"/>
    <w:rsid w:val="00C768F6"/>
    <w:rsid w:val="00C7696D"/>
    <w:rsid w:val="00C76988"/>
    <w:rsid w:val="00C76AF1"/>
    <w:rsid w:val="00C76C1A"/>
    <w:rsid w:val="00C77024"/>
    <w:rsid w:val="00C77322"/>
    <w:rsid w:val="00C7754E"/>
    <w:rsid w:val="00C77A26"/>
    <w:rsid w:val="00C80073"/>
    <w:rsid w:val="00C801D6"/>
    <w:rsid w:val="00C80284"/>
    <w:rsid w:val="00C805E3"/>
    <w:rsid w:val="00C80A85"/>
    <w:rsid w:val="00C80D81"/>
    <w:rsid w:val="00C80DEA"/>
    <w:rsid w:val="00C815F9"/>
    <w:rsid w:val="00C81F02"/>
    <w:rsid w:val="00C822A1"/>
    <w:rsid w:val="00C82392"/>
    <w:rsid w:val="00C823ED"/>
    <w:rsid w:val="00C824A6"/>
    <w:rsid w:val="00C82A59"/>
    <w:rsid w:val="00C83272"/>
    <w:rsid w:val="00C832DC"/>
    <w:rsid w:val="00C83336"/>
    <w:rsid w:val="00C833A9"/>
    <w:rsid w:val="00C834B4"/>
    <w:rsid w:val="00C8377F"/>
    <w:rsid w:val="00C8416A"/>
    <w:rsid w:val="00C841DE"/>
    <w:rsid w:val="00C843AD"/>
    <w:rsid w:val="00C8441C"/>
    <w:rsid w:val="00C846DE"/>
    <w:rsid w:val="00C84EA6"/>
    <w:rsid w:val="00C8530B"/>
    <w:rsid w:val="00C8535E"/>
    <w:rsid w:val="00C8600B"/>
    <w:rsid w:val="00C86018"/>
    <w:rsid w:val="00C86144"/>
    <w:rsid w:val="00C862A5"/>
    <w:rsid w:val="00C8646D"/>
    <w:rsid w:val="00C869B7"/>
    <w:rsid w:val="00C86AFC"/>
    <w:rsid w:val="00C86C20"/>
    <w:rsid w:val="00C86CE8"/>
    <w:rsid w:val="00C870C5"/>
    <w:rsid w:val="00C8739B"/>
    <w:rsid w:val="00C873A4"/>
    <w:rsid w:val="00C873E4"/>
    <w:rsid w:val="00C8756A"/>
    <w:rsid w:val="00C87787"/>
    <w:rsid w:val="00C879C5"/>
    <w:rsid w:val="00C87E67"/>
    <w:rsid w:val="00C9008C"/>
    <w:rsid w:val="00C907F5"/>
    <w:rsid w:val="00C90802"/>
    <w:rsid w:val="00C9096F"/>
    <w:rsid w:val="00C90980"/>
    <w:rsid w:val="00C90985"/>
    <w:rsid w:val="00C90B4A"/>
    <w:rsid w:val="00C90DE4"/>
    <w:rsid w:val="00C9154F"/>
    <w:rsid w:val="00C9163C"/>
    <w:rsid w:val="00C91B7A"/>
    <w:rsid w:val="00C91BEE"/>
    <w:rsid w:val="00C91DB9"/>
    <w:rsid w:val="00C91DE3"/>
    <w:rsid w:val="00C9240E"/>
    <w:rsid w:val="00C927E2"/>
    <w:rsid w:val="00C92C7F"/>
    <w:rsid w:val="00C92DEE"/>
    <w:rsid w:val="00C9369D"/>
    <w:rsid w:val="00C9385D"/>
    <w:rsid w:val="00C939B4"/>
    <w:rsid w:val="00C93A7A"/>
    <w:rsid w:val="00C93D88"/>
    <w:rsid w:val="00C93D96"/>
    <w:rsid w:val="00C942B0"/>
    <w:rsid w:val="00C94469"/>
    <w:rsid w:val="00C944FA"/>
    <w:rsid w:val="00C94643"/>
    <w:rsid w:val="00C949A3"/>
    <w:rsid w:val="00C94B3E"/>
    <w:rsid w:val="00C94BB2"/>
    <w:rsid w:val="00C94BBE"/>
    <w:rsid w:val="00C94E75"/>
    <w:rsid w:val="00C95492"/>
    <w:rsid w:val="00C95581"/>
    <w:rsid w:val="00C9569C"/>
    <w:rsid w:val="00C95854"/>
    <w:rsid w:val="00C95A94"/>
    <w:rsid w:val="00C95EFF"/>
    <w:rsid w:val="00C96B9B"/>
    <w:rsid w:val="00C96E6F"/>
    <w:rsid w:val="00C96E70"/>
    <w:rsid w:val="00C97291"/>
    <w:rsid w:val="00C976AE"/>
    <w:rsid w:val="00C976FB"/>
    <w:rsid w:val="00C9783E"/>
    <w:rsid w:val="00C97872"/>
    <w:rsid w:val="00C979AA"/>
    <w:rsid w:val="00C97A64"/>
    <w:rsid w:val="00C97F20"/>
    <w:rsid w:val="00CA002C"/>
    <w:rsid w:val="00CA0235"/>
    <w:rsid w:val="00CA0449"/>
    <w:rsid w:val="00CA0532"/>
    <w:rsid w:val="00CA073B"/>
    <w:rsid w:val="00CA079B"/>
    <w:rsid w:val="00CA0897"/>
    <w:rsid w:val="00CA0DCD"/>
    <w:rsid w:val="00CA1CDB"/>
    <w:rsid w:val="00CA1EA4"/>
    <w:rsid w:val="00CA2102"/>
    <w:rsid w:val="00CA218D"/>
    <w:rsid w:val="00CA2241"/>
    <w:rsid w:val="00CA22BD"/>
    <w:rsid w:val="00CA242A"/>
    <w:rsid w:val="00CA2549"/>
    <w:rsid w:val="00CA2A73"/>
    <w:rsid w:val="00CA2A96"/>
    <w:rsid w:val="00CA2DD7"/>
    <w:rsid w:val="00CA359F"/>
    <w:rsid w:val="00CA3BA0"/>
    <w:rsid w:val="00CA3CDD"/>
    <w:rsid w:val="00CA403B"/>
    <w:rsid w:val="00CA478A"/>
    <w:rsid w:val="00CA4BAB"/>
    <w:rsid w:val="00CA505A"/>
    <w:rsid w:val="00CA5523"/>
    <w:rsid w:val="00CA5646"/>
    <w:rsid w:val="00CA59DD"/>
    <w:rsid w:val="00CA5B6F"/>
    <w:rsid w:val="00CA5F8C"/>
    <w:rsid w:val="00CA5FDE"/>
    <w:rsid w:val="00CA6034"/>
    <w:rsid w:val="00CA628D"/>
    <w:rsid w:val="00CA64C9"/>
    <w:rsid w:val="00CA66F3"/>
    <w:rsid w:val="00CA6B16"/>
    <w:rsid w:val="00CA70A7"/>
    <w:rsid w:val="00CA7AD5"/>
    <w:rsid w:val="00CB008E"/>
    <w:rsid w:val="00CB01FA"/>
    <w:rsid w:val="00CB04C9"/>
    <w:rsid w:val="00CB0737"/>
    <w:rsid w:val="00CB097A"/>
    <w:rsid w:val="00CB0CE2"/>
    <w:rsid w:val="00CB0EDD"/>
    <w:rsid w:val="00CB0F2F"/>
    <w:rsid w:val="00CB121D"/>
    <w:rsid w:val="00CB1B58"/>
    <w:rsid w:val="00CB2329"/>
    <w:rsid w:val="00CB2594"/>
    <w:rsid w:val="00CB26EC"/>
    <w:rsid w:val="00CB2D2A"/>
    <w:rsid w:val="00CB32FF"/>
    <w:rsid w:val="00CB3964"/>
    <w:rsid w:val="00CB39AA"/>
    <w:rsid w:val="00CB39BA"/>
    <w:rsid w:val="00CB3A4F"/>
    <w:rsid w:val="00CB3AC6"/>
    <w:rsid w:val="00CB3C07"/>
    <w:rsid w:val="00CB3DDD"/>
    <w:rsid w:val="00CB4352"/>
    <w:rsid w:val="00CB4649"/>
    <w:rsid w:val="00CB4CA8"/>
    <w:rsid w:val="00CB4DEB"/>
    <w:rsid w:val="00CB5050"/>
    <w:rsid w:val="00CB50A5"/>
    <w:rsid w:val="00CB50E0"/>
    <w:rsid w:val="00CB51F1"/>
    <w:rsid w:val="00CB52F2"/>
    <w:rsid w:val="00CB55C4"/>
    <w:rsid w:val="00CB579B"/>
    <w:rsid w:val="00CB5B1E"/>
    <w:rsid w:val="00CB5D5C"/>
    <w:rsid w:val="00CB5F42"/>
    <w:rsid w:val="00CB5FD3"/>
    <w:rsid w:val="00CB5FF5"/>
    <w:rsid w:val="00CB615E"/>
    <w:rsid w:val="00CB61D7"/>
    <w:rsid w:val="00CB634F"/>
    <w:rsid w:val="00CB6710"/>
    <w:rsid w:val="00CB6745"/>
    <w:rsid w:val="00CB6812"/>
    <w:rsid w:val="00CB6FD1"/>
    <w:rsid w:val="00CB7365"/>
    <w:rsid w:val="00CB74FE"/>
    <w:rsid w:val="00CB787A"/>
    <w:rsid w:val="00CB794D"/>
    <w:rsid w:val="00CC03C1"/>
    <w:rsid w:val="00CC03C7"/>
    <w:rsid w:val="00CC06B2"/>
    <w:rsid w:val="00CC0BEF"/>
    <w:rsid w:val="00CC0C4A"/>
    <w:rsid w:val="00CC1076"/>
    <w:rsid w:val="00CC10E4"/>
    <w:rsid w:val="00CC17F0"/>
    <w:rsid w:val="00CC1853"/>
    <w:rsid w:val="00CC1874"/>
    <w:rsid w:val="00CC1C69"/>
    <w:rsid w:val="00CC1FAE"/>
    <w:rsid w:val="00CC2312"/>
    <w:rsid w:val="00CC258A"/>
    <w:rsid w:val="00CC2700"/>
    <w:rsid w:val="00CC2DCD"/>
    <w:rsid w:val="00CC2DED"/>
    <w:rsid w:val="00CC3523"/>
    <w:rsid w:val="00CC3A23"/>
    <w:rsid w:val="00CC4460"/>
    <w:rsid w:val="00CC46C3"/>
    <w:rsid w:val="00CC487F"/>
    <w:rsid w:val="00CC4E1C"/>
    <w:rsid w:val="00CC4E9C"/>
    <w:rsid w:val="00CC51C6"/>
    <w:rsid w:val="00CC5551"/>
    <w:rsid w:val="00CC5A80"/>
    <w:rsid w:val="00CC5C61"/>
    <w:rsid w:val="00CC5D78"/>
    <w:rsid w:val="00CC615B"/>
    <w:rsid w:val="00CC61A6"/>
    <w:rsid w:val="00CC62D0"/>
    <w:rsid w:val="00CC677B"/>
    <w:rsid w:val="00CC6A1E"/>
    <w:rsid w:val="00CC6C3F"/>
    <w:rsid w:val="00CC6DEB"/>
    <w:rsid w:val="00CC737C"/>
    <w:rsid w:val="00CC73B5"/>
    <w:rsid w:val="00CC747A"/>
    <w:rsid w:val="00CC751B"/>
    <w:rsid w:val="00CC7905"/>
    <w:rsid w:val="00CC7B21"/>
    <w:rsid w:val="00CD0070"/>
    <w:rsid w:val="00CD0321"/>
    <w:rsid w:val="00CD04B6"/>
    <w:rsid w:val="00CD0672"/>
    <w:rsid w:val="00CD0809"/>
    <w:rsid w:val="00CD087D"/>
    <w:rsid w:val="00CD0934"/>
    <w:rsid w:val="00CD0F5D"/>
    <w:rsid w:val="00CD1580"/>
    <w:rsid w:val="00CD1AB1"/>
    <w:rsid w:val="00CD1BCB"/>
    <w:rsid w:val="00CD1C0B"/>
    <w:rsid w:val="00CD1C73"/>
    <w:rsid w:val="00CD1DB5"/>
    <w:rsid w:val="00CD1F09"/>
    <w:rsid w:val="00CD2390"/>
    <w:rsid w:val="00CD239A"/>
    <w:rsid w:val="00CD2505"/>
    <w:rsid w:val="00CD3317"/>
    <w:rsid w:val="00CD3BD3"/>
    <w:rsid w:val="00CD3CDA"/>
    <w:rsid w:val="00CD3FF4"/>
    <w:rsid w:val="00CD4444"/>
    <w:rsid w:val="00CD45C6"/>
    <w:rsid w:val="00CD49BB"/>
    <w:rsid w:val="00CD49E8"/>
    <w:rsid w:val="00CD4D94"/>
    <w:rsid w:val="00CD5512"/>
    <w:rsid w:val="00CD64CD"/>
    <w:rsid w:val="00CD6B08"/>
    <w:rsid w:val="00CD6B0C"/>
    <w:rsid w:val="00CD6E3D"/>
    <w:rsid w:val="00CD71AB"/>
    <w:rsid w:val="00CD75FC"/>
    <w:rsid w:val="00CD7D52"/>
    <w:rsid w:val="00CE0044"/>
    <w:rsid w:val="00CE0109"/>
    <w:rsid w:val="00CE0420"/>
    <w:rsid w:val="00CE07A4"/>
    <w:rsid w:val="00CE1330"/>
    <w:rsid w:val="00CE137F"/>
    <w:rsid w:val="00CE13A2"/>
    <w:rsid w:val="00CE1515"/>
    <w:rsid w:val="00CE1656"/>
    <w:rsid w:val="00CE1677"/>
    <w:rsid w:val="00CE1E6F"/>
    <w:rsid w:val="00CE1F92"/>
    <w:rsid w:val="00CE1FC5"/>
    <w:rsid w:val="00CE1FD4"/>
    <w:rsid w:val="00CE2021"/>
    <w:rsid w:val="00CE2A2A"/>
    <w:rsid w:val="00CE362B"/>
    <w:rsid w:val="00CE3F18"/>
    <w:rsid w:val="00CE46E5"/>
    <w:rsid w:val="00CE485A"/>
    <w:rsid w:val="00CE4A95"/>
    <w:rsid w:val="00CE517C"/>
    <w:rsid w:val="00CE5279"/>
    <w:rsid w:val="00CE57DE"/>
    <w:rsid w:val="00CE5A78"/>
    <w:rsid w:val="00CE5CD1"/>
    <w:rsid w:val="00CE605F"/>
    <w:rsid w:val="00CE6673"/>
    <w:rsid w:val="00CE68B2"/>
    <w:rsid w:val="00CE6C34"/>
    <w:rsid w:val="00CE6DA2"/>
    <w:rsid w:val="00CE6E28"/>
    <w:rsid w:val="00CE6F60"/>
    <w:rsid w:val="00CE70F4"/>
    <w:rsid w:val="00CE71DB"/>
    <w:rsid w:val="00CE7729"/>
    <w:rsid w:val="00CE78AE"/>
    <w:rsid w:val="00CE7AAB"/>
    <w:rsid w:val="00CE7B9C"/>
    <w:rsid w:val="00CE7E62"/>
    <w:rsid w:val="00CE7F7B"/>
    <w:rsid w:val="00CF0002"/>
    <w:rsid w:val="00CF0ABE"/>
    <w:rsid w:val="00CF0B57"/>
    <w:rsid w:val="00CF0C2E"/>
    <w:rsid w:val="00CF0D90"/>
    <w:rsid w:val="00CF0E13"/>
    <w:rsid w:val="00CF11C6"/>
    <w:rsid w:val="00CF19DA"/>
    <w:rsid w:val="00CF1BCE"/>
    <w:rsid w:val="00CF1C2A"/>
    <w:rsid w:val="00CF1C7F"/>
    <w:rsid w:val="00CF1CC0"/>
    <w:rsid w:val="00CF1D7A"/>
    <w:rsid w:val="00CF224C"/>
    <w:rsid w:val="00CF2256"/>
    <w:rsid w:val="00CF24D1"/>
    <w:rsid w:val="00CF24F8"/>
    <w:rsid w:val="00CF25C5"/>
    <w:rsid w:val="00CF2653"/>
    <w:rsid w:val="00CF2676"/>
    <w:rsid w:val="00CF27DF"/>
    <w:rsid w:val="00CF2B94"/>
    <w:rsid w:val="00CF2F04"/>
    <w:rsid w:val="00CF2F05"/>
    <w:rsid w:val="00CF2F0D"/>
    <w:rsid w:val="00CF356E"/>
    <w:rsid w:val="00CF3897"/>
    <w:rsid w:val="00CF391E"/>
    <w:rsid w:val="00CF3B1A"/>
    <w:rsid w:val="00CF3EAD"/>
    <w:rsid w:val="00CF4000"/>
    <w:rsid w:val="00CF4247"/>
    <w:rsid w:val="00CF432F"/>
    <w:rsid w:val="00CF49B8"/>
    <w:rsid w:val="00CF4D61"/>
    <w:rsid w:val="00CF4DC7"/>
    <w:rsid w:val="00CF4E63"/>
    <w:rsid w:val="00CF4ECB"/>
    <w:rsid w:val="00CF5263"/>
    <w:rsid w:val="00CF5396"/>
    <w:rsid w:val="00CF5905"/>
    <w:rsid w:val="00CF5974"/>
    <w:rsid w:val="00CF5D76"/>
    <w:rsid w:val="00CF5F69"/>
    <w:rsid w:val="00CF60B5"/>
    <w:rsid w:val="00CF6A7F"/>
    <w:rsid w:val="00CF6A89"/>
    <w:rsid w:val="00CF6B02"/>
    <w:rsid w:val="00CF7059"/>
    <w:rsid w:val="00CF70E3"/>
    <w:rsid w:val="00CF7384"/>
    <w:rsid w:val="00CF7899"/>
    <w:rsid w:val="00CF7AD4"/>
    <w:rsid w:val="00D0043F"/>
    <w:rsid w:val="00D004FA"/>
    <w:rsid w:val="00D00524"/>
    <w:rsid w:val="00D00743"/>
    <w:rsid w:val="00D009D7"/>
    <w:rsid w:val="00D00A17"/>
    <w:rsid w:val="00D010DB"/>
    <w:rsid w:val="00D0127A"/>
    <w:rsid w:val="00D01570"/>
    <w:rsid w:val="00D01B21"/>
    <w:rsid w:val="00D01CD9"/>
    <w:rsid w:val="00D01E2F"/>
    <w:rsid w:val="00D01FF8"/>
    <w:rsid w:val="00D02083"/>
    <w:rsid w:val="00D0227B"/>
    <w:rsid w:val="00D02467"/>
    <w:rsid w:val="00D0268D"/>
    <w:rsid w:val="00D026E8"/>
    <w:rsid w:val="00D02984"/>
    <w:rsid w:val="00D02C53"/>
    <w:rsid w:val="00D03102"/>
    <w:rsid w:val="00D031D7"/>
    <w:rsid w:val="00D0339B"/>
    <w:rsid w:val="00D03684"/>
    <w:rsid w:val="00D03727"/>
    <w:rsid w:val="00D0378A"/>
    <w:rsid w:val="00D03AF8"/>
    <w:rsid w:val="00D04C1B"/>
    <w:rsid w:val="00D04E9D"/>
    <w:rsid w:val="00D0511A"/>
    <w:rsid w:val="00D05132"/>
    <w:rsid w:val="00D052EC"/>
    <w:rsid w:val="00D05307"/>
    <w:rsid w:val="00D054C5"/>
    <w:rsid w:val="00D05604"/>
    <w:rsid w:val="00D0575A"/>
    <w:rsid w:val="00D05BC2"/>
    <w:rsid w:val="00D05C63"/>
    <w:rsid w:val="00D05EA9"/>
    <w:rsid w:val="00D0667C"/>
    <w:rsid w:val="00D0674A"/>
    <w:rsid w:val="00D0692C"/>
    <w:rsid w:val="00D06A19"/>
    <w:rsid w:val="00D071F8"/>
    <w:rsid w:val="00D07252"/>
    <w:rsid w:val="00D074F4"/>
    <w:rsid w:val="00D07557"/>
    <w:rsid w:val="00D07727"/>
    <w:rsid w:val="00D07B3B"/>
    <w:rsid w:val="00D07CE1"/>
    <w:rsid w:val="00D07D46"/>
    <w:rsid w:val="00D1026A"/>
    <w:rsid w:val="00D1037E"/>
    <w:rsid w:val="00D10398"/>
    <w:rsid w:val="00D107CF"/>
    <w:rsid w:val="00D10DB1"/>
    <w:rsid w:val="00D10E89"/>
    <w:rsid w:val="00D11367"/>
    <w:rsid w:val="00D11918"/>
    <w:rsid w:val="00D11B0B"/>
    <w:rsid w:val="00D11D6B"/>
    <w:rsid w:val="00D12293"/>
    <w:rsid w:val="00D122C0"/>
    <w:rsid w:val="00D130A0"/>
    <w:rsid w:val="00D133FB"/>
    <w:rsid w:val="00D13880"/>
    <w:rsid w:val="00D14236"/>
    <w:rsid w:val="00D1452D"/>
    <w:rsid w:val="00D14553"/>
    <w:rsid w:val="00D14DB1"/>
    <w:rsid w:val="00D14E69"/>
    <w:rsid w:val="00D15182"/>
    <w:rsid w:val="00D1532A"/>
    <w:rsid w:val="00D1547B"/>
    <w:rsid w:val="00D15484"/>
    <w:rsid w:val="00D1596F"/>
    <w:rsid w:val="00D159F1"/>
    <w:rsid w:val="00D15A23"/>
    <w:rsid w:val="00D15DED"/>
    <w:rsid w:val="00D15EA4"/>
    <w:rsid w:val="00D15F43"/>
    <w:rsid w:val="00D160BA"/>
    <w:rsid w:val="00D16AB3"/>
    <w:rsid w:val="00D16B9D"/>
    <w:rsid w:val="00D16E64"/>
    <w:rsid w:val="00D16E87"/>
    <w:rsid w:val="00D16EE3"/>
    <w:rsid w:val="00D16FAF"/>
    <w:rsid w:val="00D175BE"/>
    <w:rsid w:val="00D17B76"/>
    <w:rsid w:val="00D17C3E"/>
    <w:rsid w:val="00D17F4C"/>
    <w:rsid w:val="00D204D3"/>
    <w:rsid w:val="00D20519"/>
    <w:rsid w:val="00D20B8B"/>
    <w:rsid w:val="00D211E3"/>
    <w:rsid w:val="00D21226"/>
    <w:rsid w:val="00D21612"/>
    <w:rsid w:val="00D2162C"/>
    <w:rsid w:val="00D2174E"/>
    <w:rsid w:val="00D2181A"/>
    <w:rsid w:val="00D21A3C"/>
    <w:rsid w:val="00D21A9A"/>
    <w:rsid w:val="00D21AA1"/>
    <w:rsid w:val="00D21C86"/>
    <w:rsid w:val="00D21C8E"/>
    <w:rsid w:val="00D21F74"/>
    <w:rsid w:val="00D2207A"/>
    <w:rsid w:val="00D220CF"/>
    <w:rsid w:val="00D2213A"/>
    <w:rsid w:val="00D22A20"/>
    <w:rsid w:val="00D22C4D"/>
    <w:rsid w:val="00D23298"/>
    <w:rsid w:val="00D233F1"/>
    <w:rsid w:val="00D237CD"/>
    <w:rsid w:val="00D239B1"/>
    <w:rsid w:val="00D23F99"/>
    <w:rsid w:val="00D23FFE"/>
    <w:rsid w:val="00D24064"/>
    <w:rsid w:val="00D246A3"/>
    <w:rsid w:val="00D246E5"/>
    <w:rsid w:val="00D24ED2"/>
    <w:rsid w:val="00D256A7"/>
    <w:rsid w:val="00D256B8"/>
    <w:rsid w:val="00D256F8"/>
    <w:rsid w:val="00D25846"/>
    <w:rsid w:val="00D25BA1"/>
    <w:rsid w:val="00D25DCB"/>
    <w:rsid w:val="00D25E5C"/>
    <w:rsid w:val="00D26307"/>
    <w:rsid w:val="00D26853"/>
    <w:rsid w:val="00D2685C"/>
    <w:rsid w:val="00D26A3B"/>
    <w:rsid w:val="00D26D09"/>
    <w:rsid w:val="00D27010"/>
    <w:rsid w:val="00D27379"/>
    <w:rsid w:val="00D27BBF"/>
    <w:rsid w:val="00D27E09"/>
    <w:rsid w:val="00D3005B"/>
    <w:rsid w:val="00D30158"/>
    <w:rsid w:val="00D302FD"/>
    <w:rsid w:val="00D3038A"/>
    <w:rsid w:val="00D305B7"/>
    <w:rsid w:val="00D30759"/>
    <w:rsid w:val="00D3098D"/>
    <w:rsid w:val="00D311B7"/>
    <w:rsid w:val="00D3184B"/>
    <w:rsid w:val="00D31936"/>
    <w:rsid w:val="00D31A02"/>
    <w:rsid w:val="00D31B66"/>
    <w:rsid w:val="00D31CFF"/>
    <w:rsid w:val="00D31F0D"/>
    <w:rsid w:val="00D320F4"/>
    <w:rsid w:val="00D32169"/>
    <w:rsid w:val="00D321ED"/>
    <w:rsid w:val="00D3271E"/>
    <w:rsid w:val="00D3281B"/>
    <w:rsid w:val="00D329B9"/>
    <w:rsid w:val="00D32FE2"/>
    <w:rsid w:val="00D3323C"/>
    <w:rsid w:val="00D33456"/>
    <w:rsid w:val="00D33491"/>
    <w:rsid w:val="00D336EE"/>
    <w:rsid w:val="00D3388F"/>
    <w:rsid w:val="00D3396F"/>
    <w:rsid w:val="00D33D26"/>
    <w:rsid w:val="00D33D4D"/>
    <w:rsid w:val="00D33DCB"/>
    <w:rsid w:val="00D3402E"/>
    <w:rsid w:val="00D3432F"/>
    <w:rsid w:val="00D3446E"/>
    <w:rsid w:val="00D34828"/>
    <w:rsid w:val="00D34982"/>
    <w:rsid w:val="00D34A0B"/>
    <w:rsid w:val="00D34DC0"/>
    <w:rsid w:val="00D34E2C"/>
    <w:rsid w:val="00D35191"/>
    <w:rsid w:val="00D356A0"/>
    <w:rsid w:val="00D356AF"/>
    <w:rsid w:val="00D3578F"/>
    <w:rsid w:val="00D35950"/>
    <w:rsid w:val="00D359AF"/>
    <w:rsid w:val="00D36234"/>
    <w:rsid w:val="00D36371"/>
    <w:rsid w:val="00D366E8"/>
    <w:rsid w:val="00D36C49"/>
    <w:rsid w:val="00D36EEA"/>
    <w:rsid w:val="00D36EEC"/>
    <w:rsid w:val="00D37401"/>
    <w:rsid w:val="00D3752E"/>
    <w:rsid w:val="00D378DD"/>
    <w:rsid w:val="00D37995"/>
    <w:rsid w:val="00D37FEC"/>
    <w:rsid w:val="00D4055B"/>
    <w:rsid w:val="00D40663"/>
    <w:rsid w:val="00D4094B"/>
    <w:rsid w:val="00D40C09"/>
    <w:rsid w:val="00D40D10"/>
    <w:rsid w:val="00D4138B"/>
    <w:rsid w:val="00D413CA"/>
    <w:rsid w:val="00D417AE"/>
    <w:rsid w:val="00D41830"/>
    <w:rsid w:val="00D418FE"/>
    <w:rsid w:val="00D41BC1"/>
    <w:rsid w:val="00D41E3C"/>
    <w:rsid w:val="00D41E6D"/>
    <w:rsid w:val="00D4207C"/>
    <w:rsid w:val="00D421B7"/>
    <w:rsid w:val="00D424AB"/>
    <w:rsid w:val="00D42895"/>
    <w:rsid w:val="00D42DCF"/>
    <w:rsid w:val="00D42F41"/>
    <w:rsid w:val="00D4334E"/>
    <w:rsid w:val="00D437D8"/>
    <w:rsid w:val="00D43A5B"/>
    <w:rsid w:val="00D43E3C"/>
    <w:rsid w:val="00D4402A"/>
    <w:rsid w:val="00D441FB"/>
    <w:rsid w:val="00D44353"/>
    <w:rsid w:val="00D4462A"/>
    <w:rsid w:val="00D446AA"/>
    <w:rsid w:val="00D446AE"/>
    <w:rsid w:val="00D44805"/>
    <w:rsid w:val="00D44994"/>
    <w:rsid w:val="00D45AE0"/>
    <w:rsid w:val="00D45C42"/>
    <w:rsid w:val="00D45DCB"/>
    <w:rsid w:val="00D45DF3"/>
    <w:rsid w:val="00D46174"/>
    <w:rsid w:val="00D46195"/>
    <w:rsid w:val="00D46436"/>
    <w:rsid w:val="00D4679A"/>
    <w:rsid w:val="00D469D5"/>
    <w:rsid w:val="00D46D43"/>
    <w:rsid w:val="00D475B4"/>
    <w:rsid w:val="00D47DD0"/>
    <w:rsid w:val="00D5010A"/>
    <w:rsid w:val="00D50183"/>
    <w:rsid w:val="00D50643"/>
    <w:rsid w:val="00D507F8"/>
    <w:rsid w:val="00D50AE8"/>
    <w:rsid w:val="00D50B74"/>
    <w:rsid w:val="00D50CA9"/>
    <w:rsid w:val="00D51523"/>
    <w:rsid w:val="00D5186E"/>
    <w:rsid w:val="00D51C28"/>
    <w:rsid w:val="00D51D12"/>
    <w:rsid w:val="00D52071"/>
    <w:rsid w:val="00D52308"/>
    <w:rsid w:val="00D523ED"/>
    <w:rsid w:val="00D52731"/>
    <w:rsid w:val="00D52A44"/>
    <w:rsid w:val="00D53047"/>
    <w:rsid w:val="00D53233"/>
    <w:rsid w:val="00D532BB"/>
    <w:rsid w:val="00D535BC"/>
    <w:rsid w:val="00D5362B"/>
    <w:rsid w:val="00D53898"/>
    <w:rsid w:val="00D53BBE"/>
    <w:rsid w:val="00D53FB4"/>
    <w:rsid w:val="00D5404B"/>
    <w:rsid w:val="00D54140"/>
    <w:rsid w:val="00D542BB"/>
    <w:rsid w:val="00D5499B"/>
    <w:rsid w:val="00D54A6D"/>
    <w:rsid w:val="00D54C5C"/>
    <w:rsid w:val="00D54E95"/>
    <w:rsid w:val="00D55072"/>
    <w:rsid w:val="00D551B5"/>
    <w:rsid w:val="00D551BD"/>
    <w:rsid w:val="00D552A6"/>
    <w:rsid w:val="00D5532C"/>
    <w:rsid w:val="00D55908"/>
    <w:rsid w:val="00D55BA5"/>
    <w:rsid w:val="00D55DA8"/>
    <w:rsid w:val="00D55DBC"/>
    <w:rsid w:val="00D55E7B"/>
    <w:rsid w:val="00D55F98"/>
    <w:rsid w:val="00D568BB"/>
    <w:rsid w:val="00D56DB2"/>
    <w:rsid w:val="00D5706D"/>
    <w:rsid w:val="00D5747F"/>
    <w:rsid w:val="00D57495"/>
    <w:rsid w:val="00D574C3"/>
    <w:rsid w:val="00D574DC"/>
    <w:rsid w:val="00D574FA"/>
    <w:rsid w:val="00D578C1"/>
    <w:rsid w:val="00D6045D"/>
    <w:rsid w:val="00D60B66"/>
    <w:rsid w:val="00D60C8D"/>
    <w:rsid w:val="00D61374"/>
    <w:rsid w:val="00D6168A"/>
    <w:rsid w:val="00D616A5"/>
    <w:rsid w:val="00D61DCC"/>
    <w:rsid w:val="00D61FF0"/>
    <w:rsid w:val="00D6211D"/>
    <w:rsid w:val="00D6283C"/>
    <w:rsid w:val="00D62A8C"/>
    <w:rsid w:val="00D62AC6"/>
    <w:rsid w:val="00D62C97"/>
    <w:rsid w:val="00D62CD1"/>
    <w:rsid w:val="00D62EA8"/>
    <w:rsid w:val="00D62F91"/>
    <w:rsid w:val="00D63075"/>
    <w:rsid w:val="00D631D8"/>
    <w:rsid w:val="00D63517"/>
    <w:rsid w:val="00D637C2"/>
    <w:rsid w:val="00D63862"/>
    <w:rsid w:val="00D63B75"/>
    <w:rsid w:val="00D6401C"/>
    <w:rsid w:val="00D641A3"/>
    <w:rsid w:val="00D64429"/>
    <w:rsid w:val="00D64496"/>
    <w:rsid w:val="00D644C8"/>
    <w:rsid w:val="00D645CD"/>
    <w:rsid w:val="00D64635"/>
    <w:rsid w:val="00D6495A"/>
    <w:rsid w:val="00D64B65"/>
    <w:rsid w:val="00D64B8C"/>
    <w:rsid w:val="00D64E49"/>
    <w:rsid w:val="00D64F65"/>
    <w:rsid w:val="00D65085"/>
    <w:rsid w:val="00D65298"/>
    <w:rsid w:val="00D659B1"/>
    <w:rsid w:val="00D65B29"/>
    <w:rsid w:val="00D66103"/>
    <w:rsid w:val="00D66251"/>
    <w:rsid w:val="00D66830"/>
    <w:rsid w:val="00D66E18"/>
    <w:rsid w:val="00D671FE"/>
    <w:rsid w:val="00D6734D"/>
    <w:rsid w:val="00D6738D"/>
    <w:rsid w:val="00D679CF"/>
    <w:rsid w:val="00D679D3"/>
    <w:rsid w:val="00D67B3E"/>
    <w:rsid w:val="00D67D80"/>
    <w:rsid w:val="00D701F2"/>
    <w:rsid w:val="00D70367"/>
    <w:rsid w:val="00D7053C"/>
    <w:rsid w:val="00D70916"/>
    <w:rsid w:val="00D709F8"/>
    <w:rsid w:val="00D70B2A"/>
    <w:rsid w:val="00D70CC0"/>
    <w:rsid w:val="00D7103F"/>
    <w:rsid w:val="00D71343"/>
    <w:rsid w:val="00D71BC1"/>
    <w:rsid w:val="00D71D40"/>
    <w:rsid w:val="00D72075"/>
    <w:rsid w:val="00D722EE"/>
    <w:rsid w:val="00D72838"/>
    <w:rsid w:val="00D72EB0"/>
    <w:rsid w:val="00D72EB7"/>
    <w:rsid w:val="00D72EFA"/>
    <w:rsid w:val="00D72FD9"/>
    <w:rsid w:val="00D7336F"/>
    <w:rsid w:val="00D7356F"/>
    <w:rsid w:val="00D73587"/>
    <w:rsid w:val="00D73EBB"/>
    <w:rsid w:val="00D74010"/>
    <w:rsid w:val="00D74711"/>
    <w:rsid w:val="00D748AF"/>
    <w:rsid w:val="00D751FB"/>
    <w:rsid w:val="00D7536D"/>
    <w:rsid w:val="00D754D6"/>
    <w:rsid w:val="00D757C1"/>
    <w:rsid w:val="00D75C33"/>
    <w:rsid w:val="00D75D32"/>
    <w:rsid w:val="00D760E2"/>
    <w:rsid w:val="00D761AA"/>
    <w:rsid w:val="00D764D3"/>
    <w:rsid w:val="00D76698"/>
    <w:rsid w:val="00D76847"/>
    <w:rsid w:val="00D76AED"/>
    <w:rsid w:val="00D76BA4"/>
    <w:rsid w:val="00D76FAE"/>
    <w:rsid w:val="00D77763"/>
    <w:rsid w:val="00D777D7"/>
    <w:rsid w:val="00D77849"/>
    <w:rsid w:val="00D77A97"/>
    <w:rsid w:val="00D77E20"/>
    <w:rsid w:val="00D803E3"/>
    <w:rsid w:val="00D80AB8"/>
    <w:rsid w:val="00D80C8D"/>
    <w:rsid w:val="00D80C8F"/>
    <w:rsid w:val="00D80FC2"/>
    <w:rsid w:val="00D8124A"/>
    <w:rsid w:val="00D8153E"/>
    <w:rsid w:val="00D81666"/>
    <w:rsid w:val="00D81792"/>
    <w:rsid w:val="00D817DA"/>
    <w:rsid w:val="00D819B1"/>
    <w:rsid w:val="00D81B86"/>
    <w:rsid w:val="00D81E05"/>
    <w:rsid w:val="00D82052"/>
    <w:rsid w:val="00D822FA"/>
    <w:rsid w:val="00D82494"/>
    <w:rsid w:val="00D82663"/>
    <w:rsid w:val="00D82AE9"/>
    <w:rsid w:val="00D82B77"/>
    <w:rsid w:val="00D830D2"/>
    <w:rsid w:val="00D832FC"/>
    <w:rsid w:val="00D8344A"/>
    <w:rsid w:val="00D83630"/>
    <w:rsid w:val="00D8394B"/>
    <w:rsid w:val="00D83AE9"/>
    <w:rsid w:val="00D84814"/>
    <w:rsid w:val="00D84936"/>
    <w:rsid w:val="00D84BA5"/>
    <w:rsid w:val="00D85128"/>
    <w:rsid w:val="00D854B6"/>
    <w:rsid w:val="00D85529"/>
    <w:rsid w:val="00D857B8"/>
    <w:rsid w:val="00D85AA8"/>
    <w:rsid w:val="00D85B5D"/>
    <w:rsid w:val="00D85C78"/>
    <w:rsid w:val="00D85E14"/>
    <w:rsid w:val="00D8711C"/>
    <w:rsid w:val="00D87175"/>
    <w:rsid w:val="00D8790D"/>
    <w:rsid w:val="00D87A2A"/>
    <w:rsid w:val="00D87ABF"/>
    <w:rsid w:val="00D87F7B"/>
    <w:rsid w:val="00D9003F"/>
    <w:rsid w:val="00D90AF3"/>
    <w:rsid w:val="00D90BF5"/>
    <w:rsid w:val="00D90CD3"/>
    <w:rsid w:val="00D91184"/>
    <w:rsid w:val="00D91201"/>
    <w:rsid w:val="00D919E6"/>
    <w:rsid w:val="00D91BE1"/>
    <w:rsid w:val="00D92172"/>
    <w:rsid w:val="00D92A44"/>
    <w:rsid w:val="00D92C29"/>
    <w:rsid w:val="00D92CAA"/>
    <w:rsid w:val="00D92FFA"/>
    <w:rsid w:val="00D93015"/>
    <w:rsid w:val="00D931AC"/>
    <w:rsid w:val="00D93238"/>
    <w:rsid w:val="00D932C2"/>
    <w:rsid w:val="00D9344E"/>
    <w:rsid w:val="00D9349C"/>
    <w:rsid w:val="00D9355E"/>
    <w:rsid w:val="00D936E2"/>
    <w:rsid w:val="00D93A21"/>
    <w:rsid w:val="00D93E6B"/>
    <w:rsid w:val="00D93EB6"/>
    <w:rsid w:val="00D9425A"/>
    <w:rsid w:val="00D94498"/>
    <w:rsid w:val="00D948D5"/>
    <w:rsid w:val="00D949F3"/>
    <w:rsid w:val="00D94DA6"/>
    <w:rsid w:val="00D94ED3"/>
    <w:rsid w:val="00D94F98"/>
    <w:rsid w:val="00D95104"/>
    <w:rsid w:val="00D95142"/>
    <w:rsid w:val="00D9549A"/>
    <w:rsid w:val="00D95600"/>
    <w:rsid w:val="00D957AE"/>
    <w:rsid w:val="00D95848"/>
    <w:rsid w:val="00D95D4C"/>
    <w:rsid w:val="00D96024"/>
    <w:rsid w:val="00D9618B"/>
    <w:rsid w:val="00D96273"/>
    <w:rsid w:val="00D9644F"/>
    <w:rsid w:val="00D9648C"/>
    <w:rsid w:val="00D9683C"/>
    <w:rsid w:val="00D9695D"/>
    <w:rsid w:val="00D96E33"/>
    <w:rsid w:val="00D96FA5"/>
    <w:rsid w:val="00D97083"/>
    <w:rsid w:val="00D97099"/>
    <w:rsid w:val="00D972D0"/>
    <w:rsid w:val="00D9763B"/>
    <w:rsid w:val="00D97884"/>
    <w:rsid w:val="00DA0561"/>
    <w:rsid w:val="00DA0A7F"/>
    <w:rsid w:val="00DA14AB"/>
    <w:rsid w:val="00DA1A91"/>
    <w:rsid w:val="00DA1AC6"/>
    <w:rsid w:val="00DA1B47"/>
    <w:rsid w:val="00DA1C19"/>
    <w:rsid w:val="00DA1C31"/>
    <w:rsid w:val="00DA1DB0"/>
    <w:rsid w:val="00DA1F0D"/>
    <w:rsid w:val="00DA1FB5"/>
    <w:rsid w:val="00DA20BC"/>
    <w:rsid w:val="00DA23FD"/>
    <w:rsid w:val="00DA2ED7"/>
    <w:rsid w:val="00DA3676"/>
    <w:rsid w:val="00DA3860"/>
    <w:rsid w:val="00DA3A02"/>
    <w:rsid w:val="00DA3E7A"/>
    <w:rsid w:val="00DA3F83"/>
    <w:rsid w:val="00DA430C"/>
    <w:rsid w:val="00DA43FC"/>
    <w:rsid w:val="00DA4482"/>
    <w:rsid w:val="00DA449E"/>
    <w:rsid w:val="00DA4633"/>
    <w:rsid w:val="00DA4A1A"/>
    <w:rsid w:val="00DA5216"/>
    <w:rsid w:val="00DA54F5"/>
    <w:rsid w:val="00DA5583"/>
    <w:rsid w:val="00DA55E5"/>
    <w:rsid w:val="00DA5A87"/>
    <w:rsid w:val="00DA5F2F"/>
    <w:rsid w:val="00DA5F68"/>
    <w:rsid w:val="00DA615D"/>
    <w:rsid w:val="00DA6226"/>
    <w:rsid w:val="00DA6598"/>
    <w:rsid w:val="00DA65E5"/>
    <w:rsid w:val="00DA6935"/>
    <w:rsid w:val="00DA6A5D"/>
    <w:rsid w:val="00DA6BCB"/>
    <w:rsid w:val="00DA6C0F"/>
    <w:rsid w:val="00DA6D83"/>
    <w:rsid w:val="00DA702F"/>
    <w:rsid w:val="00DA79FD"/>
    <w:rsid w:val="00DA7A5C"/>
    <w:rsid w:val="00DA7F8A"/>
    <w:rsid w:val="00DB0022"/>
    <w:rsid w:val="00DB0176"/>
    <w:rsid w:val="00DB02AE"/>
    <w:rsid w:val="00DB038E"/>
    <w:rsid w:val="00DB0404"/>
    <w:rsid w:val="00DB0651"/>
    <w:rsid w:val="00DB071D"/>
    <w:rsid w:val="00DB07EC"/>
    <w:rsid w:val="00DB0BD8"/>
    <w:rsid w:val="00DB0D88"/>
    <w:rsid w:val="00DB0FED"/>
    <w:rsid w:val="00DB0FFC"/>
    <w:rsid w:val="00DB1189"/>
    <w:rsid w:val="00DB11F8"/>
    <w:rsid w:val="00DB177A"/>
    <w:rsid w:val="00DB18D5"/>
    <w:rsid w:val="00DB18F8"/>
    <w:rsid w:val="00DB1B8C"/>
    <w:rsid w:val="00DB1E08"/>
    <w:rsid w:val="00DB1F2A"/>
    <w:rsid w:val="00DB1FB2"/>
    <w:rsid w:val="00DB20C7"/>
    <w:rsid w:val="00DB21A9"/>
    <w:rsid w:val="00DB22DC"/>
    <w:rsid w:val="00DB2311"/>
    <w:rsid w:val="00DB2338"/>
    <w:rsid w:val="00DB2363"/>
    <w:rsid w:val="00DB251B"/>
    <w:rsid w:val="00DB25FA"/>
    <w:rsid w:val="00DB2663"/>
    <w:rsid w:val="00DB2839"/>
    <w:rsid w:val="00DB2927"/>
    <w:rsid w:val="00DB297F"/>
    <w:rsid w:val="00DB29FE"/>
    <w:rsid w:val="00DB2AB5"/>
    <w:rsid w:val="00DB2ACD"/>
    <w:rsid w:val="00DB2C58"/>
    <w:rsid w:val="00DB2CF7"/>
    <w:rsid w:val="00DB2DFB"/>
    <w:rsid w:val="00DB2FF9"/>
    <w:rsid w:val="00DB3153"/>
    <w:rsid w:val="00DB317A"/>
    <w:rsid w:val="00DB3B82"/>
    <w:rsid w:val="00DB3EF7"/>
    <w:rsid w:val="00DB485D"/>
    <w:rsid w:val="00DB4B2A"/>
    <w:rsid w:val="00DB4D3C"/>
    <w:rsid w:val="00DB5473"/>
    <w:rsid w:val="00DB56CF"/>
    <w:rsid w:val="00DB573E"/>
    <w:rsid w:val="00DB5A22"/>
    <w:rsid w:val="00DB5ADF"/>
    <w:rsid w:val="00DB5DED"/>
    <w:rsid w:val="00DB63D0"/>
    <w:rsid w:val="00DB67F4"/>
    <w:rsid w:val="00DB684C"/>
    <w:rsid w:val="00DB691A"/>
    <w:rsid w:val="00DB6A7F"/>
    <w:rsid w:val="00DB6B27"/>
    <w:rsid w:val="00DB6C80"/>
    <w:rsid w:val="00DB7E38"/>
    <w:rsid w:val="00DC048A"/>
    <w:rsid w:val="00DC04AC"/>
    <w:rsid w:val="00DC099A"/>
    <w:rsid w:val="00DC0A2C"/>
    <w:rsid w:val="00DC0CED"/>
    <w:rsid w:val="00DC0D02"/>
    <w:rsid w:val="00DC0F79"/>
    <w:rsid w:val="00DC0FDC"/>
    <w:rsid w:val="00DC1050"/>
    <w:rsid w:val="00DC1260"/>
    <w:rsid w:val="00DC1327"/>
    <w:rsid w:val="00DC1350"/>
    <w:rsid w:val="00DC18FB"/>
    <w:rsid w:val="00DC22CE"/>
    <w:rsid w:val="00DC25A6"/>
    <w:rsid w:val="00DC285F"/>
    <w:rsid w:val="00DC2D61"/>
    <w:rsid w:val="00DC2E29"/>
    <w:rsid w:val="00DC3237"/>
    <w:rsid w:val="00DC3480"/>
    <w:rsid w:val="00DC362D"/>
    <w:rsid w:val="00DC3811"/>
    <w:rsid w:val="00DC3D82"/>
    <w:rsid w:val="00DC3D93"/>
    <w:rsid w:val="00DC41A4"/>
    <w:rsid w:val="00DC4948"/>
    <w:rsid w:val="00DC4FEA"/>
    <w:rsid w:val="00DC50CF"/>
    <w:rsid w:val="00DC5672"/>
    <w:rsid w:val="00DC5834"/>
    <w:rsid w:val="00DC5AD4"/>
    <w:rsid w:val="00DC5CC9"/>
    <w:rsid w:val="00DC60A2"/>
    <w:rsid w:val="00DC6290"/>
    <w:rsid w:val="00DC6600"/>
    <w:rsid w:val="00DC67BD"/>
    <w:rsid w:val="00DC6924"/>
    <w:rsid w:val="00DC6F3C"/>
    <w:rsid w:val="00DC71C8"/>
    <w:rsid w:val="00DC71F2"/>
    <w:rsid w:val="00DC7388"/>
    <w:rsid w:val="00DC78B2"/>
    <w:rsid w:val="00DC796E"/>
    <w:rsid w:val="00DD00D5"/>
    <w:rsid w:val="00DD040A"/>
    <w:rsid w:val="00DD0B2C"/>
    <w:rsid w:val="00DD0C70"/>
    <w:rsid w:val="00DD0CDC"/>
    <w:rsid w:val="00DD0D4A"/>
    <w:rsid w:val="00DD12C9"/>
    <w:rsid w:val="00DD1565"/>
    <w:rsid w:val="00DD1B6A"/>
    <w:rsid w:val="00DD1FDC"/>
    <w:rsid w:val="00DD2025"/>
    <w:rsid w:val="00DD2164"/>
    <w:rsid w:val="00DD22EA"/>
    <w:rsid w:val="00DD23A0"/>
    <w:rsid w:val="00DD23FE"/>
    <w:rsid w:val="00DD25BD"/>
    <w:rsid w:val="00DD2695"/>
    <w:rsid w:val="00DD26AC"/>
    <w:rsid w:val="00DD2AD5"/>
    <w:rsid w:val="00DD2BE8"/>
    <w:rsid w:val="00DD2E15"/>
    <w:rsid w:val="00DD2EFB"/>
    <w:rsid w:val="00DD3184"/>
    <w:rsid w:val="00DD3EF5"/>
    <w:rsid w:val="00DD40CB"/>
    <w:rsid w:val="00DD413D"/>
    <w:rsid w:val="00DD4870"/>
    <w:rsid w:val="00DD48C1"/>
    <w:rsid w:val="00DD4A6E"/>
    <w:rsid w:val="00DD4EFF"/>
    <w:rsid w:val="00DD532E"/>
    <w:rsid w:val="00DD53FA"/>
    <w:rsid w:val="00DD559D"/>
    <w:rsid w:val="00DD58C2"/>
    <w:rsid w:val="00DD5B4A"/>
    <w:rsid w:val="00DD5F08"/>
    <w:rsid w:val="00DD5F42"/>
    <w:rsid w:val="00DD6053"/>
    <w:rsid w:val="00DD617B"/>
    <w:rsid w:val="00DD6364"/>
    <w:rsid w:val="00DD6470"/>
    <w:rsid w:val="00DD6694"/>
    <w:rsid w:val="00DD66F4"/>
    <w:rsid w:val="00DD6CF3"/>
    <w:rsid w:val="00DD6EB5"/>
    <w:rsid w:val="00DD6EED"/>
    <w:rsid w:val="00DD7027"/>
    <w:rsid w:val="00DD70C0"/>
    <w:rsid w:val="00DD7215"/>
    <w:rsid w:val="00DD72CF"/>
    <w:rsid w:val="00DE09F7"/>
    <w:rsid w:val="00DE0BC4"/>
    <w:rsid w:val="00DE0D01"/>
    <w:rsid w:val="00DE0DC3"/>
    <w:rsid w:val="00DE0E59"/>
    <w:rsid w:val="00DE0F66"/>
    <w:rsid w:val="00DE0F6C"/>
    <w:rsid w:val="00DE1BB0"/>
    <w:rsid w:val="00DE1C69"/>
    <w:rsid w:val="00DE219B"/>
    <w:rsid w:val="00DE21C0"/>
    <w:rsid w:val="00DE2905"/>
    <w:rsid w:val="00DE2CB6"/>
    <w:rsid w:val="00DE2E49"/>
    <w:rsid w:val="00DE2E7D"/>
    <w:rsid w:val="00DE31CC"/>
    <w:rsid w:val="00DE34C9"/>
    <w:rsid w:val="00DE3D47"/>
    <w:rsid w:val="00DE3D70"/>
    <w:rsid w:val="00DE3E67"/>
    <w:rsid w:val="00DE401B"/>
    <w:rsid w:val="00DE415B"/>
    <w:rsid w:val="00DE4638"/>
    <w:rsid w:val="00DE471E"/>
    <w:rsid w:val="00DE4810"/>
    <w:rsid w:val="00DE4F4E"/>
    <w:rsid w:val="00DE52E3"/>
    <w:rsid w:val="00DE58AA"/>
    <w:rsid w:val="00DE5D0F"/>
    <w:rsid w:val="00DE5D32"/>
    <w:rsid w:val="00DE6167"/>
    <w:rsid w:val="00DE66BA"/>
    <w:rsid w:val="00DE67A0"/>
    <w:rsid w:val="00DE6C1C"/>
    <w:rsid w:val="00DE7202"/>
    <w:rsid w:val="00DE750E"/>
    <w:rsid w:val="00DE7C00"/>
    <w:rsid w:val="00DE7E77"/>
    <w:rsid w:val="00DF00C6"/>
    <w:rsid w:val="00DF03E9"/>
    <w:rsid w:val="00DF03ED"/>
    <w:rsid w:val="00DF03FC"/>
    <w:rsid w:val="00DF04EE"/>
    <w:rsid w:val="00DF05D3"/>
    <w:rsid w:val="00DF0604"/>
    <w:rsid w:val="00DF0B3A"/>
    <w:rsid w:val="00DF0BB6"/>
    <w:rsid w:val="00DF0BF4"/>
    <w:rsid w:val="00DF0E95"/>
    <w:rsid w:val="00DF179D"/>
    <w:rsid w:val="00DF1BEB"/>
    <w:rsid w:val="00DF1C3C"/>
    <w:rsid w:val="00DF1E9C"/>
    <w:rsid w:val="00DF2D4A"/>
    <w:rsid w:val="00DF2F1A"/>
    <w:rsid w:val="00DF386F"/>
    <w:rsid w:val="00DF3D8E"/>
    <w:rsid w:val="00DF41F5"/>
    <w:rsid w:val="00DF4381"/>
    <w:rsid w:val="00DF4572"/>
    <w:rsid w:val="00DF4658"/>
    <w:rsid w:val="00DF4717"/>
    <w:rsid w:val="00DF47EC"/>
    <w:rsid w:val="00DF4AB5"/>
    <w:rsid w:val="00DF530E"/>
    <w:rsid w:val="00DF5502"/>
    <w:rsid w:val="00DF5547"/>
    <w:rsid w:val="00DF57AC"/>
    <w:rsid w:val="00DF5833"/>
    <w:rsid w:val="00DF59F7"/>
    <w:rsid w:val="00DF5CBD"/>
    <w:rsid w:val="00DF5CE2"/>
    <w:rsid w:val="00DF5D78"/>
    <w:rsid w:val="00DF6297"/>
    <w:rsid w:val="00DF6394"/>
    <w:rsid w:val="00DF64AC"/>
    <w:rsid w:val="00DF6C8B"/>
    <w:rsid w:val="00DF6F17"/>
    <w:rsid w:val="00DF744C"/>
    <w:rsid w:val="00DF76E9"/>
    <w:rsid w:val="00DF77BB"/>
    <w:rsid w:val="00DF78FA"/>
    <w:rsid w:val="00DF7DF3"/>
    <w:rsid w:val="00DF7F76"/>
    <w:rsid w:val="00E001FE"/>
    <w:rsid w:val="00E002F1"/>
    <w:rsid w:val="00E00549"/>
    <w:rsid w:val="00E0082C"/>
    <w:rsid w:val="00E00A8E"/>
    <w:rsid w:val="00E00CDD"/>
    <w:rsid w:val="00E011D1"/>
    <w:rsid w:val="00E01DAA"/>
    <w:rsid w:val="00E01E69"/>
    <w:rsid w:val="00E02210"/>
    <w:rsid w:val="00E023E5"/>
    <w:rsid w:val="00E02432"/>
    <w:rsid w:val="00E02AF0"/>
    <w:rsid w:val="00E02B9E"/>
    <w:rsid w:val="00E02C19"/>
    <w:rsid w:val="00E031F6"/>
    <w:rsid w:val="00E03325"/>
    <w:rsid w:val="00E03472"/>
    <w:rsid w:val="00E04022"/>
    <w:rsid w:val="00E04311"/>
    <w:rsid w:val="00E0433A"/>
    <w:rsid w:val="00E0446A"/>
    <w:rsid w:val="00E045D2"/>
    <w:rsid w:val="00E045F0"/>
    <w:rsid w:val="00E04624"/>
    <w:rsid w:val="00E04DED"/>
    <w:rsid w:val="00E0560D"/>
    <w:rsid w:val="00E05825"/>
    <w:rsid w:val="00E06052"/>
    <w:rsid w:val="00E060EF"/>
    <w:rsid w:val="00E0630D"/>
    <w:rsid w:val="00E065A9"/>
    <w:rsid w:val="00E066E6"/>
    <w:rsid w:val="00E06AE4"/>
    <w:rsid w:val="00E06C70"/>
    <w:rsid w:val="00E06D43"/>
    <w:rsid w:val="00E06EF0"/>
    <w:rsid w:val="00E0721F"/>
    <w:rsid w:val="00E0728F"/>
    <w:rsid w:val="00E0755C"/>
    <w:rsid w:val="00E075A0"/>
    <w:rsid w:val="00E0767B"/>
    <w:rsid w:val="00E076A2"/>
    <w:rsid w:val="00E078D4"/>
    <w:rsid w:val="00E07C57"/>
    <w:rsid w:val="00E07CED"/>
    <w:rsid w:val="00E07FE2"/>
    <w:rsid w:val="00E10099"/>
    <w:rsid w:val="00E1019A"/>
    <w:rsid w:val="00E10733"/>
    <w:rsid w:val="00E1085C"/>
    <w:rsid w:val="00E10DFA"/>
    <w:rsid w:val="00E10F03"/>
    <w:rsid w:val="00E10FA5"/>
    <w:rsid w:val="00E113E6"/>
    <w:rsid w:val="00E11970"/>
    <w:rsid w:val="00E11A18"/>
    <w:rsid w:val="00E11D03"/>
    <w:rsid w:val="00E11FC2"/>
    <w:rsid w:val="00E12235"/>
    <w:rsid w:val="00E12E22"/>
    <w:rsid w:val="00E134B7"/>
    <w:rsid w:val="00E138AC"/>
    <w:rsid w:val="00E13DB6"/>
    <w:rsid w:val="00E13E0C"/>
    <w:rsid w:val="00E14665"/>
    <w:rsid w:val="00E146EB"/>
    <w:rsid w:val="00E14A2F"/>
    <w:rsid w:val="00E14A7E"/>
    <w:rsid w:val="00E14E94"/>
    <w:rsid w:val="00E1503A"/>
    <w:rsid w:val="00E15108"/>
    <w:rsid w:val="00E151E1"/>
    <w:rsid w:val="00E15ABC"/>
    <w:rsid w:val="00E16946"/>
    <w:rsid w:val="00E16B10"/>
    <w:rsid w:val="00E17619"/>
    <w:rsid w:val="00E17805"/>
    <w:rsid w:val="00E17E3A"/>
    <w:rsid w:val="00E17FEC"/>
    <w:rsid w:val="00E20097"/>
    <w:rsid w:val="00E202B0"/>
    <w:rsid w:val="00E2032F"/>
    <w:rsid w:val="00E206F8"/>
    <w:rsid w:val="00E209A4"/>
    <w:rsid w:val="00E20F79"/>
    <w:rsid w:val="00E21151"/>
    <w:rsid w:val="00E211EA"/>
    <w:rsid w:val="00E21277"/>
    <w:rsid w:val="00E21278"/>
    <w:rsid w:val="00E21573"/>
    <w:rsid w:val="00E218CC"/>
    <w:rsid w:val="00E228B4"/>
    <w:rsid w:val="00E22CCD"/>
    <w:rsid w:val="00E22D67"/>
    <w:rsid w:val="00E22EFF"/>
    <w:rsid w:val="00E22F4C"/>
    <w:rsid w:val="00E2337B"/>
    <w:rsid w:val="00E234CE"/>
    <w:rsid w:val="00E235C5"/>
    <w:rsid w:val="00E23924"/>
    <w:rsid w:val="00E23A11"/>
    <w:rsid w:val="00E23E42"/>
    <w:rsid w:val="00E23FB7"/>
    <w:rsid w:val="00E24640"/>
    <w:rsid w:val="00E24703"/>
    <w:rsid w:val="00E247AF"/>
    <w:rsid w:val="00E24A27"/>
    <w:rsid w:val="00E25425"/>
    <w:rsid w:val="00E2555B"/>
    <w:rsid w:val="00E25647"/>
    <w:rsid w:val="00E257D1"/>
    <w:rsid w:val="00E2588F"/>
    <w:rsid w:val="00E25F89"/>
    <w:rsid w:val="00E260D5"/>
    <w:rsid w:val="00E261BC"/>
    <w:rsid w:val="00E26268"/>
    <w:rsid w:val="00E26466"/>
    <w:rsid w:val="00E265B3"/>
    <w:rsid w:val="00E267E6"/>
    <w:rsid w:val="00E2692E"/>
    <w:rsid w:val="00E26C5A"/>
    <w:rsid w:val="00E27D6A"/>
    <w:rsid w:val="00E27DB4"/>
    <w:rsid w:val="00E27FCD"/>
    <w:rsid w:val="00E30249"/>
    <w:rsid w:val="00E303C3"/>
    <w:rsid w:val="00E30DFC"/>
    <w:rsid w:val="00E30F44"/>
    <w:rsid w:val="00E30F9B"/>
    <w:rsid w:val="00E30FA3"/>
    <w:rsid w:val="00E31448"/>
    <w:rsid w:val="00E31F74"/>
    <w:rsid w:val="00E323D3"/>
    <w:rsid w:val="00E32632"/>
    <w:rsid w:val="00E32A1E"/>
    <w:rsid w:val="00E32AA0"/>
    <w:rsid w:val="00E32C39"/>
    <w:rsid w:val="00E32D62"/>
    <w:rsid w:val="00E339DC"/>
    <w:rsid w:val="00E33E15"/>
    <w:rsid w:val="00E33E81"/>
    <w:rsid w:val="00E34295"/>
    <w:rsid w:val="00E3434D"/>
    <w:rsid w:val="00E34436"/>
    <w:rsid w:val="00E34EFC"/>
    <w:rsid w:val="00E355A5"/>
    <w:rsid w:val="00E361B8"/>
    <w:rsid w:val="00E3640B"/>
    <w:rsid w:val="00E36521"/>
    <w:rsid w:val="00E3675F"/>
    <w:rsid w:val="00E368FC"/>
    <w:rsid w:val="00E3691D"/>
    <w:rsid w:val="00E36A1B"/>
    <w:rsid w:val="00E36D17"/>
    <w:rsid w:val="00E36D1C"/>
    <w:rsid w:val="00E36D90"/>
    <w:rsid w:val="00E371C8"/>
    <w:rsid w:val="00E37363"/>
    <w:rsid w:val="00E37450"/>
    <w:rsid w:val="00E374CC"/>
    <w:rsid w:val="00E37680"/>
    <w:rsid w:val="00E37923"/>
    <w:rsid w:val="00E3794B"/>
    <w:rsid w:val="00E37994"/>
    <w:rsid w:val="00E37AC8"/>
    <w:rsid w:val="00E37B76"/>
    <w:rsid w:val="00E4037C"/>
    <w:rsid w:val="00E4070C"/>
    <w:rsid w:val="00E40C8A"/>
    <w:rsid w:val="00E413C1"/>
    <w:rsid w:val="00E418CC"/>
    <w:rsid w:val="00E41AAD"/>
    <w:rsid w:val="00E41D2B"/>
    <w:rsid w:val="00E4219F"/>
    <w:rsid w:val="00E42208"/>
    <w:rsid w:val="00E42612"/>
    <w:rsid w:val="00E426FA"/>
    <w:rsid w:val="00E429CB"/>
    <w:rsid w:val="00E429ED"/>
    <w:rsid w:val="00E42AE0"/>
    <w:rsid w:val="00E42B75"/>
    <w:rsid w:val="00E42BBA"/>
    <w:rsid w:val="00E43084"/>
    <w:rsid w:val="00E435EC"/>
    <w:rsid w:val="00E43DB5"/>
    <w:rsid w:val="00E43F37"/>
    <w:rsid w:val="00E44079"/>
    <w:rsid w:val="00E44215"/>
    <w:rsid w:val="00E4431B"/>
    <w:rsid w:val="00E44518"/>
    <w:rsid w:val="00E445B6"/>
    <w:rsid w:val="00E44A8B"/>
    <w:rsid w:val="00E44BB6"/>
    <w:rsid w:val="00E450ED"/>
    <w:rsid w:val="00E4522F"/>
    <w:rsid w:val="00E45341"/>
    <w:rsid w:val="00E453B1"/>
    <w:rsid w:val="00E453CB"/>
    <w:rsid w:val="00E45545"/>
    <w:rsid w:val="00E458FD"/>
    <w:rsid w:val="00E45CB0"/>
    <w:rsid w:val="00E45D86"/>
    <w:rsid w:val="00E45E71"/>
    <w:rsid w:val="00E45FF0"/>
    <w:rsid w:val="00E45FFA"/>
    <w:rsid w:val="00E4605F"/>
    <w:rsid w:val="00E462D1"/>
    <w:rsid w:val="00E46541"/>
    <w:rsid w:val="00E46BB0"/>
    <w:rsid w:val="00E46CFF"/>
    <w:rsid w:val="00E47188"/>
    <w:rsid w:val="00E4744F"/>
    <w:rsid w:val="00E4791B"/>
    <w:rsid w:val="00E47AE2"/>
    <w:rsid w:val="00E47E31"/>
    <w:rsid w:val="00E47EBA"/>
    <w:rsid w:val="00E500BC"/>
    <w:rsid w:val="00E50599"/>
    <w:rsid w:val="00E507F0"/>
    <w:rsid w:val="00E50AC6"/>
    <w:rsid w:val="00E51031"/>
    <w:rsid w:val="00E51B74"/>
    <w:rsid w:val="00E51C05"/>
    <w:rsid w:val="00E51DDD"/>
    <w:rsid w:val="00E51FDD"/>
    <w:rsid w:val="00E521A9"/>
    <w:rsid w:val="00E52435"/>
    <w:rsid w:val="00E52439"/>
    <w:rsid w:val="00E524DC"/>
    <w:rsid w:val="00E52501"/>
    <w:rsid w:val="00E525A7"/>
    <w:rsid w:val="00E52E09"/>
    <w:rsid w:val="00E52FDA"/>
    <w:rsid w:val="00E53122"/>
    <w:rsid w:val="00E5332D"/>
    <w:rsid w:val="00E5351B"/>
    <w:rsid w:val="00E53FA9"/>
    <w:rsid w:val="00E5414C"/>
    <w:rsid w:val="00E5421D"/>
    <w:rsid w:val="00E5447C"/>
    <w:rsid w:val="00E545E6"/>
    <w:rsid w:val="00E5460E"/>
    <w:rsid w:val="00E547B3"/>
    <w:rsid w:val="00E548C0"/>
    <w:rsid w:val="00E549BB"/>
    <w:rsid w:val="00E54F55"/>
    <w:rsid w:val="00E55079"/>
    <w:rsid w:val="00E5547B"/>
    <w:rsid w:val="00E55837"/>
    <w:rsid w:val="00E5587A"/>
    <w:rsid w:val="00E558C2"/>
    <w:rsid w:val="00E55CE7"/>
    <w:rsid w:val="00E56110"/>
    <w:rsid w:val="00E56468"/>
    <w:rsid w:val="00E565F4"/>
    <w:rsid w:val="00E56976"/>
    <w:rsid w:val="00E56BBA"/>
    <w:rsid w:val="00E56DEA"/>
    <w:rsid w:val="00E56F04"/>
    <w:rsid w:val="00E5722D"/>
    <w:rsid w:val="00E5733D"/>
    <w:rsid w:val="00E57651"/>
    <w:rsid w:val="00E57B8D"/>
    <w:rsid w:val="00E57DB6"/>
    <w:rsid w:val="00E6055B"/>
    <w:rsid w:val="00E60A33"/>
    <w:rsid w:val="00E60E66"/>
    <w:rsid w:val="00E60F32"/>
    <w:rsid w:val="00E617CE"/>
    <w:rsid w:val="00E61AC3"/>
    <w:rsid w:val="00E61BCE"/>
    <w:rsid w:val="00E61CC0"/>
    <w:rsid w:val="00E61F72"/>
    <w:rsid w:val="00E62017"/>
    <w:rsid w:val="00E62707"/>
    <w:rsid w:val="00E6277B"/>
    <w:rsid w:val="00E631CF"/>
    <w:rsid w:val="00E63604"/>
    <w:rsid w:val="00E63644"/>
    <w:rsid w:val="00E63A68"/>
    <w:rsid w:val="00E63F25"/>
    <w:rsid w:val="00E63F8B"/>
    <w:rsid w:val="00E6416C"/>
    <w:rsid w:val="00E64424"/>
    <w:rsid w:val="00E645D1"/>
    <w:rsid w:val="00E64C99"/>
    <w:rsid w:val="00E64CD3"/>
    <w:rsid w:val="00E653F7"/>
    <w:rsid w:val="00E65821"/>
    <w:rsid w:val="00E65D22"/>
    <w:rsid w:val="00E6603E"/>
    <w:rsid w:val="00E66479"/>
    <w:rsid w:val="00E66CAB"/>
    <w:rsid w:val="00E66D5B"/>
    <w:rsid w:val="00E67014"/>
    <w:rsid w:val="00E671C9"/>
    <w:rsid w:val="00E6743F"/>
    <w:rsid w:val="00E674AA"/>
    <w:rsid w:val="00E6758E"/>
    <w:rsid w:val="00E67E23"/>
    <w:rsid w:val="00E70016"/>
    <w:rsid w:val="00E70352"/>
    <w:rsid w:val="00E7040E"/>
    <w:rsid w:val="00E704FD"/>
    <w:rsid w:val="00E7061D"/>
    <w:rsid w:val="00E70889"/>
    <w:rsid w:val="00E708DA"/>
    <w:rsid w:val="00E70923"/>
    <w:rsid w:val="00E70BC7"/>
    <w:rsid w:val="00E70C9A"/>
    <w:rsid w:val="00E70F7C"/>
    <w:rsid w:val="00E70FBC"/>
    <w:rsid w:val="00E71042"/>
    <w:rsid w:val="00E71BC9"/>
    <w:rsid w:val="00E71CA7"/>
    <w:rsid w:val="00E71E22"/>
    <w:rsid w:val="00E7267B"/>
    <w:rsid w:val="00E726A8"/>
    <w:rsid w:val="00E72C01"/>
    <w:rsid w:val="00E72C1D"/>
    <w:rsid w:val="00E72CDB"/>
    <w:rsid w:val="00E73247"/>
    <w:rsid w:val="00E73613"/>
    <w:rsid w:val="00E73B63"/>
    <w:rsid w:val="00E741AC"/>
    <w:rsid w:val="00E7475B"/>
    <w:rsid w:val="00E748DB"/>
    <w:rsid w:val="00E75174"/>
    <w:rsid w:val="00E751A2"/>
    <w:rsid w:val="00E75653"/>
    <w:rsid w:val="00E75731"/>
    <w:rsid w:val="00E7585B"/>
    <w:rsid w:val="00E759F6"/>
    <w:rsid w:val="00E75E9F"/>
    <w:rsid w:val="00E75EBA"/>
    <w:rsid w:val="00E7638B"/>
    <w:rsid w:val="00E763B4"/>
    <w:rsid w:val="00E7662C"/>
    <w:rsid w:val="00E767B2"/>
    <w:rsid w:val="00E76A63"/>
    <w:rsid w:val="00E76CE5"/>
    <w:rsid w:val="00E77574"/>
    <w:rsid w:val="00E7783B"/>
    <w:rsid w:val="00E77848"/>
    <w:rsid w:val="00E77F4D"/>
    <w:rsid w:val="00E80484"/>
    <w:rsid w:val="00E80514"/>
    <w:rsid w:val="00E8052E"/>
    <w:rsid w:val="00E80874"/>
    <w:rsid w:val="00E80D7E"/>
    <w:rsid w:val="00E80DF4"/>
    <w:rsid w:val="00E80E5B"/>
    <w:rsid w:val="00E80F53"/>
    <w:rsid w:val="00E8152C"/>
    <w:rsid w:val="00E816C5"/>
    <w:rsid w:val="00E8172B"/>
    <w:rsid w:val="00E81743"/>
    <w:rsid w:val="00E819AA"/>
    <w:rsid w:val="00E81CE0"/>
    <w:rsid w:val="00E81DAE"/>
    <w:rsid w:val="00E81E7C"/>
    <w:rsid w:val="00E81EA5"/>
    <w:rsid w:val="00E8224D"/>
    <w:rsid w:val="00E82631"/>
    <w:rsid w:val="00E826E0"/>
    <w:rsid w:val="00E82AD3"/>
    <w:rsid w:val="00E82AE0"/>
    <w:rsid w:val="00E82CAB"/>
    <w:rsid w:val="00E832B0"/>
    <w:rsid w:val="00E832E7"/>
    <w:rsid w:val="00E83332"/>
    <w:rsid w:val="00E83800"/>
    <w:rsid w:val="00E8389B"/>
    <w:rsid w:val="00E83C79"/>
    <w:rsid w:val="00E83FDF"/>
    <w:rsid w:val="00E83FE8"/>
    <w:rsid w:val="00E8435D"/>
    <w:rsid w:val="00E845AF"/>
    <w:rsid w:val="00E84875"/>
    <w:rsid w:val="00E848D1"/>
    <w:rsid w:val="00E84AC4"/>
    <w:rsid w:val="00E84C71"/>
    <w:rsid w:val="00E8519F"/>
    <w:rsid w:val="00E851CB"/>
    <w:rsid w:val="00E854D1"/>
    <w:rsid w:val="00E85530"/>
    <w:rsid w:val="00E856F4"/>
    <w:rsid w:val="00E85CC3"/>
    <w:rsid w:val="00E85E9A"/>
    <w:rsid w:val="00E85EA1"/>
    <w:rsid w:val="00E862C6"/>
    <w:rsid w:val="00E8644A"/>
    <w:rsid w:val="00E86488"/>
    <w:rsid w:val="00E866C3"/>
    <w:rsid w:val="00E86B20"/>
    <w:rsid w:val="00E87EE1"/>
    <w:rsid w:val="00E90279"/>
    <w:rsid w:val="00E902F1"/>
    <w:rsid w:val="00E903BA"/>
    <w:rsid w:val="00E90494"/>
    <w:rsid w:val="00E905ED"/>
    <w:rsid w:val="00E90635"/>
    <w:rsid w:val="00E9063F"/>
    <w:rsid w:val="00E909A1"/>
    <w:rsid w:val="00E90BFF"/>
    <w:rsid w:val="00E90CEF"/>
    <w:rsid w:val="00E912AC"/>
    <w:rsid w:val="00E91471"/>
    <w:rsid w:val="00E914CB"/>
    <w:rsid w:val="00E91BFB"/>
    <w:rsid w:val="00E91CAD"/>
    <w:rsid w:val="00E91EFB"/>
    <w:rsid w:val="00E91F04"/>
    <w:rsid w:val="00E91F35"/>
    <w:rsid w:val="00E922D4"/>
    <w:rsid w:val="00E92435"/>
    <w:rsid w:val="00E9277D"/>
    <w:rsid w:val="00E9339B"/>
    <w:rsid w:val="00E93B8A"/>
    <w:rsid w:val="00E93D23"/>
    <w:rsid w:val="00E93D5A"/>
    <w:rsid w:val="00E944A2"/>
    <w:rsid w:val="00E945D3"/>
    <w:rsid w:val="00E94EE3"/>
    <w:rsid w:val="00E95BA6"/>
    <w:rsid w:val="00E962F1"/>
    <w:rsid w:val="00E965FE"/>
    <w:rsid w:val="00E97016"/>
    <w:rsid w:val="00E97648"/>
    <w:rsid w:val="00E976F3"/>
    <w:rsid w:val="00E97823"/>
    <w:rsid w:val="00E97C13"/>
    <w:rsid w:val="00E97D0D"/>
    <w:rsid w:val="00E97DA6"/>
    <w:rsid w:val="00E98704"/>
    <w:rsid w:val="00EA006B"/>
    <w:rsid w:val="00EA066D"/>
    <w:rsid w:val="00EA0A44"/>
    <w:rsid w:val="00EA0E4A"/>
    <w:rsid w:val="00EA0EDB"/>
    <w:rsid w:val="00EA1959"/>
    <w:rsid w:val="00EA1A54"/>
    <w:rsid w:val="00EA1B9A"/>
    <w:rsid w:val="00EA20E5"/>
    <w:rsid w:val="00EA21C3"/>
    <w:rsid w:val="00EA2226"/>
    <w:rsid w:val="00EA26FC"/>
    <w:rsid w:val="00EA272A"/>
    <w:rsid w:val="00EA2E0C"/>
    <w:rsid w:val="00EA3400"/>
    <w:rsid w:val="00EA382E"/>
    <w:rsid w:val="00EA3B5A"/>
    <w:rsid w:val="00EA3BCD"/>
    <w:rsid w:val="00EA3E42"/>
    <w:rsid w:val="00EA410E"/>
    <w:rsid w:val="00EA45C9"/>
    <w:rsid w:val="00EA48A9"/>
    <w:rsid w:val="00EA4E4D"/>
    <w:rsid w:val="00EA4EF2"/>
    <w:rsid w:val="00EA4FD1"/>
    <w:rsid w:val="00EA508B"/>
    <w:rsid w:val="00EA53C2"/>
    <w:rsid w:val="00EA5695"/>
    <w:rsid w:val="00EA5A62"/>
    <w:rsid w:val="00EA5B0A"/>
    <w:rsid w:val="00EA5CE4"/>
    <w:rsid w:val="00EA5DF8"/>
    <w:rsid w:val="00EA6361"/>
    <w:rsid w:val="00EA6388"/>
    <w:rsid w:val="00EA65AD"/>
    <w:rsid w:val="00EA6E51"/>
    <w:rsid w:val="00EA6E92"/>
    <w:rsid w:val="00EA6EB5"/>
    <w:rsid w:val="00EA7383"/>
    <w:rsid w:val="00EA7446"/>
    <w:rsid w:val="00EA79EE"/>
    <w:rsid w:val="00EA7FCF"/>
    <w:rsid w:val="00EA7FF7"/>
    <w:rsid w:val="00EB07CE"/>
    <w:rsid w:val="00EB0B07"/>
    <w:rsid w:val="00EB0CA3"/>
    <w:rsid w:val="00EB0CA9"/>
    <w:rsid w:val="00EB104F"/>
    <w:rsid w:val="00EB1052"/>
    <w:rsid w:val="00EB11C3"/>
    <w:rsid w:val="00EB16E6"/>
    <w:rsid w:val="00EB17BD"/>
    <w:rsid w:val="00EB1B27"/>
    <w:rsid w:val="00EB1CFE"/>
    <w:rsid w:val="00EB1D22"/>
    <w:rsid w:val="00EB1DA8"/>
    <w:rsid w:val="00EB2258"/>
    <w:rsid w:val="00EB2E3B"/>
    <w:rsid w:val="00EB3519"/>
    <w:rsid w:val="00EB3524"/>
    <w:rsid w:val="00EB371F"/>
    <w:rsid w:val="00EB3D15"/>
    <w:rsid w:val="00EB40AA"/>
    <w:rsid w:val="00EB428C"/>
    <w:rsid w:val="00EB4371"/>
    <w:rsid w:val="00EB4476"/>
    <w:rsid w:val="00EB450F"/>
    <w:rsid w:val="00EB45A1"/>
    <w:rsid w:val="00EB4CFF"/>
    <w:rsid w:val="00EB5182"/>
    <w:rsid w:val="00EB52AB"/>
    <w:rsid w:val="00EB5476"/>
    <w:rsid w:val="00EB5930"/>
    <w:rsid w:val="00EB5E87"/>
    <w:rsid w:val="00EB615A"/>
    <w:rsid w:val="00EB6649"/>
    <w:rsid w:val="00EB6669"/>
    <w:rsid w:val="00EB681A"/>
    <w:rsid w:val="00EB68BE"/>
    <w:rsid w:val="00EB6936"/>
    <w:rsid w:val="00EB6CC6"/>
    <w:rsid w:val="00EB6D46"/>
    <w:rsid w:val="00EB6EE1"/>
    <w:rsid w:val="00EB6F83"/>
    <w:rsid w:val="00EB70B0"/>
    <w:rsid w:val="00EB75B7"/>
    <w:rsid w:val="00EB7633"/>
    <w:rsid w:val="00EB7736"/>
    <w:rsid w:val="00EB78D6"/>
    <w:rsid w:val="00EB7F5E"/>
    <w:rsid w:val="00EC019F"/>
    <w:rsid w:val="00EC026C"/>
    <w:rsid w:val="00EC0C86"/>
    <w:rsid w:val="00EC0E6F"/>
    <w:rsid w:val="00EC1097"/>
    <w:rsid w:val="00EC13F5"/>
    <w:rsid w:val="00EC18F7"/>
    <w:rsid w:val="00EC1A3E"/>
    <w:rsid w:val="00EC1F5A"/>
    <w:rsid w:val="00EC23A7"/>
    <w:rsid w:val="00EC29C1"/>
    <w:rsid w:val="00EC2A38"/>
    <w:rsid w:val="00EC2A62"/>
    <w:rsid w:val="00EC2D8F"/>
    <w:rsid w:val="00EC2E2D"/>
    <w:rsid w:val="00EC337C"/>
    <w:rsid w:val="00EC37D1"/>
    <w:rsid w:val="00EC3A3A"/>
    <w:rsid w:val="00EC462B"/>
    <w:rsid w:val="00EC4683"/>
    <w:rsid w:val="00EC4723"/>
    <w:rsid w:val="00EC4A13"/>
    <w:rsid w:val="00EC4AC6"/>
    <w:rsid w:val="00EC4BE1"/>
    <w:rsid w:val="00EC4D52"/>
    <w:rsid w:val="00EC5021"/>
    <w:rsid w:val="00EC50FE"/>
    <w:rsid w:val="00EC52D1"/>
    <w:rsid w:val="00EC5432"/>
    <w:rsid w:val="00EC56E0"/>
    <w:rsid w:val="00EC6057"/>
    <w:rsid w:val="00EC60C8"/>
    <w:rsid w:val="00EC6847"/>
    <w:rsid w:val="00EC6BAB"/>
    <w:rsid w:val="00EC6EB3"/>
    <w:rsid w:val="00EC6F7C"/>
    <w:rsid w:val="00EC70EC"/>
    <w:rsid w:val="00EC71D0"/>
    <w:rsid w:val="00EC76A7"/>
    <w:rsid w:val="00EC781D"/>
    <w:rsid w:val="00EC790E"/>
    <w:rsid w:val="00EC7A6C"/>
    <w:rsid w:val="00EC7DB6"/>
    <w:rsid w:val="00EC7DDF"/>
    <w:rsid w:val="00ED072D"/>
    <w:rsid w:val="00ED091F"/>
    <w:rsid w:val="00ED0A1E"/>
    <w:rsid w:val="00ED0AA5"/>
    <w:rsid w:val="00ED0BAC"/>
    <w:rsid w:val="00ED0F37"/>
    <w:rsid w:val="00ED162F"/>
    <w:rsid w:val="00ED1642"/>
    <w:rsid w:val="00ED1B79"/>
    <w:rsid w:val="00ED1ED3"/>
    <w:rsid w:val="00ED1FBB"/>
    <w:rsid w:val="00ED242F"/>
    <w:rsid w:val="00ED29E8"/>
    <w:rsid w:val="00ED2D59"/>
    <w:rsid w:val="00ED2E52"/>
    <w:rsid w:val="00ED3024"/>
    <w:rsid w:val="00ED30E1"/>
    <w:rsid w:val="00ED3362"/>
    <w:rsid w:val="00ED34A2"/>
    <w:rsid w:val="00ED379A"/>
    <w:rsid w:val="00ED3A90"/>
    <w:rsid w:val="00ED3ABE"/>
    <w:rsid w:val="00ED3F41"/>
    <w:rsid w:val="00ED41BB"/>
    <w:rsid w:val="00ED424C"/>
    <w:rsid w:val="00ED45A3"/>
    <w:rsid w:val="00ED4ACF"/>
    <w:rsid w:val="00ED54D8"/>
    <w:rsid w:val="00ED550E"/>
    <w:rsid w:val="00ED5701"/>
    <w:rsid w:val="00ED5D68"/>
    <w:rsid w:val="00ED5DEE"/>
    <w:rsid w:val="00ED5FE4"/>
    <w:rsid w:val="00ED60CE"/>
    <w:rsid w:val="00ED62FE"/>
    <w:rsid w:val="00ED6C6F"/>
    <w:rsid w:val="00ED71B5"/>
    <w:rsid w:val="00ED71C5"/>
    <w:rsid w:val="00ED72E0"/>
    <w:rsid w:val="00ED73BE"/>
    <w:rsid w:val="00ED7409"/>
    <w:rsid w:val="00ED74FC"/>
    <w:rsid w:val="00ED757D"/>
    <w:rsid w:val="00ED76F5"/>
    <w:rsid w:val="00ED7711"/>
    <w:rsid w:val="00ED799F"/>
    <w:rsid w:val="00EE0201"/>
    <w:rsid w:val="00EE0A15"/>
    <w:rsid w:val="00EE0A4B"/>
    <w:rsid w:val="00EE0AD8"/>
    <w:rsid w:val="00EE123E"/>
    <w:rsid w:val="00EE1269"/>
    <w:rsid w:val="00EE16FA"/>
    <w:rsid w:val="00EE186B"/>
    <w:rsid w:val="00EE1C43"/>
    <w:rsid w:val="00EE1C6E"/>
    <w:rsid w:val="00EE20C3"/>
    <w:rsid w:val="00EE210F"/>
    <w:rsid w:val="00EE2234"/>
    <w:rsid w:val="00EE2573"/>
    <w:rsid w:val="00EE275B"/>
    <w:rsid w:val="00EE27B7"/>
    <w:rsid w:val="00EE2AFF"/>
    <w:rsid w:val="00EE3415"/>
    <w:rsid w:val="00EE391D"/>
    <w:rsid w:val="00EE3B34"/>
    <w:rsid w:val="00EE3C42"/>
    <w:rsid w:val="00EE3D4F"/>
    <w:rsid w:val="00EE3E0E"/>
    <w:rsid w:val="00EE4170"/>
    <w:rsid w:val="00EE4251"/>
    <w:rsid w:val="00EE4426"/>
    <w:rsid w:val="00EE4538"/>
    <w:rsid w:val="00EE476F"/>
    <w:rsid w:val="00EE4946"/>
    <w:rsid w:val="00EE4DC9"/>
    <w:rsid w:val="00EE4EFE"/>
    <w:rsid w:val="00EE4F04"/>
    <w:rsid w:val="00EE534D"/>
    <w:rsid w:val="00EE5560"/>
    <w:rsid w:val="00EE5823"/>
    <w:rsid w:val="00EE5EAD"/>
    <w:rsid w:val="00EE5FE0"/>
    <w:rsid w:val="00EE6534"/>
    <w:rsid w:val="00EE6A78"/>
    <w:rsid w:val="00EE6D16"/>
    <w:rsid w:val="00EE6F1E"/>
    <w:rsid w:val="00EE740C"/>
    <w:rsid w:val="00EE744D"/>
    <w:rsid w:val="00EE7DBB"/>
    <w:rsid w:val="00EF0348"/>
    <w:rsid w:val="00EF072C"/>
    <w:rsid w:val="00EF0948"/>
    <w:rsid w:val="00EF0F8E"/>
    <w:rsid w:val="00EF14AD"/>
    <w:rsid w:val="00EF15A2"/>
    <w:rsid w:val="00EF1F9C"/>
    <w:rsid w:val="00EF2166"/>
    <w:rsid w:val="00EF22ED"/>
    <w:rsid w:val="00EF248C"/>
    <w:rsid w:val="00EF26FD"/>
    <w:rsid w:val="00EF275D"/>
    <w:rsid w:val="00EF27B1"/>
    <w:rsid w:val="00EF320C"/>
    <w:rsid w:val="00EF3630"/>
    <w:rsid w:val="00EF3776"/>
    <w:rsid w:val="00EF3A03"/>
    <w:rsid w:val="00EF3C7B"/>
    <w:rsid w:val="00EF3E6E"/>
    <w:rsid w:val="00EF3EA0"/>
    <w:rsid w:val="00EF4366"/>
    <w:rsid w:val="00EF443A"/>
    <w:rsid w:val="00EF4513"/>
    <w:rsid w:val="00EF45C4"/>
    <w:rsid w:val="00EF4689"/>
    <w:rsid w:val="00EF4C9B"/>
    <w:rsid w:val="00EF4CD6"/>
    <w:rsid w:val="00EF4D9C"/>
    <w:rsid w:val="00EF4E5C"/>
    <w:rsid w:val="00EF5129"/>
    <w:rsid w:val="00EF543E"/>
    <w:rsid w:val="00EF55A0"/>
    <w:rsid w:val="00EF5921"/>
    <w:rsid w:val="00EF5968"/>
    <w:rsid w:val="00EF5A60"/>
    <w:rsid w:val="00EF63D1"/>
    <w:rsid w:val="00EF6513"/>
    <w:rsid w:val="00EF6683"/>
    <w:rsid w:val="00EF668B"/>
    <w:rsid w:val="00EF6970"/>
    <w:rsid w:val="00EF69D8"/>
    <w:rsid w:val="00EF6A93"/>
    <w:rsid w:val="00EF7002"/>
    <w:rsid w:val="00EF7599"/>
    <w:rsid w:val="00EF7655"/>
    <w:rsid w:val="00EF769B"/>
    <w:rsid w:val="00EF7B20"/>
    <w:rsid w:val="00F000D1"/>
    <w:rsid w:val="00F00244"/>
    <w:rsid w:val="00F00F08"/>
    <w:rsid w:val="00F00F53"/>
    <w:rsid w:val="00F0174F"/>
    <w:rsid w:val="00F0196D"/>
    <w:rsid w:val="00F01A73"/>
    <w:rsid w:val="00F01AE7"/>
    <w:rsid w:val="00F01DC5"/>
    <w:rsid w:val="00F023A0"/>
    <w:rsid w:val="00F0257C"/>
    <w:rsid w:val="00F027BA"/>
    <w:rsid w:val="00F02BE7"/>
    <w:rsid w:val="00F02CED"/>
    <w:rsid w:val="00F03244"/>
    <w:rsid w:val="00F03852"/>
    <w:rsid w:val="00F039EE"/>
    <w:rsid w:val="00F03E79"/>
    <w:rsid w:val="00F03FC2"/>
    <w:rsid w:val="00F03FE5"/>
    <w:rsid w:val="00F0438D"/>
    <w:rsid w:val="00F05454"/>
    <w:rsid w:val="00F0597B"/>
    <w:rsid w:val="00F05993"/>
    <w:rsid w:val="00F05B20"/>
    <w:rsid w:val="00F05F46"/>
    <w:rsid w:val="00F0622E"/>
    <w:rsid w:val="00F0628D"/>
    <w:rsid w:val="00F0629A"/>
    <w:rsid w:val="00F06651"/>
    <w:rsid w:val="00F066AB"/>
    <w:rsid w:val="00F0674A"/>
    <w:rsid w:val="00F06894"/>
    <w:rsid w:val="00F069D0"/>
    <w:rsid w:val="00F06A06"/>
    <w:rsid w:val="00F06A2B"/>
    <w:rsid w:val="00F06E97"/>
    <w:rsid w:val="00F07558"/>
    <w:rsid w:val="00F0799C"/>
    <w:rsid w:val="00F07DE6"/>
    <w:rsid w:val="00F07E90"/>
    <w:rsid w:val="00F1035D"/>
    <w:rsid w:val="00F1056C"/>
    <w:rsid w:val="00F1070F"/>
    <w:rsid w:val="00F107F1"/>
    <w:rsid w:val="00F10FC1"/>
    <w:rsid w:val="00F1109D"/>
    <w:rsid w:val="00F112FD"/>
    <w:rsid w:val="00F11386"/>
    <w:rsid w:val="00F1166A"/>
    <w:rsid w:val="00F116A2"/>
    <w:rsid w:val="00F11C11"/>
    <w:rsid w:val="00F11E7A"/>
    <w:rsid w:val="00F11EA2"/>
    <w:rsid w:val="00F11FE8"/>
    <w:rsid w:val="00F1214A"/>
    <w:rsid w:val="00F126F3"/>
    <w:rsid w:val="00F127CB"/>
    <w:rsid w:val="00F12D73"/>
    <w:rsid w:val="00F131FA"/>
    <w:rsid w:val="00F1329C"/>
    <w:rsid w:val="00F133A1"/>
    <w:rsid w:val="00F13624"/>
    <w:rsid w:val="00F139AE"/>
    <w:rsid w:val="00F13AD7"/>
    <w:rsid w:val="00F13ECD"/>
    <w:rsid w:val="00F141B1"/>
    <w:rsid w:val="00F1423B"/>
    <w:rsid w:val="00F144A6"/>
    <w:rsid w:val="00F14C2B"/>
    <w:rsid w:val="00F14D5B"/>
    <w:rsid w:val="00F14DB1"/>
    <w:rsid w:val="00F14F85"/>
    <w:rsid w:val="00F15042"/>
    <w:rsid w:val="00F15076"/>
    <w:rsid w:val="00F1529F"/>
    <w:rsid w:val="00F15408"/>
    <w:rsid w:val="00F155CE"/>
    <w:rsid w:val="00F16329"/>
    <w:rsid w:val="00F16442"/>
    <w:rsid w:val="00F16FE4"/>
    <w:rsid w:val="00F1735F"/>
    <w:rsid w:val="00F176D5"/>
    <w:rsid w:val="00F1778C"/>
    <w:rsid w:val="00F17888"/>
    <w:rsid w:val="00F17A4A"/>
    <w:rsid w:val="00F17E77"/>
    <w:rsid w:val="00F17EAE"/>
    <w:rsid w:val="00F202AC"/>
    <w:rsid w:val="00F203B0"/>
    <w:rsid w:val="00F204E8"/>
    <w:rsid w:val="00F20703"/>
    <w:rsid w:val="00F207B0"/>
    <w:rsid w:val="00F209D5"/>
    <w:rsid w:val="00F20AD2"/>
    <w:rsid w:val="00F20C06"/>
    <w:rsid w:val="00F20ED6"/>
    <w:rsid w:val="00F20FE3"/>
    <w:rsid w:val="00F2111D"/>
    <w:rsid w:val="00F214F6"/>
    <w:rsid w:val="00F216B7"/>
    <w:rsid w:val="00F21856"/>
    <w:rsid w:val="00F218D4"/>
    <w:rsid w:val="00F22014"/>
    <w:rsid w:val="00F22324"/>
    <w:rsid w:val="00F22436"/>
    <w:rsid w:val="00F2250A"/>
    <w:rsid w:val="00F22837"/>
    <w:rsid w:val="00F23143"/>
    <w:rsid w:val="00F23284"/>
    <w:rsid w:val="00F236B0"/>
    <w:rsid w:val="00F23715"/>
    <w:rsid w:val="00F23AC6"/>
    <w:rsid w:val="00F23B32"/>
    <w:rsid w:val="00F23BBC"/>
    <w:rsid w:val="00F23EA1"/>
    <w:rsid w:val="00F244F9"/>
    <w:rsid w:val="00F24788"/>
    <w:rsid w:val="00F249EB"/>
    <w:rsid w:val="00F24E53"/>
    <w:rsid w:val="00F24E78"/>
    <w:rsid w:val="00F256F8"/>
    <w:rsid w:val="00F26058"/>
    <w:rsid w:val="00F26211"/>
    <w:rsid w:val="00F2624E"/>
    <w:rsid w:val="00F2633A"/>
    <w:rsid w:val="00F2640F"/>
    <w:rsid w:val="00F26714"/>
    <w:rsid w:val="00F26F1C"/>
    <w:rsid w:val="00F27519"/>
    <w:rsid w:val="00F276F9"/>
    <w:rsid w:val="00F27C34"/>
    <w:rsid w:val="00F27C51"/>
    <w:rsid w:val="00F27E0B"/>
    <w:rsid w:val="00F27E46"/>
    <w:rsid w:val="00F301C2"/>
    <w:rsid w:val="00F3023C"/>
    <w:rsid w:val="00F302E1"/>
    <w:rsid w:val="00F3035B"/>
    <w:rsid w:val="00F3035E"/>
    <w:rsid w:val="00F307F1"/>
    <w:rsid w:val="00F30874"/>
    <w:rsid w:val="00F319F3"/>
    <w:rsid w:val="00F31B22"/>
    <w:rsid w:val="00F31B49"/>
    <w:rsid w:val="00F3245A"/>
    <w:rsid w:val="00F32800"/>
    <w:rsid w:val="00F328C7"/>
    <w:rsid w:val="00F32BD5"/>
    <w:rsid w:val="00F32CF2"/>
    <w:rsid w:val="00F32F56"/>
    <w:rsid w:val="00F33133"/>
    <w:rsid w:val="00F33D4F"/>
    <w:rsid w:val="00F34019"/>
    <w:rsid w:val="00F34178"/>
    <w:rsid w:val="00F3427F"/>
    <w:rsid w:val="00F342EC"/>
    <w:rsid w:val="00F3440F"/>
    <w:rsid w:val="00F34431"/>
    <w:rsid w:val="00F34CD6"/>
    <w:rsid w:val="00F34E6B"/>
    <w:rsid w:val="00F35512"/>
    <w:rsid w:val="00F35730"/>
    <w:rsid w:val="00F35873"/>
    <w:rsid w:val="00F35920"/>
    <w:rsid w:val="00F3598A"/>
    <w:rsid w:val="00F35C20"/>
    <w:rsid w:val="00F35F18"/>
    <w:rsid w:val="00F3645B"/>
    <w:rsid w:val="00F36619"/>
    <w:rsid w:val="00F366A5"/>
    <w:rsid w:val="00F369FA"/>
    <w:rsid w:val="00F36B71"/>
    <w:rsid w:val="00F36BF7"/>
    <w:rsid w:val="00F36C5F"/>
    <w:rsid w:val="00F36DAA"/>
    <w:rsid w:val="00F3712E"/>
    <w:rsid w:val="00F37196"/>
    <w:rsid w:val="00F37259"/>
    <w:rsid w:val="00F4019A"/>
    <w:rsid w:val="00F403C5"/>
    <w:rsid w:val="00F40561"/>
    <w:rsid w:val="00F405A4"/>
    <w:rsid w:val="00F40916"/>
    <w:rsid w:val="00F40BAF"/>
    <w:rsid w:val="00F40D4C"/>
    <w:rsid w:val="00F40FBD"/>
    <w:rsid w:val="00F410CB"/>
    <w:rsid w:val="00F4125C"/>
    <w:rsid w:val="00F413CF"/>
    <w:rsid w:val="00F41631"/>
    <w:rsid w:val="00F416CF"/>
    <w:rsid w:val="00F41A64"/>
    <w:rsid w:val="00F41B3D"/>
    <w:rsid w:val="00F41B9F"/>
    <w:rsid w:val="00F41F05"/>
    <w:rsid w:val="00F42405"/>
    <w:rsid w:val="00F42A7D"/>
    <w:rsid w:val="00F430D7"/>
    <w:rsid w:val="00F4315D"/>
    <w:rsid w:val="00F4316F"/>
    <w:rsid w:val="00F433BD"/>
    <w:rsid w:val="00F437FF"/>
    <w:rsid w:val="00F43864"/>
    <w:rsid w:val="00F43A8F"/>
    <w:rsid w:val="00F43BE1"/>
    <w:rsid w:val="00F43CE0"/>
    <w:rsid w:val="00F43E6E"/>
    <w:rsid w:val="00F4421B"/>
    <w:rsid w:val="00F4422C"/>
    <w:rsid w:val="00F44EC5"/>
    <w:rsid w:val="00F45897"/>
    <w:rsid w:val="00F45B1E"/>
    <w:rsid w:val="00F45E27"/>
    <w:rsid w:val="00F4610D"/>
    <w:rsid w:val="00F4647A"/>
    <w:rsid w:val="00F4675C"/>
    <w:rsid w:val="00F46988"/>
    <w:rsid w:val="00F469F3"/>
    <w:rsid w:val="00F46A8A"/>
    <w:rsid w:val="00F46AEF"/>
    <w:rsid w:val="00F46B7F"/>
    <w:rsid w:val="00F46EEC"/>
    <w:rsid w:val="00F4704D"/>
    <w:rsid w:val="00F4736C"/>
    <w:rsid w:val="00F47422"/>
    <w:rsid w:val="00F47498"/>
    <w:rsid w:val="00F47C8A"/>
    <w:rsid w:val="00F503DC"/>
    <w:rsid w:val="00F506A7"/>
    <w:rsid w:val="00F507A2"/>
    <w:rsid w:val="00F5091A"/>
    <w:rsid w:val="00F50CAB"/>
    <w:rsid w:val="00F5101B"/>
    <w:rsid w:val="00F512B2"/>
    <w:rsid w:val="00F5137F"/>
    <w:rsid w:val="00F51B25"/>
    <w:rsid w:val="00F51F7F"/>
    <w:rsid w:val="00F51FFB"/>
    <w:rsid w:val="00F5261C"/>
    <w:rsid w:val="00F5283D"/>
    <w:rsid w:val="00F52ABA"/>
    <w:rsid w:val="00F52BC7"/>
    <w:rsid w:val="00F52D80"/>
    <w:rsid w:val="00F52EF8"/>
    <w:rsid w:val="00F52FC9"/>
    <w:rsid w:val="00F5320D"/>
    <w:rsid w:val="00F53528"/>
    <w:rsid w:val="00F53939"/>
    <w:rsid w:val="00F53B02"/>
    <w:rsid w:val="00F53B67"/>
    <w:rsid w:val="00F53BF4"/>
    <w:rsid w:val="00F53F1A"/>
    <w:rsid w:val="00F54266"/>
    <w:rsid w:val="00F54451"/>
    <w:rsid w:val="00F5448B"/>
    <w:rsid w:val="00F54C46"/>
    <w:rsid w:val="00F55043"/>
    <w:rsid w:val="00F55420"/>
    <w:rsid w:val="00F5549C"/>
    <w:rsid w:val="00F557B1"/>
    <w:rsid w:val="00F558ED"/>
    <w:rsid w:val="00F55E34"/>
    <w:rsid w:val="00F560D0"/>
    <w:rsid w:val="00F56291"/>
    <w:rsid w:val="00F56409"/>
    <w:rsid w:val="00F56557"/>
    <w:rsid w:val="00F56D59"/>
    <w:rsid w:val="00F56DCF"/>
    <w:rsid w:val="00F56F69"/>
    <w:rsid w:val="00F56FC1"/>
    <w:rsid w:val="00F57034"/>
    <w:rsid w:val="00F575A9"/>
    <w:rsid w:val="00F57AE7"/>
    <w:rsid w:val="00F60294"/>
    <w:rsid w:val="00F605E1"/>
    <w:rsid w:val="00F60BE9"/>
    <w:rsid w:val="00F60D35"/>
    <w:rsid w:val="00F610D1"/>
    <w:rsid w:val="00F611D8"/>
    <w:rsid w:val="00F61677"/>
    <w:rsid w:val="00F61D0F"/>
    <w:rsid w:val="00F61DD2"/>
    <w:rsid w:val="00F61FD8"/>
    <w:rsid w:val="00F6201C"/>
    <w:rsid w:val="00F62025"/>
    <w:rsid w:val="00F621D9"/>
    <w:rsid w:val="00F62235"/>
    <w:rsid w:val="00F62248"/>
    <w:rsid w:val="00F624BA"/>
    <w:rsid w:val="00F62B00"/>
    <w:rsid w:val="00F62B0A"/>
    <w:rsid w:val="00F62CD1"/>
    <w:rsid w:val="00F62D3B"/>
    <w:rsid w:val="00F62DBF"/>
    <w:rsid w:val="00F6328C"/>
    <w:rsid w:val="00F63CB8"/>
    <w:rsid w:val="00F641FC"/>
    <w:rsid w:val="00F646FD"/>
    <w:rsid w:val="00F647F7"/>
    <w:rsid w:val="00F64E2D"/>
    <w:rsid w:val="00F64EB4"/>
    <w:rsid w:val="00F64F1F"/>
    <w:rsid w:val="00F650F2"/>
    <w:rsid w:val="00F656AC"/>
    <w:rsid w:val="00F6583C"/>
    <w:rsid w:val="00F6589A"/>
    <w:rsid w:val="00F65CF1"/>
    <w:rsid w:val="00F66249"/>
    <w:rsid w:val="00F665C1"/>
    <w:rsid w:val="00F665F2"/>
    <w:rsid w:val="00F66F65"/>
    <w:rsid w:val="00F66F7C"/>
    <w:rsid w:val="00F671AC"/>
    <w:rsid w:val="00F675F9"/>
    <w:rsid w:val="00F6783E"/>
    <w:rsid w:val="00F67974"/>
    <w:rsid w:val="00F679EE"/>
    <w:rsid w:val="00F67A34"/>
    <w:rsid w:val="00F7037D"/>
    <w:rsid w:val="00F70559"/>
    <w:rsid w:val="00F70C4E"/>
    <w:rsid w:val="00F70DBE"/>
    <w:rsid w:val="00F70E57"/>
    <w:rsid w:val="00F71124"/>
    <w:rsid w:val="00F71371"/>
    <w:rsid w:val="00F71765"/>
    <w:rsid w:val="00F71838"/>
    <w:rsid w:val="00F71888"/>
    <w:rsid w:val="00F719CD"/>
    <w:rsid w:val="00F71BB8"/>
    <w:rsid w:val="00F72584"/>
    <w:rsid w:val="00F7290D"/>
    <w:rsid w:val="00F72F6B"/>
    <w:rsid w:val="00F7302F"/>
    <w:rsid w:val="00F732EC"/>
    <w:rsid w:val="00F73558"/>
    <w:rsid w:val="00F73B2C"/>
    <w:rsid w:val="00F73B55"/>
    <w:rsid w:val="00F73D08"/>
    <w:rsid w:val="00F743C4"/>
    <w:rsid w:val="00F743D1"/>
    <w:rsid w:val="00F749DE"/>
    <w:rsid w:val="00F756C1"/>
    <w:rsid w:val="00F7586B"/>
    <w:rsid w:val="00F7595A"/>
    <w:rsid w:val="00F75D8B"/>
    <w:rsid w:val="00F75F2F"/>
    <w:rsid w:val="00F760B6"/>
    <w:rsid w:val="00F7630F"/>
    <w:rsid w:val="00F76445"/>
    <w:rsid w:val="00F764E9"/>
    <w:rsid w:val="00F765FE"/>
    <w:rsid w:val="00F768F4"/>
    <w:rsid w:val="00F76941"/>
    <w:rsid w:val="00F76A00"/>
    <w:rsid w:val="00F76DCE"/>
    <w:rsid w:val="00F76ECC"/>
    <w:rsid w:val="00F77598"/>
    <w:rsid w:val="00F77B96"/>
    <w:rsid w:val="00F77B9F"/>
    <w:rsid w:val="00F77D8E"/>
    <w:rsid w:val="00F77EE6"/>
    <w:rsid w:val="00F80370"/>
    <w:rsid w:val="00F80399"/>
    <w:rsid w:val="00F812C8"/>
    <w:rsid w:val="00F8132D"/>
    <w:rsid w:val="00F8144C"/>
    <w:rsid w:val="00F814A2"/>
    <w:rsid w:val="00F818AE"/>
    <w:rsid w:val="00F81920"/>
    <w:rsid w:val="00F81A1F"/>
    <w:rsid w:val="00F81B40"/>
    <w:rsid w:val="00F820C4"/>
    <w:rsid w:val="00F82147"/>
    <w:rsid w:val="00F8223B"/>
    <w:rsid w:val="00F823B1"/>
    <w:rsid w:val="00F828BF"/>
    <w:rsid w:val="00F828FC"/>
    <w:rsid w:val="00F83033"/>
    <w:rsid w:val="00F83230"/>
    <w:rsid w:val="00F83259"/>
    <w:rsid w:val="00F836BF"/>
    <w:rsid w:val="00F83829"/>
    <w:rsid w:val="00F83A75"/>
    <w:rsid w:val="00F83B36"/>
    <w:rsid w:val="00F83BB4"/>
    <w:rsid w:val="00F83CA7"/>
    <w:rsid w:val="00F83D30"/>
    <w:rsid w:val="00F83EEB"/>
    <w:rsid w:val="00F84069"/>
    <w:rsid w:val="00F841E8"/>
    <w:rsid w:val="00F843D7"/>
    <w:rsid w:val="00F84969"/>
    <w:rsid w:val="00F84BCA"/>
    <w:rsid w:val="00F84E4E"/>
    <w:rsid w:val="00F84E8D"/>
    <w:rsid w:val="00F84ED8"/>
    <w:rsid w:val="00F85292"/>
    <w:rsid w:val="00F85330"/>
    <w:rsid w:val="00F85357"/>
    <w:rsid w:val="00F85536"/>
    <w:rsid w:val="00F856F8"/>
    <w:rsid w:val="00F859B8"/>
    <w:rsid w:val="00F85D62"/>
    <w:rsid w:val="00F85E1A"/>
    <w:rsid w:val="00F86205"/>
    <w:rsid w:val="00F8657A"/>
    <w:rsid w:val="00F8679A"/>
    <w:rsid w:val="00F867BF"/>
    <w:rsid w:val="00F86C4C"/>
    <w:rsid w:val="00F86C68"/>
    <w:rsid w:val="00F87117"/>
    <w:rsid w:val="00F871B5"/>
    <w:rsid w:val="00F87263"/>
    <w:rsid w:val="00F8736C"/>
    <w:rsid w:val="00F876EA"/>
    <w:rsid w:val="00F8780E"/>
    <w:rsid w:val="00F87AD9"/>
    <w:rsid w:val="00F87B53"/>
    <w:rsid w:val="00F87D02"/>
    <w:rsid w:val="00F90146"/>
    <w:rsid w:val="00F9021C"/>
    <w:rsid w:val="00F90309"/>
    <w:rsid w:val="00F9030E"/>
    <w:rsid w:val="00F90582"/>
    <w:rsid w:val="00F90ACB"/>
    <w:rsid w:val="00F90ADB"/>
    <w:rsid w:val="00F90CEE"/>
    <w:rsid w:val="00F90E78"/>
    <w:rsid w:val="00F90F29"/>
    <w:rsid w:val="00F91209"/>
    <w:rsid w:val="00F91335"/>
    <w:rsid w:val="00F91DA9"/>
    <w:rsid w:val="00F9221F"/>
    <w:rsid w:val="00F92275"/>
    <w:rsid w:val="00F92976"/>
    <w:rsid w:val="00F931C7"/>
    <w:rsid w:val="00F9347E"/>
    <w:rsid w:val="00F934E3"/>
    <w:rsid w:val="00F93559"/>
    <w:rsid w:val="00F935E7"/>
    <w:rsid w:val="00F9371A"/>
    <w:rsid w:val="00F938A4"/>
    <w:rsid w:val="00F93993"/>
    <w:rsid w:val="00F93AA2"/>
    <w:rsid w:val="00F93C69"/>
    <w:rsid w:val="00F93D72"/>
    <w:rsid w:val="00F93DF4"/>
    <w:rsid w:val="00F93E65"/>
    <w:rsid w:val="00F93F24"/>
    <w:rsid w:val="00F94070"/>
    <w:rsid w:val="00F940AC"/>
    <w:rsid w:val="00F9439F"/>
    <w:rsid w:val="00F950B5"/>
    <w:rsid w:val="00F9513F"/>
    <w:rsid w:val="00F953F7"/>
    <w:rsid w:val="00F9544E"/>
    <w:rsid w:val="00F95722"/>
    <w:rsid w:val="00F95825"/>
    <w:rsid w:val="00F95901"/>
    <w:rsid w:val="00F95E6D"/>
    <w:rsid w:val="00F95EBA"/>
    <w:rsid w:val="00F95FD1"/>
    <w:rsid w:val="00F9604B"/>
    <w:rsid w:val="00F96203"/>
    <w:rsid w:val="00F96647"/>
    <w:rsid w:val="00F96E19"/>
    <w:rsid w:val="00F9700C"/>
    <w:rsid w:val="00F97313"/>
    <w:rsid w:val="00F9751B"/>
    <w:rsid w:val="00F97908"/>
    <w:rsid w:val="00F9798F"/>
    <w:rsid w:val="00F97B43"/>
    <w:rsid w:val="00FA00CB"/>
    <w:rsid w:val="00FA0130"/>
    <w:rsid w:val="00FA0180"/>
    <w:rsid w:val="00FA05F5"/>
    <w:rsid w:val="00FA07F8"/>
    <w:rsid w:val="00FA0C75"/>
    <w:rsid w:val="00FA105C"/>
    <w:rsid w:val="00FA12ED"/>
    <w:rsid w:val="00FA12F8"/>
    <w:rsid w:val="00FA13C0"/>
    <w:rsid w:val="00FA1475"/>
    <w:rsid w:val="00FA148A"/>
    <w:rsid w:val="00FA1CFC"/>
    <w:rsid w:val="00FA1F66"/>
    <w:rsid w:val="00FA2157"/>
    <w:rsid w:val="00FA2234"/>
    <w:rsid w:val="00FA23AD"/>
    <w:rsid w:val="00FA2541"/>
    <w:rsid w:val="00FA257C"/>
    <w:rsid w:val="00FA27C8"/>
    <w:rsid w:val="00FA2B08"/>
    <w:rsid w:val="00FA3150"/>
    <w:rsid w:val="00FA32CE"/>
    <w:rsid w:val="00FA3B76"/>
    <w:rsid w:val="00FA459A"/>
    <w:rsid w:val="00FA4C91"/>
    <w:rsid w:val="00FA4CEF"/>
    <w:rsid w:val="00FA4D66"/>
    <w:rsid w:val="00FA4D84"/>
    <w:rsid w:val="00FA4DAD"/>
    <w:rsid w:val="00FA5357"/>
    <w:rsid w:val="00FA5800"/>
    <w:rsid w:val="00FA5A4E"/>
    <w:rsid w:val="00FA5B4B"/>
    <w:rsid w:val="00FA5FE7"/>
    <w:rsid w:val="00FA618F"/>
    <w:rsid w:val="00FA61B5"/>
    <w:rsid w:val="00FA66FC"/>
    <w:rsid w:val="00FA6D7A"/>
    <w:rsid w:val="00FA7555"/>
    <w:rsid w:val="00FA7668"/>
    <w:rsid w:val="00FA7704"/>
    <w:rsid w:val="00FA791F"/>
    <w:rsid w:val="00FA7B83"/>
    <w:rsid w:val="00FA7C8E"/>
    <w:rsid w:val="00FB0082"/>
    <w:rsid w:val="00FB012A"/>
    <w:rsid w:val="00FB0161"/>
    <w:rsid w:val="00FB0243"/>
    <w:rsid w:val="00FB0505"/>
    <w:rsid w:val="00FB1527"/>
    <w:rsid w:val="00FB1B93"/>
    <w:rsid w:val="00FB1D2C"/>
    <w:rsid w:val="00FB2048"/>
    <w:rsid w:val="00FB21E4"/>
    <w:rsid w:val="00FB2537"/>
    <w:rsid w:val="00FB27C5"/>
    <w:rsid w:val="00FB2A15"/>
    <w:rsid w:val="00FB2AAE"/>
    <w:rsid w:val="00FB33DC"/>
    <w:rsid w:val="00FB3576"/>
    <w:rsid w:val="00FB3862"/>
    <w:rsid w:val="00FB3A95"/>
    <w:rsid w:val="00FB3ACF"/>
    <w:rsid w:val="00FB3D17"/>
    <w:rsid w:val="00FB4338"/>
    <w:rsid w:val="00FB45E8"/>
    <w:rsid w:val="00FB477E"/>
    <w:rsid w:val="00FB4C24"/>
    <w:rsid w:val="00FB4C9C"/>
    <w:rsid w:val="00FB5405"/>
    <w:rsid w:val="00FB5C5F"/>
    <w:rsid w:val="00FB5DCB"/>
    <w:rsid w:val="00FB611A"/>
    <w:rsid w:val="00FB6165"/>
    <w:rsid w:val="00FB648A"/>
    <w:rsid w:val="00FB67DC"/>
    <w:rsid w:val="00FB6807"/>
    <w:rsid w:val="00FB6ED4"/>
    <w:rsid w:val="00FB7057"/>
    <w:rsid w:val="00FB7459"/>
    <w:rsid w:val="00FB7541"/>
    <w:rsid w:val="00FB7601"/>
    <w:rsid w:val="00FB7634"/>
    <w:rsid w:val="00FC0150"/>
    <w:rsid w:val="00FC03AB"/>
    <w:rsid w:val="00FC0640"/>
    <w:rsid w:val="00FC0B8E"/>
    <w:rsid w:val="00FC0F8A"/>
    <w:rsid w:val="00FC1034"/>
    <w:rsid w:val="00FC1B96"/>
    <w:rsid w:val="00FC1FEF"/>
    <w:rsid w:val="00FC20F6"/>
    <w:rsid w:val="00FC2674"/>
    <w:rsid w:val="00FC2787"/>
    <w:rsid w:val="00FC2BE7"/>
    <w:rsid w:val="00FC2D85"/>
    <w:rsid w:val="00FC2FAA"/>
    <w:rsid w:val="00FC3132"/>
    <w:rsid w:val="00FC3166"/>
    <w:rsid w:val="00FC3320"/>
    <w:rsid w:val="00FC3866"/>
    <w:rsid w:val="00FC42E3"/>
    <w:rsid w:val="00FC457C"/>
    <w:rsid w:val="00FC4729"/>
    <w:rsid w:val="00FC49F9"/>
    <w:rsid w:val="00FC4A8C"/>
    <w:rsid w:val="00FC4E5A"/>
    <w:rsid w:val="00FC4F01"/>
    <w:rsid w:val="00FC4F34"/>
    <w:rsid w:val="00FC52B4"/>
    <w:rsid w:val="00FC53DB"/>
    <w:rsid w:val="00FC5506"/>
    <w:rsid w:val="00FC57B5"/>
    <w:rsid w:val="00FC5D6B"/>
    <w:rsid w:val="00FC5E49"/>
    <w:rsid w:val="00FC5F60"/>
    <w:rsid w:val="00FC5FC2"/>
    <w:rsid w:val="00FC6177"/>
    <w:rsid w:val="00FC63D1"/>
    <w:rsid w:val="00FC67B1"/>
    <w:rsid w:val="00FC6B09"/>
    <w:rsid w:val="00FC6CC8"/>
    <w:rsid w:val="00FC72CE"/>
    <w:rsid w:val="00FC7528"/>
    <w:rsid w:val="00FC766E"/>
    <w:rsid w:val="00FC7A3A"/>
    <w:rsid w:val="00FD015D"/>
    <w:rsid w:val="00FD0286"/>
    <w:rsid w:val="00FD03F1"/>
    <w:rsid w:val="00FD0572"/>
    <w:rsid w:val="00FD10FC"/>
    <w:rsid w:val="00FD1263"/>
    <w:rsid w:val="00FD146F"/>
    <w:rsid w:val="00FD17A4"/>
    <w:rsid w:val="00FD1A97"/>
    <w:rsid w:val="00FD1B4F"/>
    <w:rsid w:val="00FD1C50"/>
    <w:rsid w:val="00FD1E64"/>
    <w:rsid w:val="00FD2332"/>
    <w:rsid w:val="00FD2AF5"/>
    <w:rsid w:val="00FD2D7B"/>
    <w:rsid w:val="00FD37F6"/>
    <w:rsid w:val="00FD382E"/>
    <w:rsid w:val="00FD3C5C"/>
    <w:rsid w:val="00FD3ED0"/>
    <w:rsid w:val="00FD3F4A"/>
    <w:rsid w:val="00FD4041"/>
    <w:rsid w:val="00FD4479"/>
    <w:rsid w:val="00FD4589"/>
    <w:rsid w:val="00FD473E"/>
    <w:rsid w:val="00FD4AE8"/>
    <w:rsid w:val="00FD5823"/>
    <w:rsid w:val="00FD5C12"/>
    <w:rsid w:val="00FD6059"/>
    <w:rsid w:val="00FD6914"/>
    <w:rsid w:val="00FD76A2"/>
    <w:rsid w:val="00FD77DC"/>
    <w:rsid w:val="00FD78B0"/>
    <w:rsid w:val="00FD7B8E"/>
    <w:rsid w:val="00FD7D87"/>
    <w:rsid w:val="00FD7DD6"/>
    <w:rsid w:val="00FD7DF9"/>
    <w:rsid w:val="00FD7EA3"/>
    <w:rsid w:val="00FD7FDC"/>
    <w:rsid w:val="00FD7FEF"/>
    <w:rsid w:val="00FE02B0"/>
    <w:rsid w:val="00FE02CA"/>
    <w:rsid w:val="00FE054C"/>
    <w:rsid w:val="00FE0B51"/>
    <w:rsid w:val="00FE0B78"/>
    <w:rsid w:val="00FE0ED4"/>
    <w:rsid w:val="00FE0F7E"/>
    <w:rsid w:val="00FE1807"/>
    <w:rsid w:val="00FE183A"/>
    <w:rsid w:val="00FE1B31"/>
    <w:rsid w:val="00FE1EAB"/>
    <w:rsid w:val="00FE206B"/>
    <w:rsid w:val="00FE3465"/>
    <w:rsid w:val="00FE35C8"/>
    <w:rsid w:val="00FE3B45"/>
    <w:rsid w:val="00FE3C3E"/>
    <w:rsid w:val="00FE420C"/>
    <w:rsid w:val="00FE4323"/>
    <w:rsid w:val="00FE465C"/>
    <w:rsid w:val="00FE47A8"/>
    <w:rsid w:val="00FE4BC3"/>
    <w:rsid w:val="00FE4CCE"/>
    <w:rsid w:val="00FE4D29"/>
    <w:rsid w:val="00FE4DE3"/>
    <w:rsid w:val="00FE53E1"/>
    <w:rsid w:val="00FE5512"/>
    <w:rsid w:val="00FE5A82"/>
    <w:rsid w:val="00FE6187"/>
    <w:rsid w:val="00FE62BA"/>
    <w:rsid w:val="00FE65F2"/>
    <w:rsid w:val="00FE675C"/>
    <w:rsid w:val="00FE67CF"/>
    <w:rsid w:val="00FE6AAC"/>
    <w:rsid w:val="00FE6D20"/>
    <w:rsid w:val="00FE6DCA"/>
    <w:rsid w:val="00FE6FB9"/>
    <w:rsid w:val="00FE7549"/>
    <w:rsid w:val="00FE75A1"/>
    <w:rsid w:val="00FE76B7"/>
    <w:rsid w:val="00FE7BCC"/>
    <w:rsid w:val="00FE7C7B"/>
    <w:rsid w:val="00FF01B8"/>
    <w:rsid w:val="00FF0209"/>
    <w:rsid w:val="00FF07F1"/>
    <w:rsid w:val="00FF086D"/>
    <w:rsid w:val="00FF0C20"/>
    <w:rsid w:val="00FF0EA9"/>
    <w:rsid w:val="00FF0FDE"/>
    <w:rsid w:val="00FF11D9"/>
    <w:rsid w:val="00FF126D"/>
    <w:rsid w:val="00FF15BB"/>
    <w:rsid w:val="00FF179A"/>
    <w:rsid w:val="00FF1994"/>
    <w:rsid w:val="00FF2310"/>
    <w:rsid w:val="00FF283D"/>
    <w:rsid w:val="00FF2B35"/>
    <w:rsid w:val="00FF2E73"/>
    <w:rsid w:val="00FF2F38"/>
    <w:rsid w:val="00FF30BA"/>
    <w:rsid w:val="00FF3124"/>
    <w:rsid w:val="00FF3418"/>
    <w:rsid w:val="00FF3D88"/>
    <w:rsid w:val="00FF405F"/>
    <w:rsid w:val="00FF40FF"/>
    <w:rsid w:val="00FF4194"/>
    <w:rsid w:val="00FF4223"/>
    <w:rsid w:val="00FF45A4"/>
    <w:rsid w:val="00FF48F9"/>
    <w:rsid w:val="00FF4A07"/>
    <w:rsid w:val="00FF4ABF"/>
    <w:rsid w:val="00FF4AE2"/>
    <w:rsid w:val="00FF4C7C"/>
    <w:rsid w:val="00FF4EFC"/>
    <w:rsid w:val="00FF50A8"/>
    <w:rsid w:val="00FF5229"/>
    <w:rsid w:val="00FF53DA"/>
    <w:rsid w:val="00FF571E"/>
    <w:rsid w:val="00FF5AD9"/>
    <w:rsid w:val="00FF5F6E"/>
    <w:rsid w:val="00FF609A"/>
    <w:rsid w:val="00FF61AA"/>
    <w:rsid w:val="00FF63BA"/>
    <w:rsid w:val="00FF67FE"/>
    <w:rsid w:val="00FF6A4E"/>
    <w:rsid w:val="00FF6AC4"/>
    <w:rsid w:val="00FF6BCD"/>
    <w:rsid w:val="00FF6BD1"/>
    <w:rsid w:val="00FF6CC0"/>
    <w:rsid w:val="00FF6F8D"/>
    <w:rsid w:val="00FF7017"/>
    <w:rsid w:val="00FF7332"/>
    <w:rsid w:val="00FF7512"/>
    <w:rsid w:val="00FF7513"/>
    <w:rsid w:val="00FF7563"/>
    <w:rsid w:val="00FF79A3"/>
    <w:rsid w:val="00FF7A4F"/>
    <w:rsid w:val="00FF7C5C"/>
    <w:rsid w:val="0100120A"/>
    <w:rsid w:val="051F01B3"/>
    <w:rsid w:val="06962889"/>
    <w:rsid w:val="07D49FB4"/>
    <w:rsid w:val="087802B0"/>
    <w:rsid w:val="08DA4783"/>
    <w:rsid w:val="0A9D3A51"/>
    <w:rsid w:val="0AEABC4F"/>
    <w:rsid w:val="0C5635ED"/>
    <w:rsid w:val="0DB1010B"/>
    <w:rsid w:val="0E01354D"/>
    <w:rsid w:val="0F892212"/>
    <w:rsid w:val="10B87ADC"/>
    <w:rsid w:val="12CD5513"/>
    <w:rsid w:val="159A78C3"/>
    <w:rsid w:val="1653D631"/>
    <w:rsid w:val="17871587"/>
    <w:rsid w:val="1B087458"/>
    <w:rsid w:val="1D7F6A6C"/>
    <w:rsid w:val="1EDA23BA"/>
    <w:rsid w:val="2049AA44"/>
    <w:rsid w:val="2051507A"/>
    <w:rsid w:val="20E440C2"/>
    <w:rsid w:val="222058FF"/>
    <w:rsid w:val="22B66C07"/>
    <w:rsid w:val="247D2D55"/>
    <w:rsid w:val="248948A7"/>
    <w:rsid w:val="27528D5A"/>
    <w:rsid w:val="291E1150"/>
    <w:rsid w:val="2CDC77C7"/>
    <w:rsid w:val="2EB3768A"/>
    <w:rsid w:val="315B730D"/>
    <w:rsid w:val="349382F5"/>
    <w:rsid w:val="35DC4C12"/>
    <w:rsid w:val="387F4186"/>
    <w:rsid w:val="38E02957"/>
    <w:rsid w:val="3A492312"/>
    <w:rsid w:val="3A661B1F"/>
    <w:rsid w:val="3C4C1B66"/>
    <w:rsid w:val="3C7F66D1"/>
    <w:rsid w:val="3DE65E84"/>
    <w:rsid w:val="402F7289"/>
    <w:rsid w:val="41605DD9"/>
    <w:rsid w:val="42286B3B"/>
    <w:rsid w:val="43B5B1F6"/>
    <w:rsid w:val="458038B7"/>
    <w:rsid w:val="46AA42B0"/>
    <w:rsid w:val="4BAD1ECC"/>
    <w:rsid w:val="4BF109AA"/>
    <w:rsid w:val="4D757CAE"/>
    <w:rsid w:val="50285F4C"/>
    <w:rsid w:val="51BCF060"/>
    <w:rsid w:val="51FA270E"/>
    <w:rsid w:val="54892443"/>
    <w:rsid w:val="56FC4E55"/>
    <w:rsid w:val="57C3A82A"/>
    <w:rsid w:val="598105BA"/>
    <w:rsid w:val="5E854E56"/>
    <w:rsid w:val="5EBC3711"/>
    <w:rsid w:val="5FCB48B6"/>
    <w:rsid w:val="62F13DF7"/>
    <w:rsid w:val="637449B6"/>
    <w:rsid w:val="63FB38D8"/>
    <w:rsid w:val="63FF36A7"/>
    <w:rsid w:val="64F81073"/>
    <w:rsid w:val="67865A6F"/>
    <w:rsid w:val="688D1C38"/>
    <w:rsid w:val="6A37E0DB"/>
    <w:rsid w:val="6A6C076A"/>
    <w:rsid w:val="6B314765"/>
    <w:rsid w:val="6DE64231"/>
    <w:rsid w:val="708292FB"/>
    <w:rsid w:val="709AD039"/>
    <w:rsid w:val="712B13FF"/>
    <w:rsid w:val="7479A10A"/>
    <w:rsid w:val="781C6934"/>
    <w:rsid w:val="785B43B2"/>
    <w:rsid w:val="785FCB99"/>
    <w:rsid w:val="7983C379"/>
    <w:rsid w:val="7BEC0972"/>
    <w:rsid w:val="7C99117C"/>
    <w:rsid w:val="7CF6FCC4"/>
    <w:rsid w:val="7CFD29CB"/>
    <w:rsid w:val="7DE9652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heme="minorEastAsia"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0" w:name="Normal Indent"/>
    <w:lsdException w:qFormat="1" w:unhideWhenUsed="0" w:uiPriority="99"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35" w:semiHidden="0"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qFormat="1" w:unhideWhenUsed="0" w:uiPriority="0" w:semiHidden="0" w:name="Body Text 2"/>
    <w:lsdException w:uiPriority="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99" w:semiHidden="0" w:name="Document Map"/>
    <w:lsdException w:qFormat="1"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qFormat="1" w:unhideWhenUsed="0" w:uiPriority="0" w:semiHidden="0" w:name="Table Grid"/>
    <w:lsdException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utoSpaceDE w:val="0"/>
      <w:autoSpaceDN w:val="0"/>
      <w:adjustRightInd w:val="0"/>
      <w:snapToGrid w:val="0"/>
      <w:spacing w:after="120" w:line="259" w:lineRule="auto"/>
    </w:pPr>
    <w:rPr>
      <w:rFonts w:ascii="Times New Roman" w:hAnsi="Times New Roman" w:cs="Times New Roman" w:eastAsiaTheme="minorEastAsia"/>
      <w:sz w:val="22"/>
      <w:szCs w:val="22"/>
      <w:lang w:val="en-US" w:eastAsia="en-US" w:bidi="ar-SA"/>
    </w:rPr>
  </w:style>
  <w:style w:type="paragraph" w:styleId="2">
    <w:name w:val="heading 1"/>
    <w:basedOn w:val="1"/>
    <w:next w:val="1"/>
    <w:link w:val="93"/>
    <w:qFormat/>
    <w:uiPriority w:val="0"/>
    <w:pPr>
      <w:keepNext/>
      <w:keepLines/>
      <w:numPr>
        <w:ilvl w:val="0"/>
        <w:numId w:val="1"/>
      </w:numPr>
      <w:pBdr>
        <w:top w:val="single" w:color="auto" w:sz="12" w:space="3"/>
      </w:pBdr>
      <w:tabs>
        <w:tab w:val="left" w:pos="709"/>
        <w:tab w:val="clear" w:pos="432"/>
      </w:tabs>
      <w:overflowPunct w:val="0"/>
      <w:snapToGrid/>
      <w:spacing w:before="240" w:after="180"/>
      <w:ind w:left="709" w:hanging="709"/>
      <w:textAlignment w:val="baseline"/>
      <w:outlineLvl w:val="0"/>
    </w:pPr>
    <w:rPr>
      <w:rFonts w:ascii="Arial" w:hAnsi="Arial" w:eastAsia="Times New Roman" w:cs="Arial"/>
      <w:sz w:val="36"/>
      <w:szCs w:val="36"/>
      <w:lang w:val="en-GB" w:eastAsia="zh-CN"/>
    </w:rPr>
  </w:style>
  <w:style w:type="paragraph" w:styleId="3">
    <w:name w:val="heading 2"/>
    <w:basedOn w:val="1"/>
    <w:next w:val="1"/>
    <w:link w:val="170"/>
    <w:qFormat/>
    <w:uiPriority w:val="0"/>
    <w:pPr>
      <w:keepNext/>
      <w:numPr>
        <w:ilvl w:val="1"/>
        <w:numId w:val="1"/>
      </w:numPr>
      <w:spacing w:before="240"/>
      <w:outlineLvl w:val="1"/>
    </w:pPr>
    <w:rPr>
      <w:rFonts w:ascii="Arial" w:hAnsi="Arial"/>
      <w:b/>
      <w:bCs/>
      <w:sz w:val="24"/>
      <w:lang w:val="en-GB" w:eastAsia="zh-CN"/>
    </w:rPr>
  </w:style>
  <w:style w:type="paragraph" w:styleId="4">
    <w:name w:val="heading 3"/>
    <w:basedOn w:val="1"/>
    <w:next w:val="1"/>
    <w:link w:val="167"/>
    <w:qFormat/>
    <w:uiPriority w:val="0"/>
    <w:pPr>
      <w:keepNext/>
      <w:numPr>
        <w:ilvl w:val="2"/>
        <w:numId w:val="1"/>
      </w:numPr>
      <w:spacing w:before="120"/>
      <w:outlineLvl w:val="2"/>
    </w:pPr>
    <w:rPr>
      <w:b/>
    </w:rPr>
  </w:style>
  <w:style w:type="paragraph" w:styleId="5">
    <w:name w:val="heading 4"/>
    <w:basedOn w:val="1"/>
    <w:next w:val="1"/>
    <w:link w:val="171"/>
    <w:qFormat/>
    <w:uiPriority w:val="0"/>
    <w:pPr>
      <w:keepNext/>
      <w:numPr>
        <w:ilvl w:val="3"/>
        <w:numId w:val="1"/>
      </w:numPr>
      <w:spacing w:before="240" w:after="60"/>
      <w:outlineLvl w:val="3"/>
    </w:pPr>
    <w:rPr>
      <w:b/>
      <w:bCs/>
      <w:sz w:val="28"/>
      <w:szCs w:val="28"/>
    </w:rPr>
  </w:style>
  <w:style w:type="paragraph" w:styleId="6">
    <w:name w:val="heading 5"/>
    <w:basedOn w:val="1"/>
    <w:next w:val="1"/>
    <w:link w:val="172"/>
    <w:qFormat/>
    <w:uiPriority w:val="0"/>
    <w:pPr>
      <w:numPr>
        <w:ilvl w:val="4"/>
        <w:numId w:val="1"/>
      </w:numPr>
      <w:spacing w:before="240" w:after="60"/>
      <w:outlineLvl w:val="4"/>
    </w:pPr>
    <w:rPr>
      <w:b/>
      <w:bCs/>
      <w:i/>
      <w:iCs/>
      <w:sz w:val="26"/>
      <w:szCs w:val="26"/>
    </w:rPr>
  </w:style>
  <w:style w:type="paragraph" w:styleId="7">
    <w:name w:val="heading 6"/>
    <w:basedOn w:val="1"/>
    <w:next w:val="1"/>
    <w:link w:val="173"/>
    <w:qFormat/>
    <w:uiPriority w:val="0"/>
    <w:pPr>
      <w:numPr>
        <w:ilvl w:val="5"/>
        <w:numId w:val="1"/>
      </w:numPr>
      <w:spacing w:before="240" w:after="60"/>
      <w:outlineLvl w:val="5"/>
    </w:pPr>
    <w:rPr>
      <w:b/>
      <w:bCs/>
    </w:rPr>
  </w:style>
  <w:style w:type="paragraph" w:styleId="8">
    <w:name w:val="heading 7"/>
    <w:basedOn w:val="1"/>
    <w:next w:val="1"/>
    <w:link w:val="174"/>
    <w:qFormat/>
    <w:uiPriority w:val="0"/>
    <w:pPr>
      <w:numPr>
        <w:ilvl w:val="6"/>
        <w:numId w:val="1"/>
      </w:numPr>
      <w:spacing w:before="240" w:after="60"/>
      <w:outlineLvl w:val="6"/>
    </w:pPr>
    <w:rPr>
      <w:sz w:val="24"/>
      <w:szCs w:val="24"/>
    </w:rPr>
  </w:style>
  <w:style w:type="paragraph" w:styleId="9">
    <w:name w:val="heading 8"/>
    <w:basedOn w:val="1"/>
    <w:next w:val="1"/>
    <w:link w:val="175"/>
    <w:qFormat/>
    <w:uiPriority w:val="0"/>
    <w:pPr>
      <w:numPr>
        <w:ilvl w:val="7"/>
        <w:numId w:val="1"/>
      </w:numPr>
      <w:spacing w:before="240" w:after="60"/>
      <w:outlineLvl w:val="7"/>
    </w:pPr>
    <w:rPr>
      <w:i/>
      <w:iCs/>
      <w:sz w:val="24"/>
      <w:szCs w:val="24"/>
    </w:rPr>
  </w:style>
  <w:style w:type="paragraph" w:styleId="10">
    <w:name w:val="heading 9"/>
    <w:basedOn w:val="1"/>
    <w:next w:val="1"/>
    <w:link w:val="176"/>
    <w:qFormat/>
    <w:uiPriority w:val="0"/>
    <w:pPr>
      <w:numPr>
        <w:ilvl w:val="8"/>
        <w:numId w:val="1"/>
      </w:numPr>
      <w:spacing w:before="240" w:after="60"/>
      <w:outlineLvl w:val="8"/>
    </w:pPr>
    <w:rPr>
      <w:rFonts w:ascii="Arial" w:hAnsi="Arial"/>
    </w:rPr>
  </w:style>
  <w:style w:type="character" w:default="1" w:styleId="53">
    <w:name w:val="Default Paragraph Font"/>
    <w:semiHidden/>
    <w:unhideWhenUsed/>
    <w:uiPriority w:val="1"/>
  </w:style>
  <w:style w:type="table" w:default="1" w:styleId="51">
    <w:name w:val="Normal Table"/>
    <w:semiHidden/>
    <w:unhideWhenUsed/>
    <w:qFormat/>
    <w:uiPriority w:val="99"/>
    <w:tblPr>
      <w:tblCellMar>
        <w:top w:w="0" w:type="dxa"/>
        <w:left w:w="108" w:type="dxa"/>
        <w:bottom w:w="0" w:type="dxa"/>
        <w:right w:w="108" w:type="dxa"/>
      </w:tblCellMar>
    </w:tblPr>
  </w:style>
  <w:style w:type="paragraph" w:styleId="11">
    <w:name w:val="List 3"/>
    <w:basedOn w:val="12"/>
    <w:link w:val="181"/>
    <w:qFormat/>
    <w:uiPriority w:val="0"/>
    <w:pPr>
      <w:overflowPunct w:val="0"/>
      <w:snapToGrid/>
      <w:spacing w:after="180"/>
      <w:ind w:left="1135" w:hanging="284"/>
      <w:contextualSpacing w:val="0"/>
      <w:textAlignment w:val="baseline"/>
    </w:pPr>
    <w:rPr>
      <w:rFonts w:eastAsia="Times New Roman"/>
      <w:sz w:val="20"/>
      <w:szCs w:val="20"/>
      <w:lang w:val="en-GB" w:eastAsia="en-GB"/>
    </w:rPr>
  </w:style>
  <w:style w:type="paragraph" w:styleId="12">
    <w:name w:val="List 2"/>
    <w:basedOn w:val="1"/>
    <w:link w:val="180"/>
    <w:qFormat/>
    <w:uiPriority w:val="0"/>
    <w:pPr>
      <w:ind w:left="720" w:hanging="360"/>
      <w:contextualSpacing/>
    </w:pPr>
  </w:style>
  <w:style w:type="paragraph" w:styleId="13">
    <w:name w:val="toc 7"/>
    <w:basedOn w:val="14"/>
    <w:next w:val="1"/>
    <w:qFormat/>
    <w:uiPriority w:val="0"/>
    <w:pPr>
      <w:tabs>
        <w:tab w:val="right" w:leader="dot" w:pos="9639"/>
      </w:tabs>
      <w:ind w:left="2268" w:hanging="2268"/>
    </w:pPr>
  </w:style>
  <w:style w:type="paragraph" w:styleId="14">
    <w:name w:val="toc 6"/>
    <w:basedOn w:val="15"/>
    <w:next w:val="1"/>
    <w:qFormat/>
    <w:uiPriority w:val="0"/>
    <w:pPr>
      <w:tabs>
        <w:tab w:val="right" w:leader="dot" w:pos="9639"/>
      </w:tabs>
      <w:ind w:left="1985" w:hanging="1985"/>
    </w:pPr>
  </w:style>
  <w:style w:type="paragraph" w:styleId="15">
    <w:name w:val="toc 5"/>
    <w:basedOn w:val="16"/>
    <w:next w:val="1"/>
    <w:qFormat/>
    <w:uiPriority w:val="0"/>
    <w:pPr>
      <w:tabs>
        <w:tab w:val="right" w:leader="dot" w:pos="9639"/>
      </w:tabs>
      <w:ind w:left="1701" w:hanging="1701"/>
    </w:pPr>
  </w:style>
  <w:style w:type="paragraph" w:styleId="16">
    <w:name w:val="toc 4"/>
    <w:basedOn w:val="17"/>
    <w:next w:val="1"/>
    <w:qFormat/>
    <w:uiPriority w:val="0"/>
    <w:pPr>
      <w:tabs>
        <w:tab w:val="right" w:leader="dot" w:pos="9639"/>
      </w:tabs>
      <w:ind w:left="1418" w:hanging="1418"/>
    </w:pPr>
  </w:style>
  <w:style w:type="paragraph" w:styleId="17">
    <w:name w:val="toc 3"/>
    <w:basedOn w:val="18"/>
    <w:next w:val="1"/>
    <w:qFormat/>
    <w:uiPriority w:val="0"/>
    <w:pPr>
      <w:tabs>
        <w:tab w:val="right" w:leader="dot" w:pos="9639"/>
      </w:tabs>
      <w:ind w:left="1134" w:hanging="1134"/>
    </w:pPr>
  </w:style>
  <w:style w:type="paragraph" w:styleId="18">
    <w:name w:val="toc 2"/>
    <w:basedOn w:val="19"/>
    <w:next w:val="1"/>
    <w:qFormat/>
    <w:uiPriority w:val="0"/>
    <w:pPr>
      <w:keepNext w:val="0"/>
      <w:tabs>
        <w:tab w:val="right" w:leader="dot" w:pos="9639"/>
      </w:tabs>
      <w:spacing w:before="0"/>
      <w:ind w:left="851" w:hanging="851"/>
    </w:pPr>
    <w:rPr>
      <w:sz w:val="20"/>
    </w:rPr>
  </w:style>
  <w:style w:type="paragraph" w:styleId="19">
    <w:name w:val="toc 1"/>
    <w:next w:val="1"/>
    <w:qFormat/>
    <w:uiPriority w:val="0"/>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eastAsia="Times New Roman" w:cs="Times New Roman"/>
      <w:sz w:val="22"/>
      <w:lang w:val="en-GB" w:eastAsia="en-GB" w:bidi="ar-SA"/>
    </w:rPr>
  </w:style>
  <w:style w:type="paragraph" w:styleId="20">
    <w:name w:val="List Number 2"/>
    <w:basedOn w:val="21"/>
    <w:qFormat/>
    <w:uiPriority w:val="0"/>
    <w:pPr>
      <w:ind w:left="851"/>
    </w:pPr>
  </w:style>
  <w:style w:type="paragraph" w:styleId="21">
    <w:name w:val="List Number"/>
    <w:basedOn w:val="22"/>
    <w:qFormat/>
    <w:uiPriority w:val="0"/>
    <w:pPr>
      <w:overflowPunct w:val="0"/>
      <w:snapToGrid/>
      <w:spacing w:after="180"/>
      <w:ind w:left="568" w:hanging="284"/>
      <w:textAlignment w:val="baseline"/>
    </w:pPr>
    <w:rPr>
      <w:rFonts w:eastAsia="Times New Roman"/>
      <w:sz w:val="20"/>
      <w:szCs w:val="20"/>
      <w:lang w:val="en-GB" w:eastAsia="en-GB"/>
    </w:rPr>
  </w:style>
  <w:style w:type="paragraph" w:styleId="22">
    <w:name w:val="List"/>
    <w:basedOn w:val="1"/>
    <w:link w:val="177"/>
    <w:qFormat/>
    <w:uiPriority w:val="0"/>
    <w:pPr>
      <w:ind w:left="360" w:hanging="360"/>
    </w:pPr>
  </w:style>
  <w:style w:type="paragraph" w:styleId="23">
    <w:name w:val="List Bullet 4"/>
    <w:basedOn w:val="24"/>
    <w:qFormat/>
    <w:uiPriority w:val="0"/>
    <w:pPr>
      <w:ind w:left="1418"/>
    </w:pPr>
  </w:style>
  <w:style w:type="paragraph" w:styleId="24">
    <w:name w:val="List Bullet 3"/>
    <w:basedOn w:val="25"/>
    <w:qFormat/>
    <w:uiPriority w:val="0"/>
    <w:pPr>
      <w:ind w:left="1135"/>
    </w:pPr>
  </w:style>
  <w:style w:type="paragraph" w:styleId="25">
    <w:name w:val="List Bullet 2"/>
    <w:basedOn w:val="26"/>
    <w:qFormat/>
    <w:uiPriority w:val="0"/>
    <w:pPr>
      <w:overflowPunct w:val="0"/>
      <w:autoSpaceDE w:val="0"/>
      <w:autoSpaceDN w:val="0"/>
      <w:adjustRightInd w:val="0"/>
      <w:snapToGrid/>
      <w:ind w:left="851"/>
      <w:textAlignment w:val="baseline"/>
    </w:pPr>
    <w:rPr>
      <w:rFonts w:eastAsia="Times New Roman"/>
      <w:lang w:eastAsia="en-GB"/>
    </w:rPr>
  </w:style>
  <w:style w:type="paragraph" w:styleId="26">
    <w:name w:val="List Bullet"/>
    <w:basedOn w:val="22"/>
    <w:qFormat/>
    <w:uiPriority w:val="0"/>
    <w:pPr>
      <w:autoSpaceDE/>
      <w:autoSpaceDN/>
      <w:adjustRightInd/>
      <w:spacing w:after="180"/>
      <w:ind w:left="568" w:hanging="284"/>
    </w:pPr>
    <w:rPr>
      <w:sz w:val="20"/>
      <w:szCs w:val="20"/>
      <w:lang w:val="en-GB"/>
    </w:rPr>
  </w:style>
  <w:style w:type="paragraph" w:styleId="27">
    <w:name w:val="caption"/>
    <w:basedOn w:val="1"/>
    <w:next w:val="1"/>
    <w:link w:val="69"/>
    <w:qFormat/>
    <w:uiPriority w:val="35"/>
    <w:pPr>
      <w:jc w:val="center"/>
    </w:pPr>
    <w:rPr>
      <w:b/>
      <w:bCs/>
      <w:sz w:val="20"/>
      <w:szCs w:val="20"/>
    </w:rPr>
  </w:style>
  <w:style w:type="paragraph" w:styleId="28">
    <w:name w:val="Document Map"/>
    <w:basedOn w:val="1"/>
    <w:link w:val="74"/>
    <w:qFormat/>
    <w:uiPriority w:val="99"/>
    <w:rPr>
      <w:rFonts w:ascii="Tahoma" w:hAnsi="Tahoma"/>
      <w:sz w:val="16"/>
      <w:szCs w:val="16"/>
    </w:rPr>
  </w:style>
  <w:style w:type="paragraph" w:styleId="29">
    <w:name w:val="annotation text"/>
    <w:basedOn w:val="1"/>
    <w:link w:val="75"/>
    <w:qFormat/>
    <w:uiPriority w:val="99"/>
    <w:rPr>
      <w:sz w:val="20"/>
      <w:szCs w:val="20"/>
    </w:rPr>
  </w:style>
  <w:style w:type="paragraph" w:styleId="30">
    <w:name w:val="Body Text"/>
    <w:basedOn w:val="1"/>
    <w:link w:val="134"/>
    <w:qFormat/>
    <w:uiPriority w:val="0"/>
    <w:rPr>
      <w:sz w:val="20"/>
      <w:szCs w:val="20"/>
    </w:rPr>
  </w:style>
  <w:style w:type="paragraph" w:styleId="31">
    <w:name w:val="Plain Text"/>
    <w:basedOn w:val="1"/>
    <w:link w:val="90"/>
    <w:unhideWhenUsed/>
    <w:qFormat/>
    <w:uiPriority w:val="0"/>
    <w:pPr>
      <w:autoSpaceDE/>
      <w:autoSpaceDN/>
      <w:adjustRightInd/>
      <w:snapToGrid/>
      <w:spacing w:after="0"/>
    </w:pPr>
    <w:rPr>
      <w:rFonts w:ascii="Consolas" w:hAnsi="Consolas" w:eastAsia="Calibri"/>
      <w:sz w:val="21"/>
      <w:szCs w:val="21"/>
    </w:rPr>
  </w:style>
  <w:style w:type="paragraph" w:styleId="32">
    <w:name w:val="List Bullet 5"/>
    <w:basedOn w:val="23"/>
    <w:qFormat/>
    <w:uiPriority w:val="0"/>
    <w:pPr>
      <w:ind w:left="1702"/>
    </w:pPr>
  </w:style>
  <w:style w:type="paragraph" w:styleId="33">
    <w:name w:val="toc 8"/>
    <w:basedOn w:val="19"/>
    <w:next w:val="1"/>
    <w:qFormat/>
    <w:uiPriority w:val="0"/>
    <w:pPr>
      <w:spacing w:before="180"/>
      <w:ind w:left="2693" w:hanging="2693"/>
    </w:pPr>
    <w:rPr>
      <w:b/>
    </w:rPr>
  </w:style>
  <w:style w:type="paragraph" w:styleId="34">
    <w:name w:val="Date"/>
    <w:basedOn w:val="1"/>
    <w:next w:val="1"/>
    <w:link w:val="151"/>
    <w:qFormat/>
    <w:uiPriority w:val="0"/>
    <w:pPr>
      <w:overflowPunct w:val="0"/>
      <w:snapToGrid/>
      <w:spacing w:after="0"/>
      <w:textAlignment w:val="baseline"/>
    </w:pPr>
    <w:rPr>
      <w:rFonts w:eastAsia="Times New Roman"/>
      <w:sz w:val="20"/>
      <w:szCs w:val="20"/>
      <w:lang w:val="en-GB" w:eastAsia="en-GB"/>
    </w:rPr>
  </w:style>
  <w:style w:type="paragraph" w:styleId="35">
    <w:name w:val="Body Text Indent 2"/>
    <w:basedOn w:val="1"/>
    <w:link w:val="136"/>
    <w:qFormat/>
    <w:uiPriority w:val="0"/>
    <w:pPr>
      <w:widowControl w:val="0"/>
      <w:tabs>
        <w:tab w:val="left" w:pos="2205"/>
      </w:tabs>
      <w:overflowPunct w:val="0"/>
      <w:snapToGrid/>
      <w:spacing w:after="0"/>
      <w:ind w:left="200"/>
      <w:textAlignment w:val="baseline"/>
    </w:pPr>
    <w:rPr>
      <w:rFonts w:eastAsia="Times New Roman"/>
      <w:kern w:val="2"/>
      <w:sz w:val="20"/>
      <w:szCs w:val="20"/>
      <w:lang w:eastAsia="ja-JP"/>
    </w:rPr>
  </w:style>
  <w:style w:type="paragraph" w:styleId="36">
    <w:name w:val="Balloon Text"/>
    <w:basedOn w:val="1"/>
    <w:link w:val="60"/>
    <w:semiHidden/>
    <w:qFormat/>
    <w:uiPriority w:val="99"/>
    <w:rPr>
      <w:rFonts w:ascii="Tahoma" w:hAnsi="Tahoma"/>
      <w:sz w:val="16"/>
      <w:szCs w:val="16"/>
    </w:rPr>
  </w:style>
  <w:style w:type="paragraph" w:styleId="37">
    <w:name w:val="footer"/>
    <w:basedOn w:val="1"/>
    <w:link w:val="71"/>
    <w:qFormat/>
    <w:uiPriority w:val="0"/>
    <w:pPr>
      <w:tabs>
        <w:tab w:val="center" w:pos="4680"/>
        <w:tab w:val="right" w:pos="9360"/>
      </w:tabs>
    </w:pPr>
  </w:style>
  <w:style w:type="paragraph" w:styleId="38">
    <w:name w:val="header"/>
    <w:basedOn w:val="1"/>
    <w:link w:val="70"/>
    <w:qFormat/>
    <w:uiPriority w:val="0"/>
    <w:pPr>
      <w:tabs>
        <w:tab w:val="center" w:pos="4680"/>
        <w:tab w:val="right" w:pos="9360"/>
      </w:tabs>
    </w:pPr>
  </w:style>
  <w:style w:type="paragraph" w:styleId="39">
    <w:name w:val="index heading"/>
    <w:basedOn w:val="1"/>
    <w:next w:val="1"/>
    <w:qFormat/>
    <w:uiPriority w:val="0"/>
    <w:pPr>
      <w:pBdr>
        <w:top w:val="single" w:color="auto" w:sz="12" w:space="0"/>
      </w:pBdr>
      <w:overflowPunct w:val="0"/>
      <w:snapToGrid/>
      <w:spacing w:before="360" w:after="240"/>
      <w:textAlignment w:val="baseline"/>
    </w:pPr>
    <w:rPr>
      <w:rFonts w:eastAsia="Times New Roman"/>
      <w:b/>
      <w:i/>
      <w:sz w:val="26"/>
      <w:szCs w:val="20"/>
      <w:lang w:val="en-GB" w:eastAsia="en-GB"/>
    </w:rPr>
  </w:style>
  <w:style w:type="paragraph" w:styleId="40">
    <w:name w:val="footnote text"/>
    <w:basedOn w:val="1"/>
    <w:link w:val="178"/>
    <w:qFormat/>
    <w:uiPriority w:val="99"/>
    <w:rPr>
      <w:sz w:val="20"/>
      <w:szCs w:val="20"/>
    </w:rPr>
  </w:style>
  <w:style w:type="paragraph" w:styleId="41">
    <w:name w:val="List 5"/>
    <w:basedOn w:val="42"/>
    <w:qFormat/>
    <w:uiPriority w:val="0"/>
    <w:pPr>
      <w:ind w:left="1702"/>
    </w:pPr>
  </w:style>
  <w:style w:type="paragraph" w:styleId="42">
    <w:name w:val="List 4"/>
    <w:basedOn w:val="11"/>
    <w:qFormat/>
    <w:uiPriority w:val="0"/>
    <w:pPr>
      <w:ind w:left="1418"/>
    </w:pPr>
  </w:style>
  <w:style w:type="paragraph" w:styleId="43">
    <w:name w:val="Body Text Indent 3"/>
    <w:basedOn w:val="1"/>
    <w:link w:val="137"/>
    <w:qFormat/>
    <w:uiPriority w:val="0"/>
    <w:pPr>
      <w:overflowPunct w:val="0"/>
      <w:snapToGrid/>
      <w:spacing w:after="0"/>
      <w:ind w:left="1080"/>
      <w:textAlignment w:val="baseline"/>
    </w:pPr>
    <w:rPr>
      <w:rFonts w:eastAsia="Times New Roman"/>
      <w:sz w:val="20"/>
      <w:szCs w:val="20"/>
      <w:lang w:eastAsia="ja-JP"/>
    </w:rPr>
  </w:style>
  <w:style w:type="paragraph" w:styleId="44">
    <w:name w:val="toc 9"/>
    <w:basedOn w:val="33"/>
    <w:next w:val="1"/>
    <w:qFormat/>
    <w:uiPriority w:val="0"/>
    <w:pPr>
      <w:ind w:left="1418" w:hanging="1418"/>
    </w:pPr>
  </w:style>
  <w:style w:type="paragraph" w:styleId="45">
    <w:name w:val="Body Text 2"/>
    <w:basedOn w:val="1"/>
    <w:link w:val="186"/>
    <w:qFormat/>
    <w:uiPriority w:val="0"/>
    <w:pPr>
      <w:spacing w:after="0"/>
    </w:pPr>
    <w:rPr>
      <w:szCs w:val="20"/>
    </w:rPr>
  </w:style>
  <w:style w:type="paragraph" w:styleId="46">
    <w:name w:val="Normal (Web)"/>
    <w:basedOn w:val="1"/>
    <w:unhideWhenUsed/>
    <w:qFormat/>
    <w:uiPriority w:val="99"/>
    <w:pPr>
      <w:autoSpaceDE/>
      <w:autoSpaceDN/>
      <w:adjustRightInd/>
      <w:snapToGrid/>
      <w:spacing w:before="100" w:beforeAutospacing="1" w:after="100" w:afterAutospacing="1"/>
    </w:pPr>
    <w:rPr>
      <w:rFonts w:ascii="宋体" w:hAnsi="宋体" w:cs="宋体"/>
      <w:sz w:val="24"/>
      <w:szCs w:val="24"/>
      <w:lang w:eastAsia="zh-CN"/>
    </w:rPr>
  </w:style>
  <w:style w:type="paragraph" w:styleId="47">
    <w:name w:val="index 1"/>
    <w:basedOn w:val="1"/>
    <w:next w:val="1"/>
    <w:qFormat/>
    <w:uiPriority w:val="0"/>
    <w:pPr>
      <w:keepLines/>
      <w:overflowPunct w:val="0"/>
      <w:snapToGrid/>
      <w:spacing w:after="0"/>
      <w:textAlignment w:val="baseline"/>
    </w:pPr>
    <w:rPr>
      <w:sz w:val="20"/>
      <w:szCs w:val="20"/>
      <w:lang w:val="en-GB"/>
    </w:rPr>
  </w:style>
  <w:style w:type="paragraph" w:styleId="48">
    <w:name w:val="index 2"/>
    <w:basedOn w:val="47"/>
    <w:next w:val="1"/>
    <w:qFormat/>
    <w:uiPriority w:val="0"/>
    <w:pPr>
      <w:ind w:left="284"/>
    </w:pPr>
    <w:rPr>
      <w:rFonts w:eastAsia="Times New Roman"/>
      <w:lang w:eastAsia="en-GB"/>
    </w:rPr>
  </w:style>
  <w:style w:type="paragraph" w:styleId="49">
    <w:name w:val="Title"/>
    <w:basedOn w:val="1"/>
    <w:next w:val="1"/>
    <w:link w:val="78"/>
    <w:qFormat/>
    <w:uiPriority w:val="0"/>
    <w:pPr>
      <w:spacing w:before="240" w:after="60"/>
      <w:jc w:val="center"/>
      <w:outlineLvl w:val="0"/>
    </w:pPr>
    <w:rPr>
      <w:rFonts w:ascii="Cambria" w:hAnsi="Cambria"/>
      <w:b/>
      <w:bCs/>
      <w:sz w:val="32"/>
      <w:szCs w:val="32"/>
    </w:rPr>
  </w:style>
  <w:style w:type="paragraph" w:styleId="50">
    <w:name w:val="annotation subject"/>
    <w:basedOn w:val="29"/>
    <w:next w:val="29"/>
    <w:link w:val="76"/>
    <w:qFormat/>
    <w:uiPriority w:val="99"/>
    <w:rPr>
      <w:b/>
      <w:bCs/>
    </w:rPr>
  </w:style>
  <w:style w:type="table" w:styleId="52">
    <w:name w:val="Table Grid"/>
    <w:basedOn w:val="51"/>
    <w:qFormat/>
    <w:uiPriority w:val="0"/>
    <w:pPr>
      <w:widowControl w:val="0"/>
      <w:autoSpaceDE w:val="0"/>
      <w:autoSpaceDN w:val="0"/>
      <w:adjustRightInd w:val="0"/>
      <w:spacing w:after="12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style>
  <w:style w:type="character" w:styleId="54">
    <w:name w:val="Strong"/>
    <w:qFormat/>
    <w:uiPriority w:val="0"/>
    <w:rPr>
      <w:b/>
      <w:bCs/>
    </w:rPr>
  </w:style>
  <w:style w:type="character" w:styleId="55">
    <w:name w:val="FollowedHyperlink"/>
    <w:qFormat/>
    <w:uiPriority w:val="0"/>
    <w:rPr>
      <w:color w:val="800080"/>
      <w:u w:val="single"/>
    </w:rPr>
  </w:style>
  <w:style w:type="character" w:styleId="56">
    <w:name w:val="Emphasis"/>
    <w:qFormat/>
    <w:uiPriority w:val="0"/>
    <w:rPr>
      <w:i/>
      <w:iCs/>
    </w:rPr>
  </w:style>
  <w:style w:type="character" w:styleId="57">
    <w:name w:val="Hyperlink"/>
    <w:qFormat/>
    <w:uiPriority w:val="99"/>
    <w:rPr>
      <w:color w:val="0000FF"/>
      <w:u w:val="single"/>
    </w:rPr>
  </w:style>
  <w:style w:type="character" w:styleId="58">
    <w:name w:val="annotation reference"/>
    <w:qFormat/>
    <w:uiPriority w:val="0"/>
    <w:rPr>
      <w:sz w:val="16"/>
      <w:szCs w:val="16"/>
    </w:rPr>
  </w:style>
  <w:style w:type="character" w:styleId="59">
    <w:name w:val="footnote reference"/>
    <w:qFormat/>
    <w:uiPriority w:val="0"/>
    <w:rPr>
      <w:vertAlign w:val="superscript"/>
    </w:rPr>
  </w:style>
  <w:style w:type="character" w:customStyle="1" w:styleId="60">
    <w:name w:val="Balloon Text Char"/>
    <w:link w:val="36"/>
    <w:semiHidden/>
    <w:qFormat/>
    <w:uiPriority w:val="99"/>
    <w:rPr>
      <w:rFonts w:ascii="Tahoma" w:hAnsi="Tahoma" w:cs="Tahoma"/>
      <w:sz w:val="16"/>
      <w:szCs w:val="16"/>
      <w:lang w:eastAsia="en-US"/>
    </w:rPr>
  </w:style>
  <w:style w:type="paragraph" w:customStyle="1" w:styleId="61">
    <w:name w:val="Normal."/>
    <w:qFormat/>
    <w:uiPriority w:val="0"/>
    <w:pPr>
      <w:widowControl w:val="0"/>
      <w:spacing w:after="160" w:line="180" w:lineRule="atLeast"/>
    </w:pPr>
    <w:rPr>
      <w:rFonts w:ascii="Times New Roman" w:hAnsi="Times New Roman" w:eastAsia="Batang" w:cs="Times New Roman"/>
      <w:kern w:val="2"/>
      <w:sz w:val="18"/>
      <w:szCs w:val="18"/>
      <w:lang w:val="en-US" w:eastAsia="en-US" w:bidi="ar-SA"/>
    </w:rPr>
  </w:style>
  <w:style w:type="paragraph" w:customStyle="1" w:styleId="62">
    <w:name w:val="EX"/>
    <w:basedOn w:val="1"/>
    <w:qFormat/>
    <w:uiPriority w:val="0"/>
    <w:pPr>
      <w:keepLines/>
      <w:autoSpaceDE/>
      <w:autoSpaceDN/>
      <w:adjustRightInd/>
      <w:spacing w:after="180"/>
      <w:ind w:left="1702" w:hanging="1418"/>
    </w:pPr>
    <w:rPr>
      <w:sz w:val="20"/>
      <w:szCs w:val="20"/>
      <w:lang w:val="en-GB"/>
    </w:rPr>
  </w:style>
  <w:style w:type="paragraph" w:customStyle="1" w:styleId="63">
    <w:name w:val="References"/>
    <w:basedOn w:val="1"/>
    <w:next w:val="1"/>
    <w:qFormat/>
    <w:uiPriority w:val="0"/>
    <w:pPr>
      <w:numPr>
        <w:ilvl w:val="0"/>
        <w:numId w:val="2"/>
      </w:numPr>
      <w:adjustRightInd/>
      <w:spacing w:after="60"/>
    </w:pPr>
    <w:rPr>
      <w:sz w:val="20"/>
      <w:szCs w:val="16"/>
    </w:rPr>
  </w:style>
  <w:style w:type="paragraph" w:customStyle="1" w:styleId="64">
    <w:name w:val="1"/>
    <w:next w:val="1"/>
    <w:semiHidden/>
    <w:qFormat/>
    <w:uiPriority w:val="0"/>
    <w:pPr>
      <w:keepNext/>
      <w:tabs>
        <w:tab w:val="left" w:pos="720"/>
      </w:tabs>
      <w:autoSpaceDE w:val="0"/>
      <w:autoSpaceDN w:val="0"/>
      <w:adjustRightInd w:val="0"/>
      <w:spacing w:after="160" w:line="259" w:lineRule="auto"/>
      <w:ind w:left="720" w:hanging="360"/>
      <w:jc w:val="both"/>
    </w:pPr>
    <w:rPr>
      <w:rFonts w:ascii="Times New Roman" w:hAnsi="Times New Roman" w:eastAsia="Times New Roman" w:cs="Times New Roman"/>
      <w:kern w:val="2"/>
      <w:lang w:val="en-GB" w:eastAsia="zh-CN" w:bidi="ar-SA"/>
    </w:rPr>
  </w:style>
  <w:style w:type="paragraph" w:customStyle="1" w:styleId="65">
    <w:name w:val="Char"/>
    <w:semiHidden/>
    <w:qFormat/>
    <w:uiPriority w:val="0"/>
    <w:pPr>
      <w:keepNext/>
      <w:numPr>
        <w:ilvl w:val="0"/>
        <w:numId w:val="3"/>
      </w:numPr>
      <w:autoSpaceDE w:val="0"/>
      <w:autoSpaceDN w:val="0"/>
      <w:adjustRightInd w:val="0"/>
      <w:spacing w:before="60" w:after="60" w:line="259" w:lineRule="auto"/>
      <w:jc w:val="both"/>
    </w:pPr>
    <w:rPr>
      <w:rFonts w:ascii="Arial" w:hAnsi="Arial" w:cs="Arial" w:eastAsiaTheme="minorEastAsia"/>
      <w:color w:val="0000FF"/>
      <w:kern w:val="2"/>
      <w:lang w:val="en-US" w:eastAsia="zh-CN" w:bidi="ar-SA"/>
    </w:rPr>
  </w:style>
  <w:style w:type="paragraph" w:customStyle="1" w:styleId="66">
    <w:name w:val="EQ"/>
    <w:basedOn w:val="1"/>
    <w:next w:val="1"/>
    <w:qFormat/>
    <w:uiPriority w:val="0"/>
    <w:pPr>
      <w:keepLines/>
      <w:tabs>
        <w:tab w:val="center" w:pos="4536"/>
        <w:tab w:val="right" w:pos="9072"/>
      </w:tabs>
      <w:autoSpaceDE/>
      <w:autoSpaceDN/>
      <w:adjustRightInd/>
      <w:spacing w:after="180"/>
    </w:pPr>
    <w:rPr>
      <w:rFonts w:eastAsia="Times New Roman"/>
      <w:sz w:val="20"/>
      <w:szCs w:val="20"/>
      <w:lang w:val="en-GB"/>
    </w:rPr>
  </w:style>
  <w:style w:type="paragraph" w:customStyle="1" w:styleId="67">
    <w:name w:val="Zchn Zchn"/>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cs="Arial" w:eastAsiaTheme="minorEastAsia"/>
      <w:color w:val="0000FF"/>
      <w:kern w:val="2"/>
      <w:lang w:val="en-US" w:eastAsia="zh-CN" w:bidi="ar-SA"/>
    </w:rPr>
  </w:style>
  <w:style w:type="paragraph" w:customStyle="1" w:styleId="68">
    <w:name w:val="Char Char"/>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cs="Arial" w:eastAsiaTheme="minorEastAsia"/>
      <w:color w:val="0000FF"/>
      <w:kern w:val="2"/>
      <w:lang w:val="en-US" w:eastAsia="zh-CN" w:bidi="ar-SA"/>
    </w:rPr>
  </w:style>
  <w:style w:type="character" w:customStyle="1" w:styleId="69">
    <w:name w:val="Caption Char"/>
    <w:link w:val="27"/>
    <w:qFormat/>
    <w:uiPriority w:val="35"/>
    <w:rPr>
      <w:b/>
      <w:bCs/>
      <w:lang w:eastAsia="en-US"/>
    </w:rPr>
  </w:style>
  <w:style w:type="character" w:customStyle="1" w:styleId="70">
    <w:name w:val="Header Char"/>
    <w:link w:val="38"/>
    <w:qFormat/>
    <w:uiPriority w:val="0"/>
    <w:rPr>
      <w:sz w:val="22"/>
      <w:szCs w:val="22"/>
    </w:rPr>
  </w:style>
  <w:style w:type="character" w:customStyle="1" w:styleId="71">
    <w:name w:val="Footer Char"/>
    <w:link w:val="37"/>
    <w:qFormat/>
    <w:uiPriority w:val="0"/>
    <w:rPr>
      <w:sz w:val="22"/>
      <w:szCs w:val="22"/>
    </w:rPr>
  </w:style>
  <w:style w:type="paragraph" w:customStyle="1" w:styleId="72">
    <w:name w:val="Char Char1 Char Char Char Char Char Char Char Char Char Char Char Char Char Char Char"/>
    <w:semiHidden/>
    <w:qFormat/>
    <w:uiPriority w:val="0"/>
    <w:pPr>
      <w:keepNext/>
      <w:tabs>
        <w:tab w:val="left" w:pos="360"/>
      </w:tabs>
      <w:autoSpaceDE w:val="0"/>
      <w:autoSpaceDN w:val="0"/>
      <w:adjustRightInd w:val="0"/>
      <w:spacing w:before="60" w:after="60" w:line="259" w:lineRule="auto"/>
      <w:ind w:left="360" w:hanging="360"/>
      <w:jc w:val="both"/>
    </w:pPr>
    <w:rPr>
      <w:rFonts w:ascii="Arial" w:hAnsi="Arial" w:cs="Arial" w:eastAsiaTheme="minorEastAsia"/>
      <w:color w:val="0000FF"/>
      <w:kern w:val="2"/>
      <w:lang w:val="en-US" w:eastAsia="zh-CN" w:bidi="ar-SA"/>
    </w:rPr>
  </w:style>
  <w:style w:type="paragraph" w:styleId="73">
    <w:name w:val="List Paragraph"/>
    <w:basedOn w:val="1"/>
    <w:link w:val="187"/>
    <w:qFormat/>
    <w:uiPriority w:val="34"/>
    <w:pPr>
      <w:autoSpaceDE/>
      <w:autoSpaceDN/>
      <w:adjustRightInd/>
      <w:spacing w:after="0"/>
      <w:ind w:left="720"/>
    </w:pPr>
    <w:rPr>
      <w:rFonts w:ascii="Calibri" w:hAnsi="Calibri"/>
    </w:rPr>
  </w:style>
  <w:style w:type="character" w:customStyle="1" w:styleId="74">
    <w:name w:val="Document Map Char"/>
    <w:link w:val="28"/>
    <w:qFormat/>
    <w:uiPriority w:val="99"/>
    <w:rPr>
      <w:rFonts w:ascii="Tahoma" w:hAnsi="Tahoma" w:cs="Tahoma"/>
      <w:sz w:val="16"/>
      <w:szCs w:val="16"/>
    </w:rPr>
  </w:style>
  <w:style w:type="character" w:customStyle="1" w:styleId="75">
    <w:name w:val="Comment Text Char"/>
    <w:basedOn w:val="53"/>
    <w:link w:val="29"/>
    <w:qFormat/>
    <w:uiPriority w:val="99"/>
  </w:style>
  <w:style w:type="character" w:customStyle="1" w:styleId="76">
    <w:name w:val="Comment Subject Char"/>
    <w:link w:val="50"/>
    <w:qFormat/>
    <w:uiPriority w:val="99"/>
    <w:rPr>
      <w:b/>
      <w:bCs/>
    </w:rPr>
  </w:style>
  <w:style w:type="paragraph" w:customStyle="1" w:styleId="77">
    <w:name w:val="Revision1"/>
    <w:hidden/>
    <w:semiHidden/>
    <w:qFormat/>
    <w:uiPriority w:val="99"/>
    <w:pPr>
      <w:spacing w:after="160" w:line="259" w:lineRule="auto"/>
    </w:pPr>
    <w:rPr>
      <w:rFonts w:ascii="Times New Roman" w:hAnsi="Times New Roman" w:cs="Times New Roman" w:eastAsiaTheme="minorEastAsia"/>
      <w:sz w:val="22"/>
      <w:szCs w:val="22"/>
      <w:lang w:val="en-GB" w:eastAsia="en-US" w:bidi="ar-SA"/>
    </w:rPr>
  </w:style>
  <w:style w:type="character" w:customStyle="1" w:styleId="78">
    <w:name w:val="Title Char"/>
    <w:link w:val="49"/>
    <w:qFormat/>
    <w:uiPriority w:val="0"/>
    <w:rPr>
      <w:rFonts w:ascii="Cambria" w:hAnsi="Cambria" w:cs="Times New Roman"/>
      <w:b/>
      <w:bCs/>
      <w:sz w:val="32"/>
      <w:szCs w:val="32"/>
      <w:lang w:eastAsia="en-US"/>
    </w:rPr>
  </w:style>
  <w:style w:type="paragraph" w:customStyle="1" w:styleId="79">
    <w:name w:val="TAL"/>
    <w:basedOn w:val="1"/>
    <w:link w:val="80"/>
    <w:qFormat/>
    <w:uiPriority w:val="0"/>
    <w:pPr>
      <w:keepNext/>
      <w:keepLines/>
      <w:overflowPunct w:val="0"/>
      <w:snapToGrid/>
      <w:spacing w:after="0"/>
      <w:textAlignment w:val="baseline"/>
    </w:pPr>
    <w:rPr>
      <w:rFonts w:ascii="Arial" w:hAnsi="Arial" w:eastAsia="Times New Roman"/>
      <w:sz w:val="18"/>
      <w:szCs w:val="18"/>
      <w:lang w:eastAsia="ja-JP"/>
    </w:rPr>
  </w:style>
  <w:style w:type="character" w:customStyle="1" w:styleId="80">
    <w:name w:val="TAL Car"/>
    <w:link w:val="79"/>
    <w:qFormat/>
    <w:uiPriority w:val="0"/>
    <w:rPr>
      <w:rFonts w:ascii="Arial" w:hAnsi="Arial" w:eastAsia="Times New Roman" w:cs="Arial"/>
      <w:sz w:val="18"/>
      <w:szCs w:val="18"/>
      <w:lang w:eastAsia="ja-JP"/>
    </w:rPr>
  </w:style>
  <w:style w:type="paragraph" w:customStyle="1" w:styleId="81">
    <w:name w:val="TAH"/>
    <w:basedOn w:val="1"/>
    <w:link w:val="199"/>
    <w:qFormat/>
    <w:uiPriority w:val="0"/>
    <w:pPr>
      <w:keepNext/>
      <w:keepLines/>
      <w:overflowPunct w:val="0"/>
      <w:snapToGrid/>
      <w:spacing w:after="0"/>
      <w:jc w:val="center"/>
      <w:textAlignment w:val="baseline"/>
    </w:pPr>
    <w:rPr>
      <w:rFonts w:ascii="Arial" w:hAnsi="Arial" w:eastAsia="Times New Roman"/>
      <w:b/>
      <w:sz w:val="18"/>
      <w:szCs w:val="20"/>
      <w:lang w:val="en-GB" w:eastAsia="en-GB"/>
    </w:rPr>
  </w:style>
  <w:style w:type="paragraph" w:customStyle="1" w:styleId="82">
    <w:name w:val="figure"/>
    <w:basedOn w:val="1"/>
    <w:qFormat/>
    <w:uiPriority w:val="0"/>
    <w:pPr>
      <w:keepNext/>
      <w:jc w:val="center"/>
    </w:pPr>
  </w:style>
  <w:style w:type="paragraph" w:customStyle="1" w:styleId="83">
    <w:name w:val="Tdoc_Header_2"/>
    <w:basedOn w:val="1"/>
    <w:qFormat/>
    <w:uiPriority w:val="0"/>
    <w:pPr>
      <w:widowControl w:val="0"/>
      <w:tabs>
        <w:tab w:val="left" w:pos="1701"/>
        <w:tab w:val="right" w:pos="9072"/>
        <w:tab w:val="right" w:pos="10206"/>
      </w:tabs>
      <w:autoSpaceDE/>
      <w:autoSpaceDN/>
      <w:adjustRightInd/>
      <w:snapToGrid/>
      <w:spacing w:after="0"/>
    </w:pPr>
    <w:rPr>
      <w:rFonts w:ascii="Arial" w:hAnsi="Arial" w:eastAsia="Batang"/>
      <w:b/>
      <w:sz w:val="18"/>
      <w:szCs w:val="20"/>
      <w:lang w:val="en-GB"/>
    </w:rPr>
  </w:style>
  <w:style w:type="paragraph" w:customStyle="1" w:styleId="84">
    <w:name w:val="Reference"/>
    <w:basedOn w:val="1"/>
    <w:qFormat/>
    <w:uiPriority w:val="0"/>
    <w:pPr>
      <w:numPr>
        <w:ilvl w:val="0"/>
        <w:numId w:val="4"/>
      </w:numPr>
      <w:overflowPunct w:val="0"/>
      <w:snapToGrid/>
      <w:spacing w:after="180"/>
      <w:ind w:right="-99"/>
      <w:textAlignment w:val="baseline"/>
    </w:pPr>
    <w:rPr>
      <w:rFonts w:eastAsia="MS Mincho"/>
      <w:szCs w:val="20"/>
      <w:lang w:val="en-GB"/>
    </w:rPr>
  </w:style>
  <w:style w:type="character" w:customStyle="1" w:styleId="85">
    <w:name w:val="word_other"/>
    <w:basedOn w:val="53"/>
    <w:qFormat/>
    <w:uiPriority w:val="0"/>
  </w:style>
  <w:style w:type="paragraph" w:customStyle="1" w:styleId="86">
    <w:name w:val="Tablecell"/>
    <w:basedOn w:val="1"/>
    <w:qFormat/>
    <w:uiPriority w:val="0"/>
    <w:pPr>
      <w:widowControl w:val="0"/>
      <w:spacing w:before="40" w:after="40"/>
    </w:pPr>
    <w:rPr>
      <w:sz w:val="20"/>
    </w:rPr>
  </w:style>
  <w:style w:type="paragraph" w:customStyle="1" w:styleId="87">
    <w:name w:val="Motorola Response1"/>
    <w:next w:val="1"/>
    <w:semiHidden/>
    <w:qFormat/>
    <w:uiPriority w:val="0"/>
    <w:pPr>
      <w:keepNext/>
      <w:tabs>
        <w:tab w:val="left" w:pos="432"/>
      </w:tabs>
      <w:autoSpaceDE w:val="0"/>
      <w:autoSpaceDN w:val="0"/>
      <w:adjustRightInd w:val="0"/>
      <w:spacing w:after="160" w:line="259" w:lineRule="auto"/>
      <w:ind w:left="432" w:hanging="432"/>
      <w:jc w:val="both"/>
    </w:pPr>
    <w:rPr>
      <w:rFonts w:ascii="Times New Roman" w:hAnsi="Times New Roman" w:eastAsia="Times New Roman" w:cs="Times New Roman"/>
      <w:kern w:val="2"/>
      <w:lang w:val="en-GB" w:eastAsia="zh-CN" w:bidi="ar-SA"/>
    </w:rPr>
  </w:style>
  <w:style w:type="character" w:styleId="88">
    <w:name w:val="Placeholder Text"/>
    <w:semiHidden/>
    <w:qFormat/>
    <w:uiPriority w:val="99"/>
    <w:rPr>
      <w:color w:val="808080"/>
    </w:rPr>
  </w:style>
  <w:style w:type="character" w:customStyle="1" w:styleId="89">
    <w:name w:val="apple-converted-space"/>
    <w:basedOn w:val="53"/>
    <w:qFormat/>
    <w:uiPriority w:val="0"/>
  </w:style>
  <w:style w:type="character" w:customStyle="1" w:styleId="90">
    <w:name w:val="Plain Text Char"/>
    <w:link w:val="31"/>
    <w:qFormat/>
    <w:uiPriority w:val="0"/>
    <w:rPr>
      <w:rFonts w:ascii="Consolas" w:hAnsi="Consolas" w:eastAsia="Calibri" w:cs="Consolas"/>
      <w:sz w:val="21"/>
      <w:szCs w:val="21"/>
    </w:rPr>
  </w:style>
  <w:style w:type="paragraph" w:customStyle="1" w:styleId="91">
    <w:name w:val="references"/>
    <w:qFormat/>
    <w:uiPriority w:val="99"/>
    <w:pPr>
      <w:numPr>
        <w:ilvl w:val="0"/>
        <w:numId w:val="5"/>
      </w:numPr>
      <w:spacing w:after="50" w:line="180" w:lineRule="exact"/>
      <w:jc w:val="both"/>
    </w:pPr>
    <w:rPr>
      <w:rFonts w:ascii="Times New Roman" w:hAnsi="Times New Roman" w:eastAsia="MS Mincho" w:cs="Times New Roman"/>
      <w:szCs w:val="16"/>
      <w:lang w:val="en-US" w:eastAsia="en-US" w:bidi="ar-SA"/>
    </w:rPr>
  </w:style>
  <w:style w:type="paragraph" w:styleId="92">
    <w:name w:val="No Spacing"/>
    <w:qFormat/>
    <w:uiPriority w:val="1"/>
    <w:pPr>
      <w:spacing w:after="160" w:line="259" w:lineRule="auto"/>
    </w:pPr>
    <w:rPr>
      <w:rFonts w:ascii="Times New Roman" w:hAnsi="Times New Roman" w:eastAsia="MS Mincho" w:cs="Times New Roman"/>
      <w:lang w:val="en-US" w:eastAsia="en-US" w:bidi="ar-SA"/>
    </w:rPr>
  </w:style>
  <w:style w:type="character" w:customStyle="1" w:styleId="93">
    <w:name w:val="Heading 1 Char"/>
    <w:link w:val="2"/>
    <w:qFormat/>
    <w:uiPriority w:val="0"/>
    <w:rPr>
      <w:rFonts w:ascii="Arial" w:hAnsi="Arial" w:eastAsia="Times New Roman" w:cs="Arial"/>
      <w:sz w:val="36"/>
      <w:szCs w:val="36"/>
      <w:lang w:val="en-GB"/>
    </w:rPr>
  </w:style>
  <w:style w:type="paragraph" w:customStyle="1" w:styleId="94">
    <w:name w:val="B1"/>
    <w:basedOn w:val="22"/>
    <w:link w:val="95"/>
    <w:qFormat/>
    <w:uiPriority w:val="0"/>
    <w:pPr>
      <w:overflowPunct w:val="0"/>
      <w:snapToGrid/>
      <w:spacing w:after="180"/>
      <w:ind w:left="568" w:hanging="284"/>
      <w:textAlignment w:val="baseline"/>
    </w:pPr>
    <w:rPr>
      <w:rFonts w:eastAsia="Times New Roman"/>
      <w:sz w:val="20"/>
      <w:szCs w:val="20"/>
      <w:lang w:val="en-GB" w:eastAsia="en-GB"/>
    </w:rPr>
  </w:style>
  <w:style w:type="character" w:customStyle="1" w:styleId="95">
    <w:name w:val="B1 Char1"/>
    <w:link w:val="94"/>
    <w:qFormat/>
    <w:uiPriority w:val="0"/>
    <w:rPr>
      <w:rFonts w:eastAsia="Times New Roman"/>
      <w:lang w:val="en-GB" w:eastAsia="en-GB"/>
    </w:rPr>
  </w:style>
  <w:style w:type="paragraph" w:customStyle="1" w:styleId="96">
    <w:name w:val="B2"/>
    <w:basedOn w:val="12"/>
    <w:link w:val="202"/>
    <w:qFormat/>
    <w:uiPriority w:val="0"/>
    <w:pPr>
      <w:overflowPunct w:val="0"/>
      <w:snapToGrid/>
      <w:spacing w:after="180"/>
      <w:ind w:left="851" w:hanging="284"/>
      <w:contextualSpacing w:val="0"/>
      <w:textAlignment w:val="baseline"/>
    </w:pPr>
    <w:rPr>
      <w:rFonts w:eastAsia="Times New Roman"/>
      <w:sz w:val="20"/>
      <w:szCs w:val="20"/>
      <w:lang w:val="en-GB" w:eastAsia="en-GB"/>
    </w:rPr>
  </w:style>
  <w:style w:type="paragraph" w:customStyle="1" w:styleId="97">
    <w:name w:val="H6"/>
    <w:basedOn w:val="6"/>
    <w:next w:val="1"/>
    <w:qFormat/>
    <w:uiPriority w:val="0"/>
    <w:pPr>
      <w:keepNext/>
      <w:keepLines/>
      <w:numPr>
        <w:ilvl w:val="0"/>
        <w:numId w:val="0"/>
      </w:numPr>
      <w:overflowPunct w:val="0"/>
      <w:snapToGrid/>
      <w:spacing w:before="120" w:after="180"/>
      <w:ind w:left="1985" w:hanging="1985"/>
      <w:textAlignment w:val="baseline"/>
      <w:outlineLvl w:val="9"/>
    </w:pPr>
    <w:rPr>
      <w:rFonts w:ascii="Arial" w:hAnsi="Arial" w:eastAsia="Times New Roman"/>
      <w:b w:val="0"/>
      <w:bCs w:val="0"/>
      <w:i w:val="0"/>
      <w:iCs w:val="0"/>
      <w:sz w:val="20"/>
      <w:szCs w:val="20"/>
      <w:lang w:val="en-GB" w:eastAsia="en-GB"/>
    </w:rPr>
  </w:style>
  <w:style w:type="character" w:customStyle="1" w:styleId="98">
    <w:name w:val="ZGSM"/>
    <w:qFormat/>
    <w:uiPriority w:val="0"/>
  </w:style>
  <w:style w:type="paragraph" w:customStyle="1" w:styleId="99">
    <w:name w:val="ZD"/>
    <w:qFormat/>
    <w:uiPriority w:val="0"/>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eastAsia="Times New Roman" w:cs="Times New Roman"/>
      <w:sz w:val="32"/>
      <w:lang w:val="en-GB" w:eastAsia="en-GB" w:bidi="ar-SA"/>
    </w:rPr>
  </w:style>
  <w:style w:type="paragraph" w:customStyle="1" w:styleId="100">
    <w:name w:val="TT"/>
    <w:basedOn w:val="2"/>
    <w:next w:val="1"/>
    <w:qFormat/>
    <w:uiPriority w:val="0"/>
    <w:pPr>
      <w:ind w:left="1134" w:hanging="1134"/>
      <w:outlineLvl w:val="9"/>
    </w:pPr>
    <w:rPr>
      <w:b/>
      <w:bCs/>
      <w:szCs w:val="20"/>
      <w:lang w:eastAsia="en-GB"/>
    </w:rPr>
  </w:style>
  <w:style w:type="paragraph" w:customStyle="1" w:styleId="101">
    <w:name w:val="NF"/>
    <w:basedOn w:val="102"/>
    <w:qFormat/>
    <w:uiPriority w:val="0"/>
  </w:style>
  <w:style w:type="paragraph" w:customStyle="1" w:styleId="102">
    <w:name w:val="NO"/>
    <w:basedOn w:val="1"/>
    <w:qFormat/>
    <w:uiPriority w:val="0"/>
    <w:pPr>
      <w:keepLines/>
      <w:overflowPunct w:val="0"/>
      <w:snapToGrid/>
      <w:spacing w:after="180"/>
      <w:ind w:left="1135" w:hanging="851"/>
      <w:textAlignment w:val="baseline"/>
    </w:pPr>
    <w:rPr>
      <w:rFonts w:eastAsia="Times New Roman"/>
      <w:sz w:val="20"/>
      <w:szCs w:val="20"/>
      <w:lang w:val="en-GB" w:eastAsia="en-GB"/>
    </w:rPr>
  </w:style>
  <w:style w:type="paragraph" w:customStyle="1" w:styleId="103">
    <w:name w:val="PL"/>
    <w:link w:val="179"/>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eastAsia="Times New Roman" w:cs="Times New Roman"/>
      <w:sz w:val="16"/>
      <w:lang w:val="en-GB" w:eastAsia="en-GB" w:bidi="ar-SA"/>
    </w:rPr>
  </w:style>
  <w:style w:type="paragraph" w:customStyle="1" w:styleId="104">
    <w:name w:val="TAR"/>
    <w:basedOn w:val="79"/>
    <w:qFormat/>
    <w:uiPriority w:val="0"/>
    <w:pPr>
      <w:jc w:val="right"/>
    </w:pPr>
    <w:rPr>
      <w:szCs w:val="20"/>
      <w:lang w:val="en-GB" w:eastAsia="en-GB"/>
    </w:rPr>
  </w:style>
  <w:style w:type="paragraph" w:customStyle="1" w:styleId="105">
    <w:name w:val="TAC"/>
    <w:basedOn w:val="79"/>
    <w:link w:val="198"/>
    <w:qFormat/>
    <w:uiPriority w:val="0"/>
    <w:pPr>
      <w:jc w:val="center"/>
    </w:pPr>
    <w:rPr>
      <w:szCs w:val="20"/>
      <w:lang w:val="en-GB" w:eastAsia="en-GB"/>
    </w:rPr>
  </w:style>
  <w:style w:type="paragraph" w:customStyle="1" w:styleId="106">
    <w:name w:val="LD"/>
    <w:qFormat/>
    <w:uiPriority w:val="0"/>
    <w:pPr>
      <w:keepNext/>
      <w:keepLines/>
      <w:overflowPunct w:val="0"/>
      <w:autoSpaceDE w:val="0"/>
      <w:autoSpaceDN w:val="0"/>
      <w:adjustRightInd w:val="0"/>
      <w:spacing w:after="160" w:line="180" w:lineRule="exact"/>
      <w:textAlignment w:val="baseline"/>
    </w:pPr>
    <w:rPr>
      <w:rFonts w:ascii="Courier New" w:hAnsi="Courier New" w:eastAsia="Times New Roman" w:cs="Times New Roman"/>
      <w:lang w:val="en-GB" w:eastAsia="en-GB" w:bidi="ar-SA"/>
    </w:rPr>
  </w:style>
  <w:style w:type="paragraph" w:customStyle="1" w:styleId="107">
    <w:name w:val="FP"/>
    <w:basedOn w:val="1"/>
    <w:qFormat/>
    <w:uiPriority w:val="0"/>
    <w:pPr>
      <w:overflowPunct w:val="0"/>
      <w:snapToGrid/>
      <w:spacing w:after="0"/>
      <w:textAlignment w:val="baseline"/>
    </w:pPr>
    <w:rPr>
      <w:rFonts w:eastAsia="Times New Roman"/>
      <w:sz w:val="20"/>
      <w:szCs w:val="20"/>
      <w:lang w:val="en-GB" w:eastAsia="en-GB"/>
    </w:rPr>
  </w:style>
  <w:style w:type="paragraph" w:customStyle="1" w:styleId="108">
    <w:name w:val="NW"/>
    <w:basedOn w:val="102"/>
    <w:qFormat/>
    <w:uiPriority w:val="0"/>
  </w:style>
  <w:style w:type="paragraph" w:customStyle="1" w:styleId="109">
    <w:name w:val="EW"/>
    <w:basedOn w:val="62"/>
    <w:qFormat/>
    <w:uiPriority w:val="0"/>
  </w:style>
  <w:style w:type="paragraph" w:customStyle="1" w:styleId="110">
    <w:name w:val="Editor's Note"/>
    <w:basedOn w:val="102"/>
    <w:qFormat/>
    <w:uiPriority w:val="0"/>
  </w:style>
  <w:style w:type="paragraph" w:customStyle="1" w:styleId="111">
    <w:name w:val="TH"/>
    <w:basedOn w:val="1"/>
    <w:link w:val="112"/>
    <w:qFormat/>
    <w:uiPriority w:val="0"/>
    <w:pPr>
      <w:keepNext/>
      <w:keepLines/>
      <w:overflowPunct w:val="0"/>
      <w:snapToGrid/>
      <w:spacing w:before="60" w:after="180"/>
      <w:jc w:val="center"/>
      <w:textAlignment w:val="baseline"/>
    </w:pPr>
    <w:rPr>
      <w:rFonts w:ascii="Arial" w:hAnsi="Arial" w:eastAsia="Times New Roman"/>
      <w:b/>
      <w:sz w:val="20"/>
      <w:szCs w:val="20"/>
      <w:lang w:val="en-GB" w:eastAsia="en-GB"/>
    </w:rPr>
  </w:style>
  <w:style w:type="character" w:customStyle="1" w:styleId="112">
    <w:name w:val="TH Char"/>
    <w:link w:val="111"/>
    <w:qFormat/>
    <w:uiPriority w:val="0"/>
    <w:rPr>
      <w:rFonts w:ascii="Arial" w:hAnsi="Arial" w:eastAsia="Times New Roman"/>
      <w:b/>
      <w:lang w:val="en-GB" w:eastAsia="en-GB"/>
    </w:rPr>
  </w:style>
  <w:style w:type="paragraph" w:customStyle="1" w:styleId="113">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spacing w:after="160" w:line="259" w:lineRule="auto"/>
      <w:jc w:val="right"/>
      <w:textAlignment w:val="baseline"/>
    </w:pPr>
    <w:rPr>
      <w:rFonts w:ascii="Arial" w:hAnsi="Arial" w:eastAsia="Times New Roman" w:cs="Times New Roman"/>
      <w:sz w:val="40"/>
      <w:lang w:val="en-GB" w:eastAsia="en-GB" w:bidi="ar-SA"/>
    </w:rPr>
  </w:style>
  <w:style w:type="paragraph" w:customStyle="1" w:styleId="114">
    <w:name w:val="ZB"/>
    <w:qFormat/>
    <w:uiPriority w:val="0"/>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eastAsia="Times New Roman" w:cs="Times New Roman"/>
      <w:i/>
      <w:lang w:val="en-GB" w:eastAsia="en-GB" w:bidi="ar-SA"/>
    </w:rPr>
  </w:style>
  <w:style w:type="paragraph" w:customStyle="1" w:styleId="115">
    <w:name w:val="ZT"/>
    <w:qFormat/>
    <w:uiPriority w:val="0"/>
    <w:pPr>
      <w:framePr w:wrap="notBeside" w:vAnchor="margin" w:hAnchor="margin" w:yAlign="center"/>
      <w:widowControl w:val="0"/>
      <w:overflowPunct w:val="0"/>
      <w:autoSpaceDE w:val="0"/>
      <w:autoSpaceDN w:val="0"/>
      <w:adjustRightInd w:val="0"/>
      <w:spacing w:after="160" w:line="240" w:lineRule="atLeast"/>
      <w:jc w:val="right"/>
      <w:textAlignment w:val="baseline"/>
    </w:pPr>
    <w:rPr>
      <w:rFonts w:ascii="Arial" w:hAnsi="Arial" w:eastAsia="Times New Roman" w:cs="Times New Roman"/>
      <w:b/>
      <w:sz w:val="34"/>
      <w:lang w:val="en-GB" w:eastAsia="en-GB" w:bidi="ar-SA"/>
    </w:rPr>
  </w:style>
  <w:style w:type="paragraph" w:customStyle="1" w:styleId="116">
    <w:name w:val="ZU"/>
    <w:qFormat/>
    <w:uiPriority w:val="0"/>
    <w:pPr>
      <w:framePr w:w="10206" w:wrap="notBeside" w:vAnchor="page" w:hAnchor="margin" w:y="6238"/>
      <w:widowControl w:val="0"/>
      <w:pBdr>
        <w:top w:val="single" w:color="auto" w:sz="12" w:space="1"/>
      </w:pBdr>
      <w:overflowPunct w:val="0"/>
      <w:autoSpaceDE w:val="0"/>
      <w:autoSpaceDN w:val="0"/>
      <w:adjustRightInd w:val="0"/>
      <w:spacing w:after="160" w:line="259" w:lineRule="auto"/>
      <w:jc w:val="right"/>
      <w:textAlignment w:val="baseline"/>
    </w:pPr>
    <w:rPr>
      <w:rFonts w:ascii="Arial" w:hAnsi="Arial" w:eastAsia="Times New Roman" w:cs="Times New Roman"/>
      <w:lang w:val="en-GB" w:eastAsia="en-GB" w:bidi="ar-SA"/>
    </w:rPr>
  </w:style>
  <w:style w:type="paragraph" w:customStyle="1" w:styleId="117">
    <w:name w:val="TAN"/>
    <w:basedOn w:val="79"/>
    <w:qFormat/>
    <w:uiPriority w:val="0"/>
    <w:pPr>
      <w:ind w:left="851" w:hanging="851"/>
    </w:pPr>
    <w:rPr>
      <w:szCs w:val="20"/>
      <w:lang w:val="en-GB" w:eastAsia="en-GB"/>
    </w:rPr>
  </w:style>
  <w:style w:type="paragraph" w:customStyle="1" w:styleId="118">
    <w:name w:val="ZH"/>
    <w:qFormat/>
    <w:uiPriority w:val="0"/>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eastAsia="Times New Roman" w:cs="Times New Roman"/>
      <w:lang w:val="en-GB" w:eastAsia="en-GB" w:bidi="ar-SA"/>
    </w:rPr>
  </w:style>
  <w:style w:type="paragraph" w:customStyle="1" w:styleId="119">
    <w:name w:val="TF"/>
    <w:basedOn w:val="111"/>
    <w:qFormat/>
    <w:uiPriority w:val="0"/>
    <w:pPr>
      <w:keepNext w:val="0"/>
      <w:spacing w:before="0" w:after="240"/>
    </w:pPr>
  </w:style>
  <w:style w:type="paragraph" w:customStyle="1" w:styleId="120">
    <w:name w:val="ZG"/>
    <w:qFormat/>
    <w:uiPriority w:val="0"/>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eastAsia="Times New Roman" w:cs="Times New Roman"/>
      <w:lang w:val="en-GB" w:eastAsia="en-GB" w:bidi="ar-SA"/>
    </w:rPr>
  </w:style>
  <w:style w:type="paragraph" w:customStyle="1" w:styleId="121">
    <w:name w:val="B3"/>
    <w:basedOn w:val="11"/>
    <w:link w:val="182"/>
    <w:qFormat/>
    <w:uiPriority w:val="0"/>
  </w:style>
  <w:style w:type="paragraph" w:customStyle="1" w:styleId="122">
    <w:name w:val="B4"/>
    <w:basedOn w:val="42"/>
    <w:qFormat/>
    <w:uiPriority w:val="0"/>
  </w:style>
  <w:style w:type="paragraph" w:customStyle="1" w:styleId="123">
    <w:name w:val="B5"/>
    <w:basedOn w:val="41"/>
    <w:qFormat/>
    <w:uiPriority w:val="0"/>
  </w:style>
  <w:style w:type="paragraph" w:customStyle="1" w:styleId="124">
    <w:name w:val="ZTD"/>
    <w:basedOn w:val="114"/>
    <w:qFormat/>
    <w:uiPriority w:val="0"/>
    <w:pPr>
      <w:framePr/>
    </w:pPr>
  </w:style>
  <w:style w:type="paragraph" w:customStyle="1" w:styleId="125">
    <w:name w:val="ZV"/>
    <w:basedOn w:val="116"/>
    <w:qFormat/>
    <w:uiPriority w:val="0"/>
    <w:pPr>
      <w:framePr/>
    </w:pPr>
  </w:style>
  <w:style w:type="paragraph" w:customStyle="1" w:styleId="126">
    <w:name w:val="INDENT1"/>
    <w:basedOn w:val="1"/>
    <w:qFormat/>
    <w:uiPriority w:val="0"/>
    <w:pPr>
      <w:overflowPunct w:val="0"/>
      <w:snapToGrid/>
      <w:spacing w:after="180"/>
      <w:ind w:left="851"/>
      <w:textAlignment w:val="baseline"/>
    </w:pPr>
    <w:rPr>
      <w:rFonts w:eastAsia="Times New Roman"/>
      <w:sz w:val="20"/>
      <w:szCs w:val="20"/>
      <w:lang w:val="en-GB" w:eastAsia="en-GB"/>
    </w:rPr>
  </w:style>
  <w:style w:type="paragraph" w:customStyle="1" w:styleId="127">
    <w:name w:val="INDENT2"/>
    <w:basedOn w:val="1"/>
    <w:qFormat/>
    <w:uiPriority w:val="0"/>
    <w:pPr>
      <w:overflowPunct w:val="0"/>
      <w:snapToGrid/>
      <w:spacing w:after="180"/>
      <w:ind w:left="1135" w:hanging="284"/>
      <w:textAlignment w:val="baseline"/>
    </w:pPr>
    <w:rPr>
      <w:rFonts w:eastAsia="Times New Roman"/>
      <w:sz w:val="20"/>
      <w:szCs w:val="20"/>
      <w:lang w:val="en-GB" w:eastAsia="en-GB"/>
    </w:rPr>
  </w:style>
  <w:style w:type="paragraph" w:customStyle="1" w:styleId="128">
    <w:name w:val="INDENT3"/>
    <w:basedOn w:val="1"/>
    <w:qFormat/>
    <w:uiPriority w:val="0"/>
    <w:pPr>
      <w:overflowPunct w:val="0"/>
      <w:snapToGrid/>
      <w:spacing w:after="180"/>
      <w:ind w:left="1701" w:hanging="567"/>
      <w:textAlignment w:val="baseline"/>
    </w:pPr>
    <w:rPr>
      <w:rFonts w:eastAsia="Times New Roman"/>
      <w:sz w:val="20"/>
      <w:szCs w:val="20"/>
      <w:lang w:val="en-GB" w:eastAsia="en-GB"/>
    </w:rPr>
  </w:style>
  <w:style w:type="paragraph" w:customStyle="1" w:styleId="129">
    <w:name w:val="Figure_Title"/>
    <w:basedOn w:val="1"/>
    <w:next w:val="1"/>
    <w:qFormat/>
    <w:uiPriority w:val="0"/>
    <w:pPr>
      <w:keepLines/>
      <w:tabs>
        <w:tab w:val="left" w:pos="794"/>
        <w:tab w:val="left" w:pos="1191"/>
        <w:tab w:val="left" w:pos="1588"/>
        <w:tab w:val="left" w:pos="1985"/>
      </w:tabs>
      <w:overflowPunct w:val="0"/>
      <w:snapToGrid/>
      <w:spacing w:before="120" w:after="480"/>
      <w:jc w:val="center"/>
      <w:textAlignment w:val="baseline"/>
    </w:pPr>
    <w:rPr>
      <w:rFonts w:eastAsia="Times New Roman"/>
      <w:b/>
      <w:sz w:val="24"/>
      <w:szCs w:val="20"/>
      <w:lang w:val="en-GB" w:eastAsia="en-GB"/>
    </w:rPr>
  </w:style>
  <w:style w:type="paragraph" w:customStyle="1" w:styleId="130">
    <w:name w:val="Rec_CCITT_#"/>
    <w:basedOn w:val="1"/>
    <w:qFormat/>
    <w:uiPriority w:val="0"/>
    <w:pPr>
      <w:keepNext/>
      <w:keepLines/>
      <w:overflowPunct w:val="0"/>
      <w:snapToGrid/>
      <w:spacing w:after="180"/>
      <w:textAlignment w:val="baseline"/>
    </w:pPr>
    <w:rPr>
      <w:rFonts w:eastAsia="Times New Roman"/>
      <w:b/>
      <w:sz w:val="20"/>
      <w:szCs w:val="20"/>
      <w:lang w:val="en-GB" w:eastAsia="en-GB"/>
    </w:rPr>
  </w:style>
  <w:style w:type="paragraph" w:customStyle="1" w:styleId="131">
    <w:name w:val="enumlev2"/>
    <w:basedOn w:val="1"/>
    <w:qFormat/>
    <w:uiPriority w:val="0"/>
    <w:pPr>
      <w:tabs>
        <w:tab w:val="left" w:pos="794"/>
        <w:tab w:val="left" w:pos="1191"/>
        <w:tab w:val="left" w:pos="1588"/>
        <w:tab w:val="left" w:pos="1985"/>
      </w:tabs>
      <w:overflowPunct w:val="0"/>
      <w:snapToGrid/>
      <w:spacing w:before="86" w:after="180"/>
      <w:ind w:left="1588" w:hanging="397"/>
      <w:textAlignment w:val="baseline"/>
    </w:pPr>
    <w:rPr>
      <w:rFonts w:eastAsia="Times New Roman"/>
      <w:sz w:val="20"/>
      <w:szCs w:val="20"/>
      <w:lang w:eastAsia="en-GB"/>
    </w:rPr>
  </w:style>
  <w:style w:type="paragraph" w:customStyle="1" w:styleId="132">
    <w:name w:val="Couv Rec Title"/>
    <w:basedOn w:val="1"/>
    <w:qFormat/>
    <w:uiPriority w:val="0"/>
    <w:pPr>
      <w:keepNext/>
      <w:keepLines/>
      <w:overflowPunct w:val="0"/>
      <w:snapToGrid/>
      <w:spacing w:before="240" w:after="180"/>
      <w:ind w:left="1418"/>
      <w:textAlignment w:val="baseline"/>
    </w:pPr>
    <w:rPr>
      <w:rFonts w:ascii="Arial" w:hAnsi="Arial" w:eastAsia="Times New Roman"/>
      <w:b/>
      <w:sz w:val="36"/>
      <w:szCs w:val="20"/>
      <w:lang w:eastAsia="en-GB"/>
    </w:rPr>
  </w:style>
  <w:style w:type="paragraph" w:customStyle="1" w:styleId="133">
    <w:name w:val="TAJ"/>
    <w:basedOn w:val="111"/>
    <w:qFormat/>
    <w:uiPriority w:val="0"/>
  </w:style>
  <w:style w:type="character" w:customStyle="1" w:styleId="134">
    <w:name w:val="Body Text Char"/>
    <w:link w:val="30"/>
    <w:qFormat/>
    <w:uiPriority w:val="0"/>
    <w:rPr>
      <w:lang w:eastAsia="en-US"/>
    </w:rPr>
  </w:style>
  <w:style w:type="paragraph" w:customStyle="1" w:styleId="135">
    <w:name w:val="Guidance"/>
    <w:basedOn w:val="1"/>
    <w:qFormat/>
    <w:uiPriority w:val="0"/>
    <w:pPr>
      <w:overflowPunct w:val="0"/>
      <w:snapToGrid/>
      <w:spacing w:after="180"/>
      <w:textAlignment w:val="baseline"/>
    </w:pPr>
    <w:rPr>
      <w:rFonts w:eastAsia="Times New Roman"/>
      <w:i/>
      <w:color w:val="0000FF"/>
      <w:sz w:val="20"/>
      <w:szCs w:val="20"/>
      <w:lang w:val="en-GB" w:eastAsia="en-GB"/>
    </w:rPr>
  </w:style>
  <w:style w:type="character" w:customStyle="1" w:styleId="136">
    <w:name w:val="Body Text Indent 2 Char"/>
    <w:basedOn w:val="53"/>
    <w:link w:val="35"/>
    <w:qFormat/>
    <w:uiPriority w:val="0"/>
    <w:rPr>
      <w:rFonts w:eastAsia="Times New Roman"/>
      <w:kern w:val="2"/>
      <w:lang w:eastAsia="ja-JP"/>
    </w:rPr>
  </w:style>
  <w:style w:type="character" w:customStyle="1" w:styleId="137">
    <w:name w:val="Body Text Indent 3 Char"/>
    <w:basedOn w:val="53"/>
    <w:link w:val="43"/>
    <w:qFormat/>
    <w:uiPriority w:val="0"/>
    <w:rPr>
      <w:rFonts w:eastAsia="Times New Roman"/>
      <w:lang w:eastAsia="ja-JP"/>
    </w:rPr>
  </w:style>
  <w:style w:type="paragraph" w:customStyle="1" w:styleId="138">
    <w:name w:val="numbered list"/>
    <w:basedOn w:val="26"/>
    <w:qFormat/>
    <w:uiPriority w:val="0"/>
  </w:style>
  <w:style w:type="paragraph" w:customStyle="1" w:styleId="139">
    <w:name w:val="CR_front"/>
    <w:next w:val="1"/>
    <w:qFormat/>
    <w:uiPriority w:val="0"/>
    <w:pPr>
      <w:spacing w:after="160" w:line="259" w:lineRule="auto"/>
    </w:pPr>
    <w:rPr>
      <w:rFonts w:ascii="Arial" w:hAnsi="Arial" w:eastAsia="MS Mincho" w:cs="Times New Roman"/>
      <w:lang w:val="en-GB" w:eastAsia="en-US" w:bidi="ar-SA"/>
    </w:rPr>
  </w:style>
  <w:style w:type="paragraph" w:customStyle="1" w:styleId="140">
    <w:name w:val="TabList"/>
    <w:basedOn w:val="1"/>
    <w:qFormat/>
    <w:uiPriority w:val="0"/>
    <w:pPr>
      <w:tabs>
        <w:tab w:val="left" w:pos="1134"/>
      </w:tabs>
      <w:overflowPunct w:val="0"/>
      <w:snapToGrid/>
      <w:spacing w:after="0"/>
      <w:textAlignment w:val="baseline"/>
    </w:pPr>
    <w:rPr>
      <w:rFonts w:eastAsia="MS Mincho"/>
      <w:sz w:val="20"/>
      <w:szCs w:val="20"/>
      <w:lang w:val="en-GB" w:eastAsia="en-GB"/>
    </w:rPr>
  </w:style>
  <w:style w:type="paragraph" w:customStyle="1" w:styleId="141">
    <w:name w:val="table text"/>
    <w:basedOn w:val="1"/>
    <w:next w:val="142"/>
    <w:qFormat/>
    <w:uiPriority w:val="0"/>
    <w:pPr>
      <w:overflowPunct w:val="0"/>
      <w:snapToGrid/>
      <w:spacing w:after="0"/>
      <w:textAlignment w:val="baseline"/>
    </w:pPr>
    <w:rPr>
      <w:rFonts w:eastAsia="MS Mincho"/>
      <w:i/>
      <w:sz w:val="20"/>
      <w:szCs w:val="20"/>
      <w:lang w:val="en-GB" w:eastAsia="en-GB"/>
    </w:rPr>
  </w:style>
  <w:style w:type="paragraph" w:customStyle="1" w:styleId="142">
    <w:name w:val="table"/>
    <w:basedOn w:val="1"/>
    <w:next w:val="1"/>
    <w:qFormat/>
    <w:uiPriority w:val="0"/>
    <w:pPr>
      <w:overflowPunct w:val="0"/>
      <w:snapToGrid/>
      <w:spacing w:after="0"/>
      <w:jc w:val="center"/>
      <w:textAlignment w:val="baseline"/>
    </w:pPr>
    <w:rPr>
      <w:rFonts w:eastAsia="MS Mincho"/>
      <w:sz w:val="20"/>
      <w:szCs w:val="20"/>
      <w:lang w:eastAsia="en-GB"/>
    </w:rPr>
  </w:style>
  <w:style w:type="paragraph" w:customStyle="1" w:styleId="143">
    <w:name w:val="HE"/>
    <w:basedOn w:val="1"/>
    <w:qFormat/>
    <w:uiPriority w:val="0"/>
    <w:pPr>
      <w:overflowPunct w:val="0"/>
      <w:snapToGrid/>
      <w:spacing w:after="0"/>
      <w:textAlignment w:val="baseline"/>
    </w:pPr>
    <w:rPr>
      <w:rFonts w:eastAsia="MS Mincho"/>
      <w:b/>
      <w:sz w:val="20"/>
      <w:szCs w:val="20"/>
      <w:lang w:val="en-GB" w:eastAsia="en-GB"/>
    </w:rPr>
  </w:style>
  <w:style w:type="paragraph" w:customStyle="1" w:styleId="144">
    <w:name w:val="text"/>
    <w:basedOn w:val="1"/>
    <w:qFormat/>
    <w:uiPriority w:val="0"/>
    <w:pPr>
      <w:widowControl w:val="0"/>
      <w:overflowPunct w:val="0"/>
      <w:snapToGrid/>
      <w:spacing w:after="240"/>
      <w:textAlignment w:val="baseline"/>
    </w:pPr>
    <w:rPr>
      <w:rFonts w:eastAsia="Times New Roman"/>
      <w:sz w:val="24"/>
      <w:szCs w:val="20"/>
      <w:lang w:val="en-AU" w:eastAsia="en-GB"/>
    </w:rPr>
  </w:style>
  <w:style w:type="paragraph" w:customStyle="1" w:styleId="145">
    <w:name w:val="Überschrift 1.H1"/>
    <w:basedOn w:val="1"/>
    <w:next w:val="1"/>
    <w:qFormat/>
    <w:uiPriority w:val="0"/>
    <w:pPr>
      <w:keepNext/>
      <w:keepLines/>
      <w:numPr>
        <w:ilvl w:val="0"/>
        <w:numId w:val="6"/>
      </w:numPr>
      <w:pBdr>
        <w:top w:val="single" w:color="auto" w:sz="12" w:space="3"/>
      </w:pBdr>
      <w:overflowPunct w:val="0"/>
      <w:snapToGrid/>
      <w:spacing w:before="240" w:after="180"/>
      <w:textAlignment w:val="baseline"/>
      <w:outlineLvl w:val="0"/>
    </w:pPr>
    <w:rPr>
      <w:rFonts w:ascii="Arial" w:hAnsi="Arial" w:eastAsia="Times New Roman"/>
      <w:sz w:val="36"/>
      <w:szCs w:val="20"/>
      <w:lang w:val="en-GB" w:eastAsia="de-DE"/>
    </w:rPr>
  </w:style>
  <w:style w:type="paragraph" w:customStyle="1" w:styleId="146">
    <w:name w:val="text intend 1"/>
    <w:basedOn w:val="144"/>
    <w:qFormat/>
    <w:uiPriority w:val="0"/>
    <w:pPr>
      <w:widowControl/>
      <w:numPr>
        <w:ilvl w:val="0"/>
        <w:numId w:val="7"/>
      </w:numPr>
      <w:spacing w:after="120"/>
    </w:pPr>
    <w:rPr>
      <w:rFonts w:eastAsia="MS Mincho"/>
      <w:lang w:val="en-US"/>
    </w:rPr>
  </w:style>
  <w:style w:type="paragraph" w:customStyle="1" w:styleId="147">
    <w:name w:val="text intend 2"/>
    <w:basedOn w:val="144"/>
    <w:qFormat/>
    <w:uiPriority w:val="0"/>
    <w:pPr>
      <w:widowControl/>
      <w:numPr>
        <w:ilvl w:val="0"/>
        <w:numId w:val="8"/>
      </w:numPr>
      <w:spacing w:after="120"/>
    </w:pPr>
    <w:rPr>
      <w:rFonts w:eastAsia="MS Mincho"/>
      <w:lang w:val="en-US"/>
    </w:rPr>
  </w:style>
  <w:style w:type="paragraph" w:customStyle="1" w:styleId="148">
    <w:name w:val="text intend 3"/>
    <w:basedOn w:val="144"/>
    <w:qFormat/>
    <w:uiPriority w:val="0"/>
    <w:pPr>
      <w:widowControl/>
      <w:numPr>
        <w:ilvl w:val="0"/>
        <w:numId w:val="9"/>
      </w:numPr>
      <w:spacing w:after="120"/>
    </w:pPr>
    <w:rPr>
      <w:rFonts w:eastAsia="MS Mincho"/>
      <w:lang w:val="en-US"/>
    </w:rPr>
  </w:style>
  <w:style w:type="paragraph" w:customStyle="1" w:styleId="149">
    <w:name w:val="normal puce"/>
    <w:basedOn w:val="1"/>
    <w:qFormat/>
    <w:uiPriority w:val="0"/>
    <w:pPr>
      <w:widowControl w:val="0"/>
      <w:numPr>
        <w:ilvl w:val="0"/>
        <w:numId w:val="10"/>
      </w:numPr>
      <w:overflowPunct w:val="0"/>
      <w:snapToGrid/>
      <w:spacing w:before="60" w:after="60"/>
      <w:textAlignment w:val="baseline"/>
    </w:pPr>
    <w:rPr>
      <w:rFonts w:eastAsia="MS Mincho"/>
      <w:sz w:val="20"/>
      <w:szCs w:val="20"/>
      <w:lang w:val="en-GB" w:eastAsia="en-GB"/>
    </w:rPr>
  </w:style>
  <w:style w:type="paragraph" w:customStyle="1" w:styleId="150">
    <w:name w:val="Tdoc_Heading_1"/>
    <w:basedOn w:val="2"/>
    <w:next w:val="1"/>
    <w:qFormat/>
    <w:uiPriority w:val="0"/>
    <w:pPr>
      <w:numPr>
        <w:numId w:val="11"/>
      </w:numPr>
      <w:tabs>
        <w:tab w:val="left" w:pos="360"/>
      </w:tabs>
      <w:spacing w:after="0"/>
    </w:pPr>
    <w:rPr>
      <w:bCs/>
      <w:kern w:val="28"/>
      <w:sz w:val="24"/>
      <w:szCs w:val="20"/>
      <w:lang w:eastAsia="en-GB"/>
    </w:rPr>
  </w:style>
  <w:style w:type="character" w:customStyle="1" w:styleId="151">
    <w:name w:val="Date Char"/>
    <w:basedOn w:val="53"/>
    <w:link w:val="34"/>
    <w:qFormat/>
    <w:uiPriority w:val="0"/>
    <w:rPr>
      <w:rFonts w:eastAsia="Times New Roman"/>
      <w:lang w:val="en-GB" w:eastAsia="en-GB"/>
    </w:rPr>
  </w:style>
  <w:style w:type="paragraph" w:customStyle="1" w:styleId="152">
    <w:name w:val="Meeting caption"/>
    <w:basedOn w:val="1"/>
    <w:qFormat/>
    <w:uiPriority w:val="0"/>
    <w:pPr>
      <w:framePr w:w="4120" w:hSpace="141" w:wrap="around" w:vAnchor="text" w:hAnchor="text" w:y="3"/>
      <w:pBdr>
        <w:top w:val="single" w:color="auto" w:sz="6" w:space="1"/>
        <w:left w:val="single" w:color="auto" w:sz="6" w:space="1"/>
        <w:bottom w:val="single" w:color="auto" w:sz="6" w:space="1"/>
        <w:right w:val="single" w:color="auto" w:sz="6" w:space="1"/>
      </w:pBdr>
      <w:overflowPunct w:val="0"/>
      <w:snapToGrid/>
      <w:textAlignment w:val="baseline"/>
    </w:pPr>
    <w:rPr>
      <w:rFonts w:eastAsia="Times New Roman"/>
      <w:snapToGrid w:val="0"/>
      <w:szCs w:val="20"/>
      <w:lang w:val="fr-FR" w:eastAsia="en-GB"/>
    </w:rPr>
  </w:style>
  <w:style w:type="paragraph" w:customStyle="1" w:styleId="153">
    <w:name w:val="para"/>
    <w:basedOn w:val="1"/>
    <w:qFormat/>
    <w:uiPriority w:val="0"/>
    <w:pPr>
      <w:overflowPunct w:val="0"/>
      <w:snapToGrid/>
      <w:spacing w:after="240"/>
      <w:textAlignment w:val="baseline"/>
    </w:pPr>
    <w:rPr>
      <w:rFonts w:ascii="Helvetica" w:hAnsi="Helvetica" w:eastAsia="Times New Roman"/>
      <w:sz w:val="20"/>
      <w:szCs w:val="20"/>
      <w:lang w:val="en-GB" w:eastAsia="en-GB"/>
    </w:rPr>
  </w:style>
  <w:style w:type="paragraph" w:customStyle="1" w:styleId="154">
    <w:name w:val="CR Cover Page"/>
    <w:qFormat/>
    <w:uiPriority w:val="0"/>
    <w:pPr>
      <w:spacing w:after="120" w:line="259" w:lineRule="auto"/>
    </w:pPr>
    <w:rPr>
      <w:rFonts w:ascii="Arial" w:hAnsi="Arial" w:eastAsia="MS Mincho" w:cs="Times New Roman"/>
      <w:lang w:val="en-GB" w:eastAsia="en-US" w:bidi="ar-SA"/>
    </w:rPr>
  </w:style>
  <w:style w:type="paragraph" w:customStyle="1" w:styleId="155">
    <w:name w:val="Cell"/>
    <w:basedOn w:val="1"/>
    <w:qFormat/>
    <w:uiPriority w:val="0"/>
    <w:pPr>
      <w:overflowPunct w:val="0"/>
      <w:snapToGrid/>
      <w:spacing w:after="0" w:line="240" w:lineRule="exact"/>
      <w:jc w:val="center"/>
      <w:textAlignment w:val="baseline"/>
    </w:pPr>
    <w:rPr>
      <w:rFonts w:eastAsia="Times New Roman"/>
      <w:sz w:val="16"/>
      <w:szCs w:val="20"/>
      <w:lang w:eastAsia="ja-JP"/>
    </w:rPr>
  </w:style>
  <w:style w:type="paragraph" w:customStyle="1" w:styleId="156">
    <w:name w:val="h6"/>
    <w:basedOn w:val="1"/>
    <w:qFormat/>
    <w:uiPriority w:val="0"/>
    <w:pPr>
      <w:overflowPunct w:val="0"/>
      <w:snapToGrid/>
      <w:spacing w:before="100" w:beforeAutospacing="1" w:after="100" w:afterAutospacing="1"/>
      <w:textAlignment w:val="baseline"/>
    </w:pPr>
    <w:rPr>
      <w:rFonts w:eastAsia="Times New Roman"/>
      <w:sz w:val="24"/>
      <w:szCs w:val="24"/>
      <w:lang w:eastAsia="ja-JP"/>
    </w:rPr>
  </w:style>
  <w:style w:type="paragraph" w:customStyle="1" w:styleId="157">
    <w:name w:val="b1"/>
    <w:basedOn w:val="1"/>
    <w:qFormat/>
    <w:uiPriority w:val="0"/>
    <w:pPr>
      <w:overflowPunct w:val="0"/>
      <w:snapToGrid/>
      <w:spacing w:before="100" w:beforeAutospacing="1" w:after="100" w:afterAutospacing="1"/>
      <w:textAlignment w:val="baseline"/>
    </w:pPr>
    <w:rPr>
      <w:rFonts w:eastAsia="Times New Roman"/>
      <w:sz w:val="24"/>
      <w:szCs w:val="24"/>
      <w:lang w:eastAsia="ja-JP"/>
    </w:rPr>
  </w:style>
  <w:style w:type="paragraph" w:customStyle="1" w:styleId="158">
    <w:name w:val="tah"/>
    <w:basedOn w:val="1"/>
    <w:qFormat/>
    <w:uiPriority w:val="0"/>
    <w:pPr>
      <w:keepNext/>
      <w:overflowPunct w:val="0"/>
      <w:adjustRightInd/>
      <w:snapToGrid/>
      <w:spacing w:after="0"/>
      <w:jc w:val="center"/>
    </w:pPr>
    <w:rPr>
      <w:rFonts w:ascii="Arial" w:hAnsi="Arial" w:eastAsia="Batang" w:cs="Arial"/>
      <w:b/>
      <w:bCs/>
      <w:sz w:val="18"/>
      <w:szCs w:val="18"/>
      <w:lang w:eastAsia="en-GB"/>
    </w:rPr>
  </w:style>
  <w:style w:type="character" w:customStyle="1" w:styleId="159">
    <w:name w:val="Guidance Char"/>
    <w:qFormat/>
    <w:uiPriority w:val="0"/>
    <w:rPr>
      <w:i/>
      <w:color w:val="0000FF"/>
      <w:lang w:val="en-GB" w:eastAsia="ja-JP" w:bidi="ar-SA"/>
    </w:rPr>
  </w:style>
  <w:style w:type="paragraph" w:customStyle="1" w:styleId="160">
    <w:name w:val="Char Char Char Char"/>
    <w:qFormat/>
    <w:uiPriority w:val="0"/>
    <w:pPr>
      <w:keepNext/>
      <w:tabs>
        <w:tab w:val="left" w:pos="-1134"/>
      </w:tabs>
      <w:autoSpaceDE w:val="0"/>
      <w:autoSpaceDN w:val="0"/>
      <w:adjustRightInd w:val="0"/>
      <w:spacing w:before="60" w:after="60" w:line="259" w:lineRule="auto"/>
      <w:jc w:val="both"/>
    </w:pPr>
    <w:rPr>
      <w:rFonts w:ascii="Times New Roman" w:hAnsi="Times New Roman" w:cs="Times New Roman" w:eastAsiaTheme="minorEastAsia"/>
      <w:lang w:val="en-GB" w:eastAsia="en-GB" w:bidi="ar-SA"/>
    </w:rPr>
  </w:style>
  <w:style w:type="paragraph" w:customStyle="1" w:styleId="161">
    <w:name w:val="Char Char Char Char Char Char Char Char Char Char Char Char"/>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cs="Arial" w:eastAsiaTheme="minorEastAsia"/>
      <w:color w:val="0000FF"/>
      <w:kern w:val="2"/>
      <w:lang w:val="en-US" w:eastAsia="zh-CN" w:bidi="ar-SA"/>
    </w:rPr>
  </w:style>
  <w:style w:type="character" w:customStyle="1" w:styleId="162">
    <w:name w:val="h4 Char Char"/>
    <w:qFormat/>
    <w:uiPriority w:val="0"/>
    <w:rPr>
      <w:rFonts w:ascii="Arial" w:hAnsi="Arial"/>
      <w:sz w:val="24"/>
      <w:lang w:val="en-GB" w:eastAsia="ja-JP" w:bidi="ar-SA"/>
    </w:rPr>
  </w:style>
  <w:style w:type="table" w:customStyle="1" w:styleId="163">
    <w:name w:val="Table Grid1"/>
    <w:basedOn w:val="51"/>
    <w:qFormat/>
    <w:uiPriority w:val="59"/>
    <w:pPr>
      <w:overflowPunct w:val="0"/>
      <w:autoSpaceDE w:val="0"/>
      <w:autoSpaceDN w:val="0"/>
      <w:adjustRightInd w:val="0"/>
      <w:spacing w:after="180"/>
      <w:textAlignment w:val="baseline"/>
    </w:pPr>
    <w:rPr>
      <w:rFonts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4">
    <w:name w:val="Normal + After:  3 pt"/>
    <w:basedOn w:val="1"/>
    <w:qFormat/>
    <w:uiPriority w:val="0"/>
    <w:pPr>
      <w:tabs>
        <w:tab w:val="left" w:pos="2560"/>
      </w:tabs>
      <w:autoSpaceDE/>
      <w:autoSpaceDN/>
      <w:adjustRightInd/>
      <w:snapToGrid/>
      <w:spacing w:after="180"/>
      <w:ind w:left="2560" w:hanging="357"/>
    </w:pPr>
    <w:rPr>
      <w:rFonts w:eastAsia="Times New Roman"/>
      <w:sz w:val="20"/>
      <w:szCs w:val="20"/>
      <w:lang w:val="en-AU" w:eastAsia="ko-KR"/>
    </w:rPr>
  </w:style>
  <w:style w:type="character" w:customStyle="1" w:styleId="165">
    <w:name w:val="B1 Zchn"/>
    <w:qFormat/>
    <w:uiPriority w:val="0"/>
    <w:rPr>
      <w:rFonts w:ascii="Times New Roman" w:hAnsi="Times New Roman" w:eastAsia="Times New Roman" w:cs="Times New Roman"/>
      <w:sz w:val="20"/>
      <w:szCs w:val="20"/>
      <w:lang w:val="en-GB" w:eastAsia="ko-KR"/>
    </w:rPr>
  </w:style>
  <w:style w:type="character" w:customStyle="1" w:styleId="166">
    <w:name w:val="Figure Caption1"/>
    <w:qFormat/>
    <w:uiPriority w:val="0"/>
    <w:rPr>
      <w:rFonts w:ascii="Arial" w:hAnsi="Arial" w:eastAsia="????" w:cs="Arial"/>
      <w:color w:val="0000FF"/>
      <w:kern w:val="2"/>
      <w:lang w:val="en-US" w:eastAsia="en-US" w:bidi="ar-SA"/>
    </w:rPr>
  </w:style>
  <w:style w:type="character" w:customStyle="1" w:styleId="167">
    <w:name w:val="Heading 3 Char"/>
    <w:link w:val="4"/>
    <w:qFormat/>
    <w:uiPriority w:val="0"/>
    <w:rPr>
      <w:b/>
      <w:sz w:val="22"/>
      <w:szCs w:val="22"/>
      <w:lang w:eastAsia="en-US"/>
    </w:rPr>
  </w:style>
  <w:style w:type="character" w:customStyle="1" w:styleId="168">
    <w:name w:val="Char Char5"/>
    <w:semiHidden/>
    <w:qFormat/>
    <w:uiPriority w:val="0"/>
    <w:rPr>
      <w:rFonts w:ascii="Times New Roman" w:hAnsi="Times New Roman"/>
      <w:lang w:eastAsia="en-US"/>
    </w:rPr>
  </w:style>
  <w:style w:type="character" w:customStyle="1" w:styleId="169">
    <w:name w:val="H1 Char1"/>
    <w:qFormat/>
    <w:uiPriority w:val="0"/>
    <w:rPr>
      <w:rFonts w:ascii="Arial" w:hAnsi="Arial" w:eastAsia="Times New Roman"/>
      <w:sz w:val="36"/>
    </w:rPr>
  </w:style>
  <w:style w:type="character" w:customStyle="1" w:styleId="170">
    <w:name w:val="Heading 2 Char"/>
    <w:link w:val="3"/>
    <w:qFormat/>
    <w:uiPriority w:val="0"/>
    <w:rPr>
      <w:rFonts w:ascii="Arial" w:hAnsi="Arial"/>
      <w:b/>
      <w:bCs/>
      <w:sz w:val="24"/>
      <w:szCs w:val="22"/>
      <w:lang w:val="en-GB"/>
    </w:rPr>
  </w:style>
  <w:style w:type="character" w:customStyle="1" w:styleId="171">
    <w:name w:val="Heading 4 Char"/>
    <w:link w:val="5"/>
    <w:qFormat/>
    <w:uiPriority w:val="0"/>
    <w:rPr>
      <w:b/>
      <w:bCs/>
      <w:sz w:val="28"/>
      <w:szCs w:val="28"/>
      <w:lang w:eastAsia="en-US"/>
    </w:rPr>
  </w:style>
  <w:style w:type="character" w:customStyle="1" w:styleId="172">
    <w:name w:val="Heading 5 Char"/>
    <w:link w:val="6"/>
    <w:qFormat/>
    <w:uiPriority w:val="0"/>
    <w:rPr>
      <w:b/>
      <w:bCs/>
      <w:i/>
      <w:iCs/>
      <w:sz w:val="26"/>
      <w:szCs w:val="26"/>
      <w:lang w:eastAsia="en-US"/>
    </w:rPr>
  </w:style>
  <w:style w:type="character" w:customStyle="1" w:styleId="173">
    <w:name w:val="Heading 6 Char"/>
    <w:link w:val="7"/>
    <w:qFormat/>
    <w:uiPriority w:val="0"/>
    <w:rPr>
      <w:b/>
      <w:bCs/>
      <w:sz w:val="22"/>
      <w:szCs w:val="22"/>
      <w:lang w:eastAsia="en-US"/>
    </w:rPr>
  </w:style>
  <w:style w:type="character" w:customStyle="1" w:styleId="174">
    <w:name w:val="Heading 7 Char"/>
    <w:link w:val="8"/>
    <w:qFormat/>
    <w:uiPriority w:val="0"/>
    <w:rPr>
      <w:sz w:val="24"/>
      <w:szCs w:val="24"/>
      <w:lang w:eastAsia="en-US"/>
    </w:rPr>
  </w:style>
  <w:style w:type="character" w:customStyle="1" w:styleId="175">
    <w:name w:val="Heading 8 Char"/>
    <w:link w:val="9"/>
    <w:qFormat/>
    <w:uiPriority w:val="0"/>
    <w:rPr>
      <w:i/>
      <w:iCs/>
      <w:sz w:val="24"/>
      <w:szCs w:val="24"/>
      <w:lang w:eastAsia="en-US"/>
    </w:rPr>
  </w:style>
  <w:style w:type="character" w:customStyle="1" w:styleId="176">
    <w:name w:val="Heading 9 Char"/>
    <w:link w:val="10"/>
    <w:qFormat/>
    <w:uiPriority w:val="0"/>
    <w:rPr>
      <w:rFonts w:ascii="Arial" w:hAnsi="Arial"/>
      <w:sz w:val="22"/>
      <w:szCs w:val="22"/>
      <w:lang w:eastAsia="en-US"/>
    </w:rPr>
  </w:style>
  <w:style w:type="character" w:customStyle="1" w:styleId="177">
    <w:name w:val="List Char"/>
    <w:link w:val="22"/>
    <w:qFormat/>
    <w:uiPriority w:val="0"/>
    <w:rPr>
      <w:sz w:val="22"/>
      <w:szCs w:val="22"/>
      <w:lang w:eastAsia="en-US"/>
    </w:rPr>
  </w:style>
  <w:style w:type="character" w:customStyle="1" w:styleId="178">
    <w:name w:val="Footnote Text Char"/>
    <w:link w:val="40"/>
    <w:qFormat/>
    <w:uiPriority w:val="99"/>
    <w:rPr>
      <w:lang w:eastAsia="en-US"/>
    </w:rPr>
  </w:style>
  <w:style w:type="character" w:customStyle="1" w:styleId="179">
    <w:name w:val="PL Char"/>
    <w:link w:val="103"/>
    <w:qFormat/>
    <w:locked/>
    <w:uiPriority w:val="0"/>
    <w:rPr>
      <w:rFonts w:ascii="Courier New" w:hAnsi="Courier New" w:eastAsia="Times New Roman"/>
      <w:sz w:val="16"/>
      <w:lang w:val="en-GB" w:eastAsia="en-GB" w:bidi="ar-SA"/>
    </w:rPr>
  </w:style>
  <w:style w:type="character" w:customStyle="1" w:styleId="180">
    <w:name w:val="List 2 Char"/>
    <w:link w:val="12"/>
    <w:qFormat/>
    <w:uiPriority w:val="0"/>
    <w:rPr>
      <w:sz w:val="22"/>
      <w:szCs w:val="22"/>
      <w:lang w:eastAsia="en-US"/>
    </w:rPr>
  </w:style>
  <w:style w:type="character" w:customStyle="1" w:styleId="181">
    <w:name w:val="List 3 Char"/>
    <w:link w:val="11"/>
    <w:qFormat/>
    <w:uiPriority w:val="0"/>
    <w:rPr>
      <w:rFonts w:eastAsia="Times New Roman"/>
      <w:lang w:val="en-GB" w:eastAsia="en-GB"/>
    </w:rPr>
  </w:style>
  <w:style w:type="character" w:customStyle="1" w:styleId="182">
    <w:name w:val="B3 Char"/>
    <w:link w:val="121"/>
    <w:qFormat/>
    <w:uiPriority w:val="0"/>
    <w:rPr>
      <w:rFonts w:eastAsia="Times New Roman"/>
      <w:lang w:val="en-GB" w:eastAsia="en-GB"/>
    </w:rPr>
  </w:style>
  <w:style w:type="paragraph" w:customStyle="1" w:styleId="183">
    <w:name w:val="tdoc-header"/>
    <w:qFormat/>
    <w:uiPriority w:val="0"/>
    <w:pPr>
      <w:spacing w:after="160" w:line="259" w:lineRule="auto"/>
    </w:pPr>
    <w:rPr>
      <w:rFonts w:ascii="Arial" w:hAnsi="Arial" w:eastAsia="Times New Roman" w:cs="Times New Roman"/>
      <w:sz w:val="24"/>
      <w:lang w:val="en-GB" w:eastAsia="en-US" w:bidi="ar-SA"/>
    </w:rPr>
  </w:style>
  <w:style w:type="paragraph" w:customStyle="1" w:styleId="184">
    <w:name w:val="Char Char3 Char Char Char Char Char Char"/>
    <w:semiHidden/>
    <w:qFormat/>
    <w:uiPriority w:val="0"/>
    <w:pPr>
      <w:keepNext/>
      <w:autoSpaceDE w:val="0"/>
      <w:autoSpaceDN w:val="0"/>
      <w:adjustRightInd w:val="0"/>
      <w:spacing w:before="60" w:after="60" w:line="259" w:lineRule="auto"/>
      <w:ind w:left="567" w:hanging="283"/>
      <w:jc w:val="both"/>
    </w:pPr>
    <w:rPr>
      <w:rFonts w:ascii="Arial" w:hAnsi="Arial" w:cs="Arial" w:eastAsiaTheme="minorEastAsia"/>
      <w:color w:val="0000FF"/>
      <w:kern w:val="2"/>
      <w:lang w:val="en-US" w:eastAsia="zh-CN" w:bidi="ar-SA"/>
    </w:rPr>
  </w:style>
  <w:style w:type="paragraph" w:customStyle="1" w:styleId="185">
    <w:name w:val="Char Char1 Char Char"/>
    <w:qFormat/>
    <w:uiPriority w:val="0"/>
    <w:pPr>
      <w:keepNext/>
      <w:tabs>
        <w:tab w:val="left" w:pos="-1134"/>
      </w:tabs>
      <w:autoSpaceDE w:val="0"/>
      <w:autoSpaceDN w:val="0"/>
      <w:adjustRightInd w:val="0"/>
      <w:spacing w:before="60" w:after="60" w:line="259" w:lineRule="auto"/>
      <w:jc w:val="both"/>
    </w:pPr>
    <w:rPr>
      <w:rFonts w:ascii="Times New Roman" w:hAnsi="Times New Roman" w:cs="Times New Roman" w:eastAsiaTheme="minorEastAsia"/>
      <w:lang w:val="en-GB" w:eastAsia="en-GB" w:bidi="ar-SA"/>
    </w:rPr>
  </w:style>
  <w:style w:type="character" w:customStyle="1" w:styleId="186">
    <w:name w:val="Body Text 2 Char"/>
    <w:link w:val="45"/>
    <w:qFormat/>
    <w:uiPriority w:val="0"/>
    <w:rPr>
      <w:sz w:val="22"/>
      <w:lang w:eastAsia="en-US"/>
    </w:rPr>
  </w:style>
  <w:style w:type="character" w:customStyle="1" w:styleId="187">
    <w:name w:val="List Paragraph Char"/>
    <w:link w:val="73"/>
    <w:qFormat/>
    <w:locked/>
    <w:uiPriority w:val="34"/>
    <w:rPr>
      <w:rFonts w:ascii="Calibri" w:hAnsi="Calibri" w:cs="Calibri"/>
      <w:sz w:val="22"/>
      <w:szCs w:val="22"/>
    </w:rPr>
  </w:style>
  <w:style w:type="paragraph" w:customStyle="1" w:styleId="188">
    <w:name w:val="Doc-text2"/>
    <w:basedOn w:val="1"/>
    <w:link w:val="189"/>
    <w:qFormat/>
    <w:uiPriority w:val="0"/>
    <w:pPr>
      <w:tabs>
        <w:tab w:val="left" w:pos="1622"/>
      </w:tabs>
      <w:autoSpaceDE/>
      <w:autoSpaceDN/>
      <w:adjustRightInd/>
      <w:snapToGrid/>
      <w:spacing w:after="0"/>
      <w:ind w:left="1622" w:hanging="363"/>
    </w:pPr>
    <w:rPr>
      <w:rFonts w:ascii="Arial" w:hAnsi="Arial" w:eastAsia="MS Mincho"/>
      <w:sz w:val="20"/>
      <w:szCs w:val="24"/>
      <w:lang w:val="en-GB" w:eastAsia="en-GB"/>
    </w:rPr>
  </w:style>
  <w:style w:type="character" w:customStyle="1" w:styleId="189">
    <w:name w:val="Doc-text2 Char"/>
    <w:link w:val="188"/>
    <w:qFormat/>
    <w:uiPriority w:val="0"/>
    <w:rPr>
      <w:rFonts w:ascii="Arial" w:hAnsi="Arial" w:eastAsia="MS Mincho"/>
      <w:szCs w:val="24"/>
      <w:lang w:val="en-GB" w:eastAsia="en-GB"/>
    </w:rPr>
  </w:style>
  <w:style w:type="character" w:customStyle="1" w:styleId="190">
    <w:name w:val="B1 Char"/>
    <w:basedOn w:val="53"/>
    <w:qFormat/>
    <w:uiPriority w:val="0"/>
    <w:rPr>
      <w:rFonts w:ascii="Times New Roman" w:hAnsi="Times New Roman" w:eastAsia="Times New Roman" w:cs="Times New Roman"/>
      <w:sz w:val="20"/>
      <w:szCs w:val="20"/>
      <w:lang w:val="en-GB" w:eastAsia="ko-KR"/>
    </w:rPr>
  </w:style>
  <w:style w:type="paragraph" w:customStyle="1" w:styleId="191">
    <w:name w:val="bullet"/>
    <w:basedOn w:val="73"/>
    <w:link w:val="192"/>
    <w:qFormat/>
    <w:uiPriority w:val="0"/>
    <w:pPr>
      <w:widowControl w:val="0"/>
      <w:numPr>
        <w:ilvl w:val="0"/>
        <w:numId w:val="12"/>
      </w:numPr>
      <w:snapToGrid/>
      <w:spacing w:after="60"/>
      <w:contextualSpacing/>
      <w:jc w:val="both"/>
    </w:pPr>
    <w:rPr>
      <w:rFonts w:ascii="Times New Roman" w:hAnsi="Times New Roman" w:eastAsia="Times New Roman"/>
      <w:kern w:val="2"/>
      <w:sz w:val="20"/>
      <w:szCs w:val="24"/>
      <w:lang w:val="en-GB"/>
    </w:rPr>
  </w:style>
  <w:style w:type="character" w:customStyle="1" w:styleId="192">
    <w:name w:val="bullet Char"/>
    <w:link w:val="191"/>
    <w:qFormat/>
    <w:uiPriority w:val="0"/>
    <w:rPr>
      <w:rFonts w:eastAsia="Times New Roman"/>
      <w:kern w:val="2"/>
      <w:szCs w:val="24"/>
      <w:lang w:val="en-GB" w:eastAsia="en-US"/>
    </w:rPr>
  </w:style>
  <w:style w:type="paragraph" w:customStyle="1" w:styleId="193">
    <w:name w:val="main text"/>
    <w:basedOn w:val="1"/>
    <w:link w:val="194"/>
    <w:qFormat/>
    <w:uiPriority w:val="0"/>
    <w:pPr>
      <w:autoSpaceDE/>
      <w:autoSpaceDN/>
      <w:adjustRightInd/>
      <w:snapToGrid/>
      <w:spacing w:before="60" w:after="60" w:line="288" w:lineRule="auto"/>
      <w:ind w:firstLine="200" w:firstLineChars="200"/>
      <w:jc w:val="both"/>
    </w:pPr>
    <w:rPr>
      <w:rFonts w:eastAsia="Malgun Gothic" w:cs="Batang"/>
      <w:sz w:val="20"/>
      <w:szCs w:val="20"/>
      <w:lang w:val="en-GB" w:eastAsia="ko-KR"/>
    </w:rPr>
  </w:style>
  <w:style w:type="character" w:customStyle="1" w:styleId="194">
    <w:name w:val="main text Char"/>
    <w:link w:val="193"/>
    <w:qFormat/>
    <w:uiPriority w:val="0"/>
    <w:rPr>
      <w:rFonts w:eastAsia="Malgun Gothic" w:cs="Batang"/>
      <w:lang w:val="en-GB" w:eastAsia="ko-KR"/>
    </w:rPr>
  </w:style>
  <w:style w:type="paragraph" w:customStyle="1" w:styleId="195">
    <w:name w:val="proposal"/>
    <w:basedOn w:val="1"/>
    <w:link w:val="196"/>
    <w:qFormat/>
    <w:uiPriority w:val="0"/>
    <w:pPr>
      <w:overflowPunct w:val="0"/>
      <w:autoSpaceDE/>
      <w:autoSpaceDN/>
      <w:spacing w:after="60"/>
      <w:jc w:val="both"/>
      <w:textAlignment w:val="baseline"/>
    </w:pPr>
    <w:rPr>
      <w:rFonts w:eastAsia="Batang"/>
      <w:b/>
      <w:sz w:val="20"/>
      <w:szCs w:val="20"/>
      <w:lang w:eastAsia="ko-KR"/>
    </w:rPr>
  </w:style>
  <w:style w:type="character" w:customStyle="1" w:styleId="196">
    <w:name w:val="proposal Char"/>
    <w:basedOn w:val="53"/>
    <w:link w:val="195"/>
    <w:qFormat/>
    <w:uiPriority w:val="0"/>
    <w:rPr>
      <w:rFonts w:eastAsia="Batang"/>
      <w:b/>
      <w:lang w:eastAsia="ko-KR"/>
    </w:rPr>
  </w:style>
  <w:style w:type="paragraph" w:customStyle="1" w:styleId="197">
    <w:name w:val="Eqn"/>
    <w:basedOn w:val="1"/>
    <w:qFormat/>
    <w:uiPriority w:val="0"/>
    <w:pPr>
      <w:tabs>
        <w:tab w:val="center" w:pos="4608"/>
        <w:tab w:val="right" w:pos="9216"/>
      </w:tabs>
      <w:jc w:val="both"/>
    </w:pPr>
    <w:rPr>
      <w:rFonts w:eastAsia="宋体"/>
      <w:lang w:eastAsia="ja-JP"/>
    </w:rPr>
  </w:style>
  <w:style w:type="character" w:customStyle="1" w:styleId="198">
    <w:name w:val="TAC Char"/>
    <w:link w:val="105"/>
    <w:qFormat/>
    <w:locked/>
    <w:uiPriority w:val="0"/>
    <w:rPr>
      <w:rFonts w:ascii="Arial" w:hAnsi="Arial" w:eastAsia="Times New Roman"/>
      <w:sz w:val="18"/>
      <w:lang w:val="en-GB" w:eastAsia="en-GB"/>
    </w:rPr>
  </w:style>
  <w:style w:type="character" w:customStyle="1" w:styleId="199">
    <w:name w:val="TAH Car"/>
    <w:link w:val="81"/>
    <w:qFormat/>
    <w:uiPriority w:val="0"/>
    <w:rPr>
      <w:rFonts w:ascii="Arial" w:hAnsi="Arial" w:eastAsia="Times New Roman"/>
      <w:b/>
      <w:sz w:val="18"/>
      <w:lang w:val="en-GB" w:eastAsia="en-GB"/>
    </w:rPr>
  </w:style>
  <w:style w:type="table" w:customStyle="1" w:styleId="200">
    <w:name w:val="Table Grid2"/>
    <w:basedOn w:val="51"/>
    <w:qFormat/>
    <w:uiPriority w:val="59"/>
    <w:pPr>
      <w:widowControl w:val="0"/>
      <w:autoSpaceDE w:val="0"/>
      <w:autoSpaceDN w:val="0"/>
      <w:adjustRightInd w:val="0"/>
      <w:spacing w:after="12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style>
  <w:style w:type="paragraph" w:customStyle="1" w:styleId="201">
    <w:name w:val="3GPP_Header"/>
    <w:basedOn w:val="30"/>
    <w:qFormat/>
    <w:uiPriority w:val="0"/>
    <w:pPr>
      <w:tabs>
        <w:tab w:val="left" w:pos="1701"/>
        <w:tab w:val="right" w:pos="9639"/>
      </w:tabs>
      <w:autoSpaceDE/>
      <w:autoSpaceDN/>
      <w:adjustRightInd/>
      <w:snapToGrid/>
      <w:spacing w:after="240"/>
    </w:pPr>
    <w:rPr>
      <w:rFonts w:cstheme="minorBidi"/>
      <w:b/>
      <w:sz w:val="24"/>
      <w:szCs w:val="22"/>
      <w:lang w:val="en-GB" w:eastAsia="en-GB"/>
    </w:rPr>
  </w:style>
  <w:style w:type="character" w:customStyle="1" w:styleId="202">
    <w:name w:val="B2 Char"/>
    <w:link w:val="96"/>
    <w:qFormat/>
    <w:uiPriority w:val="0"/>
    <w:rPr>
      <w:rFonts w:eastAsia="Times New Roman"/>
      <w:lang w:val="en-GB" w:eastAsia="en-GB"/>
    </w:rPr>
  </w:style>
  <w:style w:type="paragraph" w:customStyle="1" w:styleId="203">
    <w:name w:val="Proposal"/>
    <w:basedOn w:val="1"/>
    <w:link w:val="205"/>
    <w:qFormat/>
    <w:uiPriority w:val="0"/>
    <w:pPr>
      <w:numPr>
        <w:ilvl w:val="0"/>
        <w:numId w:val="13"/>
      </w:numPr>
      <w:tabs>
        <w:tab w:val="left" w:pos="1701"/>
      </w:tabs>
      <w:autoSpaceDE/>
      <w:autoSpaceDN/>
      <w:adjustRightInd/>
      <w:snapToGrid/>
      <w:spacing w:after="160"/>
    </w:pPr>
    <w:rPr>
      <w:rFonts w:asciiTheme="minorHAnsi" w:hAnsiTheme="minorHAnsi" w:eastAsiaTheme="minorHAnsi" w:cstheme="minorBidi"/>
      <w:b/>
      <w:bCs/>
    </w:rPr>
  </w:style>
  <w:style w:type="character" w:customStyle="1" w:styleId="204">
    <w:name w:val="B3 Char2"/>
    <w:qFormat/>
    <w:uiPriority w:val="0"/>
    <w:rPr>
      <w:rFonts w:eastAsia="宋体"/>
      <w:lang w:val="en-GB"/>
    </w:rPr>
  </w:style>
  <w:style w:type="character" w:customStyle="1" w:styleId="205">
    <w:name w:val="Proposal (文字)"/>
    <w:link w:val="203"/>
    <w:qFormat/>
    <w:uiPriority w:val="0"/>
    <w:rPr>
      <w:rFonts w:asciiTheme="minorHAnsi" w:hAnsiTheme="minorHAnsi" w:eastAsiaTheme="minorHAnsi" w:cstheme="minorBidi"/>
      <w:b/>
      <w:bCs/>
      <w:sz w:val="22"/>
      <w:szCs w:val="22"/>
      <w:lang w:eastAsia="en-US"/>
    </w:rPr>
  </w:style>
  <w:style w:type="paragraph" w:customStyle="1" w:styleId="206">
    <w:name w:val="paragraph"/>
    <w:basedOn w:val="1"/>
    <w:qFormat/>
    <w:uiPriority w:val="0"/>
    <w:pPr>
      <w:autoSpaceDE/>
      <w:autoSpaceDN/>
      <w:adjustRightInd/>
      <w:snapToGrid/>
      <w:spacing w:before="100" w:beforeAutospacing="1" w:after="100" w:afterAutospacing="1"/>
    </w:pPr>
    <w:rPr>
      <w:rFonts w:eastAsia="Times New Roman"/>
      <w:sz w:val="24"/>
      <w:szCs w:val="24"/>
      <w:lang w:val="en-GB" w:eastAsia="en-GB"/>
    </w:rPr>
  </w:style>
  <w:style w:type="character" w:customStyle="1" w:styleId="207">
    <w:name w:val="normaltextrun"/>
    <w:basedOn w:val="53"/>
    <w:qFormat/>
    <w:uiPriority w:val="0"/>
  </w:style>
  <w:style w:type="character" w:customStyle="1" w:styleId="208">
    <w:name w:val="eop"/>
    <w:basedOn w:val="53"/>
    <w:qFormat/>
    <w:uiPriority w:val="0"/>
  </w:style>
  <w:style w:type="paragraph" w:customStyle="1" w:styleId="209">
    <w:name w:val="N1"/>
    <w:basedOn w:val="1"/>
    <w:link w:val="210"/>
    <w:qFormat/>
    <w:uiPriority w:val="0"/>
    <w:pPr>
      <w:autoSpaceDE/>
      <w:autoSpaceDN/>
      <w:adjustRightInd/>
      <w:snapToGrid/>
      <w:spacing w:after="0"/>
      <w:ind w:left="634"/>
    </w:pPr>
    <w:rPr>
      <w:rFonts w:asciiTheme="minorHAnsi" w:hAnsiTheme="minorHAnsi" w:cstheme="minorHAnsi"/>
      <w:lang w:eastAsia="ko-KR" w:bidi="hi-IN"/>
    </w:rPr>
  </w:style>
  <w:style w:type="character" w:customStyle="1" w:styleId="210">
    <w:name w:val="N1 Char"/>
    <w:basedOn w:val="53"/>
    <w:link w:val="209"/>
    <w:qFormat/>
    <w:uiPriority w:val="0"/>
    <w:rPr>
      <w:rFonts w:asciiTheme="minorHAnsi" w:hAnsiTheme="minorHAnsi" w:cstheme="minorHAnsi"/>
      <w:sz w:val="22"/>
      <w:szCs w:val="22"/>
      <w:lang w:eastAsia="ko-KR" w:bidi="hi-IN"/>
    </w:rPr>
  </w:style>
  <w:style w:type="paragraph" w:customStyle="1" w:styleId="211">
    <w:name w:val="b110"/>
    <w:basedOn w:val="1"/>
    <w:qFormat/>
    <w:uiPriority w:val="0"/>
    <w:pPr>
      <w:autoSpaceDE/>
      <w:autoSpaceDN/>
      <w:adjustRightInd/>
      <w:snapToGrid/>
      <w:spacing w:before="75" w:after="75"/>
    </w:pPr>
    <w:rPr>
      <w:rFonts w:eastAsia="Times New Roman"/>
      <w:sz w:val="24"/>
      <w:szCs w:val="24"/>
      <w:lang w:eastAsia="zh-CN"/>
    </w:rPr>
  </w:style>
  <w:style w:type="character" w:customStyle="1" w:styleId="212">
    <w:name w:val="Mention1"/>
    <w:basedOn w:val="53"/>
    <w:unhideWhenUsed/>
    <w:qFormat/>
    <w:uiPriority w:val="99"/>
    <w:rPr>
      <w:color w:val="2B579A"/>
      <w:shd w:val="clear" w:color="auto" w:fill="E1DFDD"/>
    </w:rPr>
  </w:style>
  <w:style w:type="character" w:customStyle="1" w:styleId="213">
    <w:name w:val="Unresolved Mention1"/>
    <w:basedOn w:val="53"/>
    <w:unhideWhenUsed/>
    <w:qFormat/>
    <w:uiPriority w:val="99"/>
    <w:rPr>
      <w:color w:val="605E5C"/>
      <w:shd w:val="clear" w:color="auto" w:fill="E1DFDD"/>
    </w:rPr>
  </w:style>
  <w:style w:type="character" w:customStyle="1" w:styleId="214">
    <w:name w:val="Mention2"/>
    <w:basedOn w:val="53"/>
    <w:unhideWhenUsed/>
    <w:qFormat/>
    <w:uiPriority w:val="99"/>
    <w:rPr>
      <w:color w:val="2B579A"/>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package" Target="embeddings/Microsoft_Visio___1.vsdx"/><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9" Type="http://schemas.microsoft.com/office/2011/relationships/people" Target="people.xml"/><Relationship Id="rId28" Type="http://schemas.openxmlformats.org/officeDocument/2006/relationships/fontTable" Target="fontTable.xml"/><Relationship Id="rId27" Type="http://schemas.openxmlformats.org/officeDocument/2006/relationships/numbering" Target="numbering.xml"/><Relationship Id="rId26" Type="http://schemas.openxmlformats.org/officeDocument/2006/relationships/customXml" Target="../customXml/item1.xml"/><Relationship Id="rId25" Type="http://schemas.openxmlformats.org/officeDocument/2006/relationships/image" Target="media/image15.emf"/><Relationship Id="rId24" Type="http://schemas.openxmlformats.org/officeDocument/2006/relationships/package" Target="embeddings/Microsoft_Visio___7.vsdx"/><Relationship Id="rId23" Type="http://schemas.openxmlformats.org/officeDocument/2006/relationships/package" Target="embeddings/Microsoft_Visio___6.vsdx"/><Relationship Id="rId22" Type="http://schemas.openxmlformats.org/officeDocument/2006/relationships/image" Target="media/image14.emf"/><Relationship Id="rId21" Type="http://schemas.openxmlformats.org/officeDocument/2006/relationships/package" Target="embeddings/Microsoft_Visio___5.vsdx"/><Relationship Id="rId20" Type="http://schemas.openxmlformats.org/officeDocument/2006/relationships/image" Target="media/image13.emf"/><Relationship Id="rId2" Type="http://schemas.openxmlformats.org/officeDocument/2006/relationships/settings" Target="settings.xml"/><Relationship Id="rId19" Type="http://schemas.openxmlformats.org/officeDocument/2006/relationships/package" Target="embeddings/Microsoft_Visio___4.vsdx"/><Relationship Id="rId18" Type="http://schemas.openxmlformats.org/officeDocument/2006/relationships/image" Target="media/image12.png"/><Relationship Id="rId17" Type="http://schemas.openxmlformats.org/officeDocument/2006/relationships/image" Target="media/image11.emf"/><Relationship Id="rId16" Type="http://schemas.openxmlformats.org/officeDocument/2006/relationships/package" Target="embeddings/Microsoft_Visio___3.vsdx"/><Relationship Id="rId15" Type="http://schemas.openxmlformats.org/officeDocument/2006/relationships/image" Target="media/image10.png"/><Relationship Id="rId14" Type="http://schemas.openxmlformats.org/officeDocument/2006/relationships/image" Target="media/image9.emf"/><Relationship Id="rId13" Type="http://schemas.openxmlformats.org/officeDocument/2006/relationships/package" Target="embeddings/Microsoft_Visio___2.vsdx"/><Relationship Id="rId12" Type="http://schemas.openxmlformats.org/officeDocument/2006/relationships/image" Target="media/image8.png"/><Relationship Id="rId11" Type="http://schemas.openxmlformats.org/officeDocument/2006/relationships/image" Target="media/image7.png"/><Relationship Id="rId10" Type="http://schemas.openxmlformats.org/officeDocument/2006/relationships/image" Target="media/image6.emf"/><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Company>
  <Pages>84</Pages>
  <Words>28601</Words>
  <Characters>163030</Characters>
  <Lines>1358</Lines>
  <Paragraphs>382</Paragraphs>
  <TotalTime>27</TotalTime>
  <ScaleCrop>false</ScaleCrop>
  <LinksUpToDate>false</LinksUpToDate>
  <CharactersWithSpaces>191249</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2021-02-02T08:32:00Z</dcterms:created>
  <dc:creator>lenovo</dc:creator>
  <cp:keywords>CTPClassification=CTP_NT</cp:keywords>
  <cp:lastModifiedBy>ZTE Yang Ling</cp:lastModifiedBy>
  <cp:lastPrinted>2016-08-13T07:06:00Z</cp:lastPrinted>
  <dcterms:modified xsi:type="dcterms:W3CDTF">2021-02-03T13:06:10Z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(10)bhD+GBypTGyQvG7tYAqD8vtLZSRqODJi4QZFWkFoZggB8Lk/d8FZU2rZ4V4my+WcfAyofAIA_x000d_ p7M73/Jbr2PqCW7ZrlAxy0q/6wCADwgLA1OCvnpA/wZAwLMmLMb5Mzr/7CQp/DXgEky1Lyfk_x000d_ i3vZMv8PoOwPXqO2s4RzgQXm/tOd5XkwID4iMCVfR/Pk6RUbx/KI705jGujjaNvX902Qd/mA_x000d_ 0M9RDxwEkljDfDGbBb</vt:lpwstr>
  </property>
  <property fmtid="{D5CDD505-2E9C-101B-9397-08002B2CF9AE}" pid="3" name="_ms_pID_7253431">
    <vt:lpwstr>NF04rbxmxW7gNnk+z8kpznRyH9HA0o+6c3n2HoDE3X2dUDoxLfxmLE_x000d_ yYd+NB81Hk8+MnzZ/adaWMhgsMA31kUZbupIHe6/fukdgQ3Hvlp1dVBkBHiabtleIOZR8dan_x000d_ x//LQ/ERnUFLqamCLEw2Q03oKYzhFD4PRs8cZknovPZ9HGPK1Rk1VhnnvNTkDcj8rwT1m+yV_x000d_ WYuokppSYBFvU43LJRt+vlxqdtf/iQlwvD0J</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YEUsz7J1mNVxZfbzmaHWkhdaTgfBhoAHNA0/_x000d_ ki8frTp7NQmyHrpLgTLnSq6aH6SzJxKC9nj3eg7/WQpiSYXHrJUvUUtcwvgyIigGEe3aOKJt_x000d_ knqFx/BJyTZJZcAt51yqavlsp5Z0IA9AXF95l3jpuwLRJAL+GDSrAl3PIIOhCx0w+xBT8Cd4_x000d_ duOVo5k5nsChzN5n8H5O5ceO+tPfsiC22M5+3XTD+s0ZO1ZtOPLf5w</vt:lpwstr>
  </property>
  <property fmtid="{D5CDD505-2E9C-101B-9397-08002B2CF9AE}" pid="7" name="_ms_pID_7253432_00">
    <vt:lpwstr>_ms_pID_7253432</vt:lpwstr>
  </property>
  <property fmtid="{D5CDD505-2E9C-101B-9397-08002B2CF9AE}" pid="8" name="_ms_pID_7253433">
    <vt:lpwstr>jkjNVdd8b2oOjg1AyR_x000d_ DuQeXe3OVxza2GBE1DZX2i3nKNc2toJWboOwnUPUN6SKheze16Lbuv3YxEtKw7D0ft4QyeLg_x000d_ AftpBlD8bu66m6cXPlYUbklnSPMBN0K5KJt45U+/EhqExkinssi/CHQT/Hotnn9+Pvieb7Fv_x000d_ GfR4cJ62RSAJIWfScH1xfXZ/uCDp1hZaY2KLOn7qRAlIjoPICVacB30B+0JbCTCk3u5VdLbr</vt:lpwstr>
  </property>
  <property fmtid="{D5CDD505-2E9C-101B-9397-08002B2CF9AE}" pid="9" name="_ms_pID_7253433_00">
    <vt:lpwstr>_ms_pID_7253433</vt:lpwstr>
  </property>
  <property fmtid="{D5CDD505-2E9C-101B-9397-08002B2CF9AE}" pid="10" name="_ms_pID_7253434">
    <vt:lpwstr>_x000d_ cKH5GXmGuUNjMZ+TxfXTLAF+7SPuQMOdEf6YDLkUw1sqmdYcAuEweqAxJGZ60gHMrm+1sVF+_x000d_ bLh0GFbzZsF8RBeDGXb3Vl1xWtfu+hJWEw54Yxw9bQGawA/RiRT9TQ8v6m7hILHP5Gg3V1yr_x000d_ 6t9ZTToi+ErERu27xeaFGEfZPH//OqCg+tjWvaXrXjLo7XY54zyuD7TEx+J03LA5yjeIXRB3_x000d_ TUEJ9qxueFRhIOhd</vt:lpwstr>
  </property>
  <property fmtid="{D5CDD505-2E9C-101B-9397-08002B2CF9AE}" pid="11" name="_ms_pID_7253434_00">
    <vt:lpwstr>_ms_pID_7253434</vt:lpwstr>
  </property>
  <property fmtid="{D5CDD505-2E9C-101B-9397-08002B2CF9AE}" pid="12" name="_ms_pID_7253435">
    <vt:lpwstr>o9ZjfIbr6O/UylMpaUXqVpBa2bM0uKuLVivWCSxJnIj3PNyJ5CkfKKx3_x000d_ 3U3Elgcg5SRuKTqZt3KWfjoVnE0E/xlA12a7MwwU5+1FfRhU8M486N15omuiqcAdmeT3pyY3_x000d_ fa2m8JSgsZxNTd6xO0a77O3T87198nkjFV8drElisZwoAfH6rEct87n3u+CmL6WoeKaiiDfq_x000d_ VHEjP4fbkGzKZlU3aPbm79UBChWgZUsllC</vt:lpwstr>
  </property>
  <property fmtid="{D5CDD505-2E9C-101B-9397-08002B2CF9AE}" pid="13" name="_ms_pID_7253435_00">
    <vt:lpwstr>_ms_pID_7253435</vt:lpwstr>
  </property>
  <property fmtid="{D5CDD505-2E9C-101B-9397-08002B2CF9AE}" pid="14" name="_ms_pID_7253436">
    <vt:lpwstr>zB4QC7KciqgWV9YOKpxUeVR5wZ0wSXbqJSfgqD_x000d_ qdsZzAKtVHf4luVurpHEcHLDZNE7lzZblK96nCMPwkXxniGN59uyliArw+8lVcGMRfJyWxIa_x000d_ EGWff6JVdUqtFDnks78RVzSa59CVh7EFgOokun7FniCt4N5W9TxMepbsKPeNZJ3Qe+X2BArN_x000d_ u66/WlVPq/uh5ouUijVPmmMUzDfveA/+2v7w/DOHVZnkuhyoHXhq</vt:lpwstr>
  </property>
  <property fmtid="{D5CDD505-2E9C-101B-9397-08002B2CF9AE}" pid="15" name="_ms_pID_7253436_00">
    <vt:lpwstr>_ms_pID_7253436</vt:lpwstr>
  </property>
  <property fmtid="{D5CDD505-2E9C-101B-9397-08002B2CF9AE}" pid="16" name="_ms_pID_7253437">
    <vt:lpwstr>vKPARysHUDVlVilmtEPc_x000d_ OzanZLgrFnd8y35qoTZhPWVphLmgAjGNc94iYSc5k6egispA+3AM2Jnrkko7OJNWSnOEl4uG_x000d_ d3V8FOtGGYIu0WobkLTKm6oJXKVEELqf80IsJv3phOHqjjU+jIK0F3faCu/N9XvM3TxmubmE_x000d_ SqEiAHr3O8w5kyYD0Qnh3BDQJjwmWnJSVKp0IX6yOqAWPT1GVzMXQcY7XGQUGkyD19x9Uz</vt:lpwstr>
  </property>
  <property fmtid="{D5CDD505-2E9C-101B-9397-08002B2CF9AE}" pid="17" name="_ms_pID_7253437_00">
    <vt:lpwstr>_ms_pID_7253437</vt:lpwstr>
  </property>
  <property fmtid="{D5CDD505-2E9C-101B-9397-08002B2CF9AE}" pid="18" name="_ms_pID_7253438">
    <vt:lpwstr>57_x000d_ kscUFn1YP8PCZO7jaEAM2zsNu7MP4U8Z7I6WGWh8y7mWJjobdtf7VwztVNv9WLyhSiAeo5Qx_x000d_ d75xmRzwL89WwTVbkCUZrGIywC+iD1enTRKHk6l1Lm8SaMIGFs97sRswd92uhkuq7h6HGozl_x000d_ I4pjgnquZIn+PHKphnamecbjZ0UOxQtSa3/2sba/4OBS7wAMlczxnWWUu6H/RI+WEdjtpfUw_x000d_ ZbZH5ODWQCyDrT</vt:lpwstr>
  </property>
  <property fmtid="{D5CDD505-2E9C-101B-9397-08002B2CF9AE}" pid="19" name="_ms_pID_7253438_00">
    <vt:lpwstr>_ms_pID_7253438</vt:lpwstr>
  </property>
  <property fmtid="{D5CDD505-2E9C-101B-9397-08002B2CF9AE}" pid="20" name="_ms_pID_7253439">
    <vt:lpwstr>bPkOXtN32o</vt:lpwstr>
  </property>
  <property fmtid="{D5CDD505-2E9C-101B-9397-08002B2CF9AE}" pid="21" name="_ms_pID_7253439_00">
    <vt:lpwstr>_ms_pID_7253439</vt:lpwstr>
  </property>
  <property fmtid="{D5CDD505-2E9C-101B-9397-08002B2CF9AE}" pid="22" name="_new_ms_pID_72543">
    <vt:lpwstr>(3)AFZTf+M1eulWsKuMi2cgaZn2CApaLWaXZAeVXOOn95ruwnFV2S4ugBuY/lPxyf1P8gt7KxhU_x000d_
obuygUTwMN3nDP3OK1TSaoknv25+pI2Ldm9Ec+P+HgKBhqTXIh2Gut4Bhjo1ZD2wdU2R6Li9_x000d_
OdzjhVcP32PiUmjcf6lIwI6hO4bGMLlZYSZlNDIqnzN1FgrwQ9xt9HHmXUHjvFM60dxGqnCu_x000d_
v/GLk0oRXp8DDKV8GT</vt:lpwstr>
  </property>
  <property fmtid="{D5CDD505-2E9C-101B-9397-08002B2CF9AE}" pid="23" name="_new_ms_pID_72543_00">
    <vt:lpwstr>_new_ms_pID_72543</vt:lpwstr>
  </property>
  <property fmtid="{D5CDD505-2E9C-101B-9397-08002B2CF9AE}" pid="24" name="_new_ms_pID_725431">
    <vt:lpwstr>rKao/QVab+zFxOu0oJ+FLMGND5C33mlm1nf+Doti+q689L/YD0iou6_x000d_
/eFHyBFHVmDw/HCFMjaCZbv/Ah9Hpx4mzrE7tcKeuL6XZwvuvWMcTmo981qcOJW1i4lBeXoI_x000d_
G4DBcCiOAqJqj0rD0MR3/z9BEc/5pVPpCSPwroAkFv2Bhgs9S6YWZnef4geieqFaso2P8GfL_x000d_
k+HuQ4gPUckSTRZvfZT+xQraVKFwJGlLyBkb</vt:lpwstr>
  </property>
  <property fmtid="{D5CDD505-2E9C-101B-9397-08002B2CF9AE}" pid="25" name="_new_ms_pID_725431_00">
    <vt:lpwstr>_new_ms_pID_725431</vt:lpwstr>
  </property>
  <property fmtid="{D5CDD505-2E9C-101B-9397-08002B2CF9AE}" pid="26" name="_new_ms_pID_725432">
    <vt:lpwstr>tqUxoEfAZv7h8Si00sX3kmnBWaAUJrFlnkVL_x000d_
n1onHBaxGHCT+om9hNeuenOq5Ha6Nt+lXlAennvEoHzEBKYwitw=</vt:lpwstr>
  </property>
  <property fmtid="{D5CDD505-2E9C-101B-9397-08002B2CF9AE}" pid="27" name="_new_ms_pID_725432_00">
    <vt:lpwstr>_new_ms_pID_725432</vt:lpwstr>
  </property>
  <property fmtid="{D5CDD505-2E9C-101B-9397-08002B2CF9AE}" pid="28" name="TitusGUID">
    <vt:lpwstr>444542a0-a5b1-49fc-91e8-dd18e2f8ddcb</vt:lpwstr>
  </property>
  <property fmtid="{D5CDD505-2E9C-101B-9397-08002B2CF9AE}" pid="29" name="CTP_TimeStamp">
    <vt:lpwstr>2019-10-17 04:42:43Z</vt:lpwstr>
  </property>
  <property fmtid="{D5CDD505-2E9C-101B-9397-08002B2CF9AE}" pid="30" name="CTP_BU">
    <vt:lpwstr>NA</vt:lpwstr>
  </property>
  <property fmtid="{D5CDD505-2E9C-101B-9397-08002B2CF9AE}" pid="31" name="CTP_IDSID">
    <vt:lpwstr>NA</vt:lpwstr>
  </property>
  <property fmtid="{D5CDD505-2E9C-101B-9397-08002B2CF9AE}" pid="32" name="CTP_WWID">
    <vt:lpwstr>NA</vt:lpwstr>
  </property>
  <property fmtid="{D5CDD505-2E9C-101B-9397-08002B2CF9AE}" pid="33" name="_2015_ms_pID_725343">
    <vt:lpwstr>(2)6C7rGZ5pIIWgeluYIDTfaBEQU+nSvhNuHtMZf1c94ZTl/kazyLnjfKG3oESyHYYzMVovKlEi
KY283KjdZlAwlk2spqoemkHmgRt8MHtdkPzCxSHrghw5FUDAGPxg6jz2pJ4wgXCM6RcVQzjo
JkCkWlsaglnFm7dx7ZzCmfGnOFmpXzJNsWKrui7vG8EY39kMWzl9XaqJslalFn6o4mkm+9EN
AKAXBWO8x9WC4469fZ</vt:lpwstr>
  </property>
  <property fmtid="{D5CDD505-2E9C-101B-9397-08002B2CF9AE}" pid="34" name="_2015_ms_pID_7253431">
    <vt:lpwstr>7fABeOIwqsn2gNcexTGjpIiiVy9sCzdIqkTMngWpk8qFnux6F4VGTP
IWfymvNk1Cm0NOy1lP8SHMW9SrMwVMLK2E/28rXTKoWUZqkcQz4M/8xBdiO3BSCcZ68OJMzY
sj549rrs/8BO9QcwmA8AzIAT75OecCYZ3RqTq6HewJNspiLidSzv/5HPPZlkjsEPH3Vmfuml
SLr41ELNvAbWtS/r</vt:lpwstr>
  </property>
  <property fmtid="{D5CDD505-2E9C-101B-9397-08002B2CF9AE}" pid="35" name="CTPClassification">
    <vt:lpwstr>CTP_NT</vt:lpwstr>
  </property>
  <property fmtid="{D5CDD505-2E9C-101B-9397-08002B2CF9AE}" pid="36" name="ContentTypeId">
    <vt:lpwstr>0x010100B85C6574B4423147967AFA97304B0FFB</vt:lpwstr>
  </property>
  <property fmtid="{D5CDD505-2E9C-101B-9397-08002B2CF9AE}" pid="37" name="CWM2809a8cc1eaf433eb6c48f116d5a7bf7">
    <vt:lpwstr>CWM8UFRD5LhQ8Z0Si+0QAM35HjatWMravd2JoIr5nmPD9fhqe64jYcKj95JOs2r9DgecsAAyEKbXJ2aZFUjMQtFWw==</vt:lpwstr>
  </property>
  <property fmtid="{D5CDD505-2E9C-101B-9397-08002B2CF9AE}" pid="38" name="_readonly">
    <vt:lpwstr/>
  </property>
  <property fmtid="{D5CDD505-2E9C-101B-9397-08002B2CF9AE}" pid="39" name="_change">
    <vt:lpwstr/>
  </property>
  <property fmtid="{D5CDD505-2E9C-101B-9397-08002B2CF9AE}" pid="40" name="_full-control">
    <vt:lpwstr/>
  </property>
  <property fmtid="{D5CDD505-2E9C-101B-9397-08002B2CF9AE}" pid="41" name="sflag">
    <vt:lpwstr>1611710021</vt:lpwstr>
  </property>
  <property fmtid="{D5CDD505-2E9C-101B-9397-08002B2CF9AE}" pid="42" name="KSOProductBuildVer">
    <vt:lpwstr>2052-11.8.2.9022</vt:lpwstr>
  </property>
  <property fmtid="{D5CDD505-2E9C-101B-9397-08002B2CF9AE}" pid="43" name="_dlc_DocIdItemGuid">
    <vt:lpwstr>a7b87197-88ad-4268-bf3f-5b18d0b9b873</vt:lpwstr>
  </property>
</Properties>
</file>