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January 25 – February 05,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 xml:space="preserve">2.1 SSB Aspects </w:t>
      </w:r>
    </w:p>
    <w:p>
      <w:pPr>
        <w:pStyle w:val="4"/>
        <w:rPr>
          <w:lang w:eastAsia="zh-CN"/>
        </w:rPr>
      </w:pPr>
      <w:r>
        <w:rPr>
          <w:lang w:eastAsia="zh-CN"/>
        </w:rPr>
        <w:t>2.1.1 DRS Related Aspects (including potential use of Short Signal Exemption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eastAsia="Calibri"/>
          <w:sz w:val="22"/>
          <w:szCs w:val="22"/>
          <w:lang w:eastAsia="zh-CN"/>
        </w:rPr>
        <w:t>]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pPr>
        <w:pStyle w:val="32"/>
        <w:spacing w:after="0"/>
        <w:jc w:val="center"/>
        <w:rPr>
          <w:rFonts w:ascii="Times New Roman" w:hAnsi="Times New Roman"/>
          <w:sz w:val="22"/>
          <w:szCs w:val="22"/>
          <w:lang w:eastAsia="zh-CN"/>
        </w:rPr>
      </w:pPr>
      <w:r>
        <w:rPr>
          <w:lang w:eastAsia="zh-CN"/>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a:stretch>
                      <a:fillRect/>
                    </a:stretch>
                  </pic:blipFill>
                  <pic:spPr>
                    <a:xfrm>
                      <a:off x="0" y="0"/>
                      <a:ext cx="5965190" cy="906145"/>
                    </a:xfrm>
                    <a:prstGeom prst="rect">
                      <a:avLst/>
                    </a:prstGeom>
                    <a:noFill/>
                    <a:ln>
                      <a:noFill/>
                    </a:ln>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pPr>
        <w:pStyle w:val="115"/>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pPr>
        <w:pStyle w:val="32"/>
        <w:numPr>
          <w:ilvl w:val="2"/>
          <w:numId w:val="6"/>
        </w:numPr>
        <w:spacing w:after="0"/>
        <w:rPr>
          <w:rFonts w:ascii="Times New Roman" w:hAnsi="Times New Roman"/>
          <w:sz w:val="22"/>
          <w:szCs w:val="22"/>
          <w:lang w:eastAsia="zh-CN"/>
        </w:rPr>
      </w:pPr>
      <w:r>
        <w:rPr>
          <w:rFonts w:ascii="Times New Roman" w:hAnsi="Times New Roman" w:eastAsia="Calibri"/>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pPr>
        <w:pStyle w:val="32"/>
        <w:numPr>
          <w:ilvl w:val="1"/>
          <w:numId w:val="6"/>
        </w:numPr>
        <w:spacing w:after="0"/>
        <w:rPr>
          <w:rFonts w:ascii="Times New Roman" w:hAnsi="Times New Roman"/>
          <w:sz w:val="22"/>
          <w:szCs w:val="22"/>
          <w:lang w:eastAsia="zh-CN"/>
        </w:rPr>
      </w:pPr>
      <w:r>
        <w:rPr>
          <w:rFonts w:ascii="Times New Roman" w:hAnsi="Times New Roman" w:eastAsia="Calibri"/>
          <w:sz w:val="22"/>
          <w:szCs w:val="22"/>
          <w:lang w:eastAsia="zh-CN"/>
        </w:rPr>
        <w:t>Some companies suggested that DRS like operation is not necessary for SSB as short signal exemption (defined in EN 302 567) could be applied.</w:t>
      </w:r>
    </w:p>
    <w:p>
      <w:pPr>
        <w:pStyle w:val="32"/>
        <w:numPr>
          <w:ilvl w:val="2"/>
          <w:numId w:val="6"/>
        </w:numPr>
        <w:spacing w:after="0"/>
        <w:rPr>
          <w:rFonts w:ascii="Times New Roman" w:hAnsi="Times New Roman"/>
          <w:sz w:val="22"/>
          <w:szCs w:val="22"/>
          <w:lang w:eastAsia="zh-CN"/>
        </w:rPr>
      </w:pPr>
      <w:r>
        <w:rPr>
          <w:rFonts w:ascii="Times New Roman" w:hAnsi="Times New Roman" w:eastAsia="Calibri"/>
          <w:sz w:val="22"/>
          <w:szCs w:val="22"/>
          <w:lang w:eastAsia="zh-CN"/>
        </w:rPr>
        <w:t>Ericsson</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620"/>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16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9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1620"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Yes</w:t>
            </w:r>
          </w:p>
        </w:tc>
        <w:tc>
          <w:tcPr>
            <w:tcW w:w="699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default" w:ascii="Times New Roman" w:hAnsi="Times New Roman"/>
                <w:sz w:val="22"/>
                <w:szCs w:val="22"/>
                <w:lang w:val="en-US" w:eastAsia="zh-CN"/>
              </w:rPr>
              <w:t>Short control signal</w:t>
            </w:r>
            <w:r>
              <w:rPr>
                <w:rFonts w:hint="eastAsia" w:ascii="Times New Roman" w:hAnsi="Times New Roman"/>
                <w:sz w:val="22"/>
                <w:szCs w:val="22"/>
                <w:lang w:val="en-US" w:eastAsia="zh"/>
              </w:rPr>
              <w:t>ling</w:t>
            </w:r>
            <w:r>
              <w:rPr>
                <w:rFonts w:hint="default" w:ascii="Times New Roman" w:hAnsi="Times New Roman"/>
                <w:sz w:val="22"/>
                <w:szCs w:val="22"/>
                <w:lang w:val="en-US" w:eastAsia="zh-CN"/>
              </w:rPr>
              <w:t xml:space="preserve"> has strict usage </w:t>
            </w:r>
            <w:r>
              <w:rPr>
                <w:rFonts w:hint="eastAsia" w:ascii="Times New Roman" w:hAnsi="Times New Roman"/>
                <w:sz w:val="22"/>
                <w:szCs w:val="22"/>
                <w:lang w:val="en-US" w:eastAsia="zh"/>
              </w:rPr>
              <w:t>requirements</w:t>
            </w:r>
            <w:r>
              <w:rPr>
                <w:rFonts w:hint="default" w:ascii="Times New Roman" w:hAnsi="Times New Roman"/>
                <w:sz w:val="22"/>
                <w:szCs w:val="22"/>
                <w:lang w:val="en-US" w:eastAsia="zh-CN"/>
              </w:rPr>
              <w:t xml:space="preserve">. </w:t>
            </w:r>
            <w:r>
              <w:rPr>
                <w:rFonts w:hint="eastAsia" w:ascii="Times New Roman" w:hAnsi="Times New Roman"/>
                <w:sz w:val="22"/>
                <w:szCs w:val="22"/>
                <w:lang w:val="en-US" w:eastAsia="zh"/>
              </w:rPr>
              <w:t>No matter for SSB or DRS including SSB and CORESET#0/RMSI,</w:t>
            </w:r>
            <w:r>
              <w:rPr>
                <w:rFonts w:hint="default" w:ascii="Times New Roman" w:hAnsi="Times New Roman"/>
                <w:sz w:val="22"/>
                <w:szCs w:val="22"/>
                <w:lang w:val="en-US" w:eastAsia="zh-CN"/>
              </w:rPr>
              <w:t xml:space="preserve"> their transmission time </w:t>
            </w:r>
            <w:r>
              <w:rPr>
                <w:rFonts w:hint="eastAsia" w:ascii="Times New Roman" w:hAnsi="Times New Roman"/>
                <w:sz w:val="22"/>
                <w:szCs w:val="22"/>
                <w:lang w:val="en-US" w:eastAsia="zh"/>
              </w:rPr>
              <w:t xml:space="preserve">in a periodicity of 100 ms </w:t>
            </w:r>
            <w:r>
              <w:rPr>
                <w:rFonts w:hint="default" w:ascii="Times New Roman" w:hAnsi="Times New Roman"/>
                <w:sz w:val="22"/>
                <w:szCs w:val="22"/>
                <w:lang w:val="en-US" w:eastAsia="zh-CN"/>
              </w:rPr>
              <w:t>may exceed 10</w:t>
            </w:r>
            <w:r>
              <w:rPr>
                <w:rFonts w:hint="eastAsia" w:ascii="Times New Roman" w:hAnsi="Times New Roman"/>
                <w:sz w:val="22"/>
                <w:szCs w:val="22"/>
                <w:lang w:val="en-US" w:eastAsia="zh"/>
              </w:rPr>
              <w:t xml:space="preserve"> </w:t>
            </w:r>
            <w:r>
              <w:rPr>
                <w:rFonts w:hint="default" w:ascii="Times New Roman" w:hAnsi="Times New Roman"/>
                <w:sz w:val="22"/>
                <w:szCs w:val="22"/>
                <w:lang w:val="en-US" w:eastAsia="zh-CN"/>
              </w:rPr>
              <w:t>ms</w:t>
            </w:r>
            <w:r>
              <w:rPr>
                <w:rFonts w:hint="eastAsia" w:ascii="Times New Roman" w:hAnsi="Times New Roman"/>
                <w:sz w:val="22"/>
                <w:szCs w:val="22"/>
                <w:lang w:val="en-US" w:eastAsia="zh"/>
              </w:rPr>
              <w:t>.</w:t>
            </w:r>
            <w:r>
              <w:rPr>
                <w:rFonts w:hint="default" w:ascii="Times New Roman" w:hAnsi="Times New Roman"/>
                <w:sz w:val="22"/>
                <w:szCs w:val="22"/>
                <w:lang w:val="en-US" w:eastAsia="zh-CN"/>
              </w:rPr>
              <w:t xml:space="preserve"> In </w:t>
            </w:r>
            <w:r>
              <w:rPr>
                <w:rFonts w:hint="eastAsia" w:ascii="Times New Roman" w:hAnsi="Times New Roman"/>
                <w:sz w:val="22"/>
                <w:szCs w:val="22"/>
                <w:lang w:val="en-US" w:eastAsia="zh"/>
              </w:rPr>
              <w:t xml:space="preserve">such </w:t>
            </w:r>
            <w:r>
              <w:rPr>
                <w:rFonts w:hint="default" w:ascii="Times New Roman" w:hAnsi="Times New Roman"/>
                <w:sz w:val="22"/>
                <w:szCs w:val="22"/>
                <w:lang w:val="en-US" w:eastAsia="zh-CN"/>
              </w:rPr>
              <w:t>case</w:t>
            </w:r>
            <w:r>
              <w:rPr>
                <w:rFonts w:hint="eastAsia" w:ascii="Times New Roman" w:hAnsi="Times New Roman"/>
                <w:sz w:val="22"/>
                <w:szCs w:val="22"/>
                <w:lang w:val="en-US" w:eastAsia="zh"/>
              </w:rPr>
              <w:t>s</w:t>
            </w:r>
            <w:r>
              <w:rPr>
                <w:rFonts w:hint="default" w:ascii="Times New Roman" w:hAnsi="Times New Roman"/>
                <w:sz w:val="22"/>
                <w:szCs w:val="22"/>
                <w:lang w:val="en-US" w:eastAsia="zh-CN"/>
              </w:rPr>
              <w:t xml:space="preserve">, LBT </w:t>
            </w:r>
            <w:r>
              <w:rPr>
                <w:rFonts w:hint="eastAsia" w:ascii="Times New Roman" w:hAnsi="Times New Roman"/>
                <w:sz w:val="22"/>
                <w:szCs w:val="22"/>
                <w:lang w:val="en-US" w:eastAsia="zh"/>
              </w:rPr>
              <w:t xml:space="preserve">could </w:t>
            </w:r>
            <w:r>
              <w:rPr>
                <w:rFonts w:hint="default" w:ascii="Times New Roman" w:hAnsi="Times New Roman"/>
                <w:sz w:val="22"/>
                <w:szCs w:val="22"/>
                <w:lang w:val="en-US" w:eastAsia="zh-CN"/>
              </w:rPr>
              <w:t>be used</w:t>
            </w:r>
            <w:r>
              <w:rPr>
                <w:rFonts w:hint="eastAsia" w:ascii="Times New Roman" w:hAnsi="Times New Roman"/>
                <w:sz w:val="22"/>
                <w:szCs w:val="22"/>
                <w:lang w:val="en-US" w:eastAsia="zh"/>
              </w:rPr>
              <w:t>. Thus we</w:t>
            </w:r>
            <w:r>
              <w:rPr>
                <w:rFonts w:hint="default" w:ascii="Times New Roman" w:hAnsi="Times New Roman"/>
                <w:sz w:val="22"/>
                <w:szCs w:val="22"/>
                <w:lang w:val="en-US" w:eastAsia="zh-CN"/>
              </w:rPr>
              <w:t xml:space="preserve"> support </w:t>
            </w:r>
            <w:r>
              <w:rPr>
                <w:rFonts w:hint="eastAsia" w:ascii="Times New Roman" w:hAnsi="Times New Roman"/>
                <w:sz w:val="22"/>
                <w:szCs w:val="22"/>
                <w:lang w:val="en-US" w:eastAsia="zh-CN"/>
              </w:rPr>
              <w:t xml:space="preserve">to </w:t>
            </w:r>
            <w:r>
              <w:rPr>
                <w:rFonts w:hint="eastAsia" w:ascii="Times New Roman" w:hAnsi="Times New Roman"/>
                <w:sz w:val="22"/>
                <w:szCs w:val="22"/>
                <w:lang w:val="en-US" w:eastAsia="zh"/>
              </w:rPr>
              <w:t>defin</w:t>
            </w:r>
            <w:r>
              <w:rPr>
                <w:rFonts w:hint="eastAsia" w:ascii="Times New Roman" w:hAnsi="Times New Roman"/>
                <w:sz w:val="22"/>
                <w:szCs w:val="22"/>
                <w:lang w:val="en-US" w:eastAsia="zh-CN"/>
              </w:rPr>
              <w:t>e</w:t>
            </w:r>
            <w:r>
              <w:rPr>
                <w:rFonts w:hint="eastAsia" w:ascii="Times New Roman" w:hAnsi="Times New Roman"/>
                <w:sz w:val="22"/>
                <w:szCs w:val="22"/>
                <w:lang w:val="en-US" w:eastAsia="zh"/>
              </w:rPr>
              <w:t xml:space="preserve"> </w:t>
            </w:r>
            <w:r>
              <w:rPr>
                <w:rFonts w:hint="default" w:ascii="Times New Roman" w:hAnsi="Times New Roman"/>
                <w:sz w:val="22"/>
                <w:szCs w:val="22"/>
                <w:lang w:val="en-US" w:eastAsia="zh-CN"/>
              </w:rPr>
              <w:t>DRS window</w:t>
            </w:r>
            <w:r>
              <w:rPr>
                <w:rFonts w:hint="eastAsia" w:ascii="Times New Roman" w:hAnsi="Times New Roman"/>
                <w:sz w:val="22"/>
                <w:szCs w:val="22"/>
                <w:lang w:val="en-US" w:eastAsia="zh"/>
              </w:rPr>
              <w:t xml:space="preserve"> and more candidate SSB positions to increase the opportunities for SSB/DRS</w:t>
            </w:r>
            <w:r>
              <w:rPr>
                <w:rFonts w:hint="default"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Supported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pPr>
        <w:pStyle w:val="32"/>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80"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ascii="Times New Roman" w:hAnsi="Times New Roman"/>
                <w:sz w:val="22"/>
                <w:szCs w:val="22"/>
                <w:lang w:eastAsia="zh-CN"/>
              </w:rPr>
              <w:t xml:space="preserve">Support </w:t>
            </w:r>
            <w:r>
              <w:rPr>
                <w:rFonts w:hint="eastAsia" w:ascii="Times New Roman" w:hAnsi="Times New Roman"/>
                <w:sz w:val="22"/>
                <w:szCs w:val="22"/>
                <w:lang w:val="en-US" w:eastAsia="zh-CN"/>
              </w:rPr>
              <w:t xml:space="preserve">SCS </w:t>
            </w:r>
            <w:r>
              <w:rPr>
                <w:rFonts w:ascii="Times New Roman" w:hAnsi="Times New Roman"/>
                <w:sz w:val="22"/>
                <w:szCs w:val="22"/>
                <w:lang w:eastAsia="zh-CN"/>
              </w:rPr>
              <w:t xml:space="preserve">480/960 kHz </w:t>
            </w:r>
            <w:r>
              <w:rPr>
                <w:rFonts w:hint="eastAsia" w:ascii="Times New Roman" w:hAnsi="Times New Roman"/>
                <w:sz w:val="22"/>
                <w:szCs w:val="22"/>
                <w:lang w:val="en-US" w:eastAsia="zh-CN"/>
              </w:rPr>
              <w:t>for operating with single numerology, to achievie required time synchronization accuracy and reduced synchronization complexity.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Mixed Numerology between SSB and CORESET#0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115"/>
        <w:numPr>
          <w:ilvl w:val="1"/>
          <w:numId w:val="6"/>
        </w:numPr>
        <w:rPr>
          <w:rFonts w:eastAsia="宋体"/>
          <w:lang w:eastAsia="zh-CN"/>
        </w:rPr>
      </w:pPr>
      <w:r>
        <w:rPr>
          <w:rFonts w:eastAsia="宋体"/>
          <w:lang w:eastAsia="zh-CN"/>
        </w:rPr>
        <w:t>Observation: Single numerology operation can enable efficient transceiver implementation and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28"/>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spacing w:after="0" w:line="240" w:lineRule="auto"/>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spacing w:after="0" w:line="240" w:lineRule="auto"/>
              <w:rPr>
                <w:rFonts w:eastAsia="Times New Roman" w:asciiTheme="minorBidi" w:hAnsiTheme="minorBidi" w:cstheme="minorBidi"/>
                <w:b/>
                <w:bCs/>
                <w:sz w:val="18"/>
                <w:szCs w:val="18"/>
              </w:rPr>
            </w:pPr>
          </w:p>
        </w:tc>
        <w:tc>
          <w:tcPr>
            <w:tcW w:w="1660" w:type="dxa"/>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80" w:type="dxa"/>
            <w:vAlign w:val="top"/>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 xml:space="preserve">Same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val="en-US" w:eastAsia="zh-CN"/>
              </w:rPr>
              <w:t>to reduce the complexity of multiplexing and indication of the SCS of CORESET#0, etc. The following three SCS pairs for SSB and CORESET#0 can</w:t>
            </w:r>
            <w:r>
              <w:rPr>
                <w:rFonts w:hint="eastAsia" w:ascii="Times New Roman" w:hAnsi="Times New Roman"/>
                <w:sz w:val="22"/>
                <w:szCs w:val="22"/>
                <w:lang w:val="en-US" w:eastAsia="zh"/>
              </w:rPr>
              <w:t xml:space="preserve"> </w:t>
            </w:r>
            <w:r>
              <w:rPr>
                <w:rFonts w:hint="eastAsia" w:ascii="Times New Roman" w:hAnsi="Times New Roman"/>
                <w:sz w:val="22"/>
                <w:szCs w:val="22"/>
                <w:lang w:val="en-US" w:eastAsia="zh-CN"/>
              </w:rPr>
              <w:t>be considered.</w:t>
            </w:r>
          </w:p>
          <w:p>
            <w:pPr>
              <w:pStyle w:val="32"/>
              <w:numPr>
                <w:ilvl w:val="2"/>
                <w:numId w:val="6"/>
              </w:numPr>
              <w:spacing w:before="120" w:after="0"/>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spacing w:before="120" w:after="0"/>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spacing w:before="120" w:after="0"/>
              <w:ind w:left="2160" w:leftChars="0" w:hanging="360" w:firstLineChars="0"/>
              <w:rPr>
                <w:rFonts w:hint="default" w:ascii="Times New Roman" w:hAnsi="Times New Roman" w:eastAsia="宋体" w:cs="Times New Roman"/>
                <w:sz w:val="22"/>
                <w:szCs w:val="22"/>
                <w:lang w:val="en-US" w:eastAsia="zh-CN" w:bidi="ar-SA"/>
              </w:rPr>
            </w:pPr>
            <w:r>
              <w:rPr>
                <w:rFonts w:ascii="Times New Roman" w:hAnsi="Times New Roman"/>
                <w:sz w:val="22"/>
                <w:szCs w:val="22"/>
                <w:lang w:eastAsia="zh-CN"/>
              </w:rPr>
              <w:t>(SSB 960kHz, CORESET#0 960kHz)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 xml:space="preserve">2.1.4 Initial Access Support for additional Numerologies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115"/>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pPr>
        <w:pStyle w:val="32"/>
        <w:spacing w:after="0"/>
        <w:rPr>
          <w:rFonts w:ascii="Times New Roman" w:hAnsi="Times New Roman"/>
          <w:sz w:val="22"/>
          <w:szCs w:val="22"/>
          <w:lang w:eastAsia="zh-CN"/>
        </w:rPr>
      </w:pPr>
      <w:r>
        <w:rPr>
          <w:rFonts w:ascii="Arial" w:hAnsi="Arial" w:cs="Arial"/>
          <w:b/>
          <w:bCs/>
          <w:color w:val="000000" w:themeColor="text1"/>
          <w:lang w:eastAsia="zh-CN"/>
          <w14:textFill>
            <w14:solidFill>
              <w14:schemeClr w14:val="tx1"/>
            </w14:solidFill>
          </w14:textFill>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332220" cy="295275"/>
                    </a:xfrm>
                    <a:prstGeom prst="rect">
                      <a:avLst/>
                    </a:prstGeom>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spacing w:after="0"/>
        <w:jc w:val="center"/>
      </w:pPr>
      <w:r>
        <w:object>
          <v:shape id="_x0000_i1025" o:spt="75" type="#_x0000_t75" style="height:158.5pt;width:274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32"/>
        <w:spacing w:after="0"/>
        <w:jc w:val="center"/>
      </w:pPr>
      <w:r>
        <w:object>
          <v:shape id="_x0000_i1026" o:spt="75" type="#_x0000_t75" style="height:36pt;width:252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pStyle w:val="32"/>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80" w:type="dxa"/>
            <w:vAlign w:val="top"/>
          </w:tcPr>
          <w:p>
            <w:pPr>
              <w:pStyle w:val="32"/>
              <w:spacing w:before="120" w:after="0" w:line="280" w:lineRule="atLeast"/>
              <w:rPr>
                <w:rFonts w:hint="default" w:ascii="Times New Roman" w:hAnsi="Times New Roman" w:eastAsia="宋体"/>
                <w:sz w:val="22"/>
                <w:szCs w:val="22"/>
                <w:lang w:val="en-US" w:eastAsia="zh"/>
              </w:rPr>
            </w:pPr>
            <w:r>
              <w:rPr>
                <w:rFonts w:hint="eastAsia" w:ascii="Times New Roman" w:hAnsi="Times New Roman"/>
                <w:sz w:val="22"/>
                <w:szCs w:val="22"/>
                <w:lang w:val="en-US" w:eastAsia="zh"/>
              </w:rPr>
              <w:t xml:space="preserve">We provide several options related to SSB pattern/transmission that can be considered </w:t>
            </w:r>
            <w:r>
              <w:rPr>
                <w:rFonts w:hint="eastAsia" w:ascii="Times New Roman" w:hAnsi="Times New Roman"/>
                <w:sz w:val="22"/>
                <w:szCs w:val="22"/>
                <w:lang w:val="en-US" w:eastAsia="zh-CN"/>
              </w:rPr>
              <w:t>to</w:t>
            </w:r>
            <w:r>
              <w:rPr>
                <w:rFonts w:hint="eastAsia" w:ascii="Times New Roman" w:hAnsi="Times New Roman"/>
                <w:sz w:val="22"/>
                <w:szCs w:val="22"/>
                <w:lang w:val="en-US" w:eastAsia="zh"/>
              </w:rPr>
              <w:t xml:space="preserve"> support beam switching and/or LBT operation.</w:t>
            </w:r>
          </w:p>
          <w:p>
            <w:pPr>
              <w:keepNext w:val="0"/>
              <w:keepLines w:val="0"/>
              <w:pageBreakBefore w:val="0"/>
              <w:widowControl w:val="0"/>
              <w:numPr>
                <w:ilvl w:val="0"/>
                <w:numId w:val="7"/>
              </w:numPr>
              <w:kinsoku/>
              <w:wordWrap/>
              <w:overflowPunct/>
              <w:topLinePunct w:val="0"/>
              <w:autoSpaceDE/>
              <w:autoSpaceDN/>
              <w:bidi w:val="0"/>
              <w:adjustRightInd/>
              <w:snapToGrid/>
              <w:spacing w:before="120" w:after="60" w:line="240" w:lineRule="auto"/>
              <w:ind w:left="840" w:leftChars="0" w:hanging="420" w:firstLineChars="0"/>
              <w:jc w:val="left"/>
              <w:textAlignment w:val="auto"/>
              <w:rPr>
                <w:rFonts w:hint="default"/>
                <w:b w:val="0"/>
                <w:bCs w:val="0"/>
                <w:u w:val="none"/>
                <w:lang w:val="en-US" w:eastAsia="zh-CN"/>
              </w:rPr>
            </w:pPr>
            <w:r>
              <w:rPr>
                <w:rFonts w:hint="eastAsia"/>
                <w:b w:val="0"/>
                <w:bCs w:val="0"/>
                <w:u w:val="none"/>
                <w:lang w:val="en-US" w:eastAsia="zh-CN"/>
              </w:rPr>
              <w:t xml:space="preserve">Option 1: </w:t>
            </w:r>
            <w:r>
              <w:rPr>
                <w:rFonts w:hint="eastAsia"/>
                <w:b w:val="0"/>
                <w:bCs w:val="0"/>
                <w:u w:val="none"/>
                <w:lang w:val="en-US" w:eastAsia="zh"/>
              </w:rPr>
              <w:t>A</w:t>
            </w:r>
            <w:r>
              <w:rPr>
                <w:rFonts w:hint="eastAsia"/>
                <w:b w:val="0"/>
                <w:bCs w:val="0"/>
                <w:u w:val="none"/>
                <w:lang w:val="en-US" w:eastAsia="zh-CN"/>
              </w:rPr>
              <w:t>ny two candidate SSBs are discontinuous in the time domain</w:t>
            </w:r>
          </w:p>
          <w:p>
            <w:pPr>
              <w:keepNext w:val="0"/>
              <w:keepLines w:val="0"/>
              <w:pageBreakBefore w:val="0"/>
              <w:widowControl w:val="0"/>
              <w:numPr>
                <w:ilvl w:val="0"/>
                <w:numId w:val="8"/>
              </w:numPr>
              <w:kinsoku/>
              <w:wordWrap/>
              <w:overflowPunct/>
              <w:topLinePunct w:val="0"/>
              <w:autoSpaceDE/>
              <w:autoSpaceDN/>
              <w:bidi w:val="0"/>
              <w:adjustRightInd/>
              <w:snapToGrid/>
              <w:spacing w:before="120" w:after="60" w:line="240" w:lineRule="auto"/>
              <w:ind w:left="1260" w:leftChars="0" w:hanging="420" w:firstLineChars="0"/>
              <w:jc w:val="both"/>
              <w:textAlignment w:val="auto"/>
              <w:rPr>
                <w:rFonts w:hint="default"/>
                <w:b w:val="0"/>
                <w:bCs w:val="0"/>
                <w:u w:val="none"/>
                <w:lang w:val="en-US" w:eastAsia="zh-CN"/>
              </w:rPr>
            </w:pPr>
            <w:r>
              <w:rPr>
                <w:rFonts w:hint="eastAsia"/>
                <w:b w:val="0"/>
                <w:bCs w:val="0"/>
                <w:u w:val="none"/>
                <w:lang w:val="en-US" w:eastAsia="zh-CN"/>
              </w:rPr>
              <w:t>Option 1-1: SSB pattern with SCS 480/960 kHz can adopt the existing pattern of Case A and Case C in one or two slots defined in Re</w:t>
            </w:r>
            <w:r>
              <w:rPr>
                <w:rFonts w:hint="default" w:ascii="Times New Roman" w:hAnsi="Times New Roman" w:cs="Times New Roman"/>
                <w:b w:val="0"/>
                <w:bCs w:val="0"/>
                <w:u w:val="none"/>
                <w:lang w:val="en-US" w:eastAsia="zh-CN"/>
              </w:rPr>
              <w:t>l-15 NR</w:t>
            </w:r>
          </w:p>
          <w:p>
            <w:pPr>
              <w:keepNext w:val="0"/>
              <w:keepLines w:val="0"/>
              <w:pageBreakBefore w:val="0"/>
              <w:widowControl w:val="0"/>
              <w:numPr>
                <w:ilvl w:val="0"/>
                <w:numId w:val="8"/>
              </w:numPr>
              <w:kinsoku/>
              <w:wordWrap/>
              <w:overflowPunct/>
              <w:topLinePunct w:val="0"/>
              <w:autoSpaceDE/>
              <w:autoSpaceDN/>
              <w:bidi w:val="0"/>
              <w:adjustRightInd/>
              <w:snapToGrid/>
              <w:spacing w:before="120" w:after="60" w:line="240" w:lineRule="auto"/>
              <w:ind w:left="1260" w:leftChars="0" w:hanging="420" w:firstLineChars="0"/>
              <w:jc w:val="both"/>
              <w:textAlignment w:val="auto"/>
              <w:rPr>
                <w:rFonts w:hint="default"/>
                <w:b w:val="0"/>
                <w:bCs w:val="0"/>
                <w:u w:val="none"/>
                <w:lang w:val="en-US" w:eastAsia="zh-CN"/>
              </w:rPr>
            </w:pPr>
            <w:r>
              <w:rPr>
                <w:rFonts w:hint="eastAsia" w:cs="Times New Roman"/>
                <w:b w:val="0"/>
                <w:bCs w:val="0"/>
                <w:u w:val="none"/>
                <w:lang w:val="en-US" w:eastAsia="zh-CN"/>
              </w:rPr>
              <w:t xml:space="preserve">Option 1-2: </w:t>
            </w:r>
            <w:r>
              <w:rPr>
                <w:rFonts w:hint="eastAsia"/>
                <w:b w:val="0"/>
                <w:bCs w:val="0"/>
                <w:u w:val="none"/>
                <w:lang w:val="en-US" w:eastAsia="zh-CN"/>
              </w:rPr>
              <w:t xml:space="preserve">SSB pattern with SCS 480/960 kHz should be re-designed to reserve at least one symbol between any two candidate SSBs, e.g. </w:t>
            </w:r>
            <w:r>
              <w:rPr>
                <w:rFonts w:hint="eastAsia"/>
                <w:b w:val="0"/>
                <w:bCs w:val="0"/>
                <w:lang w:val="en-US" w:eastAsia="zh-CN"/>
              </w:rPr>
              <w:t xml:space="preserve"> only defining one candidate SSB per slot</w:t>
            </w:r>
          </w:p>
          <w:p>
            <w:pPr>
              <w:keepNext w:val="0"/>
              <w:keepLines w:val="0"/>
              <w:pageBreakBefore w:val="0"/>
              <w:widowControl w:val="0"/>
              <w:numPr>
                <w:ilvl w:val="0"/>
                <w:numId w:val="7"/>
              </w:numPr>
              <w:kinsoku/>
              <w:wordWrap/>
              <w:overflowPunct/>
              <w:topLinePunct w:val="0"/>
              <w:autoSpaceDE/>
              <w:autoSpaceDN/>
              <w:bidi w:val="0"/>
              <w:adjustRightInd/>
              <w:snapToGrid/>
              <w:spacing w:before="120" w:after="180" w:line="260" w:lineRule="auto"/>
              <w:ind w:left="840" w:leftChars="0" w:hanging="420" w:firstLineChars="0"/>
              <w:jc w:val="both"/>
              <w:textAlignment w:val="auto"/>
              <w:rPr>
                <w:rFonts w:hint="eastAsia"/>
                <w:b w:val="0"/>
                <w:bCs w:val="0"/>
              </w:rPr>
            </w:pPr>
            <w:r>
              <w:rPr>
                <w:rFonts w:hint="eastAsia"/>
                <w:b w:val="0"/>
                <w:bCs w:val="0"/>
                <w:u w:val="none"/>
                <w:lang w:val="en-US" w:eastAsia="zh-CN"/>
              </w:rPr>
              <w:t>Option 2: Multiple adjacent candidate SSBs are defined to have a same SSB index or QCL assumption</w:t>
            </w:r>
          </w:p>
          <w:p>
            <w:pPr>
              <w:keepNext w:val="0"/>
              <w:keepLines w:val="0"/>
              <w:pageBreakBefore w:val="0"/>
              <w:widowControl w:val="0"/>
              <w:numPr>
                <w:ilvl w:val="0"/>
                <w:numId w:val="0"/>
              </w:numPr>
              <w:kinsoku/>
              <w:wordWrap/>
              <w:overflowPunct/>
              <w:topLinePunct w:val="0"/>
              <w:autoSpaceDE/>
              <w:autoSpaceDN/>
              <w:bidi w:val="0"/>
              <w:adjustRightInd/>
              <w:snapToGrid/>
              <w:spacing w:before="120" w:after="180" w:line="260" w:lineRule="auto"/>
              <w:ind w:left="0" w:leftChars="0" w:firstLine="0" w:firstLineChars="0"/>
              <w:jc w:val="both"/>
              <w:textAlignment w:val="auto"/>
              <w:rPr>
                <w:rFonts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 w:bidi="ar-SA"/>
              </w:rPr>
              <w:t>Among above, we think Option 2 is preferred as it has no limitation on SSB pattern</w:t>
            </w:r>
            <w:r>
              <w:rPr>
                <w:rFonts w:hint="eastAsia" w:ascii="Times New Roman" w:hAnsi="Times New Roman" w:cs="Times New Roman"/>
                <w:sz w:val="22"/>
                <w:szCs w:val="22"/>
                <w:lang w:val="en-US" w:eastAsia="zh" w:bidi="ar-SA"/>
              </w:rPr>
              <w:t xml:space="preserve"> design</w:t>
            </w:r>
            <w:r>
              <w:rPr>
                <w:rFonts w:hint="eastAsia" w:ascii="Times New Roman" w:hAnsi="Times New Roman" w:eastAsia="宋体" w:cs="Times New Roman"/>
                <w:sz w:val="22"/>
                <w:szCs w:val="22"/>
                <w:lang w:val="en-US" w:eastAsia="zh" w:bidi="ar-SA"/>
              </w:rPr>
              <w:t xml:space="preserve">. </w:t>
            </w:r>
            <w:r>
              <w:rPr>
                <w:rFonts w:hint="eastAsia" w:ascii="Times New Roman" w:hAnsi="Times New Roman" w:cs="Times New Roman"/>
                <w:sz w:val="22"/>
                <w:szCs w:val="22"/>
                <w:lang w:val="en-US" w:eastAsia="zh" w:bidi="ar-SA"/>
              </w:rPr>
              <w:t xml:space="preserve">With it, </w:t>
            </w:r>
            <w:r>
              <w:rPr>
                <w:rFonts w:hint="eastAsia" w:ascii="Times New Roman" w:hAnsi="Times New Roman" w:eastAsia="宋体" w:cs="Times New Roman"/>
                <w:sz w:val="22"/>
                <w:szCs w:val="22"/>
                <w:lang w:val="en-US" w:eastAsia="zh" w:bidi="ar-SA"/>
              </w:rPr>
              <w:t>Case D SSB pattern for 120 kHz can also be reused for 480kHz/960kHz.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2.1.6 SSB and CORESET#0 Multiplexing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Style w:val="49"/>
        <w:tblW w:w="6170" w:type="dxa"/>
        <w:jc w:val="center"/>
        <w:tblLayout w:type="autofit"/>
        <w:tblCellMar>
          <w:top w:w="0" w:type="dxa"/>
          <w:left w:w="108" w:type="dxa"/>
          <w:bottom w:w="0" w:type="dxa"/>
          <w:right w:w="108" w:type="dxa"/>
        </w:tblCellMar>
      </w:tblPr>
      <w:tblGrid>
        <w:gridCol w:w="1780"/>
        <w:gridCol w:w="4390"/>
      </w:tblGrid>
      <w:tr>
        <w:tblPrEx>
          <w:tblCellMar>
            <w:top w:w="0" w:type="dxa"/>
            <w:left w:w="108" w:type="dxa"/>
            <w:bottom w:w="0" w:type="dxa"/>
            <w:right w:w="108" w:type="dxa"/>
          </w:tblCellMar>
        </w:tblPrEx>
        <w:trPr>
          <w:trHeight w:val="461" w:hRule="atLeast"/>
          <w:jc w:val="center"/>
        </w:trPr>
        <w:tc>
          <w:tcPr>
            <w:tcW w:w="1780" w:type="dxa"/>
            <w:tcBorders>
              <w:top w:val="single" w:color="auto" w:sz="4" w:space="0"/>
              <w:left w:val="single" w:color="auto" w:sz="4" w:space="0"/>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hint="eastAsia" w:eastAsiaTheme="minorEastAsia"/>
                <w:lang w:val="en-GB" w:eastAsia="zh-CN"/>
              </w:rPr>
              <w:t>SCS of SS/PBCH in extended FR2</w:t>
            </w:r>
          </w:p>
        </w:tc>
        <w:tc>
          <w:tcPr>
            <w:tcW w:w="4390" w:type="dxa"/>
            <w:tcBorders>
              <w:top w:val="single" w:color="auto" w:sz="4" w:space="0"/>
              <w:left w:val="nil"/>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eastAsiaTheme="minorEastAsia"/>
                <w:lang w:val="en-GB" w:eastAsia="zh-CN"/>
              </w:rPr>
              <w:t>A</w:t>
            </w:r>
            <w:r>
              <w:rPr>
                <w:rFonts w:hint="eastAsia" w:eastAsiaTheme="minorEastAsia"/>
                <w:lang w:val="en-GB" w:eastAsia="zh-CN"/>
              </w:rPr>
              <w:t>ssociated Type0-PDCCH SCS in extended FR2</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120KHz</w:t>
            </w:r>
            <w:r>
              <w:rPr>
                <w:rFonts w:hint="eastAsia" w:eastAsia="Batang"/>
                <w:lang w:val="en-GB"/>
              </w:rPr>
              <w:t xml:space="preserve"> </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Batang"/>
                <w:lang w:val="en-GB"/>
              </w:rPr>
            </w:pPr>
            <w:r>
              <w:rPr>
                <w:rFonts w:hint="eastAsia" w:eastAsia="Batang"/>
                <w:lang w:val="en-GB"/>
              </w:rPr>
              <w:t>120KHz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Theme="minorEastAsia"/>
                <w:lang w:val="en-GB" w:eastAsia="zh-CN"/>
              </w:rPr>
              <w:t>48</w:t>
            </w:r>
            <w:r>
              <w:rPr>
                <w:rFonts w:hint="eastAsia" w:eastAsia="Batang"/>
                <w:lang w:val="en-GB"/>
              </w:rPr>
              <w:t>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480KHz</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480K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bottom"/>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960K</w:t>
            </w:r>
            <w:r>
              <w:rPr>
                <w:rFonts w:hint="eastAsia" w:eastAsiaTheme="minorEastAsia"/>
                <w:lang w:val="en-GB" w:eastAsia="zh-CN"/>
              </w:rPr>
              <w:t>Hz</w:t>
            </w:r>
          </w:p>
        </w:tc>
      </w:tr>
    </w:tbl>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pPr>
        <w:pStyle w:val="28"/>
        <w:jc w:val="center"/>
        <w:rPr>
          <w:b w:val="0"/>
          <w:bCs w:val="0"/>
        </w:rPr>
      </w:pPr>
      <w:bookmarkStart w:id="1" w:name="_Ref61447449"/>
      <w:r>
        <w:t xml:space="preserve">Table </w:t>
      </w:r>
      <w:r>
        <w:fldChar w:fldCharType="begin"/>
      </w:r>
      <w:r>
        <w:instrText xml:space="preserve"> SEQ Table \* ARABIC </w:instrText>
      </w:r>
      <w:r>
        <w:fldChar w:fldCharType="separate"/>
      </w:r>
      <w:r>
        <w:t>1</w:t>
      </w:r>
      <w:r>
        <w:fldChar w:fldCharType="end"/>
      </w:r>
      <w:bookmarkEnd w:id="0"/>
      <w:bookmarkEnd w:id="1"/>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spacing w:after="0" w:line="240" w:lineRule="auto"/>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spacing w:after="0" w:line="240" w:lineRule="auto"/>
              <w:rPr>
                <w:rFonts w:eastAsia="Times New Roman" w:asciiTheme="minorBidi" w:hAnsiTheme="minorBidi" w:cstheme="minorBidi"/>
                <w:b/>
                <w:bCs/>
                <w:sz w:val="18"/>
                <w:szCs w:val="18"/>
              </w:rPr>
            </w:pPr>
          </w:p>
        </w:tc>
        <w:tc>
          <w:tcPr>
            <w:tcW w:w="1660" w:type="dxa"/>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spacing w:after="0" w:line="240" w:lineRule="auto"/>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spacing w:after="0" w:line="240" w:lineRule="auto"/>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spacing w:after="0" w:line="240" w:lineRule="auto"/>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rPr>
          <w:b/>
          <w:bCs/>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spacing w:after="0"/>
      </w:pPr>
      <w:r>
        <w:object>
          <v:shape id="_x0000_i1027" o:spt="75" type="#_x0000_t75" style="height:130.5pt;width:496.5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spacing w:after="0"/>
      </w:pPr>
      <w:r>
        <w:object>
          <v:shape id="_x0000_i1028" o:spt="75" type="#_x0000_t75" style="height:201.5pt;width:496.5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p>
    <w:p>
      <w:pPr>
        <w:pStyle w:val="32"/>
        <w:spacing w:after="0"/>
      </w:pPr>
      <w:r>
        <w:object>
          <v:shape id="_x0000_i1029" o:spt="75" type="#_x0000_t75" style="height:201.5pt;width:496.5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spacing w:after="0"/>
        <w:jc w:val="center"/>
        <w:rPr>
          <w:rFonts w:ascii="Times New Roman" w:hAnsi="Times New Roman"/>
          <w:sz w:val="22"/>
          <w:szCs w:val="22"/>
          <w:lang w:eastAsia="zh-CN"/>
        </w:rPr>
      </w:pPr>
      <w:r>
        <w:object>
          <v:shape id="_x0000_i1030" o:spt="75" type="#_x0000_t75" style="height:115.5pt;width:237.5pt;" o:ole="t" filled="f" o:preferrelative="t" stroked="f" coordsize="21600,21600">
            <v:path/>
            <v:fill on="f" focussize="0,0"/>
            <v:stroke on="f" joinstyle="miter"/>
            <v:imagedata r:id="rId20" o:title=""/>
            <o:lock v:ext="edit" aspectratio="t"/>
            <w10:wrap type="none"/>
            <w10:anchorlock/>
          </v:shape>
          <o:OLEObject Type="Embed" ProgID="Visio.Drawing.15" ShapeID="_x0000_i1030" DrawAspect="Content" ObjectID="_1468075730" r:id="rId19">
            <o:LockedField>false</o:LockedField>
          </o:OLEObject>
        </w:objec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synchronization raster interval is larger than FR2, additional CORESET#0 RB offsets are needed for 120 kHz SS/PBCH block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all of multiplexing Pattern 1, Pattern 2 and Pattern 3 can be supported in a CORESET#0 configuration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96 RB can be added to the CORESET#0 configuration table for 120 kHz SS/PBCH block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
              </w:rPr>
              <w:t>ZTE</w:t>
            </w:r>
            <w:r>
              <w:rPr>
                <w:rFonts w:hint="eastAsia" w:ascii="Times New Roman" w:hAnsi="Times New Roman"/>
                <w:sz w:val="22"/>
                <w:szCs w:val="22"/>
                <w:lang w:val="en-US" w:eastAsia="zh-CN"/>
              </w:rPr>
              <w:t>, Sanechips</w:t>
            </w:r>
          </w:p>
        </w:tc>
        <w:tc>
          <w:tcPr>
            <w:tcW w:w="8280"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
              </w:rPr>
              <w:t>As comment</w:t>
            </w:r>
            <w:r>
              <w:rPr>
                <w:rFonts w:hint="eastAsia" w:ascii="Times New Roman" w:hAnsi="Times New Roman"/>
                <w:sz w:val="22"/>
                <w:szCs w:val="22"/>
                <w:lang w:val="en-US" w:eastAsia="zh-CN"/>
              </w:rPr>
              <w:t>ed</w:t>
            </w:r>
            <w:r>
              <w:rPr>
                <w:rFonts w:hint="eastAsia" w:ascii="Times New Roman" w:hAnsi="Times New Roman"/>
                <w:sz w:val="22"/>
                <w:szCs w:val="22"/>
                <w:lang w:val="en-US" w:eastAsia="zh"/>
              </w:rPr>
              <w:t xml:space="preserve"> in 2.1.3, s</w:t>
            </w:r>
            <w:r>
              <w:rPr>
                <w:rFonts w:hint="eastAsia" w:ascii="Times New Roman" w:hAnsi="Times New Roman"/>
                <w:sz w:val="22"/>
                <w:szCs w:val="22"/>
                <w:lang w:val="en-US" w:eastAsia="zh-CN"/>
              </w:rPr>
              <w:t xml:space="preserve">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val="en-US" w:eastAsia="zh-CN"/>
              </w:rPr>
              <w:t xml:space="preserve">to reduce the complexity of multiplexing and indication of the SCS for CORESET#0, etc. </w:t>
            </w:r>
            <w:r>
              <w:rPr>
                <w:rFonts w:hint="eastAsia" w:ascii="Times New Roman" w:hAnsi="Times New Roman"/>
                <w:sz w:val="22"/>
                <w:szCs w:val="22"/>
                <w:lang w:val="en-US" w:eastAsia="zh"/>
              </w:rPr>
              <w:t xml:space="preserve">Thus, multiplexing pattern 1 and 3 can be considered. In addition, </w:t>
            </w:r>
            <w:r>
              <w:rPr>
                <w:rFonts w:ascii="Times New Roman" w:hAnsi="Times New Roman"/>
                <w:sz w:val="22"/>
                <w:szCs w:val="22"/>
                <w:lang w:eastAsia="zh-CN"/>
              </w:rPr>
              <w:t>bandwidth/PRB for CORESET#0</w:t>
            </w:r>
            <w:r>
              <w:rPr>
                <w:rFonts w:hint="eastAsia" w:ascii="Times New Roman" w:hAnsi="Times New Roman"/>
                <w:sz w:val="22"/>
                <w:szCs w:val="22"/>
                <w:lang w:val="en-US" w:eastAsia="zh"/>
              </w:rPr>
              <w:t xml:space="preserve"> </w:t>
            </w:r>
            <w:r>
              <w:rPr>
                <w:rFonts w:hint="eastAsia" w:ascii="Times New Roman" w:hAnsi="Times New Roman"/>
                <w:sz w:val="22"/>
                <w:szCs w:val="22"/>
                <w:lang w:val="en-US" w:eastAsia="zh-CN"/>
              </w:rPr>
              <w:t xml:space="preserve">also </w:t>
            </w:r>
            <w:r>
              <w:rPr>
                <w:rFonts w:hint="eastAsia" w:ascii="Times New Roman" w:hAnsi="Times New Roman"/>
                <w:sz w:val="22"/>
                <w:szCs w:val="22"/>
                <w:lang w:val="en-US" w:eastAsia="zh"/>
              </w:rPr>
              <w:t>depends on minimum bandwidth, multiplexing pattern and the SCS of SSB and CORESET#0.</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2.1.7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2.1.8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hint="eastAsia" w:ascii="Times New Roman" w:hAnsi="Times New Roman"/>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pPr>
              <w:pStyle w:val="32"/>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
              </w:rPr>
              <w:t>ZTE</w:t>
            </w:r>
            <w:r>
              <w:rPr>
                <w:rFonts w:hint="eastAsia" w:ascii="Times New Roman" w:hAnsi="Times New Roman"/>
                <w:sz w:val="22"/>
                <w:szCs w:val="22"/>
                <w:lang w:val="en-US" w:eastAsia="zh-CN"/>
              </w:rPr>
              <w:t>, Sanechips</w:t>
            </w:r>
          </w:p>
        </w:tc>
        <w:tc>
          <w:tcPr>
            <w:tcW w:w="8280"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Similar view with</w:t>
            </w:r>
            <w:r>
              <w:rPr>
                <w:rFonts w:hint="eastAsia" w:ascii="Times New Roman" w:hAnsi="Times New Roman"/>
                <w:sz w:val="22"/>
                <w:szCs w:val="22"/>
                <w:lang w:val="en-US" w:eastAsia="zh"/>
              </w:rPr>
              <w:t xml:space="preserve"> Samsung</w:t>
            </w:r>
            <w:r>
              <w:rPr>
                <w:rFonts w:hint="eastAsia" w:ascii="Times New Roman" w:hAnsi="Times New Roman"/>
                <w:sz w:val="22"/>
                <w:szCs w:val="22"/>
                <w:lang w:val="en-US"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BW and Sequence Length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pPr>
        <w:pStyle w:val="115"/>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80" w:type="dxa"/>
            <w:vAlign w:val="top"/>
          </w:tcPr>
          <w:p>
            <w:pPr>
              <w:pStyle w:val="32"/>
              <w:numPr>
                <w:ilvl w:val="0"/>
                <w:numId w:val="9"/>
              </w:numPr>
              <w:spacing w:before="120" w:after="0" w:line="280" w:lineRule="atLeast"/>
              <w:ind w:left="420" w:hanging="420"/>
              <w:rPr>
                <w:rFonts w:hint="eastAsia" w:ascii="Times New Roman" w:hAnsi="Times New Roman"/>
                <w:sz w:val="22"/>
                <w:szCs w:val="22"/>
                <w:lang w:val="en-US" w:eastAsia="zh-CN"/>
              </w:rPr>
            </w:pPr>
            <w:r>
              <w:rPr>
                <w:rFonts w:ascii="Times New Roman" w:hAnsi="Times New Roman"/>
                <w:sz w:val="22"/>
                <w:szCs w:val="22"/>
                <w:lang w:eastAsia="zh-CN"/>
              </w:rPr>
              <w:t>Support sequence length 139, 571 and 1151 for PRACH</w:t>
            </w:r>
            <w:r>
              <w:rPr>
                <w:rFonts w:hint="eastAsia" w:ascii="Times New Roman" w:hAnsi="Times New Roman"/>
                <w:sz w:val="22"/>
                <w:szCs w:val="22"/>
                <w:lang w:val="en-US" w:eastAsia="zh-CN"/>
              </w:rPr>
              <w:t xml:space="preserve"> format A, B, C.</w:t>
            </w:r>
          </w:p>
          <w:p>
            <w:pPr>
              <w:pStyle w:val="32"/>
              <w:numPr>
                <w:ilvl w:val="0"/>
                <w:numId w:val="9"/>
              </w:numPr>
              <w:spacing w:before="120" w:after="0" w:line="280" w:lineRule="atLeast"/>
              <w:ind w:left="420" w:leftChars="0" w:hanging="420" w:firstLineChars="0"/>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Support 120kHz SCS for PRACH, jointly discuss additional SCSs (480kHz and 960kHz) for PRACH and SSB if single subcarrier spacing is supported.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Supported PRACH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2639"/>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639" w:type="dxa"/>
            <w:shd w:val="clear" w:color="auto" w:fill="FBE4D5" w:themeFill="accent2" w:themeFillTint="33"/>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9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0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2639"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N</w:t>
            </w:r>
            <w:r>
              <w:rPr>
                <w:rFonts w:hint="eastAsia" w:ascii="Times New Roman" w:hAnsi="Times New Roman"/>
                <w:sz w:val="22"/>
                <w:szCs w:val="22"/>
                <w:lang w:eastAsia="zh-CN"/>
              </w:rPr>
              <w:t>eutral</w:t>
            </w:r>
          </w:p>
        </w:tc>
        <w:tc>
          <w:tcPr>
            <w:tcW w:w="609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agree that non-contiguous RO configuration has benefit on LBT, so if LBT is required for RACH transmission, non-contiguous RO can be considered; otherwise, it</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not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RA Preamble ID calculation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669"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agree to discuss this issue. Among the solutions above, Option B proposed by Qualcomm seems a more straightforward solution.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Short Signal Exception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pPr>
        <w:pStyle w:val="115"/>
        <w:numPr>
          <w:ilvl w:val="1"/>
          <w:numId w:val="6"/>
        </w:numPr>
        <w:rPr>
          <w:rFonts w:eastAsia="宋体"/>
          <w:lang w:eastAsia="zh-CN"/>
        </w:rPr>
      </w:pPr>
      <w:r>
        <w:rPr>
          <w:rFonts w:eastAsia="宋体"/>
          <w:lang w:eastAsia="zh-CN"/>
        </w:rPr>
        <w:t>Consider applying short control signal exemption to PRACH transmission by the UE.</w:t>
      </w:r>
    </w:p>
    <w:p>
      <w:pPr>
        <w:pStyle w:val="115"/>
        <w:numPr>
          <w:ilvl w:val="0"/>
          <w:numId w:val="6"/>
        </w:numPr>
        <w:rPr>
          <w:rFonts w:eastAsia="宋体"/>
          <w:lang w:eastAsia="zh-CN"/>
        </w:rPr>
      </w:pPr>
      <w:r>
        <w:rPr>
          <w:rFonts w:eastAsia="宋体"/>
          <w:lang w:eastAsia="zh-CN"/>
        </w:rPr>
        <w:t>From [22] Ericsson:</w:t>
      </w:r>
    </w:p>
    <w:p>
      <w:pPr>
        <w:pStyle w:val="115"/>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EC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6"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669"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ascii="Times New Roman" w:hAnsi="Times New Roman"/>
                <w:sz w:val="22"/>
                <w:szCs w:val="22"/>
                <w:lang w:eastAsia="zh-CN"/>
              </w:rPr>
              <w:t>Support including PRACH as short control signal.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bookmarkStart w:id="2" w:name="_GoBack"/>
      <w:bookmarkEnd w:id="2"/>
      <w:r>
        <w:rPr>
          <w:rFonts w:cs="Arial"/>
          <w:sz w:val="32"/>
          <w:szCs w:val="32"/>
        </w:rPr>
        <w:t>Summary of Moderator Proposals and Conclusions</w:t>
      </w: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 in RAN1 #104e</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pPr>
        <w:pStyle w:val="115"/>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pPr>
        <w:pStyle w:val="115"/>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pPr>
        <w:pStyle w:val="115"/>
        <w:numPr>
          <w:ilvl w:val="0"/>
          <w:numId w:val="10"/>
        </w:numPr>
        <w:ind w:left="540" w:hanging="540"/>
        <w:rPr>
          <w:rFonts w:eastAsia="Calibri"/>
          <w:lang w:eastAsia="zh-CN"/>
        </w:rPr>
      </w:pPr>
      <w:r>
        <w:rPr>
          <w:rFonts w:eastAsia="Calibri"/>
          <w:lang w:eastAsia="zh-CN"/>
        </w:rPr>
        <w:t>R1-2100149, “Discusson on initial access aspects,” OPPO</w:t>
      </w:r>
    </w:p>
    <w:p>
      <w:pPr>
        <w:pStyle w:val="115"/>
        <w:numPr>
          <w:ilvl w:val="0"/>
          <w:numId w:val="10"/>
        </w:numPr>
        <w:ind w:left="540" w:hanging="540"/>
        <w:rPr>
          <w:rFonts w:eastAsia="Calibri"/>
          <w:lang w:eastAsia="zh-CN"/>
        </w:rPr>
      </w:pPr>
      <w:r>
        <w:rPr>
          <w:rFonts w:eastAsia="Calibri"/>
          <w:lang w:eastAsia="zh-CN"/>
        </w:rPr>
        <w:t>R1-2100200, “Initial access signals and channels for 52-71GHz band,” Huawei, HiSilicon</w:t>
      </w:r>
    </w:p>
    <w:p>
      <w:pPr>
        <w:pStyle w:val="115"/>
        <w:numPr>
          <w:ilvl w:val="0"/>
          <w:numId w:val="10"/>
        </w:numPr>
        <w:ind w:left="540" w:hanging="540"/>
        <w:rPr>
          <w:rFonts w:eastAsia="Calibri"/>
          <w:lang w:eastAsia="zh-CN"/>
        </w:rPr>
      </w:pPr>
      <w:r>
        <w:rPr>
          <w:rFonts w:eastAsia="Calibri"/>
          <w:lang w:eastAsia="zh-CN"/>
        </w:rPr>
        <w:t>R1-2100257, “Initial access aspects,” Nokia, Nokia Shanghai Bell</w:t>
      </w:r>
    </w:p>
    <w:p>
      <w:pPr>
        <w:pStyle w:val="115"/>
        <w:numPr>
          <w:ilvl w:val="0"/>
          <w:numId w:val="10"/>
        </w:numPr>
        <w:ind w:left="540" w:hanging="540"/>
        <w:rPr>
          <w:rFonts w:eastAsia="Calibri"/>
          <w:lang w:eastAsia="zh-CN"/>
        </w:rPr>
      </w:pPr>
      <w:r>
        <w:rPr>
          <w:rFonts w:eastAsia="Calibri"/>
          <w:lang w:eastAsia="zh-CN"/>
        </w:rPr>
        <w:t>R1-2100299, “Some views on initial access aspects for 52.6-71GHz,” CAICT</w:t>
      </w:r>
    </w:p>
    <w:p>
      <w:pPr>
        <w:pStyle w:val="115"/>
        <w:numPr>
          <w:ilvl w:val="0"/>
          <w:numId w:val="10"/>
        </w:numPr>
        <w:ind w:left="540" w:hanging="540"/>
        <w:rPr>
          <w:rFonts w:eastAsia="Calibri"/>
          <w:lang w:eastAsia="zh-CN"/>
        </w:rPr>
      </w:pPr>
      <w:r>
        <w:rPr>
          <w:rFonts w:eastAsia="Calibri"/>
          <w:lang w:eastAsia="zh-CN"/>
        </w:rPr>
        <w:t>R1-2100370, “Initial access aspects for up to 71GHz operation,” CATT</w:t>
      </w:r>
    </w:p>
    <w:p>
      <w:pPr>
        <w:pStyle w:val="115"/>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pPr>
        <w:pStyle w:val="115"/>
        <w:numPr>
          <w:ilvl w:val="0"/>
          <w:numId w:val="10"/>
        </w:numPr>
        <w:ind w:left="540" w:hanging="540"/>
        <w:rPr>
          <w:rFonts w:eastAsia="Calibri"/>
          <w:lang w:eastAsia="zh-CN"/>
        </w:rPr>
      </w:pPr>
      <w:r>
        <w:rPr>
          <w:rFonts w:eastAsia="Calibri"/>
          <w:lang w:eastAsia="zh-CN"/>
        </w:rPr>
        <w:t>R1-2100541, “Initial access aspects,” TCL Communication Ltd.</w:t>
      </w:r>
    </w:p>
    <w:p>
      <w:pPr>
        <w:pStyle w:val="115"/>
        <w:numPr>
          <w:ilvl w:val="0"/>
          <w:numId w:val="10"/>
        </w:numPr>
        <w:ind w:left="540" w:hanging="540"/>
        <w:rPr>
          <w:rFonts w:eastAsia="Calibri"/>
          <w:lang w:eastAsia="zh-CN"/>
        </w:rPr>
      </w:pPr>
      <w:r>
        <w:rPr>
          <w:rFonts w:eastAsia="Calibri"/>
          <w:lang w:eastAsia="zh-CN"/>
        </w:rPr>
        <w:t>R1-2100607, “Initial access aspects for NR operations in 52.6-71 GHz,” MediaTek Inc.</w:t>
      </w:r>
    </w:p>
    <w:p>
      <w:pPr>
        <w:pStyle w:val="115"/>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pPr>
        <w:pStyle w:val="115"/>
        <w:numPr>
          <w:ilvl w:val="0"/>
          <w:numId w:val="10"/>
        </w:numPr>
        <w:ind w:left="540" w:hanging="540"/>
        <w:rPr>
          <w:rFonts w:eastAsia="Calibri"/>
          <w:lang w:eastAsia="zh-CN"/>
        </w:rPr>
      </w:pPr>
      <w:r>
        <w:rPr>
          <w:rFonts w:eastAsia="Calibri"/>
          <w:lang w:eastAsia="zh-CN"/>
        </w:rPr>
        <w:t>R1-2100740, “Considerations on initial access for NR from 52.6GHz to 71 GHz,” Fujitsu</w:t>
      </w:r>
    </w:p>
    <w:p>
      <w:pPr>
        <w:pStyle w:val="115"/>
        <w:numPr>
          <w:ilvl w:val="0"/>
          <w:numId w:val="10"/>
        </w:numPr>
        <w:ind w:left="540" w:hanging="540"/>
        <w:rPr>
          <w:rFonts w:eastAsia="Calibri"/>
          <w:lang w:eastAsia="zh-CN"/>
        </w:rPr>
      </w:pPr>
      <w:r>
        <w:rPr>
          <w:rFonts w:eastAsia="Calibri"/>
          <w:lang w:eastAsia="zh-CN"/>
        </w:rPr>
        <w:t>R1-2100781, “Further Discussion of Initial Access Aspects,” AT&amp;T</w:t>
      </w:r>
    </w:p>
    <w:p>
      <w:pPr>
        <w:pStyle w:val="115"/>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pPr>
        <w:pStyle w:val="115"/>
        <w:numPr>
          <w:ilvl w:val="0"/>
          <w:numId w:val="10"/>
        </w:numPr>
        <w:ind w:left="540" w:hanging="540"/>
        <w:rPr>
          <w:rFonts w:eastAsia="Calibri"/>
          <w:lang w:eastAsia="zh-CN"/>
        </w:rPr>
      </w:pPr>
      <w:r>
        <w:rPr>
          <w:rFonts w:eastAsia="Calibri"/>
          <w:lang w:eastAsia="zh-CN"/>
        </w:rPr>
        <w:t>R1-2100836, “Discussions on initial access aspects,” InterDigital, Inc.</w:t>
      </w:r>
    </w:p>
    <w:p>
      <w:pPr>
        <w:pStyle w:val="115"/>
        <w:numPr>
          <w:ilvl w:val="0"/>
          <w:numId w:val="10"/>
        </w:numPr>
        <w:ind w:left="540" w:hanging="540"/>
        <w:rPr>
          <w:rFonts w:eastAsia="Calibri"/>
          <w:lang w:eastAsia="zh-CN"/>
        </w:rPr>
      </w:pPr>
      <w:r>
        <w:rPr>
          <w:rFonts w:eastAsia="Calibri"/>
          <w:lang w:eastAsia="zh-CN"/>
        </w:rPr>
        <w:t>R1-2100892, “Initial access aspects to support NR above 52.6 GHz,” LG Electronics</w:t>
      </w:r>
    </w:p>
    <w:p>
      <w:pPr>
        <w:pStyle w:val="115"/>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pPr>
        <w:pStyle w:val="115"/>
        <w:numPr>
          <w:ilvl w:val="0"/>
          <w:numId w:val="10"/>
        </w:numPr>
        <w:ind w:left="540" w:hanging="540"/>
        <w:rPr>
          <w:rFonts w:eastAsia="Calibri"/>
          <w:lang w:eastAsia="zh-CN"/>
        </w:rPr>
      </w:pPr>
      <w:r>
        <w:rPr>
          <w:rFonts w:eastAsia="Calibri"/>
          <w:lang w:eastAsia="zh-CN"/>
        </w:rPr>
        <w:t>R1-2101109, “On initial access aspects for NR from 52.6GHz to 71GHz,” Xiaomi</w:t>
      </w:r>
    </w:p>
    <w:p>
      <w:pPr>
        <w:pStyle w:val="115"/>
        <w:numPr>
          <w:ilvl w:val="0"/>
          <w:numId w:val="10"/>
        </w:numPr>
        <w:ind w:left="540" w:hanging="540"/>
        <w:rPr>
          <w:rFonts w:eastAsia="Calibri"/>
          <w:lang w:eastAsia="zh-CN"/>
        </w:rPr>
      </w:pPr>
      <w:r>
        <w:rPr>
          <w:rFonts w:eastAsia="Calibri"/>
          <w:lang w:eastAsia="zh-CN"/>
        </w:rPr>
        <w:t>R1-2101194, “Initial access aspects for NR from 52.6 GHz to 71 GHz,” Samsung</w:t>
      </w:r>
    </w:p>
    <w:p>
      <w:pPr>
        <w:pStyle w:val="115"/>
        <w:numPr>
          <w:ilvl w:val="0"/>
          <w:numId w:val="10"/>
        </w:numPr>
        <w:ind w:left="540" w:hanging="540"/>
        <w:rPr>
          <w:rFonts w:eastAsia="Calibri"/>
          <w:lang w:eastAsia="zh-CN"/>
        </w:rPr>
      </w:pPr>
      <w:r>
        <w:rPr>
          <w:rFonts w:eastAsia="Calibri"/>
          <w:lang w:eastAsia="zh-CN"/>
        </w:rPr>
        <w:t>R1-2101286, “Discussion on Initial access aspects for NR beyond 52.6 GHz,” CEWiT</w:t>
      </w:r>
    </w:p>
    <w:p>
      <w:pPr>
        <w:pStyle w:val="115"/>
        <w:numPr>
          <w:ilvl w:val="0"/>
          <w:numId w:val="10"/>
        </w:numPr>
        <w:ind w:left="540" w:hanging="540"/>
        <w:rPr>
          <w:rFonts w:eastAsia="Calibri"/>
          <w:lang w:eastAsia="zh-CN"/>
        </w:rPr>
      </w:pPr>
      <w:r>
        <w:rPr>
          <w:rFonts w:eastAsia="Calibri"/>
          <w:lang w:eastAsia="zh-CN"/>
        </w:rPr>
        <w:t>R1-2101306, “Initial Access Aspects,” Ericsson</w:t>
      </w:r>
    </w:p>
    <w:p>
      <w:pPr>
        <w:pStyle w:val="115"/>
        <w:numPr>
          <w:ilvl w:val="0"/>
          <w:numId w:val="10"/>
        </w:numPr>
        <w:ind w:left="540" w:hanging="540"/>
        <w:rPr>
          <w:rFonts w:eastAsia="Calibri"/>
          <w:lang w:eastAsia="zh-CN"/>
        </w:rPr>
      </w:pPr>
      <w:r>
        <w:rPr>
          <w:rFonts w:eastAsia="Calibri"/>
          <w:lang w:eastAsia="zh-CN"/>
        </w:rPr>
        <w:t>R1-2101372, “On Initial access signals and channels,” Apple</w:t>
      </w:r>
    </w:p>
    <w:p>
      <w:pPr>
        <w:pStyle w:val="115"/>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pPr>
        <w:pStyle w:val="115"/>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pPr>
        <w:pStyle w:val="115"/>
        <w:numPr>
          <w:ilvl w:val="0"/>
          <w:numId w:val="10"/>
        </w:numPr>
        <w:ind w:left="540" w:hanging="540"/>
        <w:rPr>
          <w:rFonts w:eastAsia="Calibri"/>
          <w:lang w:eastAsia="zh-CN"/>
        </w:rPr>
      </w:pPr>
      <w:r>
        <w:rPr>
          <w:rFonts w:eastAsia="Calibri"/>
          <w:lang w:eastAsia="zh-CN"/>
        </w:rPr>
        <w:t>R1-2101605, “Initial access aspects for NR from 52.6 to 71 GHz,” NTT DOCOMO, INC.</w:t>
      </w:r>
    </w:p>
    <w:p>
      <w:pPr>
        <w:pStyle w:val="115"/>
        <w:numPr>
          <w:ilvl w:val="0"/>
          <w:numId w:val="10"/>
        </w:numPr>
        <w:ind w:left="540" w:hanging="540"/>
        <w:rPr>
          <w:lang w:eastAsia="zh-CN"/>
        </w:rPr>
      </w:pPr>
      <w:r>
        <w:rPr>
          <w:rFonts w:eastAsia="Calibri"/>
          <w:lang w:eastAsia="zh-CN"/>
        </w:rPr>
        <w:t>R1-2101672, “Discussion on initial access aspects for NR beyond 52.6GHz,” WILUS Inc.</w:t>
      </w:r>
    </w:p>
    <w:p>
      <w:pPr>
        <w:ind w:left="36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4F5233"/>
    <w:multiLevelType w:val="singleLevel"/>
    <w:tmpl w:val="2C4F5233"/>
    <w:lvl w:ilvl="0" w:tentative="0">
      <w:start w:val="1"/>
      <w:numFmt w:val="bullet"/>
      <w:lvlText w:val="-"/>
      <w:lvlJc w:val="left"/>
      <w:pPr>
        <w:tabs>
          <w:tab w:val="left" w:pos="840"/>
        </w:tabs>
        <w:ind w:left="1260" w:leftChars="0" w:hanging="420" w:firstLineChars="0"/>
      </w:pPr>
      <w:rPr>
        <w:rFonts w:hint="default" w:ascii="微软雅黑" w:hAnsi="微软雅黑" w:eastAsia="微软雅黑" w:cs="微软雅黑"/>
      </w:rPr>
    </w:lvl>
  </w:abstractNum>
  <w:abstractNum w:abstractNumId="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00F8BF8"/>
    <w:multiLevelType w:val="singleLevel"/>
    <w:tmpl w:val="600F8BF8"/>
    <w:lvl w:ilvl="0" w:tentative="0">
      <w:start w:val="1"/>
      <w:numFmt w:val="bullet"/>
      <w:lvlText w:val=""/>
      <w:lvlJc w:val="left"/>
      <w:pPr>
        <w:ind w:left="420" w:leftChars="0" w:hanging="420" w:firstLineChars="0"/>
      </w:pPr>
      <w:rPr>
        <w:rFonts w:hint="default" w:ascii="Wingdings" w:hAnsi="Wingdings"/>
      </w:rPr>
    </w:lvl>
  </w:abstractNum>
  <w:abstractNum w:abstractNumId="8">
    <w:nsid w:val="7BDC4324"/>
    <w:multiLevelType w:val="singleLevel"/>
    <w:tmpl w:val="7BDC4324"/>
    <w:lvl w:ilvl="0" w:tentative="0">
      <w:start w:val="1"/>
      <w:numFmt w:val="bullet"/>
      <w:lvlText w:val="•"/>
      <w:lvlJc w:val="left"/>
      <w:pPr>
        <w:tabs>
          <w:tab w:val="left" w:pos="420"/>
        </w:tabs>
        <w:ind w:left="840" w:leftChars="0" w:hanging="420" w:firstLineChars="0"/>
      </w:pPr>
      <w:rPr>
        <w:rFonts w:hint="default" w:ascii="微软雅黑" w:hAnsi="微软雅黑" w:eastAsia="微软雅黑" w:cs="微软雅黑"/>
      </w:rPr>
    </w:lvl>
  </w:abstractNum>
  <w:abstractNum w:abstractNumId="9">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uiPriority w:val="0"/>
    <w:pPr>
      <w:keepLines/>
      <w:ind w:left="1702" w:hanging="1418"/>
    </w:pPr>
  </w:style>
  <w:style w:type="paragraph" w:customStyle="1" w:styleId="71">
    <w:name w:val="FP"/>
    <w:basedOn w:val="1"/>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qFormat/>
    <w:uiPriority w:val="0"/>
    <w:rPr>
      <w:rFonts w:ascii="Arial" w:hAnsi="Arial"/>
      <w:sz w:val="24"/>
      <w:lang w:val="en-GB" w:eastAsia="en-US"/>
    </w:rPr>
  </w:style>
  <w:style w:type="character" w:customStyle="1" w:styleId="109">
    <w:name w:val="标题 5 字符"/>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字符"/>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字符"/>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字符"/>
    <w:link w:val="28"/>
    <w:qFormat/>
    <w:uiPriority w:val="35"/>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 w:type="table" w:customStyle="1" w:styleId="149">
    <w:name w:val="Grid Table Light"/>
    <w:basedOn w:val="49"/>
    <w:qFormat/>
    <w:uiPriority w:val="40"/>
    <w:pPr>
      <w:spacing w:after="0" w:line="240" w:lineRule="auto"/>
    </w:pPr>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7.emf"/><Relationship Id="rId17" Type="http://schemas.openxmlformats.org/officeDocument/2006/relationships/package" Target="embeddings/Microsoft_Visio___5.vsdx"/><Relationship Id="rId16" Type="http://schemas.openxmlformats.org/officeDocument/2006/relationships/image" Target="media/image6.emf"/><Relationship Id="rId15" Type="http://schemas.openxmlformats.org/officeDocument/2006/relationships/package" Target="embeddings/Microsoft_Visio___4.vsdx"/><Relationship Id="rId14" Type="http://schemas.openxmlformats.org/officeDocument/2006/relationships/image" Target="media/image5.emf"/><Relationship Id="rId13" Type="http://schemas.openxmlformats.org/officeDocument/2006/relationships/package" Target="embeddings/Microsoft_Visio___3.vsdx"/><Relationship Id="rId12" Type="http://schemas.openxmlformats.org/officeDocument/2006/relationships/image" Target="media/image4.emf"/><Relationship Id="rId11" Type="http://schemas.openxmlformats.org/officeDocument/2006/relationships/package" Target="embeddings/Microsoft_Visio___2.vsdx"/><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714A50"/>
    <w:rsid w:val="00760785"/>
    <w:rsid w:val="00765800"/>
    <w:rsid w:val="007D1FCD"/>
    <w:rsid w:val="008447D3"/>
    <w:rsid w:val="00896296"/>
    <w:rsid w:val="008B1F9D"/>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25629-17BD-45B7-B56C-F6E54912B0D4}">
  <ds:schemaRefs/>
</ds:datastoreItem>
</file>

<file path=customXml/itemProps3.xml><?xml version="1.0" encoding="utf-8"?>
<ds:datastoreItem xmlns:ds="http://schemas.openxmlformats.org/officeDocument/2006/customXml" ds:itemID="{CE99CDDD-F865-4C00-B3CE-878385957025}">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27</Pages>
  <Words>8839</Words>
  <Characters>50383</Characters>
  <Lines>419</Lines>
  <Paragraphs>118</Paragraphs>
  <TotalTime>1</TotalTime>
  <ScaleCrop>false</ScaleCrop>
  <LinksUpToDate>false</LinksUpToDate>
  <CharactersWithSpaces>59104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#104-e</cp:category>
  <dcterms:created xsi:type="dcterms:W3CDTF">2020-08-12T08:35:00Z</dcterms:created>
  <dc:creator>Daewon Lee</dc:creator>
  <dc:description>e-Meeting, January 25 – February 05, 2020</dc:description>
  <cp:keywords>CTPClassification=CTP_PUBLIC:VisualMarkings=, CTPClassification=CTP_NT</cp:keywords>
  <cp:lastModifiedBy>ZTE-Ziyang</cp:lastModifiedBy>
  <cp:lastPrinted>2011-11-09T07:49:00Z</cp:lastPrinted>
  <dcterms:modified xsi:type="dcterms:W3CDTF">2021-01-26T05:31:17Z</dcterms:modified>
  <dc:subject>R1-2101827</dc:subject>
  <dc:title>Summary #1 of email discussion on initial access aspect of NR extension up to 71 GHz</dc:title>
  <cp:revision>1170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