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7357"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5FFACAA9"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333DB17A" w14:textId="77777777" w:rsidR="00626491" w:rsidRPr="00BB4A75" w:rsidRDefault="00626491">
      <w:pPr>
        <w:snapToGrid w:val="0"/>
        <w:spacing w:after="0"/>
        <w:rPr>
          <w:rFonts w:cs="Arial"/>
          <w:b/>
          <w:color w:val="000000"/>
          <w:sz w:val="28"/>
          <w:szCs w:val="28"/>
        </w:rPr>
      </w:pPr>
    </w:p>
    <w:p w14:paraId="60CE675D"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69605704"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2FF71470"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71568F" w:rsidRPr="00BB4A75">
        <w:rPr>
          <w:b/>
          <w:color w:val="000000"/>
          <w:sz w:val="24"/>
          <w:szCs w:val="24"/>
        </w:rPr>
        <w:t xml:space="preserve">Summary of UE features for </w:t>
      </w:r>
      <w:r w:rsidR="00E41140">
        <w:rPr>
          <w:b/>
          <w:color w:val="000000"/>
          <w:sz w:val="24"/>
          <w:szCs w:val="24"/>
        </w:rPr>
        <w:t xml:space="preserve">Mobility Enhancements </w:t>
      </w:r>
    </w:p>
    <w:p w14:paraId="34D7DA50"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57DF0FCB" w14:textId="77777777" w:rsidR="00774F38" w:rsidRPr="00BB4A75" w:rsidRDefault="00774F38" w:rsidP="00774F38">
      <w:pPr>
        <w:pStyle w:val="NoSpacing"/>
        <w:jc w:val="left"/>
        <w:rPr>
          <w:color w:val="000000"/>
          <w:sz w:val="16"/>
          <w:szCs w:val="16"/>
        </w:rPr>
      </w:pPr>
    </w:p>
    <w:p w14:paraId="236DCBB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462C2330" w14:textId="77777777" w:rsidR="00653812" w:rsidRDefault="00653812" w:rsidP="00653812">
      <w:pPr>
        <w:pStyle w:val="maintext"/>
        <w:ind w:firstLineChars="90" w:firstLine="180"/>
        <w:rPr>
          <w:rFonts w:ascii="Calibri" w:hAnsi="Calibri" w:cs="Arial"/>
        </w:rPr>
      </w:pPr>
      <w:r>
        <w:rPr>
          <w:rFonts w:ascii="Calibri" w:hAnsi="Calibri" w:cs="Arial"/>
        </w:rPr>
        <w:t>This document was drafted by the moderator of the agenda item under the direction of the RAN1 Chairman following the below guidance whose purpose it serves: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8"/>
      </w:tblGrid>
      <w:tr w:rsidR="00653812" w14:paraId="1D2D3326" w14:textId="77777777" w:rsidTr="00EC5026">
        <w:tc>
          <w:tcPr>
            <w:tcW w:w="22607" w:type="dxa"/>
            <w:tcBorders>
              <w:top w:val="single" w:sz="4" w:space="0" w:color="auto"/>
              <w:left w:val="single" w:sz="4" w:space="0" w:color="auto"/>
              <w:bottom w:val="single" w:sz="4" w:space="0" w:color="auto"/>
              <w:right w:val="single" w:sz="4" w:space="0" w:color="auto"/>
            </w:tcBorders>
          </w:tcPr>
          <w:p w14:paraId="264EB2C5" w14:textId="77777777" w:rsidR="00EC5026" w:rsidRPr="00EC5026" w:rsidRDefault="00EC5026" w:rsidP="00EC5026">
            <w:pPr>
              <w:pStyle w:val="maintext"/>
              <w:numPr>
                <w:ilvl w:val="0"/>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nd</w:t>
            </w:r>
            <w:r w:rsidRPr="00EC5026">
              <w:rPr>
                <w:rFonts w:ascii="Calibri" w:hAnsi="Calibri" w:cs="Arial"/>
                <w:bCs/>
                <w:color w:val="000000"/>
                <w:lang w:val="en-US"/>
              </w:rPr>
              <w:t>: preparation phase</w:t>
            </w:r>
          </w:p>
          <w:p w14:paraId="342CEA3C"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19</w:t>
            </w:r>
            <w:r w:rsidRPr="00EC5026">
              <w:rPr>
                <w:rFonts w:ascii="Calibri" w:hAnsi="Calibri" w:cs="Arial"/>
                <w:bCs/>
                <w:color w:val="000000"/>
                <w:vertAlign w:val="superscript"/>
                <w:lang w:val="en-US"/>
              </w:rPr>
              <w:t>th</w:t>
            </w:r>
            <w:r w:rsidRPr="00EC5026">
              <w:rPr>
                <w:rFonts w:ascii="Calibri" w:hAnsi="Calibri" w:cs="Arial"/>
                <w:bCs/>
                <w:color w:val="000000"/>
                <w:lang w:val="en-US"/>
              </w:rPr>
              <w:t>: FLs to prepare summary</w:t>
            </w:r>
          </w:p>
          <w:p w14:paraId="3A22E241"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January 20</w:t>
            </w:r>
            <w:r w:rsidRPr="00EC5026">
              <w:rPr>
                <w:rFonts w:ascii="Calibri" w:hAnsi="Calibri" w:cs="Arial"/>
                <w:bCs/>
                <w:color w:val="000000"/>
                <w:vertAlign w:val="superscript"/>
                <w:lang w:val="en-US"/>
              </w:rPr>
              <w:t>th</w:t>
            </w:r>
            <w:r w:rsidRPr="00EC5026">
              <w:rPr>
                <w:rFonts w:ascii="Calibri" w:hAnsi="Calibri" w:cs="Arial"/>
                <w:bCs/>
                <w:color w:val="000000"/>
                <w:lang w:val="en-US"/>
              </w:rPr>
              <w:t xml:space="preserve"> – 22</w:t>
            </w:r>
            <w:r w:rsidRPr="00EC5026">
              <w:rPr>
                <w:rFonts w:ascii="Calibri" w:hAnsi="Calibri" w:cs="Arial"/>
                <w:bCs/>
                <w:color w:val="000000"/>
                <w:vertAlign w:val="superscript"/>
                <w:lang w:val="en-US"/>
              </w:rPr>
              <w:t>th</w:t>
            </w:r>
            <w:r w:rsidRPr="00EC5026">
              <w:rPr>
                <w:rFonts w:ascii="Calibri" w:hAnsi="Calibri" w:cs="Arial"/>
                <w:bCs/>
                <w:color w:val="000000"/>
                <w:lang w:val="en-US"/>
              </w:rPr>
              <w:t>: FLs to lead the discussion identifying the set of email threads</w:t>
            </w:r>
          </w:p>
          <w:p w14:paraId="674EA503"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Cs/>
                <w:color w:val="000000"/>
                <w:lang w:val="en-US"/>
              </w:rPr>
              <w:t xml:space="preserve">A single email thread is used for each of the Rel-16 WIs </w:t>
            </w:r>
          </w:p>
          <w:p w14:paraId="4F1D5648" w14:textId="77777777" w:rsidR="00EC5026"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Cs/>
                <w:color w:val="000000"/>
                <w:lang w:val="en-US"/>
              </w:rPr>
              <w:t>In the email approval phase, multiple email threads may be used &amp; announced accordingly – detailed budget shown later</w:t>
            </w:r>
          </w:p>
          <w:p w14:paraId="3383DB1A" w14:textId="77777777" w:rsidR="00EC5026" w:rsidRPr="00EC5026" w:rsidRDefault="00EC5026" w:rsidP="00EC5026">
            <w:pPr>
              <w:pStyle w:val="maintext"/>
              <w:numPr>
                <w:ilvl w:val="1"/>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Note: </w:t>
            </w:r>
            <w:r w:rsidRPr="00EC5026">
              <w:rPr>
                <w:rFonts w:ascii="Calibri" w:hAnsi="Calibri" w:cs="Arial"/>
                <w:bCs/>
                <w:color w:val="000000"/>
                <w:lang w:val="en-US"/>
              </w:rPr>
              <w:t xml:space="preserve">PLEASE KEEP THE EMAIL DISCUSSION </w:t>
            </w:r>
            <w:r w:rsidRPr="00EC5026">
              <w:rPr>
                <w:rFonts w:ascii="Calibri" w:hAnsi="Calibri" w:cs="Arial"/>
                <w:b/>
                <w:bCs/>
                <w:color w:val="000000"/>
                <w:u w:val="single"/>
                <w:lang w:val="en-US"/>
              </w:rPr>
              <w:t>SCOPE</w:t>
            </w:r>
            <w:r w:rsidRPr="00EC5026">
              <w:rPr>
                <w:rFonts w:ascii="Calibri" w:hAnsi="Calibri" w:cs="Arial"/>
                <w:bCs/>
                <w:color w:val="000000"/>
                <w:lang w:val="en-US"/>
              </w:rPr>
              <w:t xml:space="preserve"> PER EMAIL THREAD </w:t>
            </w:r>
            <w:r w:rsidRPr="00EC5026">
              <w:rPr>
                <w:rFonts w:ascii="Calibri" w:hAnsi="Calibri" w:cs="Arial"/>
                <w:b/>
                <w:bCs/>
                <w:color w:val="000000"/>
                <w:u w:val="single"/>
                <w:lang w:val="en-US"/>
              </w:rPr>
              <w:t>REASONABLE!</w:t>
            </w:r>
          </w:p>
          <w:p w14:paraId="64795134" w14:textId="77777777" w:rsidR="00653812" w:rsidRPr="00EC5026" w:rsidRDefault="00EC5026" w:rsidP="00EC5026">
            <w:pPr>
              <w:pStyle w:val="maintext"/>
              <w:numPr>
                <w:ilvl w:val="2"/>
                <w:numId w:val="32"/>
              </w:numPr>
              <w:ind w:firstLineChars="0"/>
              <w:rPr>
                <w:rFonts w:ascii="Calibri" w:hAnsi="Calibri" w:cs="Arial"/>
                <w:bCs/>
                <w:color w:val="000000"/>
                <w:lang w:val="en-US"/>
              </w:rPr>
            </w:pPr>
            <w:r w:rsidRPr="00EC5026">
              <w:rPr>
                <w:rFonts w:ascii="Calibri" w:hAnsi="Calibri" w:cs="Arial"/>
                <w:b/>
                <w:bCs/>
                <w:color w:val="000000"/>
                <w:u w:val="single"/>
                <w:lang w:val="en-US"/>
              </w:rPr>
              <w:t xml:space="preserve">Too much scope will force Chairman/Vice Chairman to step in to do the necessary cut down using the best judgement </w:t>
            </w:r>
            <w:r w:rsidRPr="00EC5026">
              <w:rPr>
                <w:rFonts w:ascii="Calibri" w:hAnsi="Calibri" w:cs="Arial" w:hint="eastAsia"/>
                <w:bCs/>
                <w:color w:val="000000"/>
                <w:lang w:val="en-US"/>
              </w:rPr>
              <w:sym w:font="Wingdings" w:char="F0E0"/>
            </w:r>
            <w:r w:rsidRPr="00EC5026">
              <w:rPr>
                <w:rFonts w:ascii="Calibri" w:hAnsi="Calibri" w:cs="Arial"/>
                <w:b/>
                <w:bCs/>
                <w:color w:val="000000"/>
                <w:u w:val="single"/>
                <w:lang w:val="en-US"/>
              </w:rPr>
              <w:t xml:space="preserve"> if so, no complaints please. </w:t>
            </w:r>
          </w:p>
        </w:tc>
      </w:tr>
    </w:tbl>
    <w:p w14:paraId="6A100AED" w14:textId="77777777" w:rsidR="00653812" w:rsidRDefault="00653812" w:rsidP="00653812">
      <w:pPr>
        <w:pStyle w:val="maintext"/>
        <w:ind w:firstLineChars="90" w:firstLine="180"/>
        <w:rPr>
          <w:rFonts w:ascii="Calibri" w:hAnsi="Calibri" w:cs="Calibri"/>
        </w:rPr>
      </w:pPr>
      <w:r>
        <w:rPr>
          <w:rFonts w:ascii="Calibri" w:hAnsi="Calibri" w:cs="Arial"/>
        </w:rPr>
        <w:t>Section 2 is the moderator’s summary of contributions submitted to RAN1 #10</w:t>
      </w:r>
      <w:r w:rsidR="00EC5026">
        <w:rPr>
          <w:rFonts w:ascii="Calibri" w:hAnsi="Calibri" w:cs="Arial"/>
        </w:rPr>
        <w:t>4</w:t>
      </w:r>
      <w:r>
        <w:rPr>
          <w:rFonts w:ascii="Calibri" w:hAnsi="Calibri" w:cs="Arial"/>
        </w:rPr>
        <w:t>-e in this agenda item according to the Chairman’s guidance. During the preparation phase, companies were given the opportunity to revise their views in the moderator’s summary in Section 2 using revision marks as shown below, if any. Section 3 was jointly drafted by the moderator and contributing companies during the preparation phase of RAN1 #10</w:t>
      </w:r>
      <w:r w:rsidR="00EC5026">
        <w:rPr>
          <w:rFonts w:ascii="Calibri" w:hAnsi="Calibri" w:cs="Arial"/>
        </w:rPr>
        <w:t>4</w:t>
      </w:r>
      <w:r>
        <w:rPr>
          <w:rFonts w:ascii="Calibri" w:hAnsi="Calibri" w:cs="Arial"/>
        </w:rPr>
        <w:t>-e whereby companies present their views on the moderator’s proposals according to the Chairman’s guidance above in the respective tables. After conclusion of the preparation phase, the moderator submitted the final document as input to RAN1 #10</w:t>
      </w:r>
      <w:r w:rsidR="00EC5026">
        <w:rPr>
          <w:rFonts w:ascii="Calibri" w:hAnsi="Calibri" w:cs="Arial"/>
        </w:rPr>
        <w:t>4</w:t>
      </w:r>
      <w:r>
        <w:rPr>
          <w:rFonts w:ascii="Calibri" w:hAnsi="Calibri" w:cs="Arial"/>
        </w:rPr>
        <w:t xml:space="preserve">-e with recommendations captured in Section 4.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_Ref54009663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48002F0" w14:textId="77777777" w:rsidR="00653812" w:rsidRDefault="00653812" w:rsidP="00653812">
      <w:pPr>
        <w:pStyle w:val="Heading1"/>
        <w:numPr>
          <w:ilvl w:val="0"/>
          <w:numId w:val="9"/>
        </w:numPr>
        <w:jc w:val="both"/>
      </w:pPr>
      <w:r>
        <w:t xml:space="preserve">Summary </w:t>
      </w:r>
    </w:p>
    <w:p w14:paraId="3DFD66B0" w14:textId="77777777" w:rsidR="00653812" w:rsidRDefault="00653812" w:rsidP="00653812">
      <w:pPr>
        <w:pStyle w:val="maintext"/>
        <w:ind w:firstLineChars="90" w:firstLine="180"/>
        <w:rPr>
          <w:rFonts w:ascii="Calibri" w:hAnsi="Calibri" w:cs="Arial"/>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w:t>
      </w:r>
    </w:p>
    <w:p w14:paraId="3D593BF0"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320"/>
        <w:gridCol w:w="4482"/>
        <w:gridCol w:w="1213"/>
        <w:gridCol w:w="527"/>
        <w:gridCol w:w="517"/>
        <w:gridCol w:w="5693"/>
        <w:gridCol w:w="1454"/>
        <w:gridCol w:w="447"/>
        <w:gridCol w:w="517"/>
        <w:gridCol w:w="517"/>
        <w:gridCol w:w="2401"/>
        <w:gridCol w:w="1632"/>
      </w:tblGrid>
      <w:tr w:rsidR="00604D18" w14:paraId="09A4D81D" w14:textId="77777777" w:rsidTr="00653812">
        <w:tc>
          <w:tcPr>
            <w:tcW w:w="0" w:type="auto"/>
            <w:tcBorders>
              <w:top w:val="single" w:sz="4" w:space="0" w:color="auto"/>
              <w:left w:val="single" w:sz="4" w:space="0" w:color="auto"/>
              <w:bottom w:val="single" w:sz="4" w:space="0" w:color="auto"/>
              <w:right w:val="single" w:sz="4" w:space="0" w:color="auto"/>
            </w:tcBorders>
          </w:tcPr>
          <w:p w14:paraId="235D4366" w14:textId="77777777" w:rsidR="003F0CDF" w:rsidRPr="000B0F35" w:rsidRDefault="003F0CDF" w:rsidP="003F0CDF">
            <w:pPr>
              <w:pStyle w:val="TAL"/>
              <w:rPr>
                <w:color w:val="000000"/>
              </w:rPr>
            </w:pPr>
            <w:r w:rsidRPr="000B0F35">
              <w:rPr>
                <w:color w:val="000000"/>
              </w:rPr>
              <w:lastRenderedPageBreak/>
              <w:t>21-1a</w:t>
            </w:r>
          </w:p>
        </w:tc>
        <w:tc>
          <w:tcPr>
            <w:tcW w:w="0" w:type="auto"/>
            <w:tcBorders>
              <w:top w:val="single" w:sz="4" w:space="0" w:color="auto"/>
              <w:left w:val="single" w:sz="4" w:space="0" w:color="auto"/>
              <w:bottom w:val="single" w:sz="4" w:space="0" w:color="auto"/>
              <w:right w:val="single" w:sz="4" w:space="0" w:color="auto"/>
            </w:tcBorders>
          </w:tcPr>
          <w:p w14:paraId="4BEF7865" w14:textId="77777777" w:rsidR="003F0CDF" w:rsidRPr="000B0F35" w:rsidRDefault="003F0CDF" w:rsidP="003F0CDF">
            <w:pPr>
              <w:pStyle w:val="TAL"/>
              <w:rPr>
                <w:rFonts w:ascii="Times New Roman" w:eastAsia="SimSun" w:hAnsi="Times New Roman"/>
                <w:color w:val="000000"/>
                <w:lang w:eastAsia="zh-CN"/>
              </w:rPr>
            </w:pPr>
            <w:r w:rsidRPr="000B0F35">
              <w:rPr>
                <w:color w:val="000000"/>
              </w:rPr>
              <w:t>Intra-frequency DAPS HO</w:t>
            </w:r>
          </w:p>
        </w:tc>
        <w:tc>
          <w:tcPr>
            <w:tcW w:w="0" w:type="auto"/>
            <w:tcBorders>
              <w:top w:val="single" w:sz="4" w:space="0" w:color="auto"/>
              <w:left w:val="single" w:sz="4" w:space="0" w:color="auto"/>
              <w:bottom w:val="single" w:sz="4" w:space="0" w:color="auto"/>
              <w:right w:val="single" w:sz="4" w:space="0" w:color="auto"/>
            </w:tcBorders>
          </w:tcPr>
          <w:p w14:paraId="3CEA9A73" w14:textId="77777777" w:rsidR="003F0CDF" w:rsidRPr="000B0F35" w:rsidRDefault="003F0CDF" w:rsidP="003F0CDF">
            <w:pPr>
              <w:pStyle w:val="TAL"/>
              <w:rPr>
                <w:color w:val="000000"/>
              </w:rPr>
            </w:pPr>
            <w:r w:rsidRPr="000B0F35">
              <w:rPr>
                <w:color w:val="000000"/>
              </w:rPr>
              <w:t>Support of  intra-frequency DAPS-HO </w:t>
            </w:r>
          </w:p>
          <w:p w14:paraId="0F340CDD" w14:textId="77777777" w:rsidR="003F0CDF" w:rsidRPr="000B0F35" w:rsidRDefault="003F0CDF" w:rsidP="003F0CDF">
            <w:pPr>
              <w:pStyle w:val="TAL"/>
              <w:rPr>
                <w:color w:val="000000"/>
              </w:rPr>
            </w:pPr>
            <w:r w:rsidRPr="000B0F35">
              <w:rPr>
                <w:color w:val="000000"/>
              </w:rPr>
              <w:t> </w:t>
            </w:r>
          </w:p>
          <w:p w14:paraId="5ADE4104"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simultaneous DL reception of PDCCH and PDSCH from source and target cell in DAPS-HO</w:t>
            </w:r>
          </w:p>
          <w:p w14:paraId="1B712247"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 Support of PDCCH blind decoding capability in the first MCG and second MCG.</w:t>
            </w:r>
          </w:p>
          <w:p w14:paraId="5E3CBFE1" w14:textId="77777777" w:rsidR="003F0CDF" w:rsidRPr="000B0F35" w:rsidRDefault="003F0CDF" w:rsidP="003F0CDF">
            <w:pPr>
              <w:pStyle w:val="TAL"/>
              <w:numPr>
                <w:ilvl w:val="0"/>
                <w:numId w:val="33"/>
              </w:numPr>
              <w:overflowPunct/>
              <w:autoSpaceDE/>
              <w:autoSpaceDN/>
              <w:adjustRightInd/>
              <w:textAlignment w:val="auto"/>
              <w:rPr>
                <w:color w:val="000000"/>
              </w:rPr>
            </w:pPr>
            <w:r w:rsidRPr="000B0F35">
              <w:rPr>
                <w:color w:val="000000"/>
              </w:rPr>
              <w:t>Support of cancelling UL transmission to the source cell for intra-frequency DAPS-HO</w:t>
            </w:r>
          </w:p>
        </w:tc>
        <w:tc>
          <w:tcPr>
            <w:tcW w:w="0" w:type="auto"/>
            <w:tcBorders>
              <w:top w:val="single" w:sz="4" w:space="0" w:color="auto"/>
              <w:left w:val="single" w:sz="4" w:space="0" w:color="auto"/>
              <w:bottom w:val="single" w:sz="4" w:space="0" w:color="auto"/>
              <w:right w:val="single" w:sz="4" w:space="0" w:color="auto"/>
            </w:tcBorders>
          </w:tcPr>
          <w:p w14:paraId="5B99FC85" w14:textId="77777777" w:rsidR="003F0CDF" w:rsidRPr="000B0F35" w:rsidRDefault="003F0CDF" w:rsidP="003F0CDF">
            <w:pPr>
              <w:pStyle w:val="TAL"/>
              <w:rPr>
                <w:color w:val="000000"/>
              </w:rPr>
            </w:pPr>
            <w:r w:rsidRPr="000B0F35">
              <w:rPr>
                <w:color w:val="000000"/>
              </w:rPr>
              <w:t>DAPS</w:t>
            </w:r>
          </w:p>
          <w:p w14:paraId="3D7955B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72DAB17C" w14:textId="77777777" w:rsidR="003F0CDF" w:rsidRPr="000B0F35" w:rsidRDefault="003F0CDF" w:rsidP="003F0CDF">
            <w:pPr>
              <w:pStyle w:val="TAL"/>
              <w:rPr>
                <w:rFonts w:eastAsia="SimSun"/>
                <w:color w:val="000000"/>
                <w:highlight w:val="yellow"/>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4AD7D7F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5585B4CA" w14:textId="77777777" w:rsidR="003F0CDF" w:rsidRPr="000B0F35" w:rsidRDefault="003F0CDF" w:rsidP="003F0CDF">
            <w:pPr>
              <w:pStyle w:val="TAL"/>
              <w:rPr>
                <w:rFonts w:eastAsia="SimSun"/>
                <w:color w:val="000000"/>
                <w:highlight w:val="yellow"/>
                <w:lang w:eastAsia="zh-CN"/>
              </w:rPr>
            </w:pPr>
            <w:r w:rsidRPr="000B0F35">
              <w:rPr>
                <w:color w:val="000000"/>
              </w:rPr>
              <w:t xml:space="preserve">The network cannot configure UE with intra-frequency DAPS HO </w:t>
            </w:r>
          </w:p>
        </w:tc>
        <w:tc>
          <w:tcPr>
            <w:tcW w:w="0" w:type="auto"/>
            <w:tcBorders>
              <w:top w:val="single" w:sz="4" w:space="0" w:color="auto"/>
              <w:left w:val="single" w:sz="4" w:space="0" w:color="auto"/>
              <w:bottom w:val="single" w:sz="4" w:space="0" w:color="auto"/>
              <w:right w:val="single" w:sz="4" w:space="0" w:color="auto"/>
            </w:tcBorders>
          </w:tcPr>
          <w:p w14:paraId="057585D9" w14:textId="77777777" w:rsidR="003F0CDF" w:rsidRPr="000B0F35" w:rsidRDefault="00857D7D" w:rsidP="003F0CDF">
            <w:pPr>
              <w:pStyle w:val="TAL"/>
              <w:rPr>
                <w:color w:val="000000"/>
              </w:rPr>
            </w:pPr>
            <w:r w:rsidRPr="000B0F35">
              <w:rPr>
                <w:color w:val="000000"/>
              </w:rPr>
              <w:t>Per Band</w:t>
            </w:r>
            <w:r w:rsidRPr="00857D7D">
              <w:rPr>
                <w:color w:val="FF0000"/>
              </w:rPr>
              <w:t>/per BC</w:t>
            </w:r>
          </w:p>
        </w:tc>
        <w:tc>
          <w:tcPr>
            <w:tcW w:w="0" w:type="auto"/>
            <w:tcBorders>
              <w:top w:val="single" w:sz="4" w:space="0" w:color="auto"/>
              <w:left w:val="single" w:sz="4" w:space="0" w:color="auto"/>
              <w:bottom w:val="single" w:sz="4" w:space="0" w:color="auto"/>
              <w:right w:val="single" w:sz="4" w:space="0" w:color="auto"/>
            </w:tcBorders>
          </w:tcPr>
          <w:p w14:paraId="089C8EDB" w14:textId="77777777" w:rsidR="003F0CDF" w:rsidRPr="000B0F35" w:rsidRDefault="003F0CDF" w:rsidP="003F0CDF">
            <w:pPr>
              <w:pStyle w:val="TAL"/>
              <w:rPr>
                <w:color w:val="000000"/>
                <w:highlight w:val="yellow"/>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792123CC"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07674AD0" w14:textId="77777777" w:rsidR="003F0CDF" w:rsidRPr="000B0F35" w:rsidRDefault="003F0CDF" w:rsidP="003F0CDF">
            <w:pPr>
              <w:pStyle w:val="TAL"/>
              <w:rPr>
                <w:color w:val="000000"/>
                <w:highlight w:val="yellow"/>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0ADD13A"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4740525F" w14:textId="77777777" w:rsidR="003F0CDF" w:rsidRPr="000B0F35" w:rsidRDefault="003F0CDF" w:rsidP="003F0CDF">
            <w:pPr>
              <w:pStyle w:val="TAL"/>
              <w:rPr>
                <w:color w:val="000000"/>
              </w:rPr>
            </w:pPr>
            <w:r w:rsidRPr="000B0F35">
              <w:rPr>
                <w:color w:val="000000"/>
              </w:rPr>
              <w:t>Optional with capability signalling</w:t>
            </w:r>
          </w:p>
        </w:tc>
      </w:tr>
      <w:tr w:rsidR="003F0CDF" w14:paraId="3FC84CFC" w14:textId="77777777" w:rsidTr="00653812">
        <w:tc>
          <w:tcPr>
            <w:tcW w:w="0" w:type="auto"/>
            <w:tcBorders>
              <w:top w:val="single" w:sz="4" w:space="0" w:color="auto"/>
              <w:left w:val="single" w:sz="4" w:space="0" w:color="auto"/>
              <w:bottom w:val="single" w:sz="4" w:space="0" w:color="auto"/>
              <w:right w:val="single" w:sz="4" w:space="0" w:color="auto"/>
            </w:tcBorders>
          </w:tcPr>
          <w:p w14:paraId="14037C99" w14:textId="77777777" w:rsidR="003F0CDF" w:rsidRPr="000B0F35" w:rsidRDefault="003F0CDF" w:rsidP="003F0CDF">
            <w:pPr>
              <w:pStyle w:val="TAL"/>
              <w:rPr>
                <w:rFonts w:ascii="Calibri Light" w:hAnsi="Calibri Light" w:cs="Calibri Light"/>
                <w:color w:val="000000"/>
                <w:szCs w:val="18"/>
              </w:rPr>
            </w:pPr>
            <w:r w:rsidRPr="000B0F35">
              <w:rPr>
                <w:color w:val="000000"/>
              </w:rPr>
              <w:t>21-1b</w:t>
            </w:r>
          </w:p>
        </w:tc>
        <w:tc>
          <w:tcPr>
            <w:tcW w:w="0" w:type="auto"/>
            <w:tcBorders>
              <w:top w:val="single" w:sz="4" w:space="0" w:color="auto"/>
              <w:left w:val="single" w:sz="4" w:space="0" w:color="auto"/>
              <w:bottom w:val="single" w:sz="4" w:space="0" w:color="auto"/>
              <w:right w:val="single" w:sz="4" w:space="0" w:color="auto"/>
            </w:tcBorders>
          </w:tcPr>
          <w:p w14:paraId="64CFA590"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color w:val="000000"/>
              </w:rPr>
              <w:t>Inter-frequency DAPS HO</w:t>
            </w:r>
          </w:p>
        </w:tc>
        <w:tc>
          <w:tcPr>
            <w:tcW w:w="0" w:type="auto"/>
            <w:tcBorders>
              <w:top w:val="single" w:sz="4" w:space="0" w:color="auto"/>
              <w:left w:val="single" w:sz="4" w:space="0" w:color="auto"/>
              <w:bottom w:val="single" w:sz="4" w:space="0" w:color="auto"/>
              <w:right w:val="single" w:sz="4" w:space="0" w:color="auto"/>
            </w:tcBorders>
          </w:tcPr>
          <w:p w14:paraId="0D0F770F" w14:textId="77777777" w:rsidR="003F0CDF" w:rsidRPr="000B0F35" w:rsidRDefault="003F0CDF" w:rsidP="003F0CDF">
            <w:pPr>
              <w:pStyle w:val="TAL"/>
              <w:rPr>
                <w:color w:val="000000"/>
              </w:rPr>
            </w:pPr>
            <w:r w:rsidRPr="000B0F35">
              <w:rPr>
                <w:color w:val="000000"/>
              </w:rPr>
              <w:t>Support of  inter-frequency DAPS-HO </w:t>
            </w:r>
          </w:p>
          <w:p w14:paraId="25572396" w14:textId="77777777" w:rsidR="003F0CDF" w:rsidRPr="000B0F35" w:rsidRDefault="003F0CDF" w:rsidP="003F0CDF">
            <w:pPr>
              <w:pStyle w:val="TAL"/>
              <w:rPr>
                <w:color w:val="000000"/>
              </w:rPr>
            </w:pPr>
            <w:r w:rsidRPr="000B0F35">
              <w:rPr>
                <w:color w:val="000000"/>
              </w:rPr>
              <w:t> </w:t>
            </w:r>
          </w:p>
          <w:p w14:paraId="1AFD009E" w14:textId="77777777" w:rsidR="003F0CDF" w:rsidRPr="000B0F35" w:rsidRDefault="003F0CDF" w:rsidP="003F0CDF">
            <w:pPr>
              <w:pStyle w:val="TAL"/>
              <w:rPr>
                <w:color w:val="000000"/>
              </w:rPr>
            </w:pPr>
            <w:r w:rsidRPr="000B0F35">
              <w:rPr>
                <w:color w:val="000000"/>
              </w:rPr>
              <w:t>1) Support of simultaneous DL reception of PDCCH and PDSCH from source and target cell in DAPS-HO</w:t>
            </w:r>
          </w:p>
          <w:p w14:paraId="770D800B" w14:textId="77777777" w:rsidR="003F0CDF" w:rsidRPr="000B0F35" w:rsidRDefault="003F0CDF" w:rsidP="003F0CDF">
            <w:pPr>
              <w:pStyle w:val="TAL"/>
              <w:rPr>
                <w:color w:val="000000"/>
              </w:rPr>
            </w:pPr>
            <w:r w:rsidRPr="000B0F35">
              <w:rPr>
                <w:color w:val="000000"/>
              </w:rPr>
              <w:t> </w:t>
            </w:r>
          </w:p>
          <w:p w14:paraId="5BF60D3F" w14:textId="77777777" w:rsidR="003F0CDF" w:rsidRPr="000B0F35" w:rsidRDefault="003F0CDF" w:rsidP="003F0CDF">
            <w:pPr>
              <w:pStyle w:val="TAL"/>
              <w:rPr>
                <w:color w:val="000000"/>
              </w:rPr>
            </w:pPr>
            <w:r w:rsidRPr="000B0F35">
              <w:rPr>
                <w:color w:val="000000"/>
              </w:rPr>
              <w:t>2) Support of PDCCH blind decoding capability in the first MCG and second MCG.</w:t>
            </w:r>
          </w:p>
          <w:p w14:paraId="09670F6B" w14:textId="77777777" w:rsidR="003F0CDF" w:rsidRPr="000B0F35" w:rsidRDefault="003F0CDF" w:rsidP="003F0CDF">
            <w:pPr>
              <w:pStyle w:val="TAL"/>
              <w:rPr>
                <w:rFonts w:ascii="Calibri Light" w:hAnsi="Calibri Light" w:cs="Calibri Light"/>
                <w:color w:val="000000"/>
                <w:szCs w:val="18"/>
                <w:lang w:eastAsia="zh-CN"/>
              </w:rPr>
            </w:pPr>
            <w:r w:rsidRPr="000B0F35">
              <w:rPr>
                <w:color w:val="000000"/>
              </w:rPr>
              <w:t> </w:t>
            </w:r>
          </w:p>
        </w:tc>
        <w:tc>
          <w:tcPr>
            <w:tcW w:w="0" w:type="auto"/>
            <w:tcBorders>
              <w:top w:val="single" w:sz="4" w:space="0" w:color="auto"/>
              <w:left w:val="single" w:sz="4" w:space="0" w:color="auto"/>
              <w:bottom w:val="single" w:sz="4" w:space="0" w:color="auto"/>
              <w:right w:val="single" w:sz="4" w:space="0" w:color="auto"/>
            </w:tcBorders>
          </w:tcPr>
          <w:p w14:paraId="51C73411" w14:textId="77777777" w:rsidR="003F0CDF" w:rsidRPr="000B0F35" w:rsidRDefault="003F0CDF" w:rsidP="003F0CDF">
            <w:pPr>
              <w:pStyle w:val="TAL"/>
              <w:rPr>
                <w:color w:val="000000"/>
              </w:rPr>
            </w:pPr>
            <w:r w:rsidRPr="000B0F35">
              <w:rPr>
                <w:color w:val="000000"/>
              </w:rPr>
              <w:t>DAPS</w:t>
            </w:r>
          </w:p>
          <w:p w14:paraId="622552DB" w14:textId="77777777" w:rsidR="003F0CDF" w:rsidRPr="000B0F35" w:rsidRDefault="003F0CDF" w:rsidP="003F0CDF">
            <w:pPr>
              <w:pStyle w:val="TAL"/>
              <w:rPr>
                <w:color w:val="000000"/>
              </w:rPr>
            </w:pPr>
            <w:r w:rsidRPr="000B0F35">
              <w:rPr>
                <w:color w:val="000000"/>
              </w:rPr>
              <w:t>(Note: RAN2 feature)</w:t>
            </w:r>
          </w:p>
        </w:tc>
        <w:tc>
          <w:tcPr>
            <w:tcW w:w="0" w:type="auto"/>
            <w:tcBorders>
              <w:top w:val="single" w:sz="4" w:space="0" w:color="auto"/>
              <w:left w:val="single" w:sz="4" w:space="0" w:color="auto"/>
              <w:bottom w:val="single" w:sz="4" w:space="0" w:color="auto"/>
              <w:right w:val="single" w:sz="4" w:space="0" w:color="auto"/>
            </w:tcBorders>
          </w:tcPr>
          <w:p w14:paraId="4CE87DDD" w14:textId="77777777" w:rsidR="003F0CDF" w:rsidRPr="000B0F35" w:rsidRDefault="003F0CDF" w:rsidP="003F0CDF">
            <w:pPr>
              <w:pStyle w:val="TAL"/>
              <w:rPr>
                <w:rFonts w:eastAsia="SimSun"/>
                <w:color w:val="000000"/>
                <w:szCs w:val="18"/>
                <w:lang w:eastAsia="zh-CN"/>
              </w:rPr>
            </w:pPr>
            <w:r w:rsidRPr="000B0F35">
              <w:rPr>
                <w:color w:val="000000"/>
              </w:rPr>
              <w:t>Yes</w:t>
            </w:r>
          </w:p>
        </w:tc>
        <w:tc>
          <w:tcPr>
            <w:tcW w:w="0" w:type="auto"/>
            <w:tcBorders>
              <w:top w:val="single" w:sz="4" w:space="0" w:color="auto"/>
              <w:left w:val="single" w:sz="4" w:space="0" w:color="auto"/>
              <w:bottom w:val="single" w:sz="4" w:space="0" w:color="auto"/>
              <w:right w:val="single" w:sz="4" w:space="0" w:color="auto"/>
            </w:tcBorders>
          </w:tcPr>
          <w:p w14:paraId="0E316D1E"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933C59B" w14:textId="77777777" w:rsidR="003F0CDF" w:rsidRPr="000B0F35" w:rsidRDefault="003F0CDF" w:rsidP="003F0CDF">
            <w:pPr>
              <w:pStyle w:val="TAL"/>
              <w:rPr>
                <w:rFonts w:eastAsia="SimSun"/>
                <w:color w:val="000000"/>
                <w:szCs w:val="18"/>
                <w:lang w:eastAsia="zh-CN"/>
              </w:rPr>
            </w:pPr>
            <w:r w:rsidRPr="000B0F35">
              <w:rPr>
                <w:color w:val="000000"/>
              </w:rPr>
              <w:t xml:space="preserve">The network cannot configure UE with inter-frequency DAPS HO </w:t>
            </w:r>
          </w:p>
        </w:tc>
        <w:tc>
          <w:tcPr>
            <w:tcW w:w="0" w:type="auto"/>
            <w:tcBorders>
              <w:top w:val="single" w:sz="4" w:space="0" w:color="auto"/>
              <w:left w:val="single" w:sz="4" w:space="0" w:color="auto"/>
              <w:bottom w:val="single" w:sz="4" w:space="0" w:color="auto"/>
              <w:right w:val="single" w:sz="4" w:space="0" w:color="auto"/>
            </w:tcBorders>
          </w:tcPr>
          <w:p w14:paraId="72309D81" w14:textId="77777777" w:rsidR="003F0CDF" w:rsidRPr="000B0F35" w:rsidRDefault="003F0CDF" w:rsidP="003F0CDF">
            <w:pPr>
              <w:pStyle w:val="TAL"/>
              <w:rPr>
                <w:rFonts w:eastAsia="SimSun"/>
                <w:color w:val="000000"/>
                <w:szCs w:val="18"/>
                <w:lang w:eastAsia="zh-CN"/>
              </w:rPr>
            </w:pPr>
            <w:r w:rsidRPr="000B0F35">
              <w:rPr>
                <w:color w:val="000000"/>
              </w:rPr>
              <w:t>Per BC</w:t>
            </w:r>
          </w:p>
        </w:tc>
        <w:tc>
          <w:tcPr>
            <w:tcW w:w="0" w:type="auto"/>
            <w:tcBorders>
              <w:top w:val="single" w:sz="4" w:space="0" w:color="auto"/>
              <w:left w:val="single" w:sz="4" w:space="0" w:color="auto"/>
              <w:bottom w:val="single" w:sz="4" w:space="0" w:color="auto"/>
              <w:right w:val="single" w:sz="4" w:space="0" w:color="auto"/>
            </w:tcBorders>
          </w:tcPr>
          <w:p w14:paraId="4E1741AB" w14:textId="77777777" w:rsidR="003F0CDF" w:rsidRPr="000B0F35" w:rsidRDefault="003F0CDF" w:rsidP="003F0CDF">
            <w:pPr>
              <w:pStyle w:val="TAL"/>
              <w:rPr>
                <w:color w:val="000000"/>
                <w:szCs w:val="18"/>
              </w:rPr>
            </w:pPr>
            <w:r w:rsidRPr="000B0F35">
              <w:rPr>
                <w:color w:val="000000"/>
              </w:rPr>
              <w:t>No</w:t>
            </w:r>
          </w:p>
        </w:tc>
        <w:tc>
          <w:tcPr>
            <w:tcW w:w="0" w:type="auto"/>
            <w:tcBorders>
              <w:top w:val="single" w:sz="4" w:space="0" w:color="auto"/>
              <w:left w:val="single" w:sz="4" w:space="0" w:color="auto"/>
              <w:bottom w:val="single" w:sz="4" w:space="0" w:color="auto"/>
              <w:right w:val="single" w:sz="4" w:space="0" w:color="auto"/>
            </w:tcBorders>
          </w:tcPr>
          <w:p w14:paraId="6D3F14DC"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281030A9" w14:textId="77777777" w:rsidR="003F0CDF" w:rsidRPr="000B0F35" w:rsidRDefault="003F0CDF" w:rsidP="003F0CDF">
            <w:pPr>
              <w:pStyle w:val="TAL"/>
              <w:rPr>
                <w:color w:val="000000"/>
                <w:szCs w:val="18"/>
              </w:rPr>
            </w:pPr>
            <w:r w:rsidRPr="000B0F35">
              <w:rPr>
                <w:color w:val="000000"/>
              </w:rPr>
              <w:t>N/A</w:t>
            </w:r>
          </w:p>
        </w:tc>
        <w:tc>
          <w:tcPr>
            <w:tcW w:w="0" w:type="auto"/>
            <w:tcBorders>
              <w:top w:val="single" w:sz="4" w:space="0" w:color="auto"/>
              <w:left w:val="single" w:sz="4" w:space="0" w:color="auto"/>
              <w:bottom w:val="single" w:sz="4" w:space="0" w:color="auto"/>
              <w:right w:val="single" w:sz="4" w:space="0" w:color="auto"/>
            </w:tcBorders>
          </w:tcPr>
          <w:p w14:paraId="10279D3D" w14:textId="77777777" w:rsidR="003F0CDF" w:rsidRPr="000B0F35" w:rsidRDefault="003F0CDF" w:rsidP="003F0CDF">
            <w:pPr>
              <w:pStyle w:val="TAL"/>
              <w:rPr>
                <w:color w:val="000000"/>
              </w:rPr>
            </w:pPr>
          </w:p>
        </w:tc>
        <w:tc>
          <w:tcPr>
            <w:tcW w:w="0" w:type="auto"/>
            <w:tcBorders>
              <w:top w:val="single" w:sz="4" w:space="0" w:color="auto"/>
              <w:left w:val="single" w:sz="4" w:space="0" w:color="auto"/>
              <w:bottom w:val="single" w:sz="4" w:space="0" w:color="auto"/>
              <w:right w:val="single" w:sz="4" w:space="0" w:color="auto"/>
            </w:tcBorders>
          </w:tcPr>
          <w:p w14:paraId="5AC7D878" w14:textId="77777777" w:rsidR="003F0CDF" w:rsidRPr="000B0F35" w:rsidRDefault="003F0CDF" w:rsidP="003F0CDF">
            <w:pPr>
              <w:pStyle w:val="TAL"/>
              <w:rPr>
                <w:color w:val="000000"/>
                <w:szCs w:val="18"/>
              </w:rPr>
            </w:pPr>
            <w:r w:rsidRPr="000B0F35">
              <w:rPr>
                <w:color w:val="000000"/>
              </w:rPr>
              <w:t>Optional with capability signalling</w:t>
            </w:r>
          </w:p>
        </w:tc>
      </w:tr>
      <w:tr w:rsidR="003F0CDF" w14:paraId="42BD8EE0" w14:textId="77777777" w:rsidTr="00653812">
        <w:tc>
          <w:tcPr>
            <w:tcW w:w="0" w:type="auto"/>
            <w:tcBorders>
              <w:top w:val="single" w:sz="4" w:space="0" w:color="auto"/>
              <w:left w:val="single" w:sz="4" w:space="0" w:color="auto"/>
              <w:bottom w:val="single" w:sz="4" w:space="0" w:color="auto"/>
              <w:right w:val="single" w:sz="4" w:space="0" w:color="auto"/>
            </w:tcBorders>
          </w:tcPr>
          <w:p w14:paraId="023E2DC7" w14:textId="77777777" w:rsidR="003F0CDF" w:rsidRPr="000B0F35" w:rsidRDefault="003F0CDF" w:rsidP="003F0CDF">
            <w:pPr>
              <w:pStyle w:val="TAL"/>
              <w:rPr>
                <w:color w:val="000000"/>
              </w:rPr>
            </w:pPr>
            <w:r w:rsidRPr="000B0F35">
              <w:rPr>
                <w:rFonts w:cs="Arial"/>
                <w:color w:val="000000"/>
                <w:szCs w:val="18"/>
              </w:rPr>
              <w:t>21-2</w:t>
            </w:r>
          </w:p>
        </w:tc>
        <w:tc>
          <w:tcPr>
            <w:tcW w:w="0" w:type="auto"/>
            <w:tcBorders>
              <w:top w:val="single" w:sz="4" w:space="0" w:color="auto"/>
              <w:left w:val="single" w:sz="4" w:space="0" w:color="auto"/>
              <w:bottom w:val="single" w:sz="4" w:space="0" w:color="auto"/>
              <w:right w:val="single" w:sz="4" w:space="0" w:color="auto"/>
            </w:tcBorders>
          </w:tcPr>
          <w:p w14:paraId="266ED0AF" w14:textId="77777777" w:rsidR="003F0CDF" w:rsidRPr="000B0F35" w:rsidRDefault="003F0CDF" w:rsidP="003F0CDF">
            <w:pPr>
              <w:pStyle w:val="TAL"/>
              <w:rPr>
                <w:rFonts w:ascii="Times New Roman" w:eastAsia="SimSun" w:hAnsi="Times New Roman"/>
                <w:color w:val="000000"/>
                <w:lang w:eastAsia="zh-CN"/>
              </w:rPr>
            </w:pPr>
            <w:r w:rsidRPr="000B0F35">
              <w:rPr>
                <w:rFonts w:cs="Arial"/>
                <w:color w:val="000000"/>
                <w:szCs w:val="18"/>
              </w:rPr>
              <w:t>Semi-static UL power sharing mode 1 for DAPS HO</w:t>
            </w:r>
          </w:p>
        </w:tc>
        <w:tc>
          <w:tcPr>
            <w:tcW w:w="0" w:type="auto"/>
            <w:tcBorders>
              <w:top w:val="single" w:sz="4" w:space="0" w:color="auto"/>
              <w:left w:val="single" w:sz="4" w:space="0" w:color="auto"/>
              <w:bottom w:val="single" w:sz="4" w:space="0" w:color="auto"/>
              <w:right w:val="single" w:sz="4" w:space="0" w:color="auto"/>
            </w:tcBorders>
          </w:tcPr>
          <w:p w14:paraId="0448958F"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Support of semi-static power sharing mode1 between source and target cells of same FR</w:t>
            </w:r>
            <w:r w:rsidR="00604D18" w:rsidRPr="000B0F35">
              <w:rPr>
                <w:rFonts w:ascii="Arial" w:hAnsi="Arial" w:cs="Arial"/>
                <w:color w:val="000000"/>
                <w:sz w:val="18"/>
                <w:szCs w:val="18"/>
              </w:rPr>
              <w:t xml:space="preserve"> </w:t>
            </w:r>
            <w:r w:rsidR="00604D18" w:rsidRPr="00604D18">
              <w:rPr>
                <w:rFonts w:ascii="Arial" w:hAnsi="Arial" w:cs="Arial"/>
                <w:color w:val="FF0000"/>
                <w:sz w:val="18"/>
                <w:szCs w:val="18"/>
              </w:rPr>
              <w:t>for inter-frequency DAPS HO</w:t>
            </w:r>
          </w:p>
          <w:p w14:paraId="6F9E3A1B" w14:textId="77777777" w:rsidR="003F0CDF" w:rsidRPr="000B0F35" w:rsidRDefault="003F0CDF" w:rsidP="003F0CDF">
            <w:pPr>
              <w:pStyle w:val="TAL"/>
              <w:rPr>
                <w:color w:val="000000"/>
                <w:sz w:val="20"/>
                <w:lang w:eastAsia="zh-CN"/>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4280FA0" w14:textId="77777777" w:rsidR="003F0CDF" w:rsidRPr="000B0F35" w:rsidRDefault="003F0CDF" w:rsidP="003F0CDF">
            <w:pPr>
              <w:pStyle w:val="NormalWeb"/>
              <w:rPr>
                <w:color w:val="000000"/>
                <w:sz w:val="20"/>
                <w:szCs w:val="20"/>
              </w:rPr>
            </w:pPr>
            <w:r w:rsidRPr="000B0F35">
              <w:rPr>
                <w:rFonts w:ascii="Arial" w:hAnsi="Arial" w:cs="Arial"/>
                <w:color w:val="000000"/>
                <w:sz w:val="18"/>
                <w:szCs w:val="18"/>
              </w:rPr>
              <w:t>DAPS</w:t>
            </w:r>
            <w:r w:rsidRPr="003F0CDF">
              <w:rPr>
                <w:rFonts w:ascii="Arial" w:hAnsi="Arial" w:cs="Arial"/>
                <w:color w:val="FF0000"/>
                <w:sz w:val="18"/>
                <w:szCs w:val="18"/>
              </w:rPr>
              <w:t>, 21-1b</w:t>
            </w:r>
          </w:p>
          <w:p w14:paraId="2FEC43AB" w14:textId="77777777" w:rsidR="003F0CDF" w:rsidRPr="000B0F35" w:rsidRDefault="003F0CDF" w:rsidP="003F0CDF">
            <w:pPr>
              <w:pStyle w:val="TAL"/>
              <w:rPr>
                <w:color w:val="000000"/>
              </w:rPr>
            </w:pPr>
            <w:r w:rsidRPr="000B0F35">
              <w:rPr>
                <w:rFonts w:cs="Arial"/>
                <w:color w:val="000000"/>
                <w:szCs w:val="18"/>
              </w:rPr>
              <w:t>(Note: RAN2 feature)</w:t>
            </w:r>
          </w:p>
        </w:tc>
        <w:tc>
          <w:tcPr>
            <w:tcW w:w="0" w:type="auto"/>
            <w:tcBorders>
              <w:top w:val="single" w:sz="4" w:space="0" w:color="auto"/>
              <w:left w:val="single" w:sz="4" w:space="0" w:color="auto"/>
              <w:bottom w:val="single" w:sz="4" w:space="0" w:color="auto"/>
              <w:right w:val="single" w:sz="4" w:space="0" w:color="auto"/>
            </w:tcBorders>
          </w:tcPr>
          <w:p w14:paraId="15ECC918"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7EB6C9E"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DB2CD80" w14:textId="77777777" w:rsidR="003F0CDF" w:rsidRPr="000B0F35" w:rsidRDefault="003F0CDF" w:rsidP="003F0CDF">
            <w:pPr>
              <w:pStyle w:val="NormalWeb"/>
              <w:rPr>
                <w:color w:val="000000"/>
                <w:lang w:eastAsia="zh-CN"/>
              </w:rPr>
            </w:pPr>
            <w:r w:rsidRPr="000B0F35">
              <w:rPr>
                <w:rFonts w:ascii="Arial" w:hAnsi="Arial" w:cs="Arial"/>
                <w:color w:val="000000"/>
                <w:sz w:val="18"/>
                <w:szCs w:val="18"/>
              </w:rPr>
              <w:t>UE is not expected to simultaneously transmit PRACH/PUSCH/PUCCH/SRS to source and target cell that overlap in time domain</w:t>
            </w:r>
          </w:p>
        </w:tc>
        <w:tc>
          <w:tcPr>
            <w:tcW w:w="0" w:type="auto"/>
            <w:tcBorders>
              <w:top w:val="single" w:sz="4" w:space="0" w:color="auto"/>
              <w:left w:val="single" w:sz="4" w:space="0" w:color="auto"/>
              <w:bottom w:val="single" w:sz="4" w:space="0" w:color="auto"/>
              <w:right w:val="single" w:sz="4" w:space="0" w:color="auto"/>
            </w:tcBorders>
          </w:tcPr>
          <w:p w14:paraId="2F829B1E" w14:textId="77777777" w:rsidR="003F0CDF" w:rsidRPr="000B0F35" w:rsidRDefault="003F0CDF" w:rsidP="003F0CDF">
            <w:pPr>
              <w:pStyle w:val="TAL"/>
              <w:rPr>
                <w:rFonts w:eastAsia="SimSun"/>
                <w:color w:val="000000"/>
                <w:highlight w:val="yellow"/>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40858BCA" w14:textId="77777777" w:rsidR="003F0CDF" w:rsidRPr="000B0F35" w:rsidRDefault="003F0CDF" w:rsidP="003F0CDF">
            <w:pPr>
              <w:pStyle w:val="TAL"/>
              <w:rPr>
                <w:color w:val="000000"/>
                <w:highlight w:val="yellow"/>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E509F92"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606800D" w14:textId="77777777" w:rsidR="003F0CDF" w:rsidRPr="000B0F35" w:rsidRDefault="003F0CDF" w:rsidP="003F0CDF">
            <w:pPr>
              <w:pStyle w:val="TAL"/>
              <w:rPr>
                <w:color w:val="000000"/>
                <w:highlight w:val="yellow"/>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26B4EA9" w14:textId="77777777" w:rsidR="003F0CDF" w:rsidRPr="000B0F35" w:rsidRDefault="003F0CDF" w:rsidP="003F0CDF">
            <w:pPr>
              <w:pStyle w:val="TAL"/>
              <w:rPr>
                <w:color w:val="000000"/>
                <w:highlight w:val="yellow"/>
              </w:rPr>
            </w:pPr>
          </w:p>
        </w:tc>
        <w:tc>
          <w:tcPr>
            <w:tcW w:w="0" w:type="auto"/>
            <w:tcBorders>
              <w:top w:val="single" w:sz="4" w:space="0" w:color="auto"/>
              <w:left w:val="single" w:sz="4" w:space="0" w:color="auto"/>
              <w:bottom w:val="single" w:sz="4" w:space="0" w:color="auto"/>
              <w:right w:val="single" w:sz="4" w:space="0" w:color="auto"/>
            </w:tcBorders>
          </w:tcPr>
          <w:p w14:paraId="79B57E5C" w14:textId="77777777" w:rsidR="003F0CDF" w:rsidRPr="000B0F35" w:rsidRDefault="003F0CDF" w:rsidP="003F0CDF">
            <w:pPr>
              <w:pStyle w:val="TAL"/>
              <w:rPr>
                <w:color w:val="000000"/>
                <w:highlight w:val="yellow"/>
              </w:rPr>
            </w:pPr>
            <w:r w:rsidRPr="000B0F35">
              <w:rPr>
                <w:rFonts w:cs="Arial"/>
                <w:color w:val="000000"/>
                <w:szCs w:val="18"/>
              </w:rPr>
              <w:t>Optional with capability signalling</w:t>
            </w:r>
          </w:p>
        </w:tc>
      </w:tr>
      <w:tr w:rsidR="003F0CDF" w14:paraId="473AF155" w14:textId="77777777" w:rsidTr="00653812">
        <w:tc>
          <w:tcPr>
            <w:tcW w:w="0" w:type="auto"/>
            <w:tcBorders>
              <w:top w:val="single" w:sz="4" w:space="0" w:color="auto"/>
              <w:left w:val="single" w:sz="4" w:space="0" w:color="auto"/>
              <w:bottom w:val="single" w:sz="4" w:space="0" w:color="auto"/>
              <w:right w:val="single" w:sz="4" w:space="0" w:color="auto"/>
            </w:tcBorders>
          </w:tcPr>
          <w:p w14:paraId="7D1F0029"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21-2a</w:t>
            </w:r>
          </w:p>
        </w:tc>
        <w:tc>
          <w:tcPr>
            <w:tcW w:w="0" w:type="auto"/>
            <w:tcBorders>
              <w:top w:val="single" w:sz="4" w:space="0" w:color="auto"/>
              <w:left w:val="single" w:sz="4" w:space="0" w:color="auto"/>
              <w:bottom w:val="single" w:sz="4" w:space="0" w:color="auto"/>
              <w:right w:val="single" w:sz="4" w:space="0" w:color="auto"/>
            </w:tcBorders>
          </w:tcPr>
          <w:p w14:paraId="29562E77"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Semi-static UL power sharing mode 2 for DAPS HO</w:t>
            </w:r>
          </w:p>
        </w:tc>
        <w:tc>
          <w:tcPr>
            <w:tcW w:w="0" w:type="auto"/>
            <w:tcBorders>
              <w:top w:val="single" w:sz="4" w:space="0" w:color="auto"/>
              <w:left w:val="single" w:sz="4" w:space="0" w:color="auto"/>
              <w:bottom w:val="single" w:sz="4" w:space="0" w:color="auto"/>
              <w:right w:val="single" w:sz="4" w:space="0" w:color="auto"/>
            </w:tcBorders>
          </w:tcPr>
          <w:p w14:paraId="6A415196"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Support of semi-static power sharing mode 2</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tc>
        <w:tc>
          <w:tcPr>
            <w:tcW w:w="0" w:type="auto"/>
            <w:tcBorders>
              <w:top w:val="single" w:sz="4" w:space="0" w:color="auto"/>
              <w:left w:val="single" w:sz="4" w:space="0" w:color="auto"/>
              <w:bottom w:val="single" w:sz="4" w:space="0" w:color="auto"/>
              <w:right w:val="single" w:sz="4" w:space="0" w:color="auto"/>
            </w:tcBorders>
          </w:tcPr>
          <w:p w14:paraId="66E3D6D5"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4DB5A66F"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CBED03B"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F475474"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FCAFE"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079B5ED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E9265F3"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15E012F"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E601CC1" w14:textId="77777777" w:rsidR="003F0CDF" w:rsidRPr="000B0F35" w:rsidRDefault="003F0CDF" w:rsidP="003F0CDF">
            <w:pPr>
              <w:pStyle w:val="TAL"/>
              <w:rPr>
                <w:color w:val="000000"/>
                <w:highlight w:val="yellow"/>
              </w:rPr>
            </w:pPr>
            <w:r w:rsidRPr="000B0F35">
              <w:rPr>
                <w:color w:val="000000"/>
              </w:rPr>
              <w:t>only applicable to DAPS HO in synchronous scenarios</w:t>
            </w:r>
          </w:p>
        </w:tc>
        <w:tc>
          <w:tcPr>
            <w:tcW w:w="0" w:type="auto"/>
            <w:tcBorders>
              <w:top w:val="single" w:sz="4" w:space="0" w:color="auto"/>
              <w:left w:val="single" w:sz="4" w:space="0" w:color="auto"/>
              <w:bottom w:val="single" w:sz="4" w:space="0" w:color="auto"/>
              <w:right w:val="single" w:sz="4" w:space="0" w:color="auto"/>
            </w:tcBorders>
          </w:tcPr>
          <w:p w14:paraId="183BBFD4" w14:textId="77777777" w:rsidR="003F0CDF" w:rsidRPr="000B0F35" w:rsidRDefault="003F0CDF" w:rsidP="003F0CDF">
            <w:pPr>
              <w:pStyle w:val="TAL"/>
              <w:rPr>
                <w:color w:val="000000"/>
                <w:szCs w:val="18"/>
              </w:rPr>
            </w:pPr>
            <w:r w:rsidRPr="000B0F35">
              <w:rPr>
                <w:rFonts w:cs="Arial"/>
                <w:color w:val="000000"/>
                <w:szCs w:val="18"/>
              </w:rPr>
              <w:t>Optional with capability signalling</w:t>
            </w:r>
          </w:p>
        </w:tc>
      </w:tr>
      <w:tr w:rsidR="003F0CDF" w14:paraId="147F9C7E" w14:textId="77777777" w:rsidTr="00653812">
        <w:tc>
          <w:tcPr>
            <w:tcW w:w="0" w:type="auto"/>
            <w:tcBorders>
              <w:top w:val="single" w:sz="4" w:space="0" w:color="auto"/>
              <w:left w:val="single" w:sz="4" w:space="0" w:color="auto"/>
              <w:bottom w:val="single" w:sz="4" w:space="0" w:color="auto"/>
              <w:right w:val="single" w:sz="4" w:space="0" w:color="auto"/>
            </w:tcBorders>
          </w:tcPr>
          <w:p w14:paraId="3B492CBF" w14:textId="77777777" w:rsidR="003F0CDF" w:rsidRPr="000B0F35" w:rsidRDefault="003F0CDF" w:rsidP="003F0CDF">
            <w:pPr>
              <w:pStyle w:val="TAL"/>
              <w:rPr>
                <w:rFonts w:ascii="Calibri Light" w:hAnsi="Calibri Light" w:cs="Calibri Light"/>
                <w:color w:val="000000"/>
                <w:szCs w:val="18"/>
              </w:rPr>
            </w:pPr>
            <w:r w:rsidRPr="000B0F35">
              <w:rPr>
                <w:rFonts w:cs="Arial"/>
                <w:color w:val="000000"/>
                <w:szCs w:val="18"/>
              </w:rPr>
              <w:t>21-2b</w:t>
            </w:r>
          </w:p>
        </w:tc>
        <w:tc>
          <w:tcPr>
            <w:tcW w:w="0" w:type="auto"/>
            <w:tcBorders>
              <w:top w:val="single" w:sz="4" w:space="0" w:color="auto"/>
              <w:left w:val="single" w:sz="4" w:space="0" w:color="auto"/>
              <w:bottom w:val="single" w:sz="4" w:space="0" w:color="auto"/>
              <w:right w:val="single" w:sz="4" w:space="0" w:color="auto"/>
            </w:tcBorders>
          </w:tcPr>
          <w:p w14:paraId="01467BE6" w14:textId="77777777" w:rsidR="003F0CDF" w:rsidRPr="000B0F35" w:rsidRDefault="003F0CDF" w:rsidP="003F0CDF">
            <w:pPr>
              <w:pStyle w:val="TAL"/>
              <w:rPr>
                <w:rFonts w:ascii="Calibri Light" w:eastAsia="SimSun" w:hAnsi="Calibri Light" w:cs="Calibri Light"/>
                <w:color w:val="000000"/>
                <w:szCs w:val="18"/>
                <w:lang w:eastAsia="zh-CN"/>
              </w:rPr>
            </w:pPr>
            <w:r w:rsidRPr="000B0F35">
              <w:rPr>
                <w:rFonts w:cs="Arial"/>
                <w:color w:val="000000"/>
                <w:szCs w:val="18"/>
              </w:rPr>
              <w:t>Dynamic UL power sharing for DAPS HO</w:t>
            </w:r>
          </w:p>
        </w:tc>
        <w:tc>
          <w:tcPr>
            <w:tcW w:w="0" w:type="auto"/>
            <w:tcBorders>
              <w:top w:val="single" w:sz="4" w:space="0" w:color="auto"/>
              <w:left w:val="single" w:sz="4" w:space="0" w:color="auto"/>
              <w:bottom w:val="single" w:sz="4" w:space="0" w:color="auto"/>
              <w:right w:val="single" w:sz="4" w:space="0" w:color="auto"/>
            </w:tcBorders>
          </w:tcPr>
          <w:p w14:paraId="080BD83C" w14:textId="77777777" w:rsidR="003F0CDF" w:rsidRPr="000B0F35" w:rsidRDefault="003F0CDF" w:rsidP="003F0CDF">
            <w:pPr>
              <w:pStyle w:val="TAL"/>
              <w:rPr>
                <w:rFonts w:cs="Arial"/>
                <w:color w:val="000000"/>
                <w:szCs w:val="18"/>
              </w:rPr>
            </w:pPr>
            <w:r w:rsidRPr="000B0F35">
              <w:rPr>
                <w:rFonts w:cs="Arial"/>
                <w:color w:val="000000"/>
                <w:szCs w:val="18"/>
              </w:rPr>
              <w:t>Support of dynamic power sharing</w:t>
            </w:r>
            <w:r w:rsidRPr="000B0F35">
              <w:rPr>
                <w:color w:val="000000"/>
              </w:rPr>
              <w:t xml:space="preserve"> </w:t>
            </w:r>
            <w:r w:rsidRPr="000B0F35">
              <w:rPr>
                <w:rFonts w:cs="Arial"/>
                <w:color w:val="000000"/>
                <w:szCs w:val="18"/>
              </w:rPr>
              <w:t>between source and target cells of same FR</w:t>
            </w:r>
            <w:r w:rsidR="00604D18" w:rsidRPr="00604D18">
              <w:rPr>
                <w:rFonts w:cs="Arial"/>
                <w:color w:val="FF0000"/>
                <w:szCs w:val="18"/>
              </w:rPr>
              <w:t xml:space="preserve"> for inter-frequency DAPS HO</w:t>
            </w:r>
          </w:p>
          <w:p w14:paraId="497339AF" w14:textId="77777777" w:rsidR="003F0CDF" w:rsidRPr="000B0F35" w:rsidRDefault="003F0CDF" w:rsidP="003F0CDF">
            <w:pPr>
              <w:pStyle w:val="TAL"/>
              <w:rPr>
                <w:rFonts w:ascii="Calibri Light" w:hAnsi="Calibri Light" w:cs="Calibri Light"/>
                <w:color w:val="000000"/>
                <w:szCs w:val="18"/>
                <w:lang w:eastAsia="zh-CN"/>
              </w:rPr>
            </w:pPr>
            <w:r w:rsidRPr="000B0F35">
              <w:rPr>
                <w:rFonts w:cs="Arial"/>
                <w:color w:val="000000"/>
                <w:szCs w:val="18"/>
              </w:rPr>
              <w:t>1)           T_offset</w:t>
            </w:r>
          </w:p>
        </w:tc>
        <w:tc>
          <w:tcPr>
            <w:tcW w:w="0" w:type="auto"/>
            <w:tcBorders>
              <w:top w:val="single" w:sz="4" w:space="0" w:color="auto"/>
              <w:left w:val="single" w:sz="4" w:space="0" w:color="auto"/>
              <w:bottom w:val="single" w:sz="4" w:space="0" w:color="auto"/>
              <w:right w:val="single" w:sz="4" w:space="0" w:color="auto"/>
            </w:tcBorders>
          </w:tcPr>
          <w:p w14:paraId="6478C347" w14:textId="77777777" w:rsidR="003F0CDF" w:rsidRPr="000B0F35" w:rsidRDefault="003F0CDF" w:rsidP="003F0CDF">
            <w:pPr>
              <w:pStyle w:val="TAL"/>
              <w:rPr>
                <w:color w:val="000000"/>
                <w:szCs w:val="18"/>
              </w:rPr>
            </w:pPr>
            <w:r w:rsidRPr="000B0F35">
              <w:rPr>
                <w:rFonts w:cs="Arial"/>
                <w:color w:val="000000"/>
                <w:szCs w:val="18"/>
              </w:rPr>
              <w:t>21-2</w:t>
            </w:r>
            <w:r w:rsidRPr="003F0CDF">
              <w:rPr>
                <w:rFonts w:cs="Arial"/>
                <w:color w:val="FF0000"/>
                <w:szCs w:val="18"/>
              </w:rPr>
              <w:t>, 21-1b</w:t>
            </w:r>
          </w:p>
        </w:tc>
        <w:tc>
          <w:tcPr>
            <w:tcW w:w="0" w:type="auto"/>
            <w:tcBorders>
              <w:top w:val="single" w:sz="4" w:space="0" w:color="auto"/>
              <w:left w:val="single" w:sz="4" w:space="0" w:color="auto"/>
              <w:bottom w:val="single" w:sz="4" w:space="0" w:color="auto"/>
              <w:right w:val="single" w:sz="4" w:space="0" w:color="auto"/>
            </w:tcBorders>
          </w:tcPr>
          <w:p w14:paraId="07E87514" w14:textId="77777777" w:rsidR="003F0CDF" w:rsidRPr="000B0F35" w:rsidRDefault="003F0CDF" w:rsidP="003F0CDF">
            <w:pPr>
              <w:pStyle w:val="TAL"/>
              <w:rPr>
                <w:rFonts w:eastAsia="SimSun"/>
                <w:color w:val="000000"/>
                <w:szCs w:val="18"/>
                <w:lang w:eastAsia="zh-CN"/>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BE04486"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5B1B4B9" w14:textId="77777777" w:rsidR="003F0CDF" w:rsidRPr="000B0F35" w:rsidRDefault="003F0CDF" w:rsidP="003F0CDF">
            <w:pPr>
              <w:pStyle w:val="TAL"/>
              <w:rPr>
                <w:rFonts w:eastAsia="SimSu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6F1AB6" w14:textId="77777777" w:rsidR="003F0CDF" w:rsidRPr="000B0F35" w:rsidRDefault="003F0CDF" w:rsidP="003F0CDF">
            <w:pPr>
              <w:pStyle w:val="TAL"/>
              <w:rPr>
                <w:rFonts w:eastAsia="SimSun"/>
                <w:color w:val="000000"/>
                <w:szCs w:val="18"/>
                <w:lang w:eastAsia="zh-CN"/>
              </w:rPr>
            </w:pPr>
            <w:r w:rsidRPr="000B0F35">
              <w:rPr>
                <w:rFonts w:cs="Arial"/>
                <w:color w:val="000000"/>
                <w:szCs w:val="18"/>
              </w:rPr>
              <w:t>Per BC</w:t>
            </w:r>
          </w:p>
        </w:tc>
        <w:tc>
          <w:tcPr>
            <w:tcW w:w="0" w:type="auto"/>
            <w:tcBorders>
              <w:top w:val="single" w:sz="4" w:space="0" w:color="auto"/>
              <w:left w:val="single" w:sz="4" w:space="0" w:color="auto"/>
              <w:bottom w:val="single" w:sz="4" w:space="0" w:color="auto"/>
              <w:right w:val="single" w:sz="4" w:space="0" w:color="auto"/>
            </w:tcBorders>
          </w:tcPr>
          <w:p w14:paraId="5A609B79" w14:textId="77777777" w:rsidR="003F0CDF" w:rsidRPr="000B0F35" w:rsidRDefault="003F0CDF" w:rsidP="003F0CDF">
            <w:pPr>
              <w:pStyle w:val="TAL"/>
              <w:rPr>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4739456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284F17" w14:textId="77777777" w:rsidR="003F0CDF" w:rsidRPr="000B0F35" w:rsidRDefault="003F0CDF" w:rsidP="003F0CDF">
            <w:pPr>
              <w:pStyle w:val="TAL"/>
              <w:rPr>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46F1AEB" w14:textId="77777777" w:rsidR="003F0CDF" w:rsidRPr="000B0F35" w:rsidRDefault="003F0CDF" w:rsidP="003F0CDF">
            <w:pPr>
              <w:pStyle w:val="TAL"/>
              <w:rPr>
                <w:color w:val="000000"/>
                <w:highlight w:val="yellow"/>
              </w:rPr>
            </w:pPr>
            <w:r w:rsidRPr="000B0F35">
              <w:rPr>
                <w:color w:val="000000"/>
              </w:rPr>
              <w:t>Candidate values for (1) are {short, long}</w:t>
            </w:r>
          </w:p>
        </w:tc>
        <w:tc>
          <w:tcPr>
            <w:tcW w:w="0" w:type="auto"/>
            <w:tcBorders>
              <w:top w:val="single" w:sz="4" w:space="0" w:color="auto"/>
              <w:left w:val="single" w:sz="4" w:space="0" w:color="auto"/>
              <w:bottom w:val="single" w:sz="4" w:space="0" w:color="auto"/>
              <w:right w:val="single" w:sz="4" w:space="0" w:color="auto"/>
            </w:tcBorders>
          </w:tcPr>
          <w:p w14:paraId="4568830F" w14:textId="77777777" w:rsidR="003F0CDF" w:rsidRPr="000B0F35" w:rsidRDefault="003F0CDF" w:rsidP="003F0CDF">
            <w:pPr>
              <w:pStyle w:val="NormalWeb"/>
              <w:rPr>
                <w:rFonts w:eastAsia="Calibri"/>
                <w:color w:val="000000"/>
                <w:sz w:val="20"/>
                <w:szCs w:val="20"/>
              </w:rPr>
            </w:pPr>
            <w:r w:rsidRPr="000B0F35">
              <w:rPr>
                <w:rFonts w:ascii="Arial" w:hAnsi="Arial" w:cs="Arial"/>
                <w:color w:val="000000"/>
                <w:sz w:val="18"/>
                <w:szCs w:val="18"/>
              </w:rPr>
              <w:t>Optional with capability signalling</w:t>
            </w:r>
          </w:p>
          <w:p w14:paraId="5578C08C" w14:textId="77777777" w:rsidR="003F0CDF" w:rsidRPr="000B0F35" w:rsidRDefault="003F0CDF" w:rsidP="003F0CDF">
            <w:pPr>
              <w:pStyle w:val="TAL"/>
              <w:rPr>
                <w:color w:val="000000"/>
                <w:szCs w:val="18"/>
              </w:rPr>
            </w:pPr>
            <w:r w:rsidRPr="000B0F35">
              <w:rPr>
                <w:rFonts w:ascii="Times New Roman" w:hAnsi="Times New Roman"/>
                <w:color w:val="000000"/>
                <w:sz w:val="20"/>
              </w:rPr>
              <w:t>  </w:t>
            </w:r>
          </w:p>
        </w:tc>
      </w:tr>
      <w:tr w:rsidR="00604D18" w:rsidRPr="000B0F35" w14:paraId="535BFA66" w14:textId="77777777" w:rsidTr="00653812">
        <w:tc>
          <w:tcPr>
            <w:tcW w:w="0" w:type="auto"/>
            <w:tcBorders>
              <w:top w:val="single" w:sz="4" w:space="0" w:color="auto"/>
              <w:left w:val="single" w:sz="4" w:space="0" w:color="auto"/>
              <w:bottom w:val="single" w:sz="4" w:space="0" w:color="auto"/>
              <w:right w:val="single" w:sz="4" w:space="0" w:color="auto"/>
            </w:tcBorders>
          </w:tcPr>
          <w:p w14:paraId="7EA35B3F" w14:textId="77777777" w:rsidR="003F0CDF" w:rsidRPr="000B0F35" w:rsidRDefault="003F0CDF" w:rsidP="003F0CDF">
            <w:pPr>
              <w:pStyle w:val="TAL"/>
              <w:rPr>
                <w:rFonts w:cs="Arial"/>
                <w:color w:val="000000"/>
                <w:szCs w:val="18"/>
              </w:rPr>
            </w:pPr>
            <w:r w:rsidRPr="000B0F35">
              <w:rPr>
                <w:rFonts w:cs="Arial"/>
                <w:color w:val="000000"/>
                <w:szCs w:val="18"/>
              </w:rPr>
              <w:t>21-2d</w:t>
            </w:r>
          </w:p>
        </w:tc>
        <w:tc>
          <w:tcPr>
            <w:tcW w:w="0" w:type="auto"/>
            <w:tcBorders>
              <w:top w:val="single" w:sz="4" w:space="0" w:color="auto"/>
              <w:left w:val="single" w:sz="4" w:space="0" w:color="auto"/>
              <w:bottom w:val="single" w:sz="4" w:space="0" w:color="auto"/>
              <w:right w:val="single" w:sz="4" w:space="0" w:color="auto"/>
            </w:tcBorders>
          </w:tcPr>
          <w:p w14:paraId="5BF0790B" w14:textId="77777777" w:rsidR="003F0CDF" w:rsidRPr="000B0F35" w:rsidRDefault="003F0CDF" w:rsidP="003F0CDF">
            <w:pPr>
              <w:pStyle w:val="TAL"/>
              <w:rPr>
                <w:rFonts w:cs="Arial"/>
                <w:color w:val="000000"/>
                <w:szCs w:val="18"/>
              </w:rPr>
            </w:pPr>
            <w:r w:rsidRPr="000B0F35">
              <w:rPr>
                <w:rFonts w:cs="Arial"/>
                <w:color w:val="000000"/>
                <w:szCs w:val="18"/>
              </w:rPr>
              <w:t>UL transmission cancellation</w:t>
            </w:r>
          </w:p>
        </w:tc>
        <w:tc>
          <w:tcPr>
            <w:tcW w:w="0" w:type="auto"/>
            <w:tcBorders>
              <w:top w:val="single" w:sz="4" w:space="0" w:color="auto"/>
              <w:left w:val="single" w:sz="4" w:space="0" w:color="auto"/>
              <w:bottom w:val="single" w:sz="4" w:space="0" w:color="auto"/>
              <w:right w:val="single" w:sz="4" w:space="0" w:color="auto"/>
            </w:tcBorders>
          </w:tcPr>
          <w:p w14:paraId="33609043" w14:textId="77777777" w:rsidR="003F0CDF" w:rsidRPr="000B0F35" w:rsidRDefault="003F0CDF" w:rsidP="003F0CDF">
            <w:pPr>
              <w:pStyle w:val="TAL"/>
              <w:rPr>
                <w:rFonts w:cs="Arial"/>
                <w:color w:val="000000"/>
                <w:szCs w:val="18"/>
              </w:rPr>
            </w:pPr>
            <w:r w:rsidRPr="000B0F35">
              <w:rPr>
                <w:rFonts w:cs="Arial"/>
                <w:color w:val="000000"/>
                <w:szCs w:val="18"/>
              </w:rPr>
              <w:t>Indicates support of cancelling UL transmission to the source cell for inter-frequency DAPS-HO</w:t>
            </w:r>
          </w:p>
        </w:tc>
        <w:tc>
          <w:tcPr>
            <w:tcW w:w="0" w:type="auto"/>
            <w:tcBorders>
              <w:top w:val="single" w:sz="4" w:space="0" w:color="auto"/>
              <w:left w:val="single" w:sz="4" w:space="0" w:color="auto"/>
              <w:bottom w:val="single" w:sz="4" w:space="0" w:color="auto"/>
              <w:right w:val="single" w:sz="4" w:space="0" w:color="auto"/>
            </w:tcBorders>
          </w:tcPr>
          <w:p w14:paraId="1A8B1815" w14:textId="77777777" w:rsidR="003F0CDF" w:rsidRPr="000B0F35" w:rsidRDefault="003F0CDF" w:rsidP="003F0CDF">
            <w:pPr>
              <w:pStyle w:val="TAL"/>
              <w:rPr>
                <w:rFonts w:cs="Arial"/>
                <w:color w:val="000000"/>
                <w:szCs w:val="18"/>
              </w:rPr>
            </w:pPr>
            <w:r w:rsidRPr="000B0F35">
              <w:rPr>
                <w:rFonts w:cs="Arial"/>
                <w:color w:val="000000"/>
                <w:szCs w:val="18"/>
              </w:rPr>
              <w:t>21-1b</w:t>
            </w:r>
          </w:p>
        </w:tc>
        <w:tc>
          <w:tcPr>
            <w:tcW w:w="0" w:type="auto"/>
            <w:tcBorders>
              <w:top w:val="single" w:sz="4" w:space="0" w:color="auto"/>
              <w:left w:val="single" w:sz="4" w:space="0" w:color="auto"/>
              <w:bottom w:val="single" w:sz="4" w:space="0" w:color="auto"/>
              <w:right w:val="single" w:sz="4" w:space="0" w:color="auto"/>
            </w:tcBorders>
          </w:tcPr>
          <w:p w14:paraId="6527AAE1" w14:textId="77777777" w:rsidR="003F0CDF" w:rsidRPr="000B0F35" w:rsidRDefault="003F0CDF" w:rsidP="003F0CDF">
            <w:pPr>
              <w:pStyle w:val="TAL"/>
              <w:rPr>
                <w:rFonts w:cs="Arial"/>
                <w:color w:val="000000"/>
                <w:szCs w:val="18"/>
              </w:rPr>
            </w:pPr>
            <w:r w:rsidRPr="000B0F35">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DD35DFE"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C9B475" w14:textId="77777777" w:rsidR="003F0CDF" w:rsidRPr="000B0F35" w:rsidRDefault="003F0CDF" w:rsidP="003F0CDF">
            <w:pPr>
              <w:pStyle w:val="TAL"/>
              <w:rPr>
                <w:rFonts w:cs="Arial"/>
                <w:color w:val="000000"/>
                <w:szCs w:val="18"/>
              </w:rPr>
            </w:pPr>
            <w:r w:rsidRPr="000B0F35">
              <w:rPr>
                <w:rFonts w:cs="Arial"/>
                <w:color w:val="000000"/>
                <w:szCs w:val="18"/>
              </w:rPr>
              <w:t>UE does not support scheduling of overlapping PUSCH/PUCCH/SRS transmissions to source and target cells for inter-frequency DAPS-HO</w:t>
            </w:r>
          </w:p>
        </w:tc>
        <w:tc>
          <w:tcPr>
            <w:tcW w:w="0" w:type="auto"/>
            <w:tcBorders>
              <w:top w:val="single" w:sz="4" w:space="0" w:color="auto"/>
              <w:left w:val="single" w:sz="4" w:space="0" w:color="auto"/>
              <w:bottom w:val="single" w:sz="4" w:space="0" w:color="auto"/>
              <w:right w:val="single" w:sz="4" w:space="0" w:color="auto"/>
            </w:tcBorders>
          </w:tcPr>
          <w:p w14:paraId="051CEEE2" w14:textId="77777777" w:rsidR="003F0CDF" w:rsidRPr="000B0F35" w:rsidRDefault="003F0CDF" w:rsidP="003F0CDF">
            <w:pPr>
              <w:pStyle w:val="TAL"/>
              <w:rPr>
                <w:rFonts w:cs="Arial"/>
                <w:color w:val="000000"/>
                <w:szCs w:val="18"/>
              </w:rPr>
            </w:pPr>
            <w:r w:rsidRPr="000B0F35">
              <w:rPr>
                <w:rFonts w:cs="Arial"/>
                <w:color w:val="000000"/>
                <w:szCs w:val="18"/>
              </w:rPr>
              <w:t>per band combination</w:t>
            </w:r>
          </w:p>
        </w:tc>
        <w:tc>
          <w:tcPr>
            <w:tcW w:w="0" w:type="auto"/>
            <w:tcBorders>
              <w:top w:val="single" w:sz="4" w:space="0" w:color="auto"/>
              <w:left w:val="single" w:sz="4" w:space="0" w:color="auto"/>
              <w:bottom w:val="single" w:sz="4" w:space="0" w:color="auto"/>
              <w:right w:val="single" w:sz="4" w:space="0" w:color="auto"/>
            </w:tcBorders>
          </w:tcPr>
          <w:p w14:paraId="420509AD" w14:textId="77777777" w:rsidR="003F0CDF" w:rsidRPr="000B0F35" w:rsidRDefault="003F0CDF" w:rsidP="003F0CDF">
            <w:pPr>
              <w:pStyle w:val="TAL"/>
              <w:rPr>
                <w:rFonts w:cs="Arial"/>
                <w:color w:val="000000"/>
                <w:szCs w:val="18"/>
              </w:rPr>
            </w:pPr>
            <w:r w:rsidRPr="000B0F35">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565106D1"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D7F5903" w14:textId="77777777" w:rsidR="003F0CDF" w:rsidRPr="000B0F35" w:rsidRDefault="003F0CDF" w:rsidP="003F0CDF">
            <w:pPr>
              <w:pStyle w:val="TAL"/>
              <w:rPr>
                <w:rFonts w:cs="Arial"/>
                <w:color w:val="000000"/>
                <w:szCs w:val="18"/>
              </w:rPr>
            </w:pPr>
            <w:r w:rsidRPr="000B0F3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986C72C" w14:textId="77777777" w:rsidR="003F0CDF" w:rsidRPr="000B0F35" w:rsidRDefault="003F0CDF" w:rsidP="003F0CDF">
            <w:pPr>
              <w:pStyle w:val="TAL"/>
              <w:rPr>
                <w:rFonts w:cs="Arial"/>
                <w:color w:val="000000"/>
                <w:szCs w:val="18"/>
              </w:rPr>
            </w:pPr>
            <w:r w:rsidRPr="000B0F35">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629398DB" w14:textId="77777777" w:rsidR="003F0CDF" w:rsidRPr="000B0F35" w:rsidRDefault="003F0CDF" w:rsidP="003F0CDF">
            <w:pPr>
              <w:pStyle w:val="TAL"/>
              <w:rPr>
                <w:rFonts w:cs="Arial"/>
                <w:color w:val="000000"/>
                <w:szCs w:val="18"/>
              </w:rPr>
            </w:pPr>
            <w:r w:rsidRPr="000B0F35">
              <w:rPr>
                <w:rFonts w:cs="Arial"/>
                <w:color w:val="000000"/>
                <w:szCs w:val="18"/>
              </w:rPr>
              <w:t>Optional with capability signalling</w:t>
            </w:r>
          </w:p>
        </w:tc>
      </w:tr>
    </w:tbl>
    <w:p w14:paraId="0AA20A07"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49794541"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5676266"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A368AD7" w14:textId="77777777" w:rsidR="00653812" w:rsidRDefault="00653812">
            <w:pPr>
              <w:rPr>
                <w:rFonts w:ascii="Calibri" w:eastAsia="MS Mincho" w:hAnsi="Calibri" w:cs="Calibri"/>
              </w:rPr>
            </w:pPr>
            <w:r>
              <w:rPr>
                <w:rFonts w:ascii="Calibri" w:eastAsia="MS Mincho" w:hAnsi="Calibri" w:cs="Calibri"/>
              </w:rPr>
              <w:t>Summary</w:t>
            </w:r>
          </w:p>
        </w:tc>
      </w:tr>
      <w:tr w:rsidR="00653812" w14:paraId="20AEEEC4" w14:textId="77777777" w:rsidTr="00653812">
        <w:tc>
          <w:tcPr>
            <w:tcW w:w="1818" w:type="dxa"/>
            <w:tcBorders>
              <w:top w:val="single" w:sz="4" w:space="0" w:color="auto"/>
              <w:left w:val="single" w:sz="4" w:space="0" w:color="auto"/>
              <w:bottom w:val="single" w:sz="4" w:space="0" w:color="auto"/>
              <w:right w:val="single" w:sz="4" w:space="0" w:color="auto"/>
            </w:tcBorders>
          </w:tcPr>
          <w:p w14:paraId="4C629EB6" w14:textId="77777777" w:rsidR="00653812" w:rsidRDefault="00D4556D" w:rsidP="003D487C">
            <w:pPr>
              <w:pStyle w:val="maintext"/>
              <w:ind w:firstLineChars="0" w:firstLine="0"/>
              <w:rPr>
                <w:rFonts w:ascii="Calibri" w:hAnsi="Calibri" w:cs="Arial"/>
              </w:rPr>
            </w:pPr>
            <w:r>
              <w:rPr>
                <w:rFonts w:ascii="Calibri" w:hAnsi="Calibri" w:cs="Arial"/>
              </w:rPr>
              <w:t xml:space="preserve">Apple </w:t>
            </w:r>
            <w:r>
              <w:rPr>
                <w:rFonts w:ascii="Calibri" w:hAnsi="Calibri" w:cs="Arial"/>
              </w:rPr>
              <w:fldChar w:fldCharType="begin"/>
            </w:r>
            <w:r>
              <w:rPr>
                <w:rFonts w:ascii="Calibri" w:hAnsi="Calibri" w:cs="Arial"/>
              </w:rPr>
              <w:instrText xml:space="preserve"> REF _Ref61970485 \r \h </w:instrText>
            </w:r>
            <w:r w:rsidR="005F73BC">
              <w:rPr>
                <w:rFonts w:ascii="Calibri" w:hAnsi="Calibri" w:cs="Arial"/>
              </w:rPr>
              <w:instrText xml:space="preserve"> \* MERGEFORMAT </w:instrText>
            </w:r>
            <w:r>
              <w:rPr>
                <w:rFonts w:ascii="Calibri" w:hAnsi="Calibri" w:cs="Arial"/>
              </w:rPr>
            </w:r>
            <w:r>
              <w:rPr>
                <w:rFonts w:ascii="Calibri" w:hAnsi="Calibri" w:cs="Arial"/>
              </w:rPr>
              <w:fldChar w:fldCharType="separate"/>
            </w:r>
            <w:r>
              <w:rPr>
                <w:rFonts w:ascii="Calibri" w:hAnsi="Calibri" w:cs="Arial"/>
              </w:rPr>
              <w:t>[10]</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6F8C9F"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 xml:space="preserve">According to the latest agreed UE feature group in [1], the UL power sharing mode, i.e., FG 21-2/2a/2b, could apply to both inter-frequency and intra-frequency DAPS HO as showing in Table 1. However, this is not fully aligned with the agreed CR. More specifically,  </w:t>
            </w:r>
            <w:r w:rsidRPr="000B0F35">
              <w:rPr>
                <w:rFonts w:ascii="Calibri" w:hAnsi="Calibri" w:cs="Calibri"/>
                <w:noProof/>
              </w:rPr>
              <w:t>for intra-frequency DAPS, UE drops and cancels source cell transmission when source and target cell transmission overlap. So there is no scenario the UE would transmit simultaneously to source cell and target cell for intra-fequenchy DAPS HO, the power sharing mode is not necessary feature for intra-frequency DAPS HO.</w:t>
            </w:r>
          </w:p>
          <w:p w14:paraId="1872AE2B" w14:textId="77777777" w:rsidR="005F73BC" w:rsidRPr="000B0F35" w:rsidRDefault="005F73BC" w:rsidP="005F73BC">
            <w:pPr>
              <w:spacing w:before="120"/>
              <w:rPr>
                <w:rFonts w:ascii="Calibri" w:hAnsi="Calibri" w:cs="Calibri"/>
                <w:b/>
                <w:color w:val="000000"/>
              </w:rPr>
            </w:pPr>
            <w:r w:rsidRPr="000B0F35">
              <w:rPr>
                <w:rFonts w:ascii="Calibri" w:hAnsi="Calibri" w:cs="Calibri"/>
                <w:b/>
                <w:bCs/>
                <w:color w:val="000000"/>
              </w:rPr>
              <w:t>Proposal 1: Clarify in UE feature that FG 21-2/2a/2b are only applicable on inter-frequency DAPS HO.</w:t>
            </w:r>
            <w:r w:rsidRPr="000B0F35">
              <w:rPr>
                <w:rFonts w:ascii="Calibri" w:hAnsi="Calibri" w:cs="Calibri"/>
                <w:b/>
                <w:color w:val="000000"/>
              </w:rPr>
              <w:t xml:space="preserve"> </w:t>
            </w:r>
          </w:p>
          <w:p w14:paraId="02906B96" w14:textId="77777777" w:rsidR="005F73BC" w:rsidRPr="000B0F35" w:rsidRDefault="005F73BC" w:rsidP="005F73BC">
            <w:pPr>
              <w:spacing w:before="120"/>
              <w:rPr>
                <w:rFonts w:ascii="Calibri" w:hAnsi="Calibri" w:cs="Calibri"/>
                <w:b/>
                <w:bCs/>
                <w:color w:val="000000"/>
              </w:rPr>
            </w:pPr>
            <w:r w:rsidRPr="000B0F35">
              <w:rPr>
                <w:rFonts w:ascii="Calibri" w:hAnsi="Calibri" w:cs="Calibri"/>
                <w:b/>
                <w:bCs/>
                <w:color w:val="000000"/>
              </w:rPr>
              <w:t>Proposal 2:</w:t>
            </w:r>
            <w:r w:rsidRPr="000B0F35">
              <w:rPr>
                <w:rFonts w:ascii="Calibri" w:hAnsi="Calibri" w:cs="Calibri"/>
                <w:b/>
                <w:color w:val="000000"/>
              </w:rPr>
              <w:t xml:space="preserve"> </w:t>
            </w:r>
            <w:r w:rsidRPr="000B0F35">
              <w:rPr>
                <w:rFonts w:ascii="Calibri" w:hAnsi="Calibri" w:cs="Calibri"/>
                <w:b/>
                <w:bCs/>
                <w:color w:val="000000"/>
              </w:rPr>
              <w:t>FG 21-1b is the prerequisite feature group for FG21-2/2a/2b.</w:t>
            </w:r>
          </w:p>
          <w:p w14:paraId="797C034D" w14:textId="77777777" w:rsidR="005F73BC" w:rsidRPr="000B0F35" w:rsidRDefault="005F73BC" w:rsidP="005F73BC">
            <w:pPr>
              <w:spacing w:before="120"/>
              <w:rPr>
                <w:rFonts w:ascii="Calibri" w:hAnsi="Calibri" w:cs="Calibri"/>
                <w:color w:val="000000"/>
              </w:rPr>
            </w:pPr>
            <w:r w:rsidRPr="000B0F35">
              <w:rPr>
                <w:rFonts w:ascii="Calibri" w:hAnsi="Calibri" w:cs="Calibri"/>
                <w:color w:val="000000"/>
              </w:rPr>
              <w:t>For UE FG 21-1a intra-frequency DAPS HO, currently RAN1 categorize it as per band, but according to RAN2’s agreement in RAN2#110-e meeting, intra-frequency DPAS HO is per band per BC. To avoid misalignment with RAN2 and possible additional ASN.1 work, RAN1 can update FG21-1a as Per Band/Per BC.</w:t>
            </w:r>
          </w:p>
          <w:p w14:paraId="2597887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ind w:right="425" w:hanging="1480"/>
              <w:rPr>
                <w:rFonts w:ascii="Calibri" w:hAnsi="Calibri" w:cs="Calibri"/>
                <w:b/>
                <w:bCs/>
              </w:rPr>
            </w:pPr>
            <w:r w:rsidRPr="000B0F35">
              <w:rPr>
                <w:rFonts w:ascii="Calibri" w:hAnsi="Calibri" w:cs="Calibri"/>
                <w:b/>
                <w:bCs/>
              </w:rPr>
              <w:t>Agreements (NR)</w:t>
            </w:r>
          </w:p>
          <w:p w14:paraId="415A8EB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A214A9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12a introduce separate capabilities for intraFreq and interFreq as below:</w:t>
            </w:r>
          </w:p>
          <w:p w14:paraId="7A3722FF"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Per Band/per BC (for intraFreq capabilities), I.e. put under BandParameters-v16xy:</w:t>
            </w:r>
          </w:p>
          <w:p w14:paraId="30468DEB"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intraFreqDiffSCS-DAPS-r16;</w:t>
            </w:r>
          </w:p>
          <w:p w14:paraId="1DBF3ED3"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intraFreqAsyncDAPS-r16</w:t>
            </w:r>
          </w:p>
          <w:p w14:paraId="4CD9DEF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intraFreqMultiUL-TransmissionDAPS-r16</w:t>
            </w:r>
          </w:p>
          <w:p w14:paraId="5D4ACFE4"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A163FD6"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Per BC (for interFreq capabilities), i.e. put under CA-ParametersNR-v16xy:</w:t>
            </w:r>
          </w:p>
          <w:p w14:paraId="629BBEB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interFreqDiffSCS-DAPS-r16</w:t>
            </w:r>
          </w:p>
          <w:p w14:paraId="0BEF973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interFreqAsyncDAPS-r16</w:t>
            </w:r>
          </w:p>
          <w:p w14:paraId="0189100C"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 xml:space="preserve">interFreqMultiUL-TransmissionDAPS-r16. </w:t>
            </w:r>
          </w:p>
          <w:p w14:paraId="0239418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9938F1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12b</w:t>
            </w:r>
            <w:r w:rsidRPr="000B0F35">
              <w:rPr>
                <w:rFonts w:ascii="Calibri" w:hAnsi="Calibri" w:cs="Calibri"/>
              </w:rPr>
              <w:tab/>
              <w:t>All UEs supporting DAPS support these capabilities (can discuss signalling details and naming):</w:t>
            </w:r>
          </w:p>
          <w:p w14:paraId="5CE6444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SyncDAPS-r16</w:t>
            </w:r>
          </w:p>
          <w:p w14:paraId="08D6493D"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SingleUL-TransmissionDAPS-r16</w:t>
            </w:r>
          </w:p>
          <w:p w14:paraId="1FC45CC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ab/>
              <w:t>intraFreqTwoTAGs-DAPS-r16  (with 2 TAGs)</w:t>
            </w:r>
          </w:p>
          <w:p w14:paraId="4B286AA1"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lastRenderedPageBreak/>
              <w:tab/>
              <w:t>(for interFreq since RAN2 agreed to “Reuse CA capability “supportedNumberTAG” for DAPS handover.)</w:t>
            </w:r>
          </w:p>
          <w:p w14:paraId="688F73A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6254033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8a</w:t>
            </w:r>
            <w:r w:rsidRPr="000B0F35">
              <w:rPr>
                <w:rFonts w:ascii="Calibri" w:hAnsi="Calibri" w:cs="Calibri"/>
              </w:rPr>
              <w:tab/>
              <w:t>Remove UplinkPowerSharingDAPS-HO</w:t>
            </w:r>
          </w:p>
          <w:p w14:paraId="4C0B3382"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8b</w:t>
            </w:r>
            <w:r w:rsidRPr="000B0F35">
              <w:rPr>
                <w:rFonts w:ascii="Calibri" w:hAnsi="Calibri" w:cs="Calibri"/>
              </w:rPr>
              <w:tab/>
              <w:t>Add separate capabilities for 21-2, 21-2a, 21-2b as semiStaticPowerSharingDAPS-Mode1, semiStaticPowerSharingDAPS-Mode2 and dynamicPowersharingDAPS.</w:t>
            </w:r>
          </w:p>
          <w:p w14:paraId="64C3F1B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8c</w:t>
            </w:r>
            <w:r w:rsidRPr="000B0F35">
              <w:rPr>
                <w:rFonts w:ascii="Calibri" w:hAnsi="Calibri" w:cs="Calibri"/>
              </w:rPr>
              <w:tab/>
              <w:t>RAN2 thinks that these apply only for multiple UL supporting UEs,</w:t>
            </w:r>
          </w:p>
          <w:p w14:paraId="4C1D0479"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10416DA0"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10</w:t>
            </w:r>
            <w:r w:rsidRPr="000B0F35">
              <w:rPr>
                <w:rFonts w:ascii="Calibri" w:hAnsi="Calibri" w:cs="Calibri"/>
              </w:rPr>
              <w:tab/>
              <w:t xml:space="preserve">Remove pdcch-BlindDetectionSource and pdcch-BlindDetectionTarget from RAN2 agreed capabilities. </w:t>
            </w:r>
          </w:p>
          <w:p w14:paraId="39175A88"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4FF8F137"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11</w:t>
            </w:r>
            <w:r w:rsidRPr="000B0F35">
              <w:rPr>
                <w:rFonts w:ascii="Calibri" w:hAnsi="Calibri" w:cs="Calibri"/>
              </w:rPr>
              <w:tab/>
              <w:t xml:space="preserve">Add syncDAPS and simultaneous UL transmission based on RAN4 latest capability table. </w:t>
            </w:r>
          </w:p>
          <w:p w14:paraId="1C4AB4B5"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p>
          <w:p w14:paraId="7903428A" w14:textId="77777777" w:rsidR="005F73BC" w:rsidRPr="000B0F35" w:rsidRDefault="005F73BC" w:rsidP="005F73BC">
            <w:pPr>
              <w:pStyle w:val="Doc-text2"/>
              <w:pBdr>
                <w:top w:val="single" w:sz="4" w:space="1" w:color="auto"/>
                <w:left w:val="single" w:sz="4" w:space="4" w:color="auto"/>
                <w:bottom w:val="single" w:sz="4" w:space="1" w:color="auto"/>
                <w:right w:val="single" w:sz="4" w:space="4" w:color="auto"/>
              </w:pBdr>
              <w:tabs>
                <w:tab w:val="clear" w:pos="1622"/>
                <w:tab w:val="left" w:pos="567"/>
              </w:tabs>
              <w:ind w:left="567" w:right="425" w:hanging="425"/>
              <w:rPr>
                <w:rFonts w:ascii="Calibri" w:hAnsi="Calibri" w:cs="Calibri"/>
              </w:rPr>
            </w:pPr>
            <w:r w:rsidRPr="000B0F35">
              <w:rPr>
                <w:rFonts w:ascii="Calibri" w:hAnsi="Calibri" w:cs="Calibri"/>
              </w:rPr>
              <w:t>13</w:t>
            </w:r>
            <w:r w:rsidRPr="000B0F35">
              <w:rPr>
                <w:rFonts w:ascii="Calibri" w:hAnsi="Calibri" w:cs="Calibri"/>
              </w:rPr>
              <w:tab/>
              <w:t>Introduce separate capabilities for intraFreq and interFreq for power sharing capabilities.</w:t>
            </w:r>
          </w:p>
          <w:p w14:paraId="0D1CB095" w14:textId="77777777" w:rsidR="00653812" w:rsidRPr="000B0F35" w:rsidRDefault="00653812" w:rsidP="005F73BC">
            <w:pPr>
              <w:pStyle w:val="maintext"/>
              <w:ind w:firstLineChars="0" w:firstLine="0"/>
              <w:rPr>
                <w:rFonts w:ascii="Calibri" w:hAnsi="Calibri" w:cs="Calibri"/>
              </w:rPr>
            </w:pPr>
          </w:p>
        </w:tc>
      </w:tr>
    </w:tbl>
    <w:p w14:paraId="720A963D" w14:textId="77777777" w:rsidR="00653812" w:rsidRDefault="00653812" w:rsidP="00653812">
      <w:pPr>
        <w:pStyle w:val="maintext"/>
        <w:ind w:firstLineChars="90" w:firstLine="180"/>
        <w:rPr>
          <w:rFonts w:ascii="Calibri" w:hAnsi="Calibri" w:cs="Calibri"/>
          <w:color w:val="000000"/>
        </w:rPr>
      </w:pPr>
    </w:p>
    <w:p w14:paraId="1B32957A" w14:textId="77777777" w:rsidR="00653812" w:rsidRDefault="00653812" w:rsidP="00653812">
      <w:pPr>
        <w:pStyle w:val="Heading1"/>
        <w:numPr>
          <w:ilvl w:val="0"/>
          <w:numId w:val="9"/>
        </w:numPr>
        <w:jc w:val="both"/>
      </w:pPr>
      <w:r>
        <w:t>Issues for discussion during the preparation phase</w:t>
      </w:r>
    </w:p>
    <w:p w14:paraId="7E9D31C6" w14:textId="77777777" w:rsidR="00052B4F" w:rsidRDefault="00653812" w:rsidP="00052B4F">
      <w:pPr>
        <w:pStyle w:val="maintext"/>
        <w:ind w:firstLineChars="90" w:firstLine="180"/>
        <w:rPr>
          <w:rFonts w:ascii="Calibri" w:eastAsia="SimSun" w:hAnsi="Calibri" w:cs="Calibri"/>
          <w:lang w:eastAsia="zh-CN"/>
        </w:rPr>
      </w:pPr>
      <w:r>
        <w:rPr>
          <w:rFonts w:ascii="Calibri" w:eastAsia="SimSun" w:hAnsi="Calibri" w:cs="Calibri"/>
          <w:lang w:eastAsia="zh-CN"/>
        </w:rPr>
        <w:t>After review of contributions submitted to RAN1 #10</w:t>
      </w:r>
      <w:r w:rsidR="00EC5026">
        <w:rPr>
          <w:rFonts w:ascii="Calibri" w:eastAsia="SimSun" w:hAnsi="Calibri" w:cs="Calibri"/>
          <w:lang w:eastAsia="zh-CN"/>
        </w:rPr>
        <w:t>4</w:t>
      </w:r>
      <w:r>
        <w:rPr>
          <w:rFonts w:ascii="Calibri" w:eastAsia="SimSun" w:hAnsi="Calibri" w:cs="Calibri"/>
          <w:lang w:eastAsia="zh-CN"/>
        </w:rPr>
        <w:t>-e in this agenda item, the following topics have been identified by the moderator as candidates for discussion/approval during RAN1 #10</w:t>
      </w:r>
      <w:r w:rsidR="00EC5026">
        <w:rPr>
          <w:rFonts w:ascii="Calibri" w:eastAsia="SimSun" w:hAnsi="Calibri" w:cs="Calibri"/>
          <w:lang w:eastAsia="zh-CN"/>
        </w:rPr>
        <w:t>4</w:t>
      </w:r>
      <w:r>
        <w:rPr>
          <w:rFonts w:ascii="Calibri" w:eastAsia="SimSun" w:hAnsi="Calibri" w:cs="Calibri"/>
          <w:lang w:eastAsia="zh-CN"/>
        </w:rPr>
        <w:t>-e. Companies are invited to express their views in the tables below whether these topics should be discussed during RAN1 #10</w:t>
      </w:r>
      <w:r w:rsidR="00EC5026">
        <w:rPr>
          <w:rFonts w:ascii="Calibri" w:eastAsia="SimSun" w:hAnsi="Calibri" w:cs="Calibri"/>
          <w:lang w:eastAsia="zh-CN"/>
        </w:rPr>
        <w:t>4</w:t>
      </w:r>
      <w:r>
        <w:rPr>
          <w:rFonts w:ascii="Calibri" w:eastAsia="SimSun" w:hAnsi="Calibri" w:cs="Calibri"/>
          <w:lang w:eastAsia="zh-CN"/>
        </w:rPr>
        <w:t>-e.</w:t>
      </w:r>
      <w:r w:rsidR="00052B4F">
        <w:rPr>
          <w:rFonts w:ascii="Calibri" w:eastAsia="SimSun" w:hAnsi="Calibri" w:cs="Calibri"/>
          <w:lang w:eastAsia="zh-CN"/>
        </w:rPr>
        <w:t xml:space="preserve"> </w:t>
      </w:r>
    </w:p>
    <w:p w14:paraId="6F8B6B91" w14:textId="77777777" w:rsidR="00653812" w:rsidRDefault="00653812" w:rsidP="00653812">
      <w:pPr>
        <w:pStyle w:val="maintext"/>
        <w:ind w:firstLineChars="90" w:firstLine="180"/>
        <w:rPr>
          <w:rFonts w:ascii="Calibri" w:hAnsi="Calibri" w:cs="Arial"/>
        </w:rPr>
      </w:pPr>
    </w:p>
    <w:p w14:paraId="52AA9695" w14:textId="77777777" w:rsidR="00052B4F" w:rsidRDefault="00052B4F" w:rsidP="00653812">
      <w:pPr>
        <w:pStyle w:val="maintext"/>
        <w:ind w:firstLineChars="90" w:firstLine="180"/>
        <w:rPr>
          <w:rFonts w:ascii="Calibri" w:hAnsi="Calibri" w:cs="Arial"/>
        </w:rPr>
      </w:pPr>
      <w:r w:rsidRPr="00052B4F">
        <w:rPr>
          <w:rFonts w:ascii="Calibri" w:hAnsi="Calibri" w:cs="Arial"/>
        </w:rPr>
        <w:t xml:space="preserve">Whether to </w:t>
      </w:r>
      <w:r w:rsidR="00C16155">
        <w:rPr>
          <w:rFonts w:ascii="Calibri" w:hAnsi="Calibri" w:cs="Arial"/>
        </w:rPr>
        <w:t xml:space="preserve">change the type of FG </w:t>
      </w:r>
      <w:r w:rsidR="00C16155" w:rsidRPr="00C16155">
        <w:rPr>
          <w:rFonts w:ascii="Calibri" w:hAnsi="Calibri" w:cs="Arial"/>
        </w:rPr>
        <w:t>21-1a</w:t>
      </w:r>
      <w:r w:rsidR="00C16155">
        <w:rPr>
          <w:rFonts w:ascii="Calibri" w:hAnsi="Calibri" w:cs="Arial"/>
        </w:rPr>
        <w:t xml:space="preserve"> to “</w:t>
      </w:r>
      <w:r w:rsidR="00C16155" w:rsidRPr="00C16155">
        <w:rPr>
          <w:rFonts w:ascii="Calibri" w:hAnsi="Calibri" w:cs="Arial"/>
        </w:rPr>
        <w:t>Per Band/per BC</w:t>
      </w:r>
      <w:r w:rsidR="00C16155">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53812" w14:paraId="7955A61C" w14:textId="77777777" w:rsidTr="0065381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55FA42C" w14:textId="77777777" w:rsidR="00653812" w:rsidRDefault="0065381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2A2836" w14:textId="77777777" w:rsidR="00653812" w:rsidRDefault="00653812">
            <w:pPr>
              <w:rPr>
                <w:rFonts w:ascii="Calibri" w:eastAsia="MS Mincho" w:hAnsi="Calibri" w:cs="Calibri"/>
              </w:rPr>
            </w:pPr>
            <w:r>
              <w:rPr>
                <w:rFonts w:ascii="Calibri" w:eastAsia="MS Mincho" w:hAnsi="Calibri" w:cs="Calibri"/>
              </w:rPr>
              <w:t>Comments/Questions/Suggestions</w:t>
            </w:r>
          </w:p>
        </w:tc>
      </w:tr>
      <w:tr w:rsidR="00653812" w14:paraId="2F1F057F" w14:textId="77777777" w:rsidTr="00653812">
        <w:tc>
          <w:tcPr>
            <w:tcW w:w="1818" w:type="dxa"/>
            <w:tcBorders>
              <w:top w:val="single" w:sz="4" w:space="0" w:color="auto"/>
              <w:left w:val="single" w:sz="4" w:space="0" w:color="auto"/>
              <w:bottom w:val="single" w:sz="4" w:space="0" w:color="auto"/>
              <w:right w:val="single" w:sz="4" w:space="0" w:color="auto"/>
            </w:tcBorders>
          </w:tcPr>
          <w:p w14:paraId="65D2822C" w14:textId="34E68855" w:rsidR="00653812" w:rsidRDefault="006E64F4">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7D8B184" w14:textId="44DDC999" w:rsidR="00653812" w:rsidRDefault="006E64F4">
            <w:pPr>
              <w:rPr>
                <w:rFonts w:eastAsia="SimSun"/>
              </w:rPr>
            </w:pPr>
            <w:r>
              <w:rPr>
                <w:rFonts w:eastAsia="SimSun"/>
              </w:rPr>
              <w:t>Not needed – the RAN2 specifications are already correct</w:t>
            </w:r>
          </w:p>
        </w:tc>
      </w:tr>
      <w:tr w:rsidR="00CC0682" w14:paraId="16D0C259" w14:textId="77777777" w:rsidTr="00653812">
        <w:tc>
          <w:tcPr>
            <w:tcW w:w="1818" w:type="dxa"/>
            <w:tcBorders>
              <w:top w:val="single" w:sz="4" w:space="0" w:color="auto"/>
              <w:left w:val="single" w:sz="4" w:space="0" w:color="auto"/>
              <w:bottom w:val="single" w:sz="4" w:space="0" w:color="auto"/>
              <w:right w:val="single" w:sz="4" w:space="0" w:color="auto"/>
            </w:tcBorders>
          </w:tcPr>
          <w:p w14:paraId="5D2F9A71" w14:textId="0C602490" w:rsidR="00CC0682" w:rsidRDefault="00CC0682">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0644C1F0" w14:textId="00F3F41A" w:rsidR="00CC0682" w:rsidRDefault="00CC0682">
            <w:pPr>
              <w:rPr>
                <w:rFonts w:eastAsia="SimSun"/>
              </w:rPr>
            </w:pPr>
            <w:r>
              <w:rPr>
                <w:rFonts w:eastAsia="SimSun"/>
              </w:rPr>
              <w:t>It is OK to keep the table in sync with RAN2 specs to avoid future confusions, but it is not an essential change at this point.</w:t>
            </w:r>
          </w:p>
        </w:tc>
      </w:tr>
    </w:tbl>
    <w:p w14:paraId="5422AC3B" w14:textId="77777777" w:rsidR="00052B4F" w:rsidRDefault="00052B4F" w:rsidP="00653812">
      <w:pPr>
        <w:pStyle w:val="maintext"/>
        <w:ind w:firstLineChars="90" w:firstLine="180"/>
        <w:rPr>
          <w:rFonts w:ascii="Calibri" w:hAnsi="Calibri" w:cs="Arial"/>
        </w:rPr>
      </w:pPr>
    </w:p>
    <w:p w14:paraId="51363E21" w14:textId="77777777" w:rsidR="00C16155" w:rsidRDefault="00C16155" w:rsidP="00C16155">
      <w:pPr>
        <w:pStyle w:val="maintext"/>
        <w:ind w:firstLineChars="90" w:firstLine="180"/>
        <w:rPr>
          <w:rFonts w:ascii="Calibri" w:hAnsi="Calibri" w:cs="Arial"/>
        </w:rPr>
      </w:pPr>
      <w:r w:rsidRPr="00052B4F">
        <w:rPr>
          <w:rFonts w:ascii="Calibri" w:hAnsi="Calibri" w:cs="Arial"/>
        </w:rPr>
        <w:t xml:space="preserve">Whether to </w:t>
      </w:r>
      <w:r>
        <w:rPr>
          <w:rFonts w:ascii="Calibri" w:hAnsi="Calibri" w:cs="Arial"/>
        </w:rPr>
        <w:t xml:space="preserve">change the prerequisites of FGs </w:t>
      </w:r>
      <w:r w:rsidRPr="00C16155">
        <w:rPr>
          <w:rFonts w:ascii="Calibri" w:hAnsi="Calibri" w:cs="Arial"/>
        </w:rPr>
        <w:t>21-2</w:t>
      </w:r>
      <w:r>
        <w:rPr>
          <w:rFonts w:ascii="Calibri" w:hAnsi="Calibri" w:cs="Arial"/>
        </w:rPr>
        <w:t xml:space="preserve">, </w:t>
      </w:r>
      <w:r w:rsidRPr="00C16155">
        <w:rPr>
          <w:rFonts w:ascii="Calibri" w:hAnsi="Calibri" w:cs="Arial"/>
        </w:rPr>
        <w:t>21-2a</w:t>
      </w:r>
      <w:r>
        <w:rPr>
          <w:rFonts w:ascii="Calibri" w:hAnsi="Calibri" w:cs="Arial"/>
        </w:rPr>
        <w:t xml:space="preserve">, </w:t>
      </w:r>
      <w:r w:rsidRPr="00C16155">
        <w:rPr>
          <w:rFonts w:ascii="Calibri" w:hAnsi="Calibri" w:cs="Arial"/>
        </w:rPr>
        <w:t>21-2b</w:t>
      </w:r>
      <w:r>
        <w:rPr>
          <w:rFonts w:ascii="Calibri" w:hAnsi="Calibri" w:cs="Arial"/>
        </w:rPr>
        <w:t xml:space="preserve"> to include FG 21-1b and update the description with “</w:t>
      </w:r>
      <w:r w:rsidRPr="00C16155">
        <w:rPr>
          <w:rFonts w:ascii="Calibri" w:hAnsi="Calibri" w:cs="Arial"/>
        </w:rPr>
        <w:t>for inter-frequency DAPS HO</w:t>
      </w:r>
      <w:r>
        <w:rPr>
          <w:rFonts w:ascii="Calibri" w:hAnsi="Calibri" w:cs="Arial"/>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6155" w14:paraId="3E5F4B97" w14:textId="77777777" w:rsidTr="000B0F3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8FA6B01" w14:textId="77777777" w:rsidR="00C16155" w:rsidRDefault="00C16155" w:rsidP="000B0F3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7D83C" w14:textId="77777777" w:rsidR="00C16155" w:rsidRDefault="00C16155" w:rsidP="000B0F35">
            <w:pPr>
              <w:rPr>
                <w:rFonts w:ascii="Calibri" w:eastAsia="MS Mincho" w:hAnsi="Calibri" w:cs="Calibri"/>
              </w:rPr>
            </w:pPr>
            <w:r>
              <w:rPr>
                <w:rFonts w:ascii="Calibri" w:eastAsia="MS Mincho" w:hAnsi="Calibri" w:cs="Calibri"/>
              </w:rPr>
              <w:t>Comments/Questions/Suggestions</w:t>
            </w:r>
          </w:p>
        </w:tc>
      </w:tr>
      <w:tr w:rsidR="00C16155" w14:paraId="198136D6" w14:textId="77777777" w:rsidTr="000B0F35">
        <w:tc>
          <w:tcPr>
            <w:tcW w:w="1818" w:type="dxa"/>
            <w:tcBorders>
              <w:top w:val="single" w:sz="4" w:space="0" w:color="auto"/>
              <w:left w:val="single" w:sz="4" w:space="0" w:color="auto"/>
              <w:bottom w:val="single" w:sz="4" w:space="0" w:color="auto"/>
              <w:right w:val="single" w:sz="4" w:space="0" w:color="auto"/>
            </w:tcBorders>
          </w:tcPr>
          <w:p w14:paraId="68E3B8DE" w14:textId="7B2EE5A5" w:rsidR="00C16155" w:rsidRDefault="006E64F4"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33814C3" w14:textId="392A0379" w:rsidR="00C16155" w:rsidRDefault="006E64F4" w:rsidP="000B0F35">
            <w:pPr>
              <w:rPr>
                <w:rFonts w:eastAsia="SimSun"/>
              </w:rPr>
            </w:pPr>
            <w:r>
              <w:rPr>
                <w:rFonts w:eastAsia="SimSun"/>
              </w:rPr>
              <w:t>Support.</w:t>
            </w:r>
          </w:p>
        </w:tc>
      </w:tr>
      <w:tr w:rsidR="00CC0682" w14:paraId="06953DCD" w14:textId="77777777" w:rsidTr="000B0F35">
        <w:tc>
          <w:tcPr>
            <w:tcW w:w="1818" w:type="dxa"/>
            <w:tcBorders>
              <w:top w:val="single" w:sz="4" w:space="0" w:color="auto"/>
              <w:left w:val="single" w:sz="4" w:space="0" w:color="auto"/>
              <w:bottom w:val="single" w:sz="4" w:space="0" w:color="auto"/>
              <w:right w:val="single" w:sz="4" w:space="0" w:color="auto"/>
            </w:tcBorders>
          </w:tcPr>
          <w:p w14:paraId="585D9971" w14:textId="1310297D" w:rsidR="00CC0682" w:rsidRDefault="00CC0682" w:rsidP="000B0F35">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9D474E5" w14:textId="40BE3ECD" w:rsidR="00CC0682" w:rsidRDefault="00CC0682" w:rsidP="000B0F35">
            <w:pPr>
              <w:rPr>
                <w:rFonts w:eastAsia="SimSun"/>
              </w:rPr>
            </w:pPr>
            <w:r>
              <w:rPr>
                <w:rFonts w:eastAsia="SimSun"/>
              </w:rPr>
              <w:t>OK to discuss further.</w:t>
            </w:r>
            <w:bookmarkStart w:id="1" w:name="_GoBack"/>
            <w:bookmarkEnd w:id="1"/>
          </w:p>
        </w:tc>
      </w:tr>
    </w:tbl>
    <w:p w14:paraId="0D2179DA" w14:textId="77777777" w:rsidR="00653812" w:rsidRDefault="00653812" w:rsidP="00653812">
      <w:pPr>
        <w:pStyle w:val="maintext"/>
        <w:ind w:firstLineChars="90" w:firstLine="180"/>
        <w:rPr>
          <w:rFonts w:ascii="Calibri" w:hAnsi="Calibri" w:cs="Arial"/>
        </w:rPr>
      </w:pPr>
    </w:p>
    <w:p w14:paraId="584C5CF6" w14:textId="77777777" w:rsidR="00653812" w:rsidRDefault="00653812" w:rsidP="00653812">
      <w:pPr>
        <w:pStyle w:val="Heading1"/>
        <w:numPr>
          <w:ilvl w:val="0"/>
          <w:numId w:val="9"/>
        </w:numPr>
        <w:jc w:val="both"/>
      </w:pPr>
      <w:r>
        <w:t>Conclusion</w:t>
      </w:r>
    </w:p>
    <w:p w14:paraId="04972F20"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36F7855D" w14:textId="77777777" w:rsidR="00653812" w:rsidRDefault="00653812" w:rsidP="00653812">
      <w:pPr>
        <w:pStyle w:val="Heading1"/>
        <w:numPr>
          <w:ilvl w:val="0"/>
          <w:numId w:val="9"/>
        </w:numPr>
        <w:jc w:val="both"/>
      </w:pPr>
      <w:r>
        <w:t>References</w:t>
      </w:r>
    </w:p>
    <w:p w14:paraId="50C4171A"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0DB723E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R1-2100094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ZTE</w:t>
      </w:r>
    </w:p>
    <w:p w14:paraId="45E823A3"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R1-2100140</w:t>
      </w:r>
      <w:r>
        <w:rPr>
          <w:rFonts w:ascii="Calibri" w:hAnsi="Calibri" w:cs="Times New Roman"/>
          <w:lang w:eastAsia="ko-KR"/>
        </w:rPr>
        <w:t xml:space="preserve">, </w:t>
      </w:r>
      <w:r w:rsidRPr="00EC5026">
        <w:rPr>
          <w:rFonts w:ascii="Calibri" w:hAnsi="Calibri" w:cs="Times New Roman"/>
          <w:lang w:eastAsia="ko-KR"/>
        </w:rPr>
        <w:t>Correction for V2X UE feature list</w:t>
      </w:r>
      <w:r>
        <w:rPr>
          <w:rFonts w:ascii="Calibri" w:hAnsi="Calibri" w:cs="Times New Roman"/>
          <w:lang w:eastAsia="ko-KR"/>
        </w:rPr>
        <w:t xml:space="preserve">, </w:t>
      </w:r>
      <w:r w:rsidRPr="00EC5026">
        <w:rPr>
          <w:rFonts w:ascii="Calibri" w:hAnsi="Calibri" w:cs="Times New Roman"/>
          <w:lang w:eastAsia="ko-KR"/>
        </w:rPr>
        <w:t>OPPO</w:t>
      </w:r>
    </w:p>
    <w:p w14:paraId="75AC073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R1-2100522</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Ericsson</w:t>
      </w:r>
    </w:p>
    <w:p w14:paraId="639CE0FA"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R1-2100554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LG Electronics</w:t>
      </w:r>
    </w:p>
    <w:p w14:paraId="146FD288"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p>
    <w:p w14:paraId="20EC5A9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R1-2101184</w:t>
      </w:r>
      <w:r>
        <w:rPr>
          <w:rFonts w:ascii="Calibri" w:hAnsi="Calibri" w:cs="Times New Roman"/>
          <w:lang w:eastAsia="ko-KR"/>
        </w:rPr>
        <w:t xml:space="preserve">, </w:t>
      </w:r>
      <w:r w:rsidRPr="00EC5026">
        <w:rPr>
          <w:rFonts w:ascii="Calibri" w:hAnsi="Calibri" w:cs="Times New Roman"/>
          <w:lang w:eastAsia="ko-KR"/>
        </w:rPr>
        <w:t>On NR Rel.16 UE features</w:t>
      </w:r>
      <w:r>
        <w:rPr>
          <w:rFonts w:ascii="Calibri" w:hAnsi="Calibri" w:cs="Times New Roman"/>
          <w:lang w:eastAsia="ko-KR"/>
        </w:rPr>
        <w:t xml:space="preserve">, </w:t>
      </w:r>
      <w:r w:rsidRPr="00EC5026">
        <w:rPr>
          <w:rFonts w:ascii="Calibri" w:hAnsi="Calibri" w:cs="Times New Roman"/>
          <w:lang w:eastAsia="ko-KR"/>
        </w:rPr>
        <w:t>Samsung</w:t>
      </w:r>
    </w:p>
    <w:p w14:paraId="265CFD26"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R1-2101249</w:t>
      </w:r>
      <w:r>
        <w:rPr>
          <w:rFonts w:ascii="Calibri" w:hAnsi="Calibri" w:cs="Times New Roman"/>
          <w:lang w:eastAsia="ko-KR"/>
        </w:rPr>
        <w:t xml:space="preserve">, </w:t>
      </w:r>
      <w:r w:rsidRPr="00EC5026">
        <w:rPr>
          <w:rFonts w:ascii="Calibri" w:hAnsi="Calibri" w:cs="Times New Roman"/>
          <w:lang w:eastAsia="ko-KR"/>
        </w:rPr>
        <w:t>Updates on NR UE Features</w:t>
      </w:r>
      <w:r>
        <w:rPr>
          <w:rFonts w:ascii="Calibri" w:hAnsi="Calibri" w:cs="Times New Roman"/>
          <w:lang w:eastAsia="ko-KR"/>
        </w:rPr>
        <w:t xml:space="preserve">, </w:t>
      </w:r>
      <w:r w:rsidRPr="00EC5026">
        <w:rPr>
          <w:rFonts w:ascii="Calibri" w:hAnsi="Calibri" w:cs="Times New Roman"/>
          <w:lang w:eastAsia="ko-KR"/>
        </w:rPr>
        <w:t>Nokia</w:t>
      </w:r>
      <w:r>
        <w:rPr>
          <w:rFonts w:ascii="Calibri" w:hAnsi="Calibri" w:cs="Times New Roman"/>
          <w:lang w:eastAsia="ko-KR"/>
        </w:rPr>
        <w:t>/</w:t>
      </w:r>
      <w:r w:rsidRPr="00EC5026">
        <w:rPr>
          <w:rFonts w:ascii="Calibri" w:hAnsi="Calibri" w:cs="Times New Roman"/>
          <w:lang w:eastAsia="ko-KR"/>
        </w:rPr>
        <w:t>Nokia Shanghai Bell</w:t>
      </w:r>
    </w:p>
    <w:p w14:paraId="5868528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lastRenderedPageBreak/>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p>
    <w:p w14:paraId="3533CA75"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04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3"/>
    </w:p>
    <w:p w14:paraId="1EEABF2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p>
    <w:p w14:paraId="2EB4DE91"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R1-2101517</w:t>
      </w:r>
      <w:r>
        <w:rPr>
          <w:rFonts w:ascii="Calibri" w:hAnsi="Calibri" w:cs="Times New Roman"/>
          <w:lang w:eastAsia="ko-KR"/>
        </w:rPr>
        <w:t xml:space="preserve">, </w:t>
      </w:r>
      <w:r w:rsidRPr="00EC5026">
        <w:rPr>
          <w:rFonts w:ascii="Calibri" w:hAnsi="Calibri" w:cs="Times New Roman"/>
          <w:lang w:eastAsia="ko-KR"/>
        </w:rPr>
        <w:t>Correction on half-DuplexTDD-CA-SameSCS-r16</w:t>
      </w:r>
      <w:r>
        <w:rPr>
          <w:rFonts w:ascii="Calibri" w:hAnsi="Calibri" w:cs="Times New Roman"/>
          <w:lang w:eastAsia="ko-KR"/>
        </w:rPr>
        <w:t xml:space="preserve">, </w:t>
      </w:r>
      <w:r w:rsidRPr="00EC5026">
        <w:rPr>
          <w:rFonts w:ascii="Calibri" w:hAnsi="Calibri" w:cs="Times New Roman"/>
          <w:lang w:eastAsia="ko-KR"/>
        </w:rPr>
        <w:t>CATT</w:t>
      </w:r>
    </w:p>
    <w:p w14:paraId="6BCB2382"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R1-2101587</w:t>
      </w:r>
      <w:r>
        <w:rPr>
          <w:rFonts w:ascii="Calibri" w:hAnsi="Calibri" w:cs="Times New Roman"/>
          <w:lang w:eastAsia="ko-KR"/>
        </w:rPr>
        <w:t xml:space="preserve">, </w:t>
      </w:r>
      <w:r w:rsidRPr="00EC5026">
        <w:rPr>
          <w:rFonts w:ascii="Calibri" w:hAnsi="Calibri" w:cs="Times New Roman"/>
          <w:lang w:eastAsia="ko-KR"/>
        </w:rPr>
        <w:t>Remaining issues on Rel-16 NR UE features</w:t>
      </w:r>
      <w:r>
        <w:rPr>
          <w:rFonts w:ascii="Calibri" w:hAnsi="Calibri" w:cs="Times New Roman"/>
          <w:lang w:eastAsia="ko-KR"/>
        </w:rPr>
        <w:t xml:space="preserve">, </w:t>
      </w:r>
      <w:r w:rsidRPr="00EC5026">
        <w:rPr>
          <w:rFonts w:ascii="Calibri" w:hAnsi="Calibri" w:cs="Times New Roman"/>
          <w:lang w:eastAsia="ko-KR"/>
        </w:rPr>
        <w:t>NTT DOCOMO</w:t>
      </w:r>
    </w:p>
    <w:p w14:paraId="6B1E3353" w14:textId="77777777" w:rsidR="00574F51" w:rsidRDefault="00EC5026" w:rsidP="00EC5026">
      <w:pPr>
        <w:pStyle w:val="2222"/>
        <w:numPr>
          <w:ilvl w:val="0"/>
          <w:numId w:val="7"/>
        </w:numPr>
        <w:spacing w:line="288" w:lineRule="auto"/>
        <w:ind w:firstLineChars="0"/>
        <w:rPr>
          <w:rFonts w:ascii="Calibri" w:hAnsi="Calibri" w:cs="Times New Roman"/>
          <w:lang w:eastAsia="ko-KR"/>
        </w:rPr>
      </w:pPr>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p>
    <w:p w14:paraId="00A3F629"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54509" w14:textId="77777777" w:rsidR="00FD79C7" w:rsidRDefault="00FD79C7" w:rsidP="00FF028D">
      <w:pPr>
        <w:spacing w:before="0" w:after="0"/>
      </w:pPr>
      <w:r>
        <w:separator/>
      </w:r>
    </w:p>
  </w:endnote>
  <w:endnote w:type="continuationSeparator" w:id="0">
    <w:p w14:paraId="2A468539" w14:textId="77777777" w:rsidR="00FD79C7" w:rsidRDefault="00FD79C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69976" w14:textId="77777777" w:rsidR="00FD79C7" w:rsidRDefault="00FD79C7" w:rsidP="00FF028D">
      <w:pPr>
        <w:spacing w:before="0" w:after="0"/>
      </w:pPr>
      <w:r>
        <w:separator/>
      </w:r>
    </w:p>
  </w:footnote>
  <w:footnote w:type="continuationSeparator" w:id="0">
    <w:p w14:paraId="42AE1B04" w14:textId="77777777" w:rsidR="00FD79C7" w:rsidRDefault="00FD79C7"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2"/>
  </w:num>
  <w:num w:numId="3">
    <w:abstractNumId w:val="4"/>
  </w:num>
  <w:num w:numId="4">
    <w:abstractNumId w:val="12"/>
  </w:num>
  <w:num w:numId="5">
    <w:abstractNumId w:val="23"/>
  </w:num>
  <w:num w:numId="6">
    <w:abstractNumId w:val="1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26"/>
  </w:num>
  <w:num w:numId="13">
    <w:abstractNumId w:val="16"/>
  </w:num>
  <w:num w:numId="14">
    <w:abstractNumId w:val="13"/>
  </w:num>
  <w:num w:numId="15">
    <w:abstractNumId w:val="17"/>
  </w:num>
  <w:num w:numId="16">
    <w:abstractNumId w:val="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0"/>
  </w:num>
  <w:num w:numId="20">
    <w:abstractNumId w:val="25"/>
  </w:num>
  <w:num w:numId="21">
    <w:abstractNumId w:val="0"/>
  </w:num>
  <w:num w:numId="22">
    <w:abstractNumId w:val="31"/>
  </w:num>
  <w:num w:numId="23">
    <w:abstractNumId w:val="21"/>
  </w:num>
  <w:num w:numId="24">
    <w:abstractNumId w:val="3"/>
  </w:num>
  <w:num w:numId="25">
    <w:abstractNumId w:val="8"/>
  </w:num>
  <w:num w:numId="26">
    <w:abstractNumId w:val="1"/>
  </w:num>
  <w:num w:numId="27">
    <w:abstractNumId w:val="10"/>
  </w:num>
  <w:num w:numId="28">
    <w:abstractNumId w:val="15"/>
  </w:num>
  <w:num w:numId="29">
    <w:abstractNumId w:val="20"/>
  </w:num>
  <w:num w:numId="30">
    <w:abstractNumId w:val="29"/>
  </w:num>
  <w:num w:numId="31">
    <w:abstractNumId w:val="9"/>
  </w:num>
  <w:num w:numId="32">
    <w:abstractNumId w:val="2"/>
  </w:num>
  <w:num w:numId="33">
    <w:abstractNumId w:val="11"/>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0F35"/>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1B"/>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0CD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33D"/>
    <w:rsid w:val="00415280"/>
    <w:rsid w:val="004152EC"/>
    <w:rsid w:val="004166AE"/>
    <w:rsid w:val="00416C5F"/>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3BC"/>
    <w:rsid w:val="005F7792"/>
    <w:rsid w:val="006004CB"/>
    <w:rsid w:val="00601480"/>
    <w:rsid w:val="0060190B"/>
    <w:rsid w:val="00601C6B"/>
    <w:rsid w:val="00602BFE"/>
    <w:rsid w:val="00603015"/>
    <w:rsid w:val="00603FC3"/>
    <w:rsid w:val="00604838"/>
    <w:rsid w:val="00604D1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64F4"/>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7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C67"/>
    <w:rsid w:val="00A16736"/>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6155"/>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BD1"/>
    <w:rsid w:val="00CA6EA3"/>
    <w:rsid w:val="00CB0D21"/>
    <w:rsid w:val="00CB15A7"/>
    <w:rsid w:val="00CB2438"/>
    <w:rsid w:val="00CB3759"/>
    <w:rsid w:val="00CB3AEA"/>
    <w:rsid w:val="00CB3B4D"/>
    <w:rsid w:val="00CB4527"/>
    <w:rsid w:val="00CB4FE5"/>
    <w:rsid w:val="00CB7E09"/>
    <w:rsid w:val="00CC059C"/>
    <w:rsid w:val="00CC0682"/>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4089F"/>
    <w:rsid w:val="00D415AE"/>
    <w:rsid w:val="00D4290E"/>
    <w:rsid w:val="00D42B5C"/>
    <w:rsid w:val="00D42C42"/>
    <w:rsid w:val="00D4556D"/>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57B"/>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140"/>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9C7"/>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C624AEC"/>
  <w15:chartTrackingRefBased/>
  <w15:docId w15:val="{7391B7B1-C3B2-4037-A021-A03F230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paragraph" w:customStyle="1" w:styleId="Doc-text2">
    <w:name w:val="Doc-text2"/>
    <w:basedOn w:val="Normal"/>
    <w:link w:val="Doc-text2Char"/>
    <w:qFormat/>
    <w:rsid w:val="005F73BC"/>
    <w:pPr>
      <w:tabs>
        <w:tab w:val="left" w:pos="1622"/>
      </w:tabs>
      <w:spacing w:before="0" w:after="0"/>
      <w:ind w:left="1622" w:hanging="363"/>
      <w:jc w:val="left"/>
    </w:pPr>
    <w:rPr>
      <w:rFonts w:eastAsia="MS Mincho"/>
      <w:szCs w:val="24"/>
      <w:lang w:eastAsia="en-GB"/>
    </w:rPr>
  </w:style>
  <w:style w:type="character" w:customStyle="1" w:styleId="Doc-text2Char">
    <w:name w:val="Doc-text2 Char"/>
    <w:link w:val="Doc-text2"/>
    <w:qFormat/>
    <w:rsid w:val="005F73BC"/>
    <w:rPr>
      <w:rFonts w:ascii="Arial" w:eastAsia="MS Mincho" w:hAnsi="Arial"/>
      <w:szCs w:val="24"/>
      <w:lang w:eastAsia="en-GB"/>
    </w:rPr>
  </w:style>
  <w:style w:type="paragraph" w:customStyle="1" w:styleId="ComeBack">
    <w:name w:val="ComeBack"/>
    <w:basedOn w:val="Doc-text2"/>
    <w:next w:val="Doc-text2"/>
    <w:uiPriority w:val="99"/>
    <w:qFormat/>
    <w:rsid w:val="005F73BC"/>
    <w:pPr>
      <w:widowControl w:val="0"/>
      <w:numPr>
        <w:numId w:val="34"/>
      </w:numPr>
      <w:tabs>
        <w:tab w:val="clear" w:pos="1259"/>
        <w:tab w:val="clear" w:pos="1622"/>
        <w:tab w:val="num" w:pos="360"/>
      </w:tabs>
      <w:ind w:left="360" w:hanging="360"/>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2.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BDE43EF4-16F4-4B4E-8B3E-22E47AF1E6F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8017BA6-968A-4865-A618-E3F4CFDF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1255</Words>
  <Characters>7156</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2</cp:revision>
  <cp:lastPrinted>2020-07-20T09:11:00Z</cp:lastPrinted>
  <dcterms:created xsi:type="dcterms:W3CDTF">2021-01-20T17:53:00Z</dcterms:created>
  <dcterms:modified xsi:type="dcterms:W3CDTF">2021-01-20T17:53:00Z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