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5E5" w:rsidRDefault="00FE7428">
      <w:pPr>
        <w:pStyle w:val="a8"/>
        <w:tabs>
          <w:tab w:val="right" w:pos="9639"/>
        </w:tabs>
        <w:jc w:val="both"/>
        <w:rPr>
          <w:rFonts w:eastAsia="Times New Roman" w:cs="Arial"/>
          <w:bCs/>
          <w:sz w:val="22"/>
          <w:szCs w:val="16"/>
        </w:rPr>
      </w:pPr>
      <w:r>
        <w:rPr>
          <w:rFonts w:eastAsia="Times New Roman" w:cs="Arial"/>
          <w:bCs/>
          <w:sz w:val="22"/>
          <w:szCs w:val="16"/>
          <w:lang w:val="en-GB"/>
        </w:rPr>
        <w:t>3GPP TSG RAN WG1 #104-e</w:t>
      </w:r>
      <w:r>
        <w:rPr>
          <w:rFonts w:eastAsia="Times New Roman" w:cs="Arial"/>
          <w:bCs/>
          <w:sz w:val="22"/>
          <w:szCs w:val="16"/>
          <w:lang w:val="en-GB"/>
        </w:rPr>
        <w:tab/>
        <w:t>R1-210xxxx</w:t>
      </w:r>
    </w:p>
    <w:p w:rsidR="00F665E5" w:rsidRDefault="00FE7428">
      <w:pPr>
        <w:pStyle w:val="a8"/>
        <w:tabs>
          <w:tab w:val="right" w:pos="9639"/>
        </w:tabs>
        <w:jc w:val="both"/>
        <w:rPr>
          <w:rFonts w:eastAsia="Times New Roman" w:cs="Arial"/>
          <w:bCs/>
          <w:sz w:val="22"/>
          <w:szCs w:val="16"/>
          <w:lang w:val="en-GB"/>
        </w:rPr>
      </w:pPr>
      <w:proofErr w:type="gramStart"/>
      <w:r>
        <w:rPr>
          <w:rFonts w:eastAsia="Times New Roman" w:cs="Arial"/>
          <w:bCs/>
          <w:sz w:val="22"/>
          <w:szCs w:val="16"/>
          <w:lang w:val="en-GB"/>
        </w:rPr>
        <w:t>e-Meeting</w:t>
      </w:r>
      <w:proofErr w:type="gramEnd"/>
      <w:r>
        <w:rPr>
          <w:rFonts w:eastAsia="Times New Roman" w:cs="Arial"/>
          <w:bCs/>
          <w:sz w:val="22"/>
          <w:szCs w:val="16"/>
          <w:lang w:val="en-GB"/>
        </w:rPr>
        <w:t>, January 25th – February 5th, 2021</w:t>
      </w:r>
    </w:p>
    <w:p w:rsidR="00F665E5" w:rsidRDefault="00FE7428">
      <w:pPr>
        <w:pStyle w:val="a8"/>
        <w:tabs>
          <w:tab w:val="right" w:pos="9639"/>
        </w:tabs>
        <w:jc w:val="both"/>
        <w:rPr>
          <w:i/>
          <w:sz w:val="32"/>
        </w:rPr>
      </w:pPr>
      <w:r>
        <w:rPr>
          <w:sz w:val="24"/>
        </w:rPr>
        <w:tab/>
      </w:r>
    </w:p>
    <w:p w:rsidR="00F665E5" w:rsidRDefault="00FE7428">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7.1</w:t>
      </w:r>
    </w:p>
    <w:p w:rsidR="00F665E5" w:rsidRDefault="00FE7428">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rsidR="00F665E5" w:rsidRDefault="00FE7428">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bCs/>
          <w:sz w:val="24"/>
          <w:lang w:val="en-US"/>
        </w:rPr>
        <w:t>[104-e-NR-7.1CRs-13]</w:t>
      </w:r>
    </w:p>
    <w:p w:rsidR="00F665E5" w:rsidRDefault="00FE7428">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F665E5" w:rsidRDefault="00F665E5">
      <w:pPr>
        <w:rPr>
          <w:lang w:val="en-US"/>
        </w:rPr>
      </w:pPr>
    </w:p>
    <w:p w:rsidR="00F665E5" w:rsidRDefault="00FE7428">
      <w:pPr>
        <w:pStyle w:val="1"/>
        <w:numPr>
          <w:ilvl w:val="0"/>
          <w:numId w:val="2"/>
        </w:numPr>
        <w:tabs>
          <w:tab w:val="clear" w:pos="1140"/>
          <w:tab w:val="left" w:pos="720"/>
        </w:tabs>
        <w:ind w:left="720" w:hanging="720"/>
        <w:jc w:val="both"/>
        <w:rPr>
          <w:lang w:val="en-US"/>
        </w:rPr>
      </w:pPr>
      <w:r>
        <w:rPr>
          <w:lang w:val="en-US"/>
        </w:rPr>
        <w:t>Background</w:t>
      </w:r>
    </w:p>
    <w:p w:rsidR="00F665E5" w:rsidRDefault="00FE7428">
      <w:pPr>
        <w:rPr>
          <w:lang w:val="en-US"/>
        </w:rPr>
      </w:pPr>
      <w:r>
        <w:rPr>
          <w:lang w:val="en-US"/>
        </w:rPr>
        <w:t xml:space="preserve">In R1-2101432, it is proposed to </w:t>
      </w:r>
      <w:r>
        <w:rPr>
          <w:lang w:val="en-US"/>
        </w:rPr>
        <w:t>define timelines for SRS carrier switching. The contribution highlights that, for priority rules related to SRS carrier switching, there are no timelines specified. For example, in the case of collision between PUCCH with HARQ-ACK and SRS, the following ti</w:t>
      </w:r>
      <w:r>
        <w:rPr>
          <w:lang w:val="en-US"/>
        </w:rPr>
        <w:t>meline is missing:</w:t>
      </w:r>
    </w:p>
    <w:p w:rsidR="00F665E5" w:rsidRDefault="00F665E5">
      <w:pPr>
        <w:rPr>
          <w:lang w:val="en-US"/>
        </w:rPr>
      </w:pPr>
    </w:p>
    <w:p w:rsidR="00F665E5" w:rsidRDefault="00FE7428">
      <w:pPr>
        <w:jc w:val="center"/>
        <w:rPr>
          <w:lang w:val="en-US"/>
        </w:rPr>
      </w:pPr>
      <w:r>
        <w:rPr>
          <w:b/>
          <w:bCs/>
          <w:noProof/>
          <w:lang w:val="en-US" w:eastAsia="zh-CN"/>
        </w:rPr>
        <w:drawing>
          <wp:inline distT="0" distB="0" distL="0" distR="0">
            <wp:extent cx="4243705" cy="223075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70205" cy="2244678"/>
                    </a:xfrm>
                    <a:prstGeom prst="rect">
                      <a:avLst/>
                    </a:prstGeom>
                    <a:noFill/>
                  </pic:spPr>
                </pic:pic>
              </a:graphicData>
            </a:graphic>
          </wp:inline>
        </w:drawing>
      </w:r>
    </w:p>
    <w:p w:rsidR="00F665E5" w:rsidRDefault="00F665E5">
      <w:pPr>
        <w:rPr>
          <w:lang w:val="en-US"/>
        </w:rPr>
      </w:pPr>
    </w:p>
    <w:p w:rsidR="00F665E5" w:rsidRDefault="00FE7428">
      <w:pPr>
        <w:rPr>
          <w:lang w:val="en-US"/>
        </w:rPr>
      </w:pPr>
      <w:r>
        <w:rPr>
          <w:lang w:val="en-US"/>
        </w:rPr>
        <w:t>To solve this issue, the following text proposal is provided:</w:t>
      </w:r>
    </w:p>
    <w:p w:rsidR="00F665E5" w:rsidRDefault="00FE7428">
      <w:pPr>
        <w:jc w:val="center"/>
        <w:rPr>
          <w:ins w:id="2" w:author="AR" w:date="2020-08-04T23:33:00Z"/>
          <w:b/>
          <w:bCs/>
          <w:lang w:val="en-US"/>
        </w:rPr>
      </w:pPr>
      <w:r>
        <w:rPr>
          <w:b/>
          <w:bCs/>
          <w:highlight w:val="yellow"/>
          <w:lang w:val="en-US"/>
        </w:rPr>
        <w:t>&lt;TP1, 38.214&gt;</w:t>
      </w:r>
    </w:p>
    <w:p w:rsidR="00F665E5" w:rsidRPr="008018C7" w:rsidRDefault="00FE7428">
      <w:pPr>
        <w:keepNext/>
        <w:keepLines/>
        <w:spacing w:before="120"/>
        <w:ind w:left="1418" w:hanging="1418"/>
        <w:outlineLvl w:val="3"/>
        <w:rPr>
          <w:ins w:id="3" w:author="AR" w:date="2020-10-15T11:45:00Z"/>
          <w:rFonts w:ascii="Arial" w:eastAsia="宋体" w:hAnsi="Arial"/>
          <w:color w:val="000000"/>
          <w:sz w:val="24"/>
          <w:lang w:val="en-US"/>
        </w:rPr>
      </w:pPr>
      <w:bookmarkStart w:id="4" w:name="_Toc29673222"/>
      <w:bookmarkStart w:id="5" w:name="_Toc11352160"/>
      <w:bookmarkStart w:id="6" w:name="_Toc27299948"/>
      <w:bookmarkStart w:id="7" w:name="_Toc20318050"/>
      <w:bookmarkStart w:id="8" w:name="_Toc29674356"/>
      <w:bookmarkStart w:id="9" w:name="_Toc45810635"/>
      <w:bookmarkStart w:id="10" w:name="_Toc29673363"/>
      <w:bookmarkStart w:id="11" w:name="_Toc36645586"/>
      <w:bookmarkStart w:id="12" w:name="_Toc52457845"/>
      <w:r w:rsidRPr="008018C7">
        <w:rPr>
          <w:rFonts w:ascii="Arial" w:eastAsia="宋体" w:hAnsi="Arial"/>
          <w:color w:val="000000"/>
          <w:sz w:val="24"/>
          <w:lang w:val="en-US"/>
        </w:rPr>
        <w:t>6.2.1.3</w:t>
      </w:r>
      <w:r w:rsidRPr="008018C7">
        <w:rPr>
          <w:rFonts w:ascii="Arial" w:eastAsia="宋体" w:hAnsi="Arial"/>
          <w:color w:val="000000"/>
          <w:sz w:val="24"/>
          <w:lang w:val="en-US"/>
        </w:rPr>
        <w:tab/>
        <w:t>UE sounding procedure between component carriers</w:t>
      </w:r>
      <w:bookmarkEnd w:id="4"/>
      <w:bookmarkEnd w:id="5"/>
      <w:bookmarkEnd w:id="6"/>
      <w:bookmarkEnd w:id="7"/>
      <w:bookmarkEnd w:id="8"/>
      <w:bookmarkEnd w:id="9"/>
      <w:bookmarkEnd w:id="10"/>
      <w:bookmarkEnd w:id="11"/>
      <w:bookmarkEnd w:id="12"/>
    </w:p>
    <w:p w:rsidR="00F665E5" w:rsidRPr="00F665E5" w:rsidRDefault="00F665E5">
      <w:pPr>
        <w:keepNext/>
        <w:keepLines/>
        <w:spacing w:before="120"/>
        <w:ind w:left="1418" w:hanging="1418"/>
        <w:outlineLvl w:val="3"/>
        <w:rPr>
          <w:del w:id="13" w:author="AR" w:date="2020-10-15T12:00:00Z"/>
          <w:rFonts w:eastAsia="宋体"/>
          <w:color w:val="000000"/>
          <w:sz w:val="21"/>
          <w:rPrChange w:id="14" w:author="AR" w:date="2020-10-15T11:49:00Z">
            <w:rPr>
              <w:del w:id="15" w:author="AR" w:date="2020-10-15T12:00:00Z"/>
              <w:rFonts w:ascii="Arial" w:eastAsia="宋体" w:hAnsi="Arial"/>
              <w:color w:val="000000"/>
              <w:sz w:val="24"/>
              <w:lang w:val="zh-CN"/>
            </w:rPr>
          </w:rPrChange>
        </w:rPr>
      </w:pPr>
    </w:p>
    <w:p w:rsidR="00F665E5" w:rsidRDefault="00FE7428">
      <w:pPr>
        <w:rPr>
          <w:ins w:id="16" w:author="AR" w:date="2021-01-25T23:14:00Z"/>
          <w:rFonts w:eastAsia="宋体"/>
          <w:color w:val="000000"/>
        </w:rPr>
      </w:pPr>
      <w:bookmarkStart w:id="17" w:name="_Hlk62579745"/>
      <w:ins w:id="18" w:author="AR" w:date="2021-01-25T23:14:00Z">
        <w:r>
          <w:rPr>
            <w:rFonts w:eastAsia="宋体"/>
            <w:color w:val="000000"/>
          </w:rPr>
          <w:t xml:space="preserve">For an SRS transmission starting in symbol </w:t>
        </w:r>
        <m:oMath>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sub>
          </m:sSub>
        </m:oMath>
        <w:r>
          <w:rPr>
            <w:rFonts w:eastAsia="宋体"/>
            <w:color w:val="000000"/>
          </w:rPr>
          <w:t xml:space="preserve"> of a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oMath>
        <w:r>
          <w:rPr>
            <w:rFonts w:eastAsia="宋体"/>
            <w:color w:val="000000"/>
          </w:rPr>
          <w:t xml:space="preserve"> with slot formats comprised of DL and UL symbols, not configured for PUSCH/PUCCH transmission, and with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oMath>
        <w:r>
          <w:rPr>
            <w:rFonts w:eastAsia="宋体"/>
            <w:color w:val="000000"/>
          </w:rPr>
          <w:t xml:space="preserve"> carrier the UE is configured to switch from according to higher layer parameters </w:t>
        </w:r>
        <w:proofErr w:type="spellStart"/>
        <w:r>
          <w:rPr>
            <w:rFonts w:eastAsia="宋体"/>
            <w:i/>
            <w:iCs/>
            <w:color w:val="000000"/>
            <w:szCs w:val="22"/>
            <w:lang w:val="en-US"/>
          </w:rPr>
          <w:t>srs-SwitchFromServCellIndex</w:t>
        </w:r>
        <w:proofErr w:type="spellEnd"/>
        <w:r>
          <w:rPr>
            <w:rFonts w:eastAsia="宋体"/>
            <w:color w:val="000000"/>
            <w:szCs w:val="22"/>
            <w:lang w:val="en-US"/>
          </w:rPr>
          <w:t xml:space="preserve"> and </w:t>
        </w:r>
        <w:proofErr w:type="spellStart"/>
        <w:r>
          <w:rPr>
            <w:rFonts w:eastAsia="宋体"/>
            <w:i/>
            <w:iCs/>
            <w:color w:val="000000"/>
            <w:szCs w:val="22"/>
            <w:lang w:val="en-US"/>
          </w:rPr>
          <w:t>srs-SwitchFromCarrier</w:t>
        </w:r>
        <w:proofErr w:type="spellEnd"/>
        <w:r>
          <w:rPr>
            <w:rFonts w:eastAsia="宋体"/>
            <w:color w:val="000000"/>
          </w:rPr>
          <w:t>, for a confl</w:t>
        </w:r>
        <w:r>
          <w:rPr>
            <w:rFonts w:eastAsia="宋体"/>
            <w:color w:val="000000"/>
          </w:rPr>
          <w:t xml:space="preserve">icting transmission in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oMath>
        <w:r>
          <w:rPr>
            <w:rFonts w:eastAsia="宋体"/>
            <w:color w:val="000000"/>
          </w:rPr>
          <w:t xml:space="preserve"> starting in symbol</w:t>
        </w:r>
        <m:oMath>
          <m:r>
            <w:rPr>
              <w:rFonts w:ascii="Cambria Math" w:eastAsia="宋体" w:hAnsi="Cambria Math"/>
              <w:color w:val="000000"/>
            </w:rPr>
            <m:t xml:space="preserve"> </m:t>
          </m:r>
          <m:sSub>
            <m:sSubPr>
              <m:ctrlPr>
                <w:rPr>
                  <w:rFonts w:ascii="Cambria Math" w:eastAsia="宋体" w:hAnsi="Cambria Math"/>
                  <w:i/>
                  <w:color w:val="000000"/>
                </w:rPr>
              </m:ctrlPr>
            </m:sSubPr>
            <m:e>
              <m:r>
                <w:rPr>
                  <w:rFonts w:ascii="Cambria Math" w:eastAsia="宋体" w:hAnsi="Cambria Math"/>
                  <w:color w:val="000000"/>
                </w:rPr>
                <m:t>N</m:t>
              </m:r>
            </m:e>
            <m:sub>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2</m:t>
                  </m:r>
                </m:sub>
              </m:sSub>
            </m:sub>
          </m:sSub>
        </m:oMath>
        <w:r>
          <w:rPr>
            <w:rFonts w:eastAsia="宋体"/>
            <w:color w:val="000000"/>
          </w:rPr>
          <w:t xml:space="preserve">  the UE shall apply the rules in the remaining of this subclause based on:</w:t>
        </w:r>
      </w:ins>
    </w:p>
    <w:p w:rsidR="00F665E5" w:rsidRDefault="00FE7428">
      <w:pPr>
        <w:pStyle w:val="af"/>
        <w:numPr>
          <w:ilvl w:val="0"/>
          <w:numId w:val="3"/>
        </w:numPr>
        <w:rPr>
          <w:ins w:id="19" w:author="AR" w:date="2021-01-25T23:14:00Z"/>
          <w:color w:val="000000"/>
        </w:rPr>
      </w:pPr>
      <w:ins w:id="20" w:author="AR" w:date="2021-01-25T23:14:00Z">
        <w:r>
          <w:rPr>
            <w:color w:val="000000"/>
          </w:rPr>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rPr>
            <w:color w:val="000000"/>
          </w:rPr>
          <w:t>is at least</w:t>
        </w:r>
        <m:oMath>
          <m:sSub>
            <m:sSubPr>
              <m:ctrlPr>
                <w:rPr>
                  <w:rFonts w:ascii="Cambria Math" w:hAnsi="Cambria Math"/>
                  <w:i/>
                  <w:iCs/>
                  <w:lang w:val="en-US"/>
                </w:rPr>
              </m:ctrlPr>
            </m:sSubPr>
            <m:e>
              <m:r>
                <w:rPr>
                  <w:rFonts w:ascii="Cambria Math" w:hAnsi="Cambria Math"/>
                  <w:lang w:val="en-US"/>
                </w:rPr>
                <m:t xml:space="preserve"> </m:t>
              </m:r>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m:t>
              </m:r>
              <m:r>
                <w:rPr>
                  <w:rFonts w:ascii="Cambria Math" w:hAnsi="Cambria Math"/>
                  <w:lang w:val="en-US"/>
                </w:rPr>
                <m:t>N</m:t>
              </m:r>
            </m:e>
            <m:sub>
              <m:r>
                <w:rPr>
                  <w:rFonts w:ascii="Cambria Math" w:hAnsi="Cambria Math"/>
                  <w:lang w:val="en-US"/>
                </w:rPr>
                <m:t>2</m:t>
              </m:r>
            </m:sub>
          </m:sSub>
        </m:oMath>
        <w:r>
          <w:rPr>
            <w:iCs/>
            <w:lang w:val="en-US"/>
          </w:rPr>
          <w:t xml:space="preserve"> symbols</w:t>
        </w:r>
        <w:r>
          <w:rPr>
            <w:i/>
          </w:rPr>
          <w:t xml:space="preserve">; </w:t>
        </w:r>
        <w:r>
          <w:rPr>
            <w:iCs/>
          </w:rPr>
          <w:t>and</w:t>
        </w:r>
      </w:ins>
    </w:p>
    <w:p w:rsidR="00F665E5" w:rsidRDefault="00FE7428">
      <w:pPr>
        <w:pStyle w:val="af"/>
        <w:numPr>
          <w:ilvl w:val="0"/>
          <w:numId w:val="3"/>
        </w:numPr>
        <w:rPr>
          <w:ins w:id="21" w:author="AR" w:date="2021-01-25T23:14:00Z"/>
          <w:color w:val="000000"/>
        </w:rPr>
      </w:pPr>
      <w:ins w:id="22" w:author="AR" w:date="2021-01-25T23:14:00Z">
        <w:r>
          <w:rPr>
            <w:color w:val="000000"/>
          </w:rPr>
          <w:t>semi-persistent CSI reports or SRS for which the HARQ-ACK information on PUCCH in response to the activation comma</w:t>
        </w:r>
        <w:r>
          <w:rPr>
            <w:color w:val="000000"/>
          </w:rPr>
          <w:t xml:space="preserve">nd would be transmitted in slot </w:t>
        </w:r>
        <m:oMath>
          <m:r>
            <w:rPr>
              <w:rFonts w:ascii="Cambria Math" w:hAnsi="Cambria Math"/>
              <w:lang w:val="en-US"/>
            </w:rPr>
            <m:t>n</m:t>
          </m:r>
        </m:oMath>
        <w:r>
          <w:rPr>
            <w:color w:val="000000"/>
          </w:rPr>
          <w:t xml:space="preserve">, and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being the first symbol of the first slot which is after slot</w:t>
        </w:r>
        <w:r>
          <w:rPr>
            <w:color w:val="000000"/>
          </w:rPr>
          <w:t xml:space="preserve"> </w:t>
        </w:r>
        <m:oMath>
          <m:r>
            <w:rPr>
              <w:rFonts w:ascii="Cambria Math" w:hAnsi="Cambria Math"/>
              <w:color w:val="000000"/>
            </w:rPr>
            <m:t>n</m:t>
          </m:r>
          <m:r>
            <w:rPr>
              <w:rFonts w:ascii="Cambria Math" w:hAnsi="Cambria Math"/>
              <w:color w:val="000000"/>
            </w:rPr>
            <m:t>+3</m:t>
          </m:r>
          <m:sSubSup>
            <m:sSubSupPr>
              <m:ctrlPr>
                <w:rPr>
                  <w:rFonts w:ascii="Cambria Math" w:hAnsi="Cambria Math"/>
                  <w:i/>
                  <w:iCs/>
                  <w:color w:val="000000"/>
                </w:rPr>
              </m:ctrlPr>
            </m:sSubSupPr>
            <m:e>
              <m:r>
                <w:rPr>
                  <w:rFonts w:ascii="Cambria Math" w:hAnsi="Cambria Math"/>
                  <w:color w:val="000000"/>
                </w:rPr>
                <m:t>N</m:t>
              </m:r>
            </m:e>
            <m:sub>
              <m:r>
                <w:rPr>
                  <w:rFonts w:ascii="Cambria Math" w:hAnsi="Cambria Math"/>
                  <w:color w:val="000000"/>
                </w:rPr>
                <m:t>slot</m:t>
              </m:r>
            </m:sub>
            <m:sup>
              <m:r>
                <w:rPr>
                  <w:rFonts w:ascii="Cambria Math" w:hAnsi="Cambria Math"/>
                  <w:color w:val="000000"/>
                </w:rPr>
                <m:t>subframe</m:t>
              </m:r>
              <m:r>
                <w:rPr>
                  <w:rFonts w:ascii="Cambria Math" w:hAnsi="Cambria Math"/>
                  <w:color w:val="000000"/>
                </w:rPr>
                <m:t>,</m:t>
              </m:r>
              <m:r>
                <w:rPr>
                  <w:rFonts w:ascii="Cambria Math" w:hAnsi="Cambria Math"/>
                  <w:color w:val="000000"/>
                </w:rPr>
                <m:t>μ</m:t>
              </m:r>
            </m:sup>
          </m:sSubSup>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m:t>
              </m:r>
              <m:r>
                <w:rPr>
                  <w:rFonts w:ascii="Cambria Math" w:hAnsi="Cambria Math"/>
                  <w:color w:val="000000"/>
                </w:rPr>
                <m:t>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slot</m:t>
              </m:r>
            </m:sub>
          </m:sSub>
        </m:oMath>
        <w:r>
          <w:rPr>
            <w:iCs/>
            <w:lang w:val="en-US"/>
          </w:rPr>
          <w:t xml:space="preserve">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iCs/>
            <w:lang w:val="en-US"/>
          </w:rPr>
          <w:t xml:space="preserve"> is at least</w:t>
        </w:r>
        <w:r>
          <w:rPr>
            <w:iCs/>
            <w:color w:val="000000"/>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w:t>
        </w:r>
        <w:r>
          <w:rPr>
            <w:iCs/>
            <w:color w:val="000000"/>
          </w:rPr>
          <w:t xml:space="preserve">where </w:t>
        </w:r>
        <m:oMath>
          <m:r>
            <w:rPr>
              <w:rFonts w:ascii="Cambria Math" w:hAnsi="Cambria Math"/>
              <w:color w:val="000000"/>
            </w:rPr>
            <m:t>μ</m:t>
          </m:r>
        </m:oMath>
        <w:r>
          <w:rPr>
            <w:iCs/>
            <w:color w:val="000000"/>
          </w:rPr>
          <w:t xml:space="preserve"> is the SCS configuration of the PUCCH.</w:t>
        </w:r>
      </w:ins>
    </w:p>
    <w:p w:rsidR="00F665E5" w:rsidRDefault="00FE7428">
      <w:pPr>
        <w:rPr>
          <w:ins w:id="23" w:author="AR" w:date="2021-01-25T23:14:00Z"/>
          <w:rFonts w:eastAsia="宋体"/>
          <w:color w:val="000000"/>
        </w:rPr>
      </w:pPr>
      <w:ins w:id="24" w:author="AR" w:date="2021-01-25T23:14:00Z">
        <w:r>
          <w:rPr>
            <w:rFonts w:eastAsia="宋体"/>
            <w:iCs/>
            <w:color w:val="000000"/>
          </w:rPr>
          <w:lastRenderedPageBreak/>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m:t>
          </m:r>
          <m:r>
            <w:rPr>
              <w:rFonts w:ascii="Cambria Math" w:hAnsi="Cambria Math"/>
              <w:color w:val="000000"/>
            </w:rPr>
            <m:t>switc</m:t>
          </m:r>
          <m:r>
            <w:rPr>
              <w:rFonts w:ascii="Cambria Math" w:hAnsi="Cambria Math"/>
              <w:color w:val="000000"/>
            </w:rPr>
            <m:t>h</m:t>
          </m:r>
          <m:r>
            <w:rPr>
              <w:rFonts w:ascii="Cambria Math" w:hAnsi="Cambria Math"/>
              <w:color w:val="000000"/>
            </w:rPr>
            <m:t>ingTimeUL</m:t>
          </m:r>
          <m:r>
            <w:rPr>
              <w:rFonts w:ascii="Cambria Math" w:hAnsi="Cambria Math"/>
              <w:color w:val="000000"/>
            </w:rPr>
            <m:t>,</m:t>
          </m:r>
          <m:r>
            <w:rPr>
              <w:rFonts w:ascii="Cambria Math" w:hAnsi="Cambria Math"/>
              <w:color w:val="000000"/>
            </w:rPr>
            <m:t>switc</m:t>
          </m:r>
          <m:r>
            <w:rPr>
              <w:rFonts w:ascii="Cambria Math" w:hAnsi="Cambria Math"/>
              <w:color w:val="000000"/>
            </w:rPr>
            <m:t>h</m:t>
          </m:r>
          <m:r>
            <w:rPr>
              <w:rFonts w:ascii="Cambria Math" w:hAnsi="Cambria Math"/>
              <w:color w:val="000000"/>
            </w:rPr>
            <m:t>ingTimeDL</m:t>
          </m:r>
          <m:r>
            <w:rPr>
              <w:rFonts w:ascii="Cambria Math" w:hAnsi="Cambria Math"/>
              <w:color w:val="000000"/>
            </w:rPr>
            <m:t>}</m:t>
          </m:r>
        </m:oMath>
        <w:r>
          <w:rPr>
            <w:iCs/>
            <w:color w:val="000000"/>
          </w:rPr>
          <w:t>, and t</w:t>
        </w:r>
        <w:r>
          <w:rPr>
            <w:color w:val="000000"/>
          </w:rPr>
          <w:t xml:space="preserve">he time interval unit of OFDM symbol is counted based on the minimum subcarrier spacing given by </w:t>
        </w:r>
        <m:oMath>
          <m:r>
            <m:rPr>
              <m:sty m:val="p"/>
            </m:rPr>
            <w:rPr>
              <w:rFonts w:ascii="Cambria Math" w:hAnsi="Cambria Math"/>
              <w:color w:val="000000"/>
            </w:rPr>
            <m:t>min⁡{</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r>
            <m:rPr>
              <m:sty m:val="p"/>
            </m:rPr>
            <w:rPr>
              <w:rFonts w:ascii="Cambria Math" w:hAnsi="Cambria Math"/>
              <w:color w:val="000000"/>
            </w:rPr>
            <m:t>,</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r>
                <w:rPr>
                  <w:rFonts w:ascii="Cambria Math" w:hAnsi="Cambria Math"/>
                  <w:color w:val="000000"/>
                </w:rPr>
                <m:t>,</m:t>
              </m:r>
            </m:sub>
          </m:sSub>
          <m:r>
            <w:rPr>
              <w:rFonts w:ascii="Cambria Math" w:hAnsi="Cambria Math"/>
              <w:color w:val="000000"/>
            </w:rPr>
            <m:t xml:space="preserve"> </m:t>
          </m:r>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r>
            <m:rPr>
              <m:sty m:val="p"/>
            </m:rPr>
            <w:rPr>
              <w:rFonts w:ascii="Cambria Math" w:hAnsi="Cambria Math"/>
              <w:color w:val="000000"/>
            </w:rPr>
            <m:t>}</m:t>
          </m:r>
        </m:oMath>
        <w:r>
          <w:rPr>
            <w:iCs/>
            <w:color w:val="000000"/>
          </w:rPr>
          <w:t xml:space="preserve">, with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m:t>
              </m:r>
            </m:sub>
          </m:sSub>
        </m:oMath>
        <w:r>
          <w:rPr>
            <w:iCs/>
            <w:color w:val="000000"/>
          </w:rPr>
          <w:t xml:space="preserve"> the SCS configuration for the PDCCH carrying the triggering commands for t</w:t>
        </w:r>
        <w:r>
          <w:rPr>
            <w:iCs/>
            <w:color w:val="000000"/>
          </w:rPr>
          <w:t xml:space="preserve">he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SRS</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sub>
          </m:sSub>
        </m:oMath>
        <w:r>
          <w:rPr>
            <w:iCs/>
            <w:color w:val="000000"/>
          </w:rPr>
          <w:t xml:space="preserve"> the SCS configuration for SRS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1</m:t>
              </m:r>
            </m:sub>
          </m:sSub>
        </m:oMath>
        <w:r>
          <w:rPr>
            <w:iCs/>
            <w:color w:val="000000"/>
          </w:rPr>
          <w:t xml:space="preserve">,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PDCCH</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PDCCH that schedules PUSCH in </w:t>
        </w:r>
        <m:oMath>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 xml:space="preserve">, and </w:t>
        </w:r>
        <m:oMath>
          <m:sSub>
            <m:sSubPr>
              <m:ctrlPr>
                <w:rPr>
                  <w:rFonts w:ascii="Cambria Math" w:hAnsi="Cambria Math"/>
                  <w:iCs/>
                  <w:color w:val="000000"/>
                </w:rPr>
              </m:ctrlPr>
            </m:sSubPr>
            <m:e>
              <m:r>
                <m:rPr>
                  <m:sty m:val="p"/>
                </m:rPr>
                <w:rPr>
                  <w:rFonts w:ascii="Cambria Math" w:hAnsi="Cambria Math"/>
                  <w:color w:val="000000"/>
                </w:rPr>
                <m:t>μ</m:t>
              </m:r>
            </m:e>
            <m:sub>
              <m:r>
                <w:rPr>
                  <w:rFonts w:ascii="Cambria Math" w:hAnsi="Cambria Math"/>
                  <w:color w:val="000000"/>
                </w:rPr>
                <m:t>UL</m:t>
              </m:r>
              <m:r>
                <w:rPr>
                  <w:rFonts w:ascii="Cambria Math" w:hAnsi="Cambria Math"/>
                  <w:color w:val="000000"/>
                </w:rPr>
                <m:t>,</m:t>
              </m:r>
              <m:sSub>
                <m:sSubPr>
                  <m:ctrlPr>
                    <w:rPr>
                      <w:rFonts w:ascii="Cambria Math" w:hAnsi="Cambria Math"/>
                      <w:i/>
                      <w:iCs/>
                      <w:color w:val="000000"/>
                    </w:rPr>
                  </m:ctrlPr>
                </m:sSubPr>
                <m:e>
                  <m:r>
                    <w:rPr>
                      <w:rFonts w:ascii="Cambria Math" w:hAnsi="Cambria Math"/>
                      <w:color w:val="000000"/>
                    </w:rPr>
                    <m:t>c</m:t>
                  </m:r>
                </m:e>
                <m:sub>
                  <m:r>
                    <w:rPr>
                      <w:rFonts w:ascii="Cambria Math" w:hAnsi="Cambria Math"/>
                      <w:color w:val="000000"/>
                    </w:rPr>
                    <m:t>2</m:t>
                  </m:r>
                </m:sub>
              </m:sSub>
            </m:sub>
          </m:sSub>
        </m:oMath>
        <w:r>
          <w:rPr>
            <w:iCs/>
            <w:color w:val="000000"/>
          </w:rPr>
          <w:t xml:space="preserve"> the SCS configuration for the PUSCH in </w:t>
        </w:r>
        <m:oMath>
          <m:sSub>
            <m:sSubPr>
              <m:ctrlPr>
                <w:rPr>
                  <w:rFonts w:ascii="Cambria Math" w:hAnsi="Cambria Math"/>
                  <w:iCs/>
                  <w:color w:val="000000"/>
                </w:rPr>
              </m:ctrlPr>
            </m:sSubPr>
            <m:e>
              <m:r>
                <w:rPr>
                  <w:rFonts w:ascii="Cambria Math" w:hAnsi="Cambria Math"/>
                  <w:color w:val="000000"/>
                </w:rPr>
                <m:t>c</m:t>
              </m:r>
            </m:e>
            <m:sub>
              <m:r>
                <w:rPr>
                  <w:rFonts w:ascii="Cambria Math" w:hAnsi="Cambria Math"/>
                  <w:color w:val="000000"/>
                </w:rPr>
                <m:t>2</m:t>
              </m:r>
            </m:sub>
          </m:sSub>
        </m:oMath>
        <w:r>
          <w:rPr>
            <w:iCs/>
            <w:color w:val="000000"/>
          </w:rPr>
          <w:t>.</w:t>
        </w:r>
      </w:ins>
    </w:p>
    <w:bookmarkEnd w:id="17"/>
    <w:p w:rsidR="00F665E5" w:rsidRDefault="00FE7428">
      <w:pPr>
        <w:jc w:val="center"/>
        <w:rPr>
          <w:b/>
          <w:bCs/>
          <w:lang w:val="en-US"/>
        </w:rPr>
      </w:pPr>
      <w:r>
        <w:rPr>
          <w:b/>
          <w:bCs/>
          <w:highlight w:val="yellow"/>
          <w:lang w:val="en-US"/>
        </w:rPr>
        <w:t>&lt;/TP1&gt;</w:t>
      </w:r>
    </w:p>
    <w:p w:rsidR="00F665E5" w:rsidRDefault="00FE7428">
      <w:pPr>
        <w:rPr>
          <w:lang w:val="en-US"/>
        </w:rPr>
      </w:pPr>
      <w:r>
        <w:rPr>
          <w:lang w:val="en-US"/>
        </w:rPr>
        <w:t>In the following, we try to collect views f</w:t>
      </w:r>
      <w:r>
        <w:rPr>
          <w:lang w:val="en-US"/>
        </w:rPr>
        <w:t>rom companies on the following two questions: whether the change is needed (and if not, what is the UE behavior), and any comments on the provided TP:</w:t>
      </w:r>
    </w:p>
    <w:p w:rsidR="00F665E5" w:rsidRDefault="00F665E5">
      <w:pPr>
        <w:pStyle w:val="af"/>
        <w:rPr>
          <w:lang w:val="en-US"/>
        </w:rPr>
      </w:pPr>
    </w:p>
    <w:p w:rsidR="00F665E5" w:rsidRDefault="00F665E5">
      <w:pPr>
        <w:rPr>
          <w:ins w:id="25" w:author="AR" w:date="2020-08-04T23:33:00Z"/>
          <w:lang w:val="en-US"/>
        </w:rPr>
      </w:pPr>
    </w:p>
    <w:p w:rsidR="00F665E5" w:rsidRDefault="00FE7428">
      <w:pPr>
        <w:pStyle w:val="1"/>
        <w:numPr>
          <w:ilvl w:val="0"/>
          <w:numId w:val="2"/>
        </w:numPr>
        <w:tabs>
          <w:tab w:val="clear" w:pos="1140"/>
          <w:tab w:val="left" w:pos="720"/>
        </w:tabs>
        <w:ind w:left="720" w:hanging="720"/>
        <w:jc w:val="both"/>
        <w:rPr>
          <w:lang w:val="en-US"/>
        </w:rPr>
      </w:pPr>
      <w:r>
        <w:rPr>
          <w:lang w:val="en-US"/>
        </w:rPr>
        <w:t>Discussion</w:t>
      </w:r>
    </w:p>
    <w:p w:rsidR="00F665E5" w:rsidRDefault="00FE7428">
      <w:pPr>
        <w:rPr>
          <w:b/>
          <w:bCs/>
          <w:lang w:val="en-US"/>
        </w:rPr>
      </w:pPr>
      <w:r>
        <w:rPr>
          <w:b/>
          <w:bCs/>
          <w:lang w:val="en-US"/>
        </w:rPr>
        <w:t>Q1: Do you agree that the timelines for SRS carrier switching dropping rules are not specifi</w:t>
      </w:r>
      <w:r>
        <w:rPr>
          <w:b/>
          <w:bCs/>
          <w:lang w:val="en-US"/>
        </w:rPr>
        <w:t>ed and, therefore, a correction is needed?</w:t>
      </w:r>
    </w:p>
    <w:p w:rsidR="00F665E5" w:rsidRDefault="00FE7428">
      <w:pPr>
        <w:pStyle w:val="af"/>
        <w:numPr>
          <w:ilvl w:val="0"/>
          <w:numId w:val="4"/>
        </w:numPr>
        <w:rPr>
          <w:b/>
          <w:bCs/>
          <w:lang w:val="en-US"/>
        </w:rPr>
      </w:pPr>
      <w:r>
        <w:rPr>
          <w:b/>
          <w:bCs/>
          <w:lang w:val="en-US"/>
        </w:rPr>
        <w:t>If you do not agree, please provide a spec reference / justification on what is the UE behavior.</w:t>
      </w:r>
    </w:p>
    <w:tbl>
      <w:tblPr>
        <w:tblStyle w:val="5-11"/>
        <w:tblW w:w="0" w:type="auto"/>
        <w:tblLook w:val="04A0" w:firstRow="1" w:lastRow="0" w:firstColumn="1" w:lastColumn="0" w:noHBand="0" w:noVBand="1"/>
      </w:tblPr>
      <w:tblGrid>
        <w:gridCol w:w="1705"/>
        <w:gridCol w:w="1710"/>
        <w:gridCol w:w="6214"/>
      </w:tblGrid>
      <w:tr w:rsidR="00F665E5" w:rsidTr="00F66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F665E5" w:rsidRDefault="00FE7428">
            <w:pPr>
              <w:rPr>
                <w:b w:val="0"/>
                <w:bCs w:val="0"/>
                <w:lang w:val="en-US"/>
              </w:rPr>
            </w:pPr>
            <w:r>
              <w:rPr>
                <w:lang w:val="en-US"/>
              </w:rPr>
              <w:t>Company name</w:t>
            </w:r>
          </w:p>
        </w:tc>
        <w:tc>
          <w:tcPr>
            <w:tcW w:w="1710" w:type="dxa"/>
          </w:tcPr>
          <w:p w:rsidR="00F665E5" w:rsidRDefault="00FE7428">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Answer (Yes/no)</w:t>
            </w:r>
          </w:p>
        </w:tc>
        <w:tc>
          <w:tcPr>
            <w:tcW w:w="6214" w:type="dxa"/>
          </w:tcPr>
          <w:p w:rsidR="00F665E5" w:rsidRDefault="00FE7428">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If the answer is no, please provide reference / justification</w:t>
            </w: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F665E5" w:rsidRDefault="00FE7428">
            <w:pPr>
              <w:rPr>
                <w:lang w:val="en-US"/>
              </w:rPr>
            </w:pPr>
            <w:r>
              <w:rPr>
                <w:lang w:val="en-US"/>
              </w:rPr>
              <w:t>Qualcomm</w:t>
            </w:r>
          </w:p>
        </w:tc>
        <w:tc>
          <w:tcPr>
            <w:tcW w:w="17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6214" w:type="dxa"/>
            <w:shd w:val="clear" w:color="auto" w:fill="B4C6E7" w:themeFill="accent1" w:themeFillTint="66"/>
          </w:tcPr>
          <w:p w:rsidR="00F665E5" w:rsidRDefault="00F665E5">
            <w:pPr>
              <w:cnfStyle w:val="000000000000" w:firstRow="0" w:lastRow="0" w:firstColumn="0" w:lastColumn="0" w:oddVBand="0" w:evenVBand="0" w:oddHBand="0" w:evenHBand="0" w:firstRowFirstColumn="0" w:firstRowLastColumn="0" w:lastRowFirstColumn="0" w:lastRowLastColumn="0"/>
              <w:rPr>
                <w:lang w:val="en-US"/>
              </w:rPr>
            </w:pP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rsidR="00F665E5" w:rsidRDefault="00FE7428">
            <w:pPr>
              <w:rPr>
                <w:lang w:val="en-US"/>
              </w:rPr>
            </w:pPr>
            <w:r>
              <w:rPr>
                <w:lang w:val="en-US"/>
              </w:rPr>
              <w:t>Ericsson</w:t>
            </w:r>
          </w:p>
        </w:tc>
        <w:tc>
          <w:tcPr>
            <w:tcW w:w="1710" w:type="dxa"/>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Yes, although it is not clear that the feature is broken without a fix.</w:t>
            </w:r>
          </w:p>
        </w:tc>
        <w:tc>
          <w:tcPr>
            <w:tcW w:w="6214" w:type="dxa"/>
          </w:tcPr>
          <w:p w:rsidR="00F665E5" w:rsidRDefault="00F665E5">
            <w:pPr>
              <w:cnfStyle w:val="000000000000" w:firstRow="0" w:lastRow="0" w:firstColumn="0" w:lastColumn="0" w:oddVBand="0" w:evenVBand="0" w:oddHBand="0" w:evenHBand="0" w:firstRowFirstColumn="0" w:firstRowLastColumn="0" w:lastRowFirstColumn="0" w:lastRowLastColumn="0"/>
              <w:rPr>
                <w:lang w:val="en-US"/>
              </w:rPr>
            </w:pP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F665E5" w:rsidRDefault="00FE7428">
            <w:pPr>
              <w:rPr>
                <w:rFonts w:eastAsia="Malgun Gothic"/>
                <w:lang w:val="en-US" w:eastAsia="ko-KR"/>
              </w:rPr>
            </w:pPr>
            <w:r>
              <w:rPr>
                <w:rFonts w:eastAsia="Malgun Gothic" w:hint="eastAsia"/>
                <w:lang w:val="en-US" w:eastAsia="ko-KR"/>
              </w:rPr>
              <w:t>Samsung</w:t>
            </w:r>
          </w:p>
        </w:tc>
        <w:tc>
          <w:tcPr>
            <w:tcW w:w="17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No</w:t>
            </w:r>
          </w:p>
        </w:tc>
        <w:tc>
          <w:tcPr>
            <w:tcW w:w="6214"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rFonts w:eastAsia="Malgun Gothic"/>
                <w:lang w:val="en-US" w:eastAsia="ko-KR"/>
              </w:rPr>
              <w:t>We think that t</w:t>
            </w:r>
            <w:r>
              <w:rPr>
                <w:rFonts w:eastAsia="Malgun Gothic" w:hint="eastAsia"/>
                <w:lang w:val="en-US" w:eastAsia="ko-KR"/>
              </w:rPr>
              <w:t>his CR is not essential</w:t>
            </w:r>
            <w:r>
              <w:rPr>
                <w:rFonts w:eastAsia="Malgun Gothic"/>
                <w:lang w:val="en-US" w:eastAsia="ko-KR"/>
              </w:rPr>
              <w:t xml:space="preserve"> in Rel-15</w:t>
            </w:r>
            <w:r>
              <w:rPr>
                <w:rFonts w:eastAsia="Malgun Gothic" w:hint="eastAsia"/>
                <w:lang w:val="en-US" w:eastAsia="ko-KR"/>
              </w:rPr>
              <w:t xml:space="preserve">. </w:t>
            </w:r>
            <w:r>
              <w:rPr>
                <w:rFonts w:eastAsia="Malgun Gothic"/>
                <w:lang w:val="en-US" w:eastAsia="ko-KR"/>
              </w:rPr>
              <w:t xml:space="preserve">This problematic issue can be avoided by </w:t>
            </w:r>
            <w:proofErr w:type="spellStart"/>
            <w:r>
              <w:rPr>
                <w:rFonts w:eastAsia="Malgun Gothic"/>
                <w:lang w:val="en-US" w:eastAsia="ko-KR"/>
              </w:rPr>
              <w:t>gNB</w:t>
            </w:r>
            <w:proofErr w:type="spellEnd"/>
            <w:r>
              <w:rPr>
                <w:rFonts w:eastAsia="Malgun Gothic"/>
                <w:lang w:val="en-US" w:eastAsia="ko-KR"/>
              </w:rPr>
              <w:t xml:space="preserve"> implementation. </w:t>
            </w: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rsidR="00F665E5" w:rsidRDefault="00FE7428">
            <w:pPr>
              <w:rPr>
                <w:rFonts w:eastAsia="Malgun Gothic"/>
                <w:lang w:val="en-US" w:eastAsia="ko-KR"/>
              </w:rPr>
            </w:pPr>
            <w:r>
              <w:rPr>
                <w:rFonts w:eastAsia="Malgun Gothic"/>
                <w:lang w:val="en-US" w:eastAsia="ko-KR"/>
              </w:rPr>
              <w:t>Nokia</w:t>
            </w:r>
          </w:p>
        </w:tc>
        <w:tc>
          <w:tcPr>
            <w:tcW w:w="1710" w:type="dxa"/>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OK to have an update</w:t>
            </w:r>
          </w:p>
        </w:tc>
        <w:tc>
          <w:tcPr>
            <w:tcW w:w="6214" w:type="dxa"/>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As long as the specification </w:t>
            </w:r>
            <w:r>
              <w:rPr>
                <w:rFonts w:eastAsia="Malgun Gothic"/>
                <w:lang w:val="en-US" w:eastAsia="ko-KR"/>
              </w:rPr>
              <w:t>update is such that all existing UEs are compliant with the CR</w:t>
            </w: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F665E5" w:rsidRDefault="00FE7428">
            <w:pPr>
              <w:rPr>
                <w:rFonts w:eastAsia="Malgun Gothic"/>
                <w:lang w:val="en-US" w:eastAsia="ko-KR"/>
              </w:rPr>
            </w:pPr>
            <w:r>
              <w:rPr>
                <w:rFonts w:eastAsia="Malgun Gothic"/>
                <w:lang w:val="en-US" w:eastAsia="ko-KR"/>
              </w:rPr>
              <w:t>HW</w:t>
            </w:r>
          </w:p>
        </w:tc>
        <w:tc>
          <w:tcPr>
            <w:tcW w:w="17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Partially Yes</w:t>
            </w:r>
          </w:p>
        </w:tc>
        <w:tc>
          <w:tcPr>
            <w:tcW w:w="6214"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that this CR is NBC in Rel1-15 so that </w:t>
            </w:r>
            <w:proofErr w:type="spellStart"/>
            <w:r>
              <w:rPr>
                <w:rFonts w:eastAsia="Malgun Gothic"/>
                <w:lang w:val="en-US" w:eastAsia="ko-KR"/>
              </w:rPr>
              <w:t>gNB</w:t>
            </w:r>
            <w:proofErr w:type="spellEnd"/>
            <w:r>
              <w:rPr>
                <w:rFonts w:eastAsia="Malgun Gothic"/>
                <w:lang w:val="en-US" w:eastAsia="ko-KR"/>
              </w:rPr>
              <w:t xml:space="preserve"> can avoid that by longer gap. If it is needed, we are open to address this in Rel-16 TEI. With possible different SCS, prop</w:t>
            </w:r>
            <w:r>
              <w:rPr>
                <w:rFonts w:eastAsia="Malgun Gothic"/>
                <w:lang w:val="en-US" w:eastAsia="ko-KR"/>
              </w:rPr>
              <w:t xml:space="preserve">osed spec may not be straightforward.  </w:t>
            </w: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D9E2F3" w:themeFill="accent1" w:themeFillTint="33"/>
          </w:tcPr>
          <w:p w:rsidR="00F665E5" w:rsidRDefault="00FE7428">
            <w:pPr>
              <w:rPr>
                <w:rFonts w:eastAsia="Malgun Gothic"/>
                <w:lang w:val="en-US" w:eastAsia="ko-KR"/>
              </w:rPr>
            </w:pPr>
            <w:r>
              <w:rPr>
                <w:rFonts w:eastAsia="Malgun Gothic"/>
                <w:lang w:val="en-US" w:eastAsia="ko-KR"/>
              </w:rPr>
              <w:t>FUTUREWEI</w:t>
            </w:r>
          </w:p>
        </w:tc>
        <w:tc>
          <w:tcPr>
            <w:tcW w:w="1710" w:type="dxa"/>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This can be largely solved by </w:t>
            </w:r>
            <w:proofErr w:type="spellStart"/>
            <w:r>
              <w:rPr>
                <w:rFonts w:eastAsia="Malgun Gothic"/>
                <w:lang w:val="en-US" w:eastAsia="ko-KR"/>
              </w:rPr>
              <w:t>gNB</w:t>
            </w:r>
            <w:proofErr w:type="spellEnd"/>
            <w:r>
              <w:rPr>
                <w:rFonts w:eastAsia="Malgun Gothic"/>
                <w:lang w:val="en-US" w:eastAsia="ko-KR"/>
              </w:rPr>
              <w:t xml:space="preserve"> implementation though may be with some drawback and have to be conservative. To address this issue with newly introduced UE behavior (clearly UE timeline) and UE capab</w:t>
            </w:r>
            <w:r>
              <w:rPr>
                <w:rFonts w:eastAsia="Malgun Gothic"/>
                <w:lang w:val="en-US" w:eastAsia="ko-KR"/>
              </w:rPr>
              <w:t>ility (for example for N_2) will cause NCB issue. Therefore, we think this is an enhancement, a valid and useful one.</w:t>
            </w: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F665E5" w:rsidRDefault="00FE7428">
            <w:pPr>
              <w:rPr>
                <w:rFonts w:eastAsia="Malgun Gothic"/>
                <w:lang w:val="en-US" w:eastAsia="ko-KR"/>
              </w:rPr>
            </w:pPr>
            <w:r>
              <w:rPr>
                <w:rFonts w:eastAsia="Malgun Gothic"/>
                <w:lang w:val="en-US" w:eastAsia="ko-KR"/>
              </w:rPr>
              <w:t>OPPO</w:t>
            </w:r>
          </w:p>
        </w:tc>
        <w:tc>
          <w:tcPr>
            <w:tcW w:w="17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Yes</w:t>
            </w:r>
          </w:p>
        </w:tc>
        <w:tc>
          <w:tcPr>
            <w:tcW w:w="6214" w:type="dxa"/>
            <w:shd w:val="clear" w:color="auto" w:fill="B4C6E7" w:themeFill="accent1" w:themeFillTint="66"/>
          </w:tcPr>
          <w:p w:rsidR="00F665E5" w:rsidRDefault="00F665E5">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F665E5"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F665E5" w:rsidRDefault="00FE7428">
            <w:pPr>
              <w:rPr>
                <w:rFonts w:eastAsia="宋体"/>
                <w:lang w:val="en-US" w:eastAsia="zh-CN"/>
              </w:rPr>
            </w:pPr>
            <w:r>
              <w:rPr>
                <w:rFonts w:eastAsia="宋体" w:hint="eastAsia"/>
                <w:lang w:val="en-US" w:eastAsia="zh-CN"/>
              </w:rPr>
              <w:t>ZTE</w:t>
            </w:r>
          </w:p>
        </w:tc>
        <w:tc>
          <w:tcPr>
            <w:tcW w:w="17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Yes</w:t>
            </w:r>
          </w:p>
        </w:tc>
        <w:tc>
          <w:tcPr>
            <w:tcW w:w="6214"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But we think it can be an error case if the timeline issue happens. So </w:t>
            </w:r>
            <w:proofErr w:type="spellStart"/>
            <w:r>
              <w:rPr>
                <w:rFonts w:eastAsia="宋体" w:hint="eastAsia"/>
                <w:lang w:val="en-US" w:eastAsia="zh-CN"/>
              </w:rPr>
              <w:t>gNB</w:t>
            </w:r>
            <w:proofErr w:type="spellEnd"/>
            <w:r>
              <w:rPr>
                <w:rFonts w:eastAsia="宋体" w:hint="eastAsia"/>
                <w:lang w:val="en-US" w:eastAsia="zh-CN"/>
              </w:rPr>
              <w:t xml:space="preserve"> can avoid this situation by implementation.</w:t>
            </w:r>
          </w:p>
        </w:tc>
      </w:tr>
      <w:tr w:rsidR="00111CB9" w:rsidTr="00F665E5">
        <w:tc>
          <w:tcPr>
            <w:cnfStyle w:val="001000000000" w:firstRow="0" w:lastRow="0" w:firstColumn="1" w:lastColumn="0" w:oddVBand="0" w:evenVBand="0" w:oddHBand="0" w:evenHBand="0" w:firstRowFirstColumn="0" w:firstRowLastColumn="0" w:lastRowFirstColumn="0" w:lastRowLastColumn="0"/>
            <w:tcW w:w="1705" w:type="dxa"/>
            <w:shd w:val="clear" w:color="auto" w:fill="B4C6E7" w:themeFill="accent1" w:themeFillTint="66"/>
          </w:tcPr>
          <w:p w:rsidR="00111CB9" w:rsidRPr="006622A1" w:rsidRDefault="00111CB9" w:rsidP="00111CB9">
            <w:pPr>
              <w:rPr>
                <w:rFonts w:eastAsiaTheme="minorEastAsia"/>
                <w:lang w:val="en-US" w:eastAsia="zh-CN"/>
              </w:rPr>
            </w:pPr>
            <w:r>
              <w:rPr>
                <w:rFonts w:eastAsiaTheme="minorEastAsia" w:hint="eastAsia"/>
                <w:lang w:val="en-US" w:eastAsia="zh-CN"/>
              </w:rPr>
              <w:t>vivo</w:t>
            </w:r>
          </w:p>
        </w:tc>
        <w:tc>
          <w:tcPr>
            <w:tcW w:w="1710" w:type="dxa"/>
            <w:shd w:val="clear" w:color="auto" w:fill="B4C6E7" w:themeFill="accent1" w:themeFillTint="66"/>
          </w:tcPr>
          <w:p w:rsidR="00111CB9" w:rsidRPr="006622A1" w:rsidRDefault="00111CB9" w:rsidP="00111CB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Y</w:t>
            </w:r>
            <w:r>
              <w:rPr>
                <w:rFonts w:eastAsiaTheme="minorEastAsia" w:hint="eastAsia"/>
                <w:lang w:val="en-US" w:eastAsia="zh-CN"/>
              </w:rPr>
              <w:t>es/No</w:t>
            </w:r>
          </w:p>
        </w:tc>
        <w:tc>
          <w:tcPr>
            <w:tcW w:w="6214" w:type="dxa"/>
            <w:shd w:val="clear" w:color="auto" w:fill="B4C6E7" w:themeFill="accent1" w:themeFillTint="66"/>
          </w:tcPr>
          <w:p w:rsidR="00111CB9" w:rsidRPr="006622A1" w:rsidRDefault="00111CB9" w:rsidP="00111CB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the scenario described above it seems dropping rule is not defined, the main points is when does the UE make decision to switch carrier for SRS transmission, 1) it could be avoided be </w:t>
            </w:r>
            <w:proofErr w:type="spellStart"/>
            <w:r>
              <w:rPr>
                <w:rFonts w:eastAsiaTheme="minorEastAsia"/>
                <w:lang w:val="en-US" w:eastAsia="zh-CN"/>
              </w:rPr>
              <w:t>gNB</w:t>
            </w:r>
            <w:proofErr w:type="spellEnd"/>
            <w:r>
              <w:rPr>
                <w:rFonts w:eastAsiaTheme="minorEastAsia"/>
                <w:lang w:val="en-US" w:eastAsia="zh-CN"/>
              </w:rPr>
              <w:t xml:space="preserve"> scheduling(?), 2) when UE successfully decodes PDCCH (for PDSCH) it </w:t>
            </w:r>
            <w:bookmarkStart w:id="26" w:name="_GoBack"/>
            <w:bookmarkEnd w:id="26"/>
            <w:r>
              <w:rPr>
                <w:rFonts w:eastAsiaTheme="minorEastAsia"/>
                <w:lang w:val="en-US" w:eastAsia="zh-CN"/>
              </w:rPr>
              <w:t xml:space="preserve">knows PUCCH resource, is their UE implementation constraint to make decision at this point? </w:t>
            </w:r>
          </w:p>
        </w:tc>
      </w:tr>
    </w:tbl>
    <w:p w:rsidR="00F665E5" w:rsidRDefault="00F665E5">
      <w:pPr>
        <w:rPr>
          <w:lang w:val="en-US"/>
        </w:rPr>
      </w:pPr>
    </w:p>
    <w:p w:rsidR="00F665E5" w:rsidRDefault="00F665E5">
      <w:pPr>
        <w:rPr>
          <w:lang w:val="en-US"/>
        </w:rPr>
      </w:pPr>
    </w:p>
    <w:p w:rsidR="00F665E5" w:rsidRDefault="00FE7428">
      <w:pPr>
        <w:rPr>
          <w:lang w:val="en-US"/>
        </w:rPr>
      </w:pPr>
      <w:r>
        <w:rPr>
          <w:b/>
          <w:bCs/>
          <w:lang w:val="en-US"/>
        </w:rPr>
        <w:t>Q1: •</w:t>
      </w:r>
      <w:r>
        <w:rPr>
          <w:b/>
          <w:bCs/>
          <w:lang w:val="en-US"/>
        </w:rPr>
        <w:tab/>
        <w:t>Do you have any comments on the provided TP in 2101432?</w:t>
      </w:r>
    </w:p>
    <w:tbl>
      <w:tblPr>
        <w:tblStyle w:val="5-11"/>
        <w:tblW w:w="0" w:type="auto"/>
        <w:tblLook w:val="04A0" w:firstRow="1" w:lastRow="0" w:firstColumn="1" w:lastColumn="0" w:noHBand="0" w:noVBand="1"/>
      </w:tblPr>
      <w:tblGrid>
        <w:gridCol w:w="1615"/>
        <w:gridCol w:w="8010"/>
      </w:tblGrid>
      <w:tr w:rsidR="00F665E5" w:rsidTr="00F66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F665E5" w:rsidRDefault="00FE7428">
            <w:pPr>
              <w:rPr>
                <w:b w:val="0"/>
                <w:bCs w:val="0"/>
                <w:lang w:val="en-US"/>
              </w:rPr>
            </w:pPr>
            <w:r>
              <w:rPr>
                <w:lang w:val="en-US"/>
              </w:rPr>
              <w:lastRenderedPageBreak/>
              <w:t>Company name</w:t>
            </w:r>
          </w:p>
        </w:tc>
        <w:tc>
          <w:tcPr>
            <w:tcW w:w="8010" w:type="dxa"/>
          </w:tcPr>
          <w:p w:rsidR="00F665E5" w:rsidRDefault="00FE7428">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Comments on TP</w:t>
            </w:r>
          </w:p>
        </w:tc>
      </w:tr>
      <w:tr w:rsidR="00F665E5" w:rsidTr="00F665E5">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rsidR="00F665E5" w:rsidRDefault="00FE7428">
            <w:pPr>
              <w:rPr>
                <w:lang w:val="en-US"/>
              </w:rPr>
            </w:pPr>
            <w:r>
              <w:rPr>
                <w:lang w:val="en-US"/>
              </w:rPr>
              <w:t>Ericsson</w:t>
            </w:r>
          </w:p>
        </w:tc>
        <w:tc>
          <w:tcPr>
            <w:tcW w:w="80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be honest, I’m having trouble parsing the TP.  Some initial questions for my understanding: </w:t>
            </w:r>
          </w:p>
          <w:p w:rsidR="00F665E5" w:rsidRDefault="00FE7428">
            <w:pPr>
              <w:pStyle w:val="af"/>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Are the conflicting transmissions in response to the DCI(s)?  If so, where is this stated?   </w:t>
            </w:r>
          </w:p>
          <w:p w:rsidR="00F665E5" w:rsidRDefault="00FE7428">
            <w:pPr>
              <w:pStyle w:val="af"/>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Does ‘at least</w:t>
            </w:r>
            <w:r>
              <w:rPr>
                <w:rFonts w:hint="eastAsia"/>
                <w:lang w:val="en-US"/>
              </w:rPr>
              <w:t xml:space="preserve"> </w:t>
            </w:r>
            <w:r>
              <w:rPr>
                <w:lang w:val="en-US"/>
              </w:rPr>
              <w:t xml:space="preserve">N_2 symbols and an additional time duration T_SRS_CS’ mean ‘N_2 + T_SRS_CS’?  </w:t>
            </w:r>
          </w:p>
          <w:p w:rsidR="00F665E5" w:rsidRDefault="00FE7428">
            <w:pPr>
              <w:pStyle w:val="af"/>
              <w:numPr>
                <w:ilvl w:val="0"/>
                <w:numId w:val="4"/>
              </w:numPr>
              <w:cnfStyle w:val="000000000000" w:firstRow="0" w:lastRow="0" w:firstColumn="0" w:lastColumn="0" w:oddVBand="0" w:evenVBand="0" w:oddHBand="0" w:evenHBand="0" w:firstRowFirstColumn="0" w:firstRowLastColumn="0" w:lastRowFirstColumn="0" w:lastRowLastColumn="0"/>
              <w:rPr>
                <w:lang w:val="en-US"/>
              </w:rPr>
            </w:pPr>
            <w:r>
              <w:rPr>
                <w:lang w:val="en-US"/>
              </w:rPr>
              <w:t>When does either one or the other of the DCIs related to Nc1 and Nc2</w:t>
            </w:r>
            <w:r>
              <w:rPr>
                <w:lang w:val="en-US"/>
              </w:rPr>
              <w:t xml:space="preserve"> apply in the remainder of the </w:t>
            </w:r>
            <w:proofErr w:type="spellStart"/>
            <w:r>
              <w:rPr>
                <w:lang w:val="en-US"/>
              </w:rPr>
              <w:t>subclause</w:t>
            </w:r>
            <w:proofErr w:type="spellEnd"/>
            <w:r>
              <w:rPr>
                <w:lang w:val="en-US"/>
              </w:rPr>
              <w:t>?</w:t>
            </w:r>
          </w:p>
        </w:tc>
      </w:tr>
      <w:tr w:rsidR="00F665E5" w:rsidTr="00F665E5">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rsidR="00F665E5" w:rsidRDefault="00FE7428">
            <w:pPr>
              <w:rPr>
                <w:lang w:val="en-US"/>
              </w:rPr>
            </w:pPr>
            <w:r>
              <w:rPr>
                <w:lang w:val="en-US"/>
              </w:rPr>
              <w:t>Nokia</w:t>
            </w:r>
          </w:p>
        </w:tc>
        <w:tc>
          <w:tcPr>
            <w:tcW w:w="8010" w:type="dxa"/>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Have some difficulties with the TP as well</w:t>
            </w:r>
          </w:p>
          <w:p w:rsidR="00F665E5" w:rsidRDefault="00FE7428">
            <w:pPr>
              <w:cnfStyle w:val="000000000000" w:firstRow="0" w:lastRow="0" w:firstColumn="0" w:lastColumn="0" w:oddVBand="0" w:evenVBand="0" w:oddHBand="0" w:evenHBand="0" w:firstRowFirstColumn="0" w:firstRowLastColumn="0" w:lastRowFirstColumn="0" w:lastRowLastColumn="0"/>
              <w:rPr>
                <w:rFonts w:eastAsia="宋体"/>
                <w:color w:val="000000"/>
              </w:rPr>
            </w:pPr>
            <w:r>
              <w:rPr>
                <w:lang w:val="en-US"/>
              </w:rPr>
              <w:t xml:space="preserve">What type of carrier does this refer to, a TDD carrier only, or is this meant to rule out SUL and SDL? </w:t>
            </w:r>
            <w:ins w:id="27" w:author="AR" w:date="2021-01-25T23:14:00Z">
              <w:r>
                <w:rPr>
                  <w:rFonts w:eastAsia="宋体"/>
                  <w:color w:val="000000"/>
                </w:rPr>
                <w:t xml:space="preserve">a carrier </w:t>
              </w:r>
              <m:oMath>
                <m:sSub>
                  <m:sSubPr>
                    <m:ctrlPr>
                      <w:rPr>
                        <w:rFonts w:ascii="Cambria Math" w:eastAsia="宋体" w:hAnsi="Cambria Math"/>
                        <w:i/>
                        <w:color w:val="000000"/>
                      </w:rPr>
                    </m:ctrlPr>
                  </m:sSubPr>
                  <m:e>
                    <m:r>
                      <w:rPr>
                        <w:rFonts w:ascii="Cambria Math" w:eastAsia="宋体" w:hAnsi="Cambria Math"/>
                        <w:color w:val="000000"/>
                      </w:rPr>
                      <m:t>c</m:t>
                    </m:r>
                  </m:e>
                  <m:sub>
                    <m:r>
                      <w:rPr>
                        <w:rFonts w:ascii="Cambria Math" w:eastAsia="宋体" w:hAnsi="Cambria Math"/>
                        <w:color w:val="000000"/>
                      </w:rPr>
                      <m:t>1</m:t>
                    </m:r>
                  </m:sub>
                </m:sSub>
              </m:oMath>
              <w:r>
                <w:rPr>
                  <w:rFonts w:eastAsia="宋体"/>
                  <w:color w:val="000000"/>
                </w:rPr>
                <w:t xml:space="preserve"> with slot formats comprised of DL and UL symbols</w:t>
              </w:r>
            </w:ins>
          </w:p>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What is a conflicting transmission? I suppose the intention is to say something like “for an uplink transmission in carrier C2 starting in symbol Nc2 that is to overlap with the SRS transmission, the…”?</w:t>
            </w:r>
          </w:p>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Wha</w:t>
            </w:r>
            <w:r>
              <w:rPr>
                <w:lang w:val="en-US"/>
              </w:rPr>
              <w:t>t is done if the rules are not satisfied?</w:t>
            </w:r>
          </w:p>
        </w:tc>
      </w:tr>
      <w:tr w:rsidR="00F665E5" w:rsidTr="00F665E5">
        <w:tc>
          <w:tcPr>
            <w:cnfStyle w:val="001000000000" w:firstRow="0" w:lastRow="0" w:firstColumn="1" w:lastColumn="0" w:oddVBand="0" w:evenVBand="0" w:oddHBand="0" w:evenHBand="0" w:firstRowFirstColumn="0" w:firstRowLastColumn="0" w:lastRowFirstColumn="0" w:lastRowLastColumn="0"/>
            <w:tcW w:w="1615" w:type="dxa"/>
            <w:shd w:val="clear" w:color="auto" w:fill="B4C6E7" w:themeFill="accent1" w:themeFillTint="66"/>
          </w:tcPr>
          <w:p w:rsidR="00F665E5" w:rsidRDefault="00FE7428">
            <w:pPr>
              <w:rPr>
                <w:lang w:val="en-US"/>
              </w:rPr>
            </w:pPr>
            <w:r>
              <w:rPr>
                <w:lang w:val="en-US"/>
              </w:rPr>
              <w:t>FUTUREWEI</w:t>
            </w:r>
          </w:p>
        </w:tc>
        <w:tc>
          <w:tcPr>
            <w:tcW w:w="8010" w:type="dxa"/>
            <w:shd w:val="clear" w:color="auto" w:fill="B4C6E7" w:themeFill="accent1" w:themeFillTint="66"/>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prefer to treat this as a TEI and investigate a good approach to amend the spec. </w:t>
            </w:r>
          </w:p>
        </w:tc>
      </w:tr>
      <w:tr w:rsidR="00F665E5" w:rsidTr="00F665E5">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rsidR="00F665E5" w:rsidRDefault="00FE7428">
            <w:pPr>
              <w:rPr>
                <w:lang w:val="en-US"/>
              </w:rPr>
            </w:pPr>
            <w:r>
              <w:rPr>
                <w:lang w:val="en-US"/>
              </w:rPr>
              <w:t>OPPO</w:t>
            </w:r>
          </w:p>
        </w:tc>
        <w:tc>
          <w:tcPr>
            <w:tcW w:w="8010" w:type="dxa"/>
          </w:tcPr>
          <w:p w:rsidR="00F665E5" w:rsidRDefault="00FE742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Understanding the intention of this TP. However, the TP seems not touching the case where different CCs are with different numerologies. </w:t>
            </w:r>
          </w:p>
        </w:tc>
      </w:tr>
      <w:tr w:rsidR="00F665E5" w:rsidTr="00F665E5">
        <w:tc>
          <w:tcPr>
            <w:cnfStyle w:val="001000000000" w:firstRow="0" w:lastRow="0" w:firstColumn="1" w:lastColumn="0" w:oddVBand="0" w:evenVBand="0" w:oddHBand="0" w:evenHBand="0" w:firstRowFirstColumn="0" w:firstRowLastColumn="0" w:lastRowFirstColumn="0" w:lastRowLastColumn="0"/>
            <w:tcW w:w="1615" w:type="dxa"/>
            <w:shd w:val="clear" w:color="auto" w:fill="D9E2F3" w:themeFill="accent1" w:themeFillTint="33"/>
          </w:tcPr>
          <w:p w:rsidR="00F665E5" w:rsidRDefault="00FE7428">
            <w:pPr>
              <w:rPr>
                <w:rFonts w:eastAsia="宋体"/>
                <w:lang w:val="en-US" w:eastAsia="zh-CN"/>
              </w:rPr>
            </w:pPr>
            <w:r>
              <w:rPr>
                <w:rFonts w:eastAsia="宋体" w:hint="eastAsia"/>
                <w:lang w:val="en-US" w:eastAsia="zh-CN"/>
              </w:rPr>
              <w:t>ZTE</w:t>
            </w:r>
          </w:p>
        </w:tc>
        <w:tc>
          <w:tcPr>
            <w:tcW w:w="8010" w:type="dxa"/>
          </w:tcPr>
          <w:p w:rsidR="00F665E5" w:rsidRDefault="00FE7428">
            <w:pPr>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宋体" w:hint="eastAsia"/>
                <w:lang w:val="en-US" w:eastAsia="zh-CN"/>
              </w:rPr>
              <w:t xml:space="preserve">Prefer to get a conclusion, such as UE does not </w:t>
            </w:r>
            <w:proofErr w:type="gramStart"/>
            <w:r>
              <w:rPr>
                <w:rFonts w:eastAsia="宋体" w:hint="eastAsia"/>
                <w:lang w:val="en-US" w:eastAsia="zh-CN"/>
              </w:rPr>
              <w:t>expect ....</w:t>
            </w:r>
            <w:proofErr w:type="gramEnd"/>
          </w:p>
        </w:tc>
      </w:tr>
    </w:tbl>
    <w:p w:rsidR="00F665E5" w:rsidRDefault="00F665E5">
      <w:pPr>
        <w:rPr>
          <w:lang w:val="en-US"/>
        </w:rPr>
      </w:pPr>
    </w:p>
    <w:p w:rsidR="00F665E5" w:rsidRDefault="00FE7428">
      <w:pPr>
        <w:pStyle w:val="1"/>
        <w:numPr>
          <w:ilvl w:val="0"/>
          <w:numId w:val="2"/>
        </w:numPr>
        <w:tabs>
          <w:tab w:val="clear" w:pos="1140"/>
          <w:tab w:val="left" w:pos="720"/>
        </w:tabs>
        <w:ind w:left="720" w:hanging="720"/>
        <w:jc w:val="both"/>
        <w:rPr>
          <w:lang w:val="en-US"/>
        </w:rPr>
      </w:pPr>
      <w:r>
        <w:rPr>
          <w:lang w:val="en-US"/>
        </w:rPr>
        <w:t>Summary</w:t>
      </w:r>
    </w:p>
    <w:p w:rsidR="00F665E5" w:rsidRDefault="00F665E5">
      <w:pPr>
        <w:rPr>
          <w:lang w:val="en-US"/>
        </w:rPr>
      </w:pPr>
    </w:p>
    <w:p w:rsidR="00F665E5" w:rsidRDefault="00FE7428">
      <w:pPr>
        <w:rPr>
          <w:b/>
          <w:bCs/>
          <w:lang w:val="en-US"/>
        </w:rPr>
      </w:pPr>
      <w:r>
        <w:rPr>
          <w:b/>
          <w:bCs/>
          <w:highlight w:val="yellow"/>
          <w:lang w:val="en-US"/>
        </w:rPr>
        <w:t>To be completed after discussion phase</w:t>
      </w:r>
    </w:p>
    <w:p w:rsidR="00F665E5" w:rsidRDefault="00F665E5">
      <w:pPr>
        <w:rPr>
          <w:lang w:val="en-US"/>
        </w:rPr>
      </w:pPr>
    </w:p>
    <w:p w:rsidR="00F665E5" w:rsidRDefault="00F665E5">
      <w:pPr>
        <w:rPr>
          <w:lang w:val="en-US"/>
        </w:rPr>
      </w:pPr>
    </w:p>
    <w:sectPr w:rsidR="00F665E5">
      <w:headerReference w:type="even" r:id="rId10"/>
      <w:foot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28" w:rsidRDefault="00FE7428">
      <w:pPr>
        <w:spacing w:after="0"/>
      </w:pPr>
      <w:r>
        <w:separator/>
      </w:r>
    </w:p>
  </w:endnote>
  <w:endnote w:type="continuationSeparator" w:id="0">
    <w:p w:rsidR="00FE7428" w:rsidRDefault="00FE7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E5" w:rsidRDefault="00FE7428">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665E5" w:rsidRDefault="00F665E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E5" w:rsidRDefault="00FE7428">
    <w:pPr>
      <w:pStyle w:val="a7"/>
      <w:ind w:right="360"/>
    </w:pPr>
    <w:r>
      <w:rPr>
        <w:rStyle w:val="ac"/>
      </w:rPr>
      <w:fldChar w:fldCharType="begin"/>
    </w:r>
    <w:r>
      <w:rPr>
        <w:rStyle w:val="ac"/>
      </w:rPr>
      <w:instrText xml:space="preserve"> PAGE </w:instrText>
    </w:r>
    <w:r>
      <w:rPr>
        <w:rStyle w:val="ac"/>
      </w:rPr>
      <w:fldChar w:fldCharType="separate"/>
    </w:r>
    <w:r w:rsidR="00111CB9">
      <w:rPr>
        <w:rStyle w:val="ac"/>
        <w:noProof/>
      </w:rPr>
      <w:t>3</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111CB9">
      <w:rPr>
        <w:rStyle w:val="ac"/>
        <w:noProof/>
      </w:rPr>
      <w:t>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28" w:rsidRDefault="00FE7428">
      <w:pPr>
        <w:spacing w:after="0"/>
      </w:pPr>
      <w:r>
        <w:separator/>
      </w:r>
    </w:p>
  </w:footnote>
  <w:footnote w:type="continuationSeparator" w:id="0">
    <w:p w:rsidR="00FE7428" w:rsidRDefault="00FE74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5E5" w:rsidRDefault="00FE74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54B01A97"/>
    <w:multiLevelType w:val="multilevel"/>
    <w:tmpl w:val="54B01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B51053A"/>
    <w:multiLevelType w:val="multilevel"/>
    <w:tmpl w:val="5B51053A"/>
    <w:lvl w:ilvl="0">
      <w:start w:val="1"/>
      <w:numFmt w:val="bullet"/>
      <w:lvlText w:val="−"/>
      <w:lvlJc w:val="left"/>
      <w:pPr>
        <w:ind w:left="720" w:hanging="360"/>
      </w:pPr>
      <w:rPr>
        <w:rFonts w:ascii="Calibre Regular" w:hAnsi="Calibre Regular"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10DAB"/>
    <w:rsid w:val="000132EA"/>
    <w:rsid w:val="00022216"/>
    <w:rsid w:val="00024847"/>
    <w:rsid w:val="00036CDA"/>
    <w:rsid w:val="00037582"/>
    <w:rsid w:val="00042869"/>
    <w:rsid w:val="00052C7F"/>
    <w:rsid w:val="00054E5C"/>
    <w:rsid w:val="00062ECC"/>
    <w:rsid w:val="00063DAE"/>
    <w:rsid w:val="00081CDD"/>
    <w:rsid w:val="00083140"/>
    <w:rsid w:val="000A03FC"/>
    <w:rsid w:val="000A5F4F"/>
    <w:rsid w:val="000D60FD"/>
    <w:rsid w:val="00111CB9"/>
    <w:rsid w:val="00122D19"/>
    <w:rsid w:val="00124E5D"/>
    <w:rsid w:val="00125DAC"/>
    <w:rsid w:val="00143937"/>
    <w:rsid w:val="00146E52"/>
    <w:rsid w:val="00154C05"/>
    <w:rsid w:val="00157874"/>
    <w:rsid w:val="0015790E"/>
    <w:rsid w:val="001754AC"/>
    <w:rsid w:val="001A285B"/>
    <w:rsid w:val="001A452F"/>
    <w:rsid w:val="001B159B"/>
    <w:rsid w:val="001B1EC7"/>
    <w:rsid w:val="001E1134"/>
    <w:rsid w:val="001F59C7"/>
    <w:rsid w:val="00250A73"/>
    <w:rsid w:val="00255F0A"/>
    <w:rsid w:val="00260902"/>
    <w:rsid w:val="00264BCD"/>
    <w:rsid w:val="002742EE"/>
    <w:rsid w:val="00281EF7"/>
    <w:rsid w:val="0029388D"/>
    <w:rsid w:val="002C337E"/>
    <w:rsid w:val="002E4799"/>
    <w:rsid w:val="00321376"/>
    <w:rsid w:val="00323FC2"/>
    <w:rsid w:val="00340D26"/>
    <w:rsid w:val="00362F3B"/>
    <w:rsid w:val="00364315"/>
    <w:rsid w:val="00385333"/>
    <w:rsid w:val="00386F50"/>
    <w:rsid w:val="003A7016"/>
    <w:rsid w:val="003A7227"/>
    <w:rsid w:val="003C5BD8"/>
    <w:rsid w:val="003E4EB7"/>
    <w:rsid w:val="00400A2E"/>
    <w:rsid w:val="0041454F"/>
    <w:rsid w:val="0041506D"/>
    <w:rsid w:val="0042630D"/>
    <w:rsid w:val="004307B2"/>
    <w:rsid w:val="00431380"/>
    <w:rsid w:val="00476C2A"/>
    <w:rsid w:val="0049613A"/>
    <w:rsid w:val="004D634E"/>
    <w:rsid w:val="005161FA"/>
    <w:rsid w:val="00520E7B"/>
    <w:rsid w:val="00520F4B"/>
    <w:rsid w:val="00527F03"/>
    <w:rsid w:val="00527F8A"/>
    <w:rsid w:val="00534022"/>
    <w:rsid w:val="0055738F"/>
    <w:rsid w:val="00575085"/>
    <w:rsid w:val="00586156"/>
    <w:rsid w:val="00592D68"/>
    <w:rsid w:val="00597F66"/>
    <w:rsid w:val="005A74CD"/>
    <w:rsid w:val="005B2631"/>
    <w:rsid w:val="005B43DA"/>
    <w:rsid w:val="005D201C"/>
    <w:rsid w:val="005D62EC"/>
    <w:rsid w:val="005F180A"/>
    <w:rsid w:val="005F48D2"/>
    <w:rsid w:val="00601F79"/>
    <w:rsid w:val="00620296"/>
    <w:rsid w:val="00623263"/>
    <w:rsid w:val="00632162"/>
    <w:rsid w:val="0065097C"/>
    <w:rsid w:val="00686CD6"/>
    <w:rsid w:val="00691A55"/>
    <w:rsid w:val="006B3A59"/>
    <w:rsid w:val="006D4294"/>
    <w:rsid w:val="006E23E2"/>
    <w:rsid w:val="0075364E"/>
    <w:rsid w:val="0076206A"/>
    <w:rsid w:val="00794448"/>
    <w:rsid w:val="007A50D7"/>
    <w:rsid w:val="007A661A"/>
    <w:rsid w:val="007B4F28"/>
    <w:rsid w:val="007C370A"/>
    <w:rsid w:val="007E7769"/>
    <w:rsid w:val="008018C7"/>
    <w:rsid w:val="008208F6"/>
    <w:rsid w:val="008260B0"/>
    <w:rsid w:val="00835C35"/>
    <w:rsid w:val="00853A4F"/>
    <w:rsid w:val="00872727"/>
    <w:rsid w:val="008C6866"/>
    <w:rsid w:val="008D60F7"/>
    <w:rsid w:val="00904028"/>
    <w:rsid w:val="00935E08"/>
    <w:rsid w:val="00947AC6"/>
    <w:rsid w:val="00983EFA"/>
    <w:rsid w:val="009B5728"/>
    <w:rsid w:val="009D00FC"/>
    <w:rsid w:val="009E2C20"/>
    <w:rsid w:val="009F0072"/>
    <w:rsid w:val="00A06BA2"/>
    <w:rsid w:val="00A236B8"/>
    <w:rsid w:val="00A238B6"/>
    <w:rsid w:val="00A40DBD"/>
    <w:rsid w:val="00A45641"/>
    <w:rsid w:val="00A5043D"/>
    <w:rsid w:val="00A57E39"/>
    <w:rsid w:val="00A64E9E"/>
    <w:rsid w:val="00A95F95"/>
    <w:rsid w:val="00AA685A"/>
    <w:rsid w:val="00AB425B"/>
    <w:rsid w:val="00AB6DBE"/>
    <w:rsid w:val="00AD444A"/>
    <w:rsid w:val="00AE7EB7"/>
    <w:rsid w:val="00AF4525"/>
    <w:rsid w:val="00B006C7"/>
    <w:rsid w:val="00B17212"/>
    <w:rsid w:val="00B32506"/>
    <w:rsid w:val="00B42AB1"/>
    <w:rsid w:val="00B563DD"/>
    <w:rsid w:val="00B64F64"/>
    <w:rsid w:val="00BA11DA"/>
    <w:rsid w:val="00BA2B73"/>
    <w:rsid w:val="00BC4F84"/>
    <w:rsid w:val="00BC5A12"/>
    <w:rsid w:val="00BD0F8A"/>
    <w:rsid w:val="00BF27FB"/>
    <w:rsid w:val="00BF35BE"/>
    <w:rsid w:val="00C00244"/>
    <w:rsid w:val="00C056B0"/>
    <w:rsid w:val="00C24792"/>
    <w:rsid w:val="00C51EDA"/>
    <w:rsid w:val="00CA3350"/>
    <w:rsid w:val="00CD6583"/>
    <w:rsid w:val="00CF57B9"/>
    <w:rsid w:val="00D10724"/>
    <w:rsid w:val="00D17E0D"/>
    <w:rsid w:val="00D31AEF"/>
    <w:rsid w:val="00D43F0A"/>
    <w:rsid w:val="00D6066F"/>
    <w:rsid w:val="00D76286"/>
    <w:rsid w:val="00D8305F"/>
    <w:rsid w:val="00D9198E"/>
    <w:rsid w:val="00DC6F4D"/>
    <w:rsid w:val="00DE49A3"/>
    <w:rsid w:val="00DE781F"/>
    <w:rsid w:val="00E06B08"/>
    <w:rsid w:val="00E21D2F"/>
    <w:rsid w:val="00E357FC"/>
    <w:rsid w:val="00E53160"/>
    <w:rsid w:val="00E605EA"/>
    <w:rsid w:val="00E64FFE"/>
    <w:rsid w:val="00E74BCC"/>
    <w:rsid w:val="00EE204A"/>
    <w:rsid w:val="00EF15B3"/>
    <w:rsid w:val="00EF786E"/>
    <w:rsid w:val="00F00BC4"/>
    <w:rsid w:val="00F22702"/>
    <w:rsid w:val="00F34287"/>
    <w:rsid w:val="00F4496B"/>
    <w:rsid w:val="00F47E3B"/>
    <w:rsid w:val="00F5209A"/>
    <w:rsid w:val="00F553C0"/>
    <w:rsid w:val="00F5785D"/>
    <w:rsid w:val="00F63972"/>
    <w:rsid w:val="00F665E5"/>
    <w:rsid w:val="00F67F4B"/>
    <w:rsid w:val="00F8682C"/>
    <w:rsid w:val="00FA2448"/>
    <w:rsid w:val="00FD12FE"/>
    <w:rsid w:val="00FE7428"/>
    <w:rsid w:val="00FF0D56"/>
    <w:rsid w:val="77AA7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ACEA36-869A-4859-9BAF-B6622247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Times New Roman" w:hAnsi="Times New Roman"/>
      <w:lang w:val="en-GB" w:eastAsia="en-US"/>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pPr>
      <w:widowControl w:val="0"/>
      <w:numPr>
        <w:numId w:val="1"/>
      </w:numPr>
      <w:spacing w:after="0"/>
      <w:jc w:val="both"/>
    </w:pPr>
    <w:rPr>
      <w:rFonts w:eastAsia="MS Gothic"/>
      <w:kern w:val="2"/>
      <w:lang w:val="en-US" w:eastAsia="ja-JP"/>
    </w:rPr>
  </w:style>
  <w:style w:type="paragraph" w:styleId="a5">
    <w:name w:val="annotation text"/>
    <w:basedOn w:val="a0"/>
    <w:link w:val="Char0"/>
    <w:uiPriority w:val="99"/>
    <w:semiHidden/>
    <w:unhideWhenUsed/>
    <w:pPr>
      <w:overflowPunct w:val="0"/>
      <w:autoSpaceDE w:val="0"/>
      <w:autoSpaceDN w:val="0"/>
      <w:adjustRightInd w:val="0"/>
      <w:textAlignment w:val="baseline"/>
    </w:pPr>
    <w:rPr>
      <w:rFonts w:eastAsia="宋体"/>
    </w:rPr>
  </w:style>
  <w:style w:type="paragraph" w:styleId="20">
    <w:name w:val="List 2"/>
    <w:basedOn w:val="a0"/>
    <w:uiPriority w:val="99"/>
    <w:semiHidden/>
    <w:unhideWhenUsed/>
    <w:pPr>
      <w:ind w:left="720" w:hanging="360"/>
      <w:contextualSpacing/>
    </w:pPr>
  </w:style>
  <w:style w:type="paragraph" w:styleId="a6">
    <w:name w:val="Balloon Text"/>
    <w:basedOn w:val="a0"/>
    <w:link w:val="Char1"/>
    <w:uiPriority w:val="99"/>
    <w:semiHidden/>
    <w:unhideWhenUsed/>
    <w:pPr>
      <w:overflowPunct w:val="0"/>
      <w:autoSpaceDE w:val="0"/>
      <w:autoSpaceDN w:val="0"/>
      <w:adjustRightInd w:val="0"/>
      <w:spacing w:after="0"/>
      <w:textAlignment w:val="baseline"/>
    </w:pPr>
    <w:rPr>
      <w:rFonts w:ascii="Segoe UI" w:eastAsia="宋体" w:hAnsi="Segoe UI" w:cs="Segoe UI"/>
      <w:sz w:val="18"/>
      <w:szCs w:val="18"/>
    </w:rPr>
  </w:style>
  <w:style w:type="paragraph" w:styleId="a7">
    <w:name w:val="footer"/>
    <w:basedOn w:val="a8"/>
    <w:link w:val="Char2"/>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宋体" w:hAnsi="Arial"/>
      <w:b/>
      <w:sz w:val="18"/>
      <w:lang w:eastAsia="en-US"/>
    </w:rPr>
  </w:style>
  <w:style w:type="paragraph" w:styleId="a9">
    <w:name w:val="List"/>
    <w:basedOn w:val="a0"/>
    <w:uiPriority w:val="99"/>
    <w:semiHidden/>
    <w:unhideWhenUsed/>
    <w:pPr>
      <w:overflowPunct w:val="0"/>
      <w:autoSpaceDE w:val="0"/>
      <w:autoSpaceDN w:val="0"/>
      <w:adjustRightInd w:val="0"/>
      <w:ind w:left="360" w:hanging="360"/>
      <w:contextualSpacing/>
      <w:textAlignment w:val="baseline"/>
    </w:pPr>
    <w:rPr>
      <w:rFonts w:eastAsia="宋体"/>
    </w:rPr>
  </w:style>
  <w:style w:type="paragraph" w:styleId="aa">
    <w:name w:val="annotation subject"/>
    <w:basedOn w:val="a5"/>
    <w:next w:val="a5"/>
    <w:link w:val="Char4"/>
    <w:uiPriority w:val="99"/>
    <w:semiHidden/>
    <w:unhideWhenUsed/>
    <w:rPr>
      <w:b/>
      <w:bCs/>
    </w:rPr>
  </w:style>
  <w:style w:type="table" w:styleId="ab">
    <w:name w:val="Table Grid"/>
    <w:basedOn w:val="a2"/>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style>
  <w:style w:type="character" w:styleId="ad">
    <w:name w:val="Hyperlink"/>
    <w:uiPriority w:val="99"/>
    <w:qFormat/>
    <w:rPr>
      <w:color w:val="0000FF"/>
      <w:u w:val="single"/>
    </w:rPr>
  </w:style>
  <w:style w:type="character" w:styleId="ae">
    <w:name w:val="annotation reference"/>
    <w:basedOn w:val="a1"/>
    <w:uiPriority w:val="99"/>
    <w:semiHidden/>
    <w:unhideWhenUsed/>
    <w:rPr>
      <w:sz w:val="16"/>
      <w:szCs w:val="16"/>
    </w:rPr>
  </w:style>
  <w:style w:type="character" w:customStyle="1" w:styleId="Char1">
    <w:name w:val="批注框文本 Char"/>
    <w:basedOn w:val="a1"/>
    <w:link w:val="a6"/>
    <w:uiPriority w:val="99"/>
    <w:semiHidden/>
    <w:rPr>
      <w:rFonts w:ascii="Segoe UI" w:eastAsia="宋体" w:hAnsi="Segoe UI" w:cs="Segoe UI"/>
      <w:sz w:val="18"/>
      <w:szCs w:val="18"/>
      <w:lang w:val="en-GB"/>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Char3">
    <w:name w:val="页眉 Char"/>
    <w:link w:val="a8"/>
    <w:rPr>
      <w:rFonts w:ascii="Arial" w:eastAsia="宋体" w:hAnsi="Arial" w:cs="Times New Roman"/>
      <w:b/>
      <w:sz w:val="18"/>
      <w:szCs w:val="20"/>
    </w:rPr>
  </w:style>
  <w:style w:type="character" w:customStyle="1" w:styleId="Char2">
    <w:name w:val="页脚 Char"/>
    <w:link w:val="a7"/>
    <w:rPr>
      <w:rFonts w:ascii="Arial" w:eastAsia="宋体" w:hAnsi="Arial" w:cs="Times New Roman"/>
      <w:b/>
      <w:i/>
      <w:sz w:val="18"/>
      <w:szCs w:val="20"/>
    </w:rPr>
  </w:style>
  <w:style w:type="character" w:customStyle="1" w:styleId="1Char">
    <w:name w:val="标题 1 Char"/>
    <w:link w:val="1"/>
    <w:uiPriority w:val="9"/>
    <w:rPr>
      <w:rFonts w:ascii="Arial" w:eastAsia="宋体" w:hAnsi="Arial" w:cs="Times New Roman"/>
      <w:sz w:val="36"/>
      <w:szCs w:val="20"/>
      <w:lang w:val="en-GB"/>
    </w:rPr>
  </w:style>
  <w:style w:type="paragraph" w:styleId="af">
    <w:name w:val="List Paragraph"/>
    <w:basedOn w:val="a0"/>
    <w:link w:val="Char5"/>
    <w:uiPriority w:val="34"/>
    <w:qFormat/>
    <w:pPr>
      <w:overflowPunct w:val="0"/>
      <w:autoSpaceDE w:val="0"/>
      <w:autoSpaceDN w:val="0"/>
      <w:adjustRightInd w:val="0"/>
      <w:ind w:left="720"/>
      <w:contextualSpacing/>
      <w:textAlignment w:val="baseline"/>
    </w:pPr>
    <w:rPr>
      <w:rFonts w:eastAsia="宋体"/>
    </w:rPr>
  </w:style>
  <w:style w:type="paragraph" w:customStyle="1" w:styleId="B1">
    <w:name w:val="B1"/>
    <w:basedOn w:val="a9"/>
    <w:link w:val="B1Char1"/>
    <w:qFormat/>
    <w:pPr>
      <w:overflowPunct/>
      <w:autoSpaceDE/>
      <w:autoSpaceDN/>
      <w:adjustRightInd/>
      <w:ind w:left="568" w:hanging="284"/>
      <w:contextualSpacing w:val="0"/>
      <w:textAlignment w:val="auto"/>
    </w:pPr>
    <w:rPr>
      <w:rFonts w:eastAsia="Malgun Gothic"/>
    </w:rPr>
  </w:style>
  <w:style w:type="character" w:customStyle="1" w:styleId="Char">
    <w:name w:val="题注 Char"/>
    <w:link w:val="a4"/>
    <w:uiPriority w:val="35"/>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rPr>
      <w:b/>
    </w:rPr>
  </w:style>
  <w:style w:type="paragraph" w:customStyle="1" w:styleId="TAC">
    <w:name w:val="TAC"/>
    <w:basedOn w:val="a0"/>
    <w:link w:val="TACChar"/>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Pr>
      <w:rFonts w:ascii="Arial" w:eastAsia="Times New Roman" w:hAnsi="Arial" w:cs="Times New Roman"/>
      <w:sz w:val="18"/>
      <w:szCs w:val="20"/>
      <w:lang w:val="en-GB" w:eastAsia="en-GB"/>
    </w:rPr>
  </w:style>
  <w:style w:type="character" w:customStyle="1" w:styleId="TAHCar">
    <w:name w:val="TAH Car"/>
    <w:link w:val="TAH"/>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styleId="af0">
    <w:name w:val="Placeholder Text"/>
    <w:basedOn w:val="a1"/>
    <w:uiPriority w:val="99"/>
    <w:semiHidden/>
    <w:rPr>
      <w:color w:val="808080"/>
    </w:rPr>
  </w:style>
  <w:style w:type="character" w:customStyle="1" w:styleId="Char0">
    <w:name w:val="批注文字 Char"/>
    <w:basedOn w:val="a1"/>
    <w:link w:val="a5"/>
    <w:uiPriority w:val="99"/>
    <w:semiHidden/>
    <w:rPr>
      <w:rFonts w:ascii="Times New Roman" w:eastAsia="宋体" w:hAnsi="Times New Roman"/>
      <w:lang w:val="en-GB"/>
    </w:rPr>
  </w:style>
  <w:style w:type="character" w:customStyle="1" w:styleId="Char4">
    <w:name w:val="批注主题 Char"/>
    <w:basedOn w:val="Char0"/>
    <w:link w:val="aa"/>
    <w:uiPriority w:val="99"/>
    <w:semiHidden/>
    <w:rPr>
      <w:rFonts w:ascii="Times New Roman" w:eastAsia="宋体" w:hAnsi="Times New Roman"/>
      <w:b/>
      <w:bCs/>
      <w:lang w:val="en-GB"/>
    </w:rPr>
  </w:style>
  <w:style w:type="character" w:customStyle="1" w:styleId="3Char">
    <w:name w:val="标题 3 Char"/>
    <w:basedOn w:val="a1"/>
    <w:link w:val="3"/>
    <w:semiHidden/>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locked/>
    <w:rPr>
      <w:rFonts w:ascii="Arial" w:hAnsi="Arial" w:cs="Arial"/>
      <w:b/>
      <w:lang w:val="en-GB"/>
    </w:rPr>
  </w:style>
  <w:style w:type="paragraph" w:customStyle="1" w:styleId="TH">
    <w:name w:val="TH"/>
    <w:basedOn w:val="a0"/>
    <w:link w:val="THChar"/>
    <w:pPr>
      <w:keepNext/>
      <w:keepLines/>
      <w:spacing w:before="60"/>
      <w:jc w:val="center"/>
    </w:pPr>
    <w:rPr>
      <w:rFonts w:ascii="Arial" w:eastAsia="Calibri" w:hAnsi="Arial" w:cs="Arial"/>
      <w:b/>
    </w:rPr>
  </w:style>
  <w:style w:type="character" w:customStyle="1" w:styleId="Char5">
    <w:name w:val="列出段落 Char"/>
    <w:link w:val="af"/>
    <w:uiPriority w:val="34"/>
    <w:qFormat/>
    <w:locked/>
    <w:rPr>
      <w:rFonts w:ascii="Times New Roman" w:eastAsia="宋体" w:hAnsi="Times New Roman"/>
      <w:lang w:val="en-GB"/>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pPr>
      <w:spacing w:after="120"/>
    </w:pPr>
    <w:rPr>
      <w:rFonts w:ascii="Arial" w:eastAsia="Times New Roman" w:hAnsi="Arial"/>
      <w:lang w:val="en-GB" w:eastAsia="en-US"/>
    </w:rPr>
  </w:style>
  <w:style w:type="character" w:customStyle="1" w:styleId="4Char">
    <w:name w:val="标题 4 Char"/>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26"/>
      <w:szCs w:val="26"/>
      <w:lang w:val="en-GB"/>
    </w:rPr>
  </w:style>
  <w:style w:type="table" w:customStyle="1" w:styleId="61">
    <w:name w:val="网格表 6 彩色1"/>
    <w:basedOn w:val="a2"/>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清单表 31"/>
    <w:basedOn w:val="a2"/>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清单表 41"/>
    <w:basedOn w:val="a2"/>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无格式表格 11"/>
    <w:basedOn w:val="a2"/>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网格型浅色1"/>
    <w:basedOn w:val="a2"/>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a2"/>
    <w:uiPriority w:val="59"/>
    <w:qFormat/>
    <w:pPr>
      <w:spacing w:before="120" w:line="280" w:lineRule="atLeast"/>
      <w:jc w:val="both"/>
    </w:pPr>
    <w:rPr>
      <w:rFonts w:ascii="New York" w:eastAsia="宋体"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表 4 - 着色 51"/>
    <w:basedOn w:val="a2"/>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67C2A-D188-4B16-885A-1E9D1C74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TAMRAKAR RAKESH</cp:lastModifiedBy>
  <cp:revision>3</cp:revision>
  <cp:lastPrinted>2020-02-10T06:14:00Z</cp:lastPrinted>
  <dcterms:created xsi:type="dcterms:W3CDTF">2021-01-27T06:19:00Z</dcterms:created>
  <dcterms:modified xsi:type="dcterms:W3CDTF">2021-01-27T06:20:00Z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D:\2021\3gpp\104-e\7.1 CR\104-e-NR-7.1CRs-13\R1-200xxxx [104-e-NR-7.1CRs-13] v001 Moderator Eric.docx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1611681123</vt:lpwstr>
  </property>
  <property fmtid="{D5CDD505-2E9C-101B-9397-08002B2CF9AE}" pid="8" name="KSOProductBuildVer">
    <vt:lpwstr>2052-11.8.2.9022</vt:lpwstr>
  </property>
</Properties>
</file>