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4B0D4E9D"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ab"/>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1" w:history="1">
        <w:r>
          <w:rPr>
            <w:rStyle w:val="af6"/>
            <w:lang w:val="en-GB"/>
          </w:rPr>
          <w:t>R1-21000</w:t>
        </w:r>
        <w:r w:rsidR="002E2839">
          <w:rPr>
            <w:rStyle w:val="af6"/>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aff5"/>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ab"/>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ab"/>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ab"/>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aff0"/>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af6"/>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5C5EEA" w:rsidP="002E2839">
      <w:pPr>
        <w:pStyle w:val="aff0"/>
        <w:numPr>
          <w:ilvl w:val="0"/>
          <w:numId w:val="32"/>
        </w:numPr>
        <w:overflowPunct/>
        <w:autoSpaceDE/>
        <w:autoSpaceDN/>
        <w:adjustRightInd/>
        <w:textAlignment w:val="auto"/>
        <w:rPr>
          <w:lang w:eastAsia="x-none"/>
        </w:rPr>
      </w:pPr>
      <w:hyperlink r:id="rId12" w:history="1">
        <w:r w:rsidR="002E2839">
          <w:rPr>
            <w:rStyle w:val="af6"/>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5C5EEA" w:rsidP="002E2839">
      <w:pPr>
        <w:pStyle w:val="aff0"/>
        <w:numPr>
          <w:ilvl w:val="0"/>
          <w:numId w:val="32"/>
        </w:numPr>
        <w:overflowPunct/>
        <w:autoSpaceDE/>
        <w:autoSpaceDN/>
        <w:adjustRightInd/>
        <w:textAlignment w:val="auto"/>
        <w:rPr>
          <w:lang w:eastAsia="x-none"/>
        </w:rPr>
      </w:pPr>
      <w:hyperlink r:id="rId13" w:history="1">
        <w:r w:rsidR="002E2839">
          <w:rPr>
            <w:rStyle w:val="af6"/>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5C5EEA" w:rsidP="002E2839">
      <w:pPr>
        <w:pStyle w:val="aff0"/>
        <w:numPr>
          <w:ilvl w:val="0"/>
          <w:numId w:val="32"/>
        </w:numPr>
        <w:overflowPunct/>
        <w:autoSpaceDE/>
        <w:autoSpaceDN/>
        <w:adjustRightInd/>
        <w:textAlignment w:val="auto"/>
        <w:rPr>
          <w:lang w:eastAsia="x-none"/>
        </w:rPr>
      </w:pPr>
      <w:hyperlink r:id="rId14" w:history="1">
        <w:r w:rsidR="002E2839">
          <w:rPr>
            <w:rStyle w:val="af6"/>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5C5EEA" w:rsidP="002E2839">
      <w:pPr>
        <w:pStyle w:val="aff0"/>
        <w:numPr>
          <w:ilvl w:val="0"/>
          <w:numId w:val="32"/>
        </w:numPr>
        <w:overflowPunct/>
        <w:autoSpaceDE/>
        <w:autoSpaceDN/>
        <w:adjustRightInd/>
        <w:textAlignment w:val="auto"/>
        <w:rPr>
          <w:lang w:eastAsia="x-none"/>
        </w:rPr>
      </w:pPr>
      <w:hyperlink r:id="rId15" w:history="1">
        <w:r w:rsidR="002E2839">
          <w:rPr>
            <w:rStyle w:val="af6"/>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5C5EEA" w:rsidP="002E2839">
      <w:pPr>
        <w:pStyle w:val="aff0"/>
        <w:numPr>
          <w:ilvl w:val="0"/>
          <w:numId w:val="32"/>
        </w:numPr>
        <w:overflowPunct/>
        <w:autoSpaceDE/>
        <w:autoSpaceDN/>
        <w:adjustRightInd/>
        <w:textAlignment w:val="auto"/>
        <w:rPr>
          <w:lang w:eastAsia="x-none"/>
        </w:rPr>
      </w:pPr>
      <w:hyperlink r:id="rId16" w:history="1">
        <w:r w:rsidR="002E2839">
          <w:rPr>
            <w:rStyle w:val="af6"/>
            <w:lang w:eastAsia="x-none"/>
          </w:rPr>
          <w:t>R1-2101745</w:t>
        </w:r>
      </w:hyperlink>
      <w:r w:rsidR="002E2839">
        <w:rPr>
          <w:lang w:eastAsia="x-none"/>
        </w:rPr>
        <w:tab/>
        <w:t>Discussion on LS on half-duplex operation</w:t>
      </w:r>
      <w:r w:rsidR="002E2839">
        <w:rPr>
          <w:lang w:eastAsia="x-none"/>
        </w:rPr>
        <w:tab/>
        <w:t xml:space="preserve">Huawei, </w:t>
      </w:r>
      <w:proofErr w:type="spellStart"/>
      <w:r w:rsidR="002E2839">
        <w:rPr>
          <w:lang w:eastAsia="x-none"/>
        </w:rPr>
        <w:t>HiSilicon</w:t>
      </w:r>
      <w:proofErr w:type="spellEnd"/>
    </w:p>
    <w:bookmarkEnd w:id="3"/>
    <w:p w14:paraId="29A21C9B" w14:textId="267049A1" w:rsidR="00BA6870" w:rsidRDefault="004B4BFC" w:rsidP="00BA6870">
      <w:pPr>
        <w:pStyle w:val="1"/>
        <w:rPr>
          <w:rStyle w:val="10"/>
        </w:rPr>
      </w:pPr>
      <w:r>
        <w:rPr>
          <w:rStyle w:val="10"/>
        </w:rPr>
        <w:lastRenderedPageBreak/>
        <w:t>2</w:t>
      </w:r>
      <w:r w:rsidR="000702B2">
        <w:rPr>
          <w:rStyle w:val="10"/>
        </w:rPr>
        <w:tab/>
      </w:r>
      <w:bookmarkEnd w:id="4"/>
      <w:r>
        <w:rPr>
          <w:rStyle w:val="10"/>
        </w:rPr>
        <w:t>Proposals submitted to AI5</w:t>
      </w:r>
      <w:r w:rsidR="007A0AEE">
        <w:rPr>
          <w:rStyle w:val="10"/>
        </w:rPr>
        <w:t xml:space="preserve"> related to the LS</w:t>
      </w:r>
    </w:p>
    <w:p w14:paraId="03A00209" w14:textId="76D3FF26" w:rsidR="004B4BFC" w:rsidRDefault="004B4BFC" w:rsidP="004B4BFC">
      <w:pPr>
        <w:pStyle w:val="21"/>
      </w:pPr>
      <w:r>
        <w:t>2.1</w:t>
      </w:r>
      <w:r>
        <w:tab/>
        <w:t>R1-2100085</w:t>
      </w:r>
    </w:p>
    <w:tbl>
      <w:tblPr>
        <w:tblStyle w:val="aff5"/>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w:t>
            </w:r>
            <w:proofErr w:type="spellStart"/>
            <w:r w:rsidRPr="004B4BFC">
              <w:rPr>
                <w:rFonts w:ascii="Arial" w:hAnsi="Arial" w:cs="Arial"/>
                <w:lang w:val="en-GB"/>
              </w:rPr>
              <w:t>behavior</w:t>
            </w:r>
            <w:proofErr w:type="spellEnd"/>
            <w:r w:rsidRPr="004B4BFC">
              <w:rPr>
                <w:rFonts w:ascii="Arial" w:hAnsi="Arial" w:cs="Arial"/>
                <w:lang w:val="en-GB"/>
              </w:rPr>
              <w:t xml:space="preserve">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ab"/>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21"/>
      </w:pPr>
      <w:r>
        <w:t>2.2</w:t>
      </w:r>
      <w:r>
        <w:tab/>
        <w:t>R1-2100319</w:t>
      </w:r>
    </w:p>
    <w:tbl>
      <w:tblPr>
        <w:tblStyle w:val="aff5"/>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aff0"/>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aff0"/>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aff0"/>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each frequency band.</w:t>
            </w:r>
          </w:p>
          <w:p w14:paraId="48D5BCA4" w14:textId="77777777" w:rsidR="004B4BFC" w:rsidRPr="004B4BFC" w:rsidRDefault="004B4BFC" w:rsidP="004B4BFC">
            <w:pPr>
              <w:pStyle w:val="aff0"/>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ab"/>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21"/>
      </w:pPr>
      <w:r>
        <w:t>2.3</w:t>
      </w:r>
      <w:r>
        <w:tab/>
        <w:t>R1-2100504</w:t>
      </w:r>
    </w:p>
    <w:tbl>
      <w:tblPr>
        <w:tblStyle w:val="aff5"/>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lastRenderedPageBreak/>
              <w:t>RAN1 discussed the LS and has agreed to a CR to 38.213 with the following modifications to the conditions when the half-duplex operation applies:</w:t>
            </w:r>
          </w:p>
          <w:tbl>
            <w:tblPr>
              <w:tblStyle w:val="aff5"/>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等线"/>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w:t>
                  </w:r>
                  <w:proofErr w:type="spellStart"/>
                  <w:r w:rsidRPr="004B4BFC">
                    <w:rPr>
                      <w:strike/>
                      <w:color w:val="FF0000"/>
                      <w:lang w:val="en-GB" w:eastAsia="fi-FI"/>
                    </w:rPr>
                    <w:t>behavior</w:t>
                  </w:r>
                  <w:proofErr w:type="spellEnd"/>
                  <w:r w:rsidRPr="004B4BFC">
                    <w:rPr>
                      <w:color w:val="FF0000"/>
                      <w:u w:val="single"/>
                      <w:lang w:val="en-GB" w:eastAsia="fi-FI"/>
                    </w:rPr>
                    <w:t xml:space="preserve"> directionalCollisionHandling-r16</w:t>
                  </w:r>
                  <w:r w:rsidRPr="004B4BFC">
                    <w:rPr>
                      <w:lang w:val="en-GB" w:eastAsia="fi-FI"/>
                    </w:rPr>
                    <w:t xml:space="preserve"> = '</w:t>
                  </w:r>
                  <w:proofErr w:type="spellStart"/>
                  <w:r w:rsidRPr="004B4BFC">
                    <w:rPr>
                      <w:strike/>
                      <w:color w:val="FF0000"/>
                      <w:lang w:val="en-GB" w:eastAsia="fi-FI"/>
                    </w:rPr>
                    <w:t>enable</w:t>
                  </w:r>
                  <w:r w:rsidRPr="004B4BFC">
                    <w:rPr>
                      <w:color w:val="FF0000"/>
                      <w:u w:val="single"/>
                      <w:lang w:val="en-GB" w:eastAsia="fi-FI"/>
                    </w:rPr>
                    <w:t>enabled</w:t>
                  </w:r>
                  <w:proofErr w:type="spellEnd"/>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等线"/>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等线"/>
                      <w:color w:val="FF0000"/>
                      <w:u w:val="single"/>
                      <w:lang w:val="en-GB" w:eastAsia="fi-FI"/>
                    </w:rPr>
                    <w:t>-</w:t>
                  </w:r>
                  <w:r w:rsidRPr="004B4BFC">
                    <w:rPr>
                      <w:rFonts w:eastAsia="等线"/>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proofErr w:type="spellStart"/>
                  <w:r w:rsidRPr="004B4BFC">
                    <w:rPr>
                      <w:i/>
                      <w:iCs/>
                      <w:color w:val="FF0000"/>
                      <w:u w:val="single"/>
                      <w:lang w:val="en-GB" w:eastAsia="fi-FI"/>
                    </w:rPr>
                    <w:t>simultaneousRxTxInterBandCA</w:t>
                  </w:r>
                  <w:proofErr w:type="spellEnd"/>
                  <w:r w:rsidRPr="004B4BFC">
                    <w:rPr>
                      <w:color w:val="FF0000"/>
                      <w:u w:val="single"/>
                      <w:lang w:val="en-GB" w:eastAsia="fi-FI"/>
                    </w:rPr>
                    <w:t xml:space="preserve"> capability</w:t>
                  </w:r>
                  <w:r w:rsidRPr="004B4BFC">
                    <w:rPr>
                      <w:lang w:val="en-GB" w:eastAsia="fi-FI"/>
                    </w:rPr>
                    <w:t xml:space="preserve">, </w:t>
                  </w:r>
                  <w:r w:rsidRPr="004B4BFC">
                    <w:rPr>
                      <w:rFonts w:eastAsia="等线"/>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等线"/>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等线"/>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等线"/>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aff0"/>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aff0"/>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aff0"/>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aff0"/>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aff0"/>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ab"/>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21"/>
      </w:pPr>
      <w:r>
        <w:lastRenderedPageBreak/>
        <w:t>2.4</w:t>
      </w:r>
      <w:r>
        <w:tab/>
        <w:t>R1-2101158</w:t>
      </w:r>
    </w:p>
    <w:tbl>
      <w:tblPr>
        <w:tblStyle w:val="aff5"/>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w:t>
            </w:r>
            <w:proofErr w:type="spellStart"/>
            <w:r w:rsidRPr="004B4BFC">
              <w:rPr>
                <w:rFonts w:ascii="Arial" w:hAnsi="Arial" w:cs="Arial"/>
                <w:lang w:val="en-GB"/>
              </w:rPr>
              <w:t>behavior</w:t>
            </w:r>
            <w:proofErr w:type="spellEnd"/>
            <w:r w:rsidRPr="004B4BFC">
              <w:rPr>
                <w:rFonts w:ascii="Arial" w:hAnsi="Arial" w:cs="Arial"/>
                <w:lang w:val="en-GB"/>
              </w:rPr>
              <w:t xml:space="preserve">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aff0"/>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aff0"/>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lastRenderedPageBreak/>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21"/>
      </w:pPr>
      <w:r>
        <w:lastRenderedPageBreak/>
        <w:t>2.5</w:t>
      </w:r>
      <w:r>
        <w:tab/>
        <w:t>R1-2101163</w:t>
      </w:r>
    </w:p>
    <w:tbl>
      <w:tblPr>
        <w:tblStyle w:val="aff5"/>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ab"/>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21"/>
      </w:pPr>
      <w:r>
        <w:t>2.6</w:t>
      </w:r>
      <w:r>
        <w:tab/>
        <w:t>R1-2101745</w:t>
      </w:r>
    </w:p>
    <w:tbl>
      <w:tblPr>
        <w:tblStyle w:val="aff5"/>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w:t>
            </w:r>
            <w:proofErr w:type="spellStart"/>
            <w:r w:rsidRPr="00866940">
              <w:rPr>
                <w:iCs/>
                <w:lang w:val="en-GB" w:eastAsia="zh-CN"/>
              </w:rPr>
              <w:t>behavior</w:t>
            </w:r>
            <w:proofErr w:type="spellEnd"/>
            <w:r w:rsidRPr="00866940">
              <w:rPr>
                <w:iCs/>
                <w:lang w:val="en-GB" w:eastAsia="zh-CN"/>
              </w:rPr>
              <w:t xml:space="preserve">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1"/>
      </w:pPr>
      <w:r>
        <w:rPr>
          <w:rStyle w:val="10"/>
        </w:rPr>
        <w:t>3</w:t>
      </w:r>
      <w:r>
        <w:rPr>
          <w:rStyle w:val="10"/>
        </w:rPr>
        <w:tab/>
        <w:t>Discussion</w:t>
      </w:r>
      <w:r w:rsidR="007A0AEE">
        <w:rPr>
          <w:rStyle w:val="10"/>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aff0"/>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aff0"/>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aff0"/>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aff0"/>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aff0"/>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aff0"/>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Look w:val="04A0" w:firstRow="1" w:lastRow="0" w:firstColumn="1" w:lastColumn="0" w:noHBand="0" w:noVBand="1"/>
      </w:tblPr>
      <w:tblGrid>
        <w:gridCol w:w="1838"/>
        <w:gridCol w:w="7938"/>
      </w:tblGrid>
      <w:tr w:rsidR="00A55849" w:rsidRPr="00BA6870" w14:paraId="51D2C894" w14:textId="77777777" w:rsidTr="00E00E8C">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E00E8C">
        <w:trPr>
          <w:trHeight w:val="32"/>
        </w:trPr>
        <w:tc>
          <w:tcPr>
            <w:tcW w:w="1838" w:type="dxa"/>
            <w:tcBorders>
              <w:top w:val="single" w:sz="4" w:space="0" w:color="auto"/>
              <w:left w:val="single" w:sz="4" w:space="0" w:color="auto"/>
              <w:bottom w:val="single" w:sz="4" w:space="0" w:color="auto"/>
              <w:right w:val="single" w:sz="4" w:space="0" w:color="auto"/>
            </w:tcBorders>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lastRenderedPageBreak/>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E00E8C">
        <w:trPr>
          <w:trHeight w:val="32"/>
        </w:trPr>
        <w:tc>
          <w:tcPr>
            <w:tcW w:w="1838" w:type="dxa"/>
            <w:tcBorders>
              <w:top w:val="single" w:sz="4" w:space="0" w:color="auto"/>
              <w:left w:val="single" w:sz="4" w:space="0" w:color="auto"/>
              <w:bottom w:val="single" w:sz="4" w:space="0" w:color="auto"/>
              <w:right w:val="single" w:sz="4" w:space="0" w:color="auto"/>
            </w:tcBorders>
          </w:tcPr>
          <w:p w14:paraId="75003D79" w14:textId="1AF3EBE5" w:rsidR="00E00E8C" w:rsidRPr="00E00E8C" w:rsidRDefault="00E00E8C" w:rsidP="007A0AEE">
            <w:pPr>
              <w:overflowPunct/>
              <w:autoSpaceDE/>
              <w:autoSpaceDN/>
              <w:adjustRightInd/>
              <w:textAlignment w:val="auto"/>
              <w:rPr>
                <w:rFonts w:ascii="Arial" w:hAnsi="Arial" w:cs="Arial" w:hint="eastAsia"/>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w:t>
            </w:r>
            <w:proofErr w:type="gramStart"/>
            <w:r>
              <w:rPr>
                <w:rFonts w:ascii="Arial" w:hAnsi="Arial" w:cs="Arial"/>
                <w:lang w:val="en-US" w:eastAsia="zh-CN"/>
              </w:rPr>
              <w:t>case</w:t>
            </w:r>
            <w:proofErr w:type="gramEnd"/>
            <w:r>
              <w:rPr>
                <w:rFonts w:ascii="Arial" w:hAnsi="Arial" w:cs="Arial"/>
                <w:lang w:val="en-US" w:eastAsia="zh-CN"/>
              </w:rPr>
              <w:t xml:space="preserv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aff0"/>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aff0"/>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hint="eastAsia"/>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bookmarkStart w:id="5" w:name="_GoBack"/>
            <w:bookmarkEnd w:id="5"/>
          </w:p>
        </w:tc>
      </w:tr>
      <w:tr w:rsidR="00A55849" w:rsidRPr="00BA6870" w14:paraId="0AB45243" w14:textId="77777777" w:rsidTr="00E00E8C">
        <w:trPr>
          <w:trHeight w:val="450"/>
        </w:trPr>
        <w:tc>
          <w:tcPr>
            <w:tcW w:w="1838" w:type="dxa"/>
            <w:tcBorders>
              <w:top w:val="single" w:sz="4" w:space="0" w:color="auto"/>
              <w:left w:val="single" w:sz="4" w:space="0" w:color="A6A6A6"/>
              <w:bottom w:val="nil"/>
              <w:right w:val="single" w:sz="4" w:space="0" w:color="A6A6A6"/>
            </w:tcBorders>
          </w:tcPr>
          <w:p w14:paraId="633CD92A"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tcBorders>
              <w:top w:val="single" w:sz="4" w:space="0" w:color="auto"/>
              <w:left w:val="nil"/>
              <w:bottom w:val="nil"/>
              <w:right w:val="single" w:sz="4" w:space="0" w:color="A6A6A6"/>
            </w:tcBorders>
            <w:shd w:val="clear" w:color="auto" w:fill="auto"/>
          </w:tcPr>
          <w:p w14:paraId="30641632"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r w:rsidR="00A55849" w:rsidRPr="00BA6870" w14:paraId="38CF077B" w14:textId="77777777" w:rsidTr="0006411B">
        <w:trPr>
          <w:trHeight w:val="450"/>
        </w:trPr>
        <w:tc>
          <w:tcPr>
            <w:tcW w:w="1838" w:type="dxa"/>
            <w:tcBorders>
              <w:top w:val="nil"/>
              <w:left w:val="single" w:sz="4" w:space="0" w:color="A6A6A6"/>
              <w:bottom w:val="nil"/>
              <w:right w:val="single" w:sz="4" w:space="0" w:color="A6A6A6"/>
            </w:tcBorders>
          </w:tcPr>
          <w:p w14:paraId="42C47C80"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06E92221"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r w:rsidR="00A55849" w:rsidRPr="00BA6870" w14:paraId="2DC7B69F" w14:textId="77777777" w:rsidTr="0006411B">
        <w:trPr>
          <w:trHeight w:val="450"/>
        </w:trPr>
        <w:tc>
          <w:tcPr>
            <w:tcW w:w="1838" w:type="dxa"/>
            <w:tcBorders>
              <w:top w:val="nil"/>
              <w:left w:val="single" w:sz="4" w:space="0" w:color="A6A6A6"/>
              <w:bottom w:val="nil"/>
              <w:right w:val="single" w:sz="4" w:space="0" w:color="A6A6A6"/>
            </w:tcBorders>
          </w:tcPr>
          <w:p w14:paraId="795EDC10"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472D3E9C"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1"/>
        <w:rPr>
          <w:rStyle w:val="10"/>
        </w:rPr>
      </w:pPr>
      <w:bookmarkStart w:id="6" w:name="_Toc62031204"/>
      <w:r>
        <w:rPr>
          <w:rStyle w:val="10"/>
        </w:rPr>
        <w:t>4</w:t>
      </w:r>
      <w:r w:rsidR="00BA6870">
        <w:rPr>
          <w:rStyle w:val="10"/>
        </w:rPr>
        <w:tab/>
      </w:r>
      <w:r w:rsidR="00C413D0">
        <w:rPr>
          <w:rStyle w:val="10"/>
        </w:rPr>
        <w:t>Conclusions</w:t>
      </w:r>
      <w:bookmarkEnd w:id="6"/>
    </w:p>
    <w:p w14:paraId="47D69BC0" w14:textId="5AA5E2BB" w:rsidR="00E512B7" w:rsidRPr="00E512B7" w:rsidRDefault="00E512B7" w:rsidP="00E512B7">
      <w:r w:rsidRPr="00895ED8">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C55E" w14:textId="77777777" w:rsidR="005C5EEA" w:rsidRDefault="005C5EEA">
      <w:r>
        <w:separator/>
      </w:r>
    </w:p>
  </w:endnote>
  <w:endnote w:type="continuationSeparator" w:id="0">
    <w:p w14:paraId="26248F8E" w14:textId="77777777" w:rsidR="005C5EEA" w:rsidRDefault="005C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92F9E">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92F9E">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D924" w14:textId="77777777" w:rsidR="005C5EEA" w:rsidRDefault="005C5EEA">
      <w:r>
        <w:separator/>
      </w:r>
    </w:p>
  </w:footnote>
  <w:footnote w:type="continuationSeparator" w:id="0">
    <w:p w14:paraId="7825F529" w14:textId="77777777" w:rsidR="005C5EEA" w:rsidRDefault="005C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0014F"/>
    <w:multiLevelType w:val="hybridMultilevel"/>
    <w:tmpl w:val="0968525E"/>
    <w:lvl w:ilvl="0" w:tplc="6A96822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0"/>
  </w:num>
  <w:num w:numId="4">
    <w:abstractNumId w:val="23"/>
  </w:num>
  <w:num w:numId="5">
    <w:abstractNumId w:val="24"/>
  </w:num>
  <w:num w:numId="6">
    <w:abstractNumId w:val="25"/>
  </w:num>
  <w:num w:numId="7">
    <w:abstractNumId w:val="9"/>
  </w:num>
  <w:num w:numId="8">
    <w:abstractNumId w:val="10"/>
  </w:num>
  <w:num w:numId="9">
    <w:abstractNumId w:val="6"/>
  </w:num>
  <w:num w:numId="10">
    <w:abstractNumId w:val="34"/>
  </w:num>
  <w:num w:numId="11">
    <w:abstractNumId w:val="16"/>
  </w:num>
  <w:num w:numId="12">
    <w:abstractNumId w:val="32"/>
  </w:num>
  <w:num w:numId="13">
    <w:abstractNumId w:val="17"/>
    <w:lvlOverride w:ilvl="0">
      <w:startOverride w:val="1"/>
    </w:lvlOverride>
  </w:num>
  <w:num w:numId="14">
    <w:abstractNumId w:val="30"/>
  </w:num>
  <w:num w:numId="15">
    <w:abstractNumId w:val="31"/>
  </w:num>
  <w:num w:numId="16">
    <w:abstractNumId w:val="7"/>
  </w:num>
  <w:num w:numId="17">
    <w:abstractNumId w:val="35"/>
  </w:num>
  <w:num w:numId="18">
    <w:abstractNumId w:val="14"/>
  </w:num>
  <w:num w:numId="19">
    <w:abstractNumId w:val="20"/>
  </w:num>
  <w:num w:numId="20">
    <w:abstractNumId w:val="8"/>
  </w:num>
  <w:num w:numId="21">
    <w:abstractNumId w:val="28"/>
  </w:num>
  <w:num w:numId="22">
    <w:abstractNumId w:val="29"/>
  </w:num>
  <w:num w:numId="23">
    <w:abstractNumId w:val="26"/>
  </w:num>
  <w:num w:numId="24">
    <w:abstractNumId w:val="36"/>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3"/>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0757"/>
    <w:rsid w:val="00214DA8"/>
    <w:rsid w:val="00215423"/>
    <w:rsid w:val="002158FA"/>
    <w:rsid w:val="00220600"/>
    <w:rsid w:val="00220DA2"/>
    <w:rsid w:val="002224DB"/>
    <w:rsid w:val="00223FCB"/>
    <w:rsid w:val="002252C3"/>
    <w:rsid w:val="00225C54"/>
    <w:rsid w:val="00230765"/>
    <w:rsid w:val="00230D18"/>
    <w:rsid w:val="002319E4"/>
    <w:rsid w:val="0023226A"/>
    <w:rsid w:val="00235632"/>
    <w:rsid w:val="00235872"/>
    <w:rsid w:val="00241559"/>
    <w:rsid w:val="002435B3"/>
    <w:rsid w:val="002458EB"/>
    <w:rsid w:val="002459D0"/>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5EEA"/>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04A0"/>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5268"/>
    <w:rsid w:val="007F6ABA"/>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849"/>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2462"/>
    <w:rsid w:val="00DE5608"/>
    <w:rsid w:val="00DE58D0"/>
    <w:rsid w:val="00DE654F"/>
    <w:rsid w:val="00DF0B6E"/>
    <w:rsid w:val="00DF15E0"/>
    <w:rsid w:val="00DF254D"/>
    <w:rsid w:val="00DF37A0"/>
    <w:rsid w:val="00DF43CF"/>
    <w:rsid w:val="00E003A9"/>
    <w:rsid w:val="00E00E8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出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aff9">
    <w:name w:val="Unresolved Mention"/>
    <w:basedOn w:val="a2"/>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宋体" w:hAnsi="Times New Roman"/>
      <w:color w:val="000000"/>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50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4-e/Docs/R1-210031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4-e/Docs/R1-210174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2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163.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1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08A91-B1FD-4B31-AC09-321588C4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19</TotalTime>
  <Pages>5</Pages>
  <Words>1842</Words>
  <Characters>10504</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12322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vivo</cp:lastModifiedBy>
  <cp:revision>7</cp:revision>
  <cp:lastPrinted>2008-01-31T07:09:00Z</cp:lastPrinted>
  <dcterms:created xsi:type="dcterms:W3CDTF">2021-01-25T12:43:00Z</dcterms:created>
  <dcterms:modified xsi:type="dcterms:W3CDTF">2021-01-25T15:38:00Z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