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2460D721" w14:textId="079A3B8C" w:rsidR="00625094" w:rsidRPr="002B5A22" w:rsidRDefault="00625094" w:rsidP="00625094">
      <w:pPr>
        <w:tabs>
          <w:tab w:val="center" w:pos="4536"/>
          <w:tab w:val="right" w:pos="8280"/>
          <w:tab w:val="right" w:pos="9639"/>
        </w:tabs>
        <w:ind w:right="2"/>
        <w:rPr>
          <w:rFonts w:ascii="Arial" w:eastAsia="Batang" w:hAnsi="Arial" w:cs="Arial"/>
          <w:b/>
          <w:bCs/>
          <w:sz w:val="28"/>
        </w:rPr>
      </w:pPr>
      <w:bookmarkStart w:id="0" w:name="_Hlk4231204"/>
      <w:bookmarkStart w:id="1" w:name="_Ref513464071"/>
      <w:r w:rsidRPr="002B5A22">
        <w:rPr>
          <w:rFonts w:ascii="Arial" w:eastAsia="Batang" w:hAnsi="Arial" w:cs="Arial"/>
          <w:b/>
          <w:bCs/>
          <w:sz w:val="28"/>
        </w:rPr>
        <w:t>3GPP TSG RAN WG1 #10</w:t>
      </w:r>
      <w:r w:rsidR="00F90399">
        <w:rPr>
          <w:rFonts w:ascii="Arial" w:eastAsia="Batang" w:hAnsi="Arial" w:cs="Arial"/>
          <w:b/>
          <w:bCs/>
          <w:sz w:val="28"/>
        </w:rPr>
        <w:t>4</w:t>
      </w:r>
      <w:r w:rsidRPr="002B5A22">
        <w:rPr>
          <w:rFonts w:ascii="Arial" w:eastAsia="Batang" w:hAnsi="Arial" w:cs="Arial"/>
          <w:b/>
          <w:bCs/>
          <w:sz w:val="28"/>
        </w:rPr>
        <w:t>-e</w:t>
      </w:r>
      <w:r w:rsidRPr="002B5A22">
        <w:rPr>
          <w:rFonts w:ascii="Arial" w:eastAsia="Batang" w:hAnsi="Arial" w:cs="Arial"/>
          <w:b/>
          <w:bCs/>
          <w:sz w:val="28"/>
        </w:rPr>
        <w:tab/>
      </w:r>
      <w:r w:rsidRPr="002B5A22">
        <w:rPr>
          <w:rFonts w:ascii="Arial" w:eastAsia="Batang" w:hAnsi="Arial" w:cs="Arial"/>
          <w:b/>
          <w:bCs/>
          <w:sz w:val="28"/>
        </w:rPr>
        <w:tab/>
      </w:r>
      <w:r w:rsidRPr="002B5A22">
        <w:rPr>
          <w:rFonts w:ascii="Arial" w:eastAsia="Batang" w:hAnsi="Arial" w:cs="Arial"/>
          <w:b/>
          <w:bCs/>
          <w:sz w:val="28"/>
        </w:rPr>
        <w:tab/>
        <w:t>R1-</w:t>
      </w:r>
      <w:r w:rsidR="00FB4036" w:rsidRPr="002B5A22">
        <w:rPr>
          <w:rFonts w:ascii="Arial" w:eastAsia="Batang" w:hAnsi="Arial" w:cs="Arial"/>
          <w:b/>
          <w:bCs/>
          <w:sz w:val="28"/>
        </w:rPr>
        <w:t>2</w:t>
      </w:r>
      <w:r w:rsidR="00FB4036">
        <w:rPr>
          <w:rFonts w:ascii="Arial" w:eastAsia="Batang" w:hAnsi="Arial" w:cs="Arial"/>
          <w:b/>
          <w:bCs/>
          <w:sz w:val="28"/>
        </w:rPr>
        <w:t>1</w:t>
      </w:r>
      <w:r w:rsidR="00FB4036" w:rsidRPr="002B5A22">
        <w:rPr>
          <w:rFonts w:ascii="Arial" w:eastAsia="Batang" w:hAnsi="Arial" w:cs="Arial"/>
          <w:b/>
          <w:bCs/>
          <w:sz w:val="28"/>
        </w:rPr>
        <w:t>0</w:t>
      </w:r>
      <w:r w:rsidR="00FB4036">
        <w:rPr>
          <w:rFonts w:ascii="Arial" w:eastAsia="Batang" w:hAnsi="Arial" w:cs="Arial"/>
          <w:b/>
          <w:bCs/>
          <w:sz w:val="28"/>
        </w:rPr>
        <w:t>1404</w:t>
      </w:r>
    </w:p>
    <w:p w14:paraId="3229E508" w14:textId="0E32B278" w:rsidR="00625094" w:rsidRPr="00AC102C" w:rsidRDefault="00625094" w:rsidP="00625094">
      <w:pPr>
        <w:tabs>
          <w:tab w:val="center" w:pos="4536"/>
          <w:tab w:val="right" w:pos="9072"/>
        </w:tabs>
        <w:rPr>
          <w:rFonts w:ascii="Arial" w:eastAsia="MS Mincho" w:hAnsi="Arial" w:cs="Arial"/>
          <w:b/>
          <w:bCs/>
          <w:sz w:val="28"/>
          <w:lang w:eastAsia="ja-JP"/>
        </w:rPr>
      </w:pPr>
      <w:r w:rsidRPr="002B5A22">
        <w:rPr>
          <w:rFonts w:ascii="Arial" w:eastAsia="MS Mincho" w:hAnsi="Arial" w:cs="Arial"/>
          <w:b/>
          <w:bCs/>
          <w:sz w:val="28"/>
          <w:lang w:eastAsia="ja-JP"/>
        </w:rPr>
        <w:t xml:space="preserve">e-Meeting, </w:t>
      </w:r>
      <w:r w:rsidR="00F90399">
        <w:rPr>
          <w:rFonts w:ascii="Arial" w:eastAsia="MS Mincho" w:hAnsi="Arial" w:cs="Arial"/>
          <w:b/>
          <w:bCs/>
          <w:sz w:val="28"/>
          <w:lang w:eastAsia="ja-JP"/>
        </w:rPr>
        <w:t>January</w:t>
      </w:r>
      <w:r w:rsidR="009E55C1" w:rsidRPr="002B5A22">
        <w:rPr>
          <w:rFonts w:ascii="Arial" w:eastAsia="MS Mincho" w:hAnsi="Arial" w:cs="Arial"/>
          <w:b/>
          <w:bCs/>
          <w:sz w:val="28"/>
          <w:lang w:eastAsia="ja-JP"/>
        </w:rPr>
        <w:t xml:space="preserve"> 2</w:t>
      </w:r>
      <w:r w:rsidR="00F90399">
        <w:rPr>
          <w:rFonts w:ascii="Arial" w:eastAsia="MS Mincho" w:hAnsi="Arial" w:cs="Arial"/>
          <w:b/>
          <w:bCs/>
          <w:sz w:val="28"/>
          <w:lang w:eastAsia="ja-JP"/>
        </w:rPr>
        <w:t>5</w:t>
      </w:r>
      <w:r w:rsidR="009E55C1" w:rsidRPr="002B5A22">
        <w:rPr>
          <w:rFonts w:ascii="Arial" w:eastAsia="MS Mincho" w:hAnsi="Arial" w:cs="Arial"/>
          <w:b/>
          <w:bCs/>
          <w:sz w:val="28"/>
          <w:vertAlign w:val="superscript"/>
          <w:lang w:eastAsia="ja-JP"/>
        </w:rPr>
        <w:t>th</w:t>
      </w:r>
      <w:r w:rsidR="009E55C1" w:rsidRPr="002B5A22">
        <w:rPr>
          <w:rFonts w:ascii="Arial" w:eastAsia="MS Mincho" w:hAnsi="Arial" w:cs="Arial"/>
          <w:b/>
          <w:bCs/>
          <w:sz w:val="28"/>
          <w:lang w:eastAsia="ja-JP"/>
        </w:rPr>
        <w:t xml:space="preserve"> – </w:t>
      </w:r>
      <w:r w:rsidR="00F90399">
        <w:rPr>
          <w:rFonts w:ascii="Arial" w:eastAsia="MS Mincho" w:hAnsi="Arial" w:cs="Arial"/>
          <w:b/>
          <w:bCs/>
          <w:sz w:val="28"/>
          <w:lang w:eastAsia="ja-JP"/>
        </w:rPr>
        <w:t>February</w:t>
      </w:r>
      <w:r w:rsidR="009E55C1" w:rsidRPr="002B5A22">
        <w:rPr>
          <w:rFonts w:ascii="Arial" w:eastAsia="MS Mincho" w:hAnsi="Arial" w:cs="Arial"/>
          <w:b/>
          <w:bCs/>
          <w:sz w:val="28"/>
          <w:lang w:eastAsia="ja-JP"/>
        </w:rPr>
        <w:t xml:space="preserve"> </w:t>
      </w:r>
      <w:r w:rsidR="00F90399">
        <w:rPr>
          <w:rFonts w:ascii="Arial" w:eastAsia="MS Mincho" w:hAnsi="Arial" w:cs="Arial"/>
          <w:b/>
          <w:bCs/>
          <w:sz w:val="28"/>
          <w:lang w:eastAsia="ja-JP"/>
        </w:rPr>
        <w:t>5</w:t>
      </w:r>
      <w:r w:rsidR="00F90399" w:rsidRPr="00F90399">
        <w:rPr>
          <w:rFonts w:ascii="Arial" w:eastAsia="MS Mincho" w:hAnsi="Arial" w:cs="Arial"/>
          <w:b/>
          <w:bCs/>
          <w:sz w:val="28"/>
          <w:vertAlign w:val="superscript"/>
          <w:lang w:eastAsia="ja-JP"/>
        </w:rPr>
        <w:t>th</w:t>
      </w:r>
      <w:r w:rsidRPr="002B5A22">
        <w:rPr>
          <w:rFonts w:ascii="Arial" w:eastAsia="MS Mincho" w:hAnsi="Arial" w:cs="Arial"/>
          <w:b/>
          <w:bCs/>
          <w:sz w:val="28"/>
          <w:lang w:eastAsia="ja-JP"/>
        </w:rPr>
        <w:t>, 202</w:t>
      </w:r>
      <w:r w:rsidR="00465D2A">
        <w:rPr>
          <w:rFonts w:ascii="Arial" w:eastAsia="MS Mincho" w:hAnsi="Arial" w:cs="Arial"/>
          <w:b/>
          <w:bCs/>
          <w:sz w:val="28"/>
          <w:lang w:eastAsia="ja-JP"/>
        </w:rPr>
        <w:t>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7B751D6C"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w:t>
      </w:r>
      <w:r w:rsidR="00BA55AC">
        <w:rPr>
          <w:rFonts w:cs="Arial"/>
          <w:b/>
          <w:bCs/>
          <w:sz w:val="24"/>
          <w:szCs w:val="24"/>
          <w:lang w:val="en-US"/>
        </w:rPr>
        <w:t>15</w:t>
      </w:r>
      <w:r w:rsidRPr="00F76DA7">
        <w:rPr>
          <w:rFonts w:cs="Arial"/>
          <w:b/>
          <w:bCs/>
          <w:sz w:val="24"/>
          <w:szCs w:val="24"/>
          <w:lang w:val="en-US"/>
        </w:rPr>
        <w:t>.</w:t>
      </w:r>
      <w:r w:rsidR="001D0296">
        <w:rPr>
          <w:rFonts w:cs="Arial"/>
          <w:b/>
          <w:bCs/>
          <w:sz w:val="24"/>
          <w:szCs w:val="24"/>
          <w:lang w:val="en-US"/>
        </w:rPr>
        <w:t>4</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3D77C5C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D0296">
        <w:rPr>
          <w:rFonts w:ascii="Arial" w:hAnsi="Arial" w:cs="Arial"/>
          <w:b/>
          <w:bCs/>
        </w:rPr>
        <w:t>HARQ enhancement</w:t>
      </w:r>
      <w:r w:rsidR="00C0319B">
        <w:rPr>
          <w:rFonts w:ascii="Arial" w:hAnsi="Arial" w:cs="Arial"/>
          <w:b/>
          <w:bCs/>
        </w:rPr>
        <w:t xml:space="preserve"> </w:t>
      </w:r>
      <w:r w:rsidR="0078522C">
        <w:rPr>
          <w:rFonts w:ascii="Arial" w:hAnsi="Arial" w:cs="Arial"/>
          <w:b/>
          <w:bCs/>
        </w:rPr>
        <w:t xml:space="preserve">for </w:t>
      </w:r>
      <w:r w:rsidR="00BA55AC">
        <w:rPr>
          <w:rFonts w:ascii="Arial" w:hAnsi="Arial" w:cs="Arial"/>
          <w:b/>
          <w:bCs/>
        </w:rPr>
        <w:t xml:space="preserve">IoT </w:t>
      </w:r>
      <w:r w:rsidR="0078522C">
        <w:rPr>
          <w:rFonts w:ascii="Arial" w:hAnsi="Arial" w:cs="Arial"/>
          <w:b/>
          <w:bCs/>
        </w:rPr>
        <w:t>NTN</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5EF1BCBF" w14:textId="77777777" w:rsidR="005A500F" w:rsidRPr="00416213" w:rsidRDefault="005A500F" w:rsidP="00416213">
      <w:pPr>
        <w:jc w:val="both"/>
        <w:rPr>
          <w:rFonts w:ascii="Arial" w:hAnsi="Arial" w:cs="Arial"/>
        </w:rPr>
      </w:pPr>
      <w:r w:rsidRPr="00416213">
        <w:rPr>
          <w:rFonts w:ascii="Arial" w:hAnsi="Arial" w:cs="Arial"/>
        </w:rPr>
        <w:t>In RAN#86, a new study item on NB-IoT/eMTC support for non-terrestrial networks was approved with the following RAN1 objectives [1]:</w:t>
      </w:r>
    </w:p>
    <w:p w14:paraId="2CA93D7A" w14:textId="77777777" w:rsidR="005A500F" w:rsidRDefault="005A500F" w:rsidP="005A500F">
      <w:pPr>
        <w:ind w:left="284"/>
        <w:rPr>
          <w:rFonts w:ascii="Arial" w:hAnsi="Arial" w:cs="Arial"/>
          <w:i/>
        </w:rPr>
      </w:pPr>
    </w:p>
    <w:p w14:paraId="7AE2C885" w14:textId="3CD403F9" w:rsidR="005A500F" w:rsidRPr="00416213" w:rsidRDefault="005A500F" w:rsidP="005A500F">
      <w:pPr>
        <w:ind w:left="284"/>
        <w:rPr>
          <w:rFonts w:ascii="Times New Roman" w:hAnsi="Times New Roman" w:cs="Times New Roman"/>
          <w:i/>
        </w:rPr>
      </w:pPr>
      <w:r w:rsidRPr="00416213">
        <w:rPr>
          <w:rFonts w:ascii="Times New Roman" w:hAnsi="Times New Roman" w:cs="Times New Roman"/>
          <w:i/>
        </w:rPr>
        <w:t>The first objective of this Study is to identify scenarios applicable to NB-IoT/eMTC [RAN1, RAN2], including:</w:t>
      </w:r>
    </w:p>
    <w:p w14:paraId="69338E0D" w14:textId="77777777"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w:t>
      </w:r>
      <w:r w:rsidRPr="00416213">
        <w:rPr>
          <w:rFonts w:ascii="Times New Roman" w:hAnsi="Times New Roman" w:cs="Times New Roman"/>
          <w:i/>
          <w:sz w:val="24"/>
        </w:rPr>
        <w:tab/>
        <w:t>Bands of interest in sub 6 GHz</w:t>
      </w:r>
    </w:p>
    <w:p w14:paraId="79DD6CC0" w14:textId="77777777"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w:t>
      </w:r>
      <w:r w:rsidRPr="00416213">
        <w:rPr>
          <w:rFonts w:ascii="Times New Roman" w:hAnsi="Times New Roman" w:cs="Times New Roman"/>
          <w:i/>
          <w:sz w:val="24"/>
        </w:rPr>
        <w:tab/>
        <w:t xml:space="preserve">Device type with PC3 or PC5 (LEO and GEO) </w:t>
      </w:r>
    </w:p>
    <w:p w14:paraId="3EA1EE65" w14:textId="77777777"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w:t>
      </w:r>
      <w:r w:rsidRPr="00416213">
        <w:rPr>
          <w:rFonts w:ascii="Times New Roman" w:hAnsi="Times New Roman" w:cs="Times New Roman"/>
          <w:i/>
          <w:sz w:val="24"/>
        </w:rPr>
        <w:tab/>
        <w:t xml:space="preserve">Satellite constellation orbit LEO and GEO </w:t>
      </w:r>
    </w:p>
    <w:p w14:paraId="65438137" w14:textId="77777777"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w:t>
      </w:r>
      <w:r w:rsidRPr="00416213">
        <w:rPr>
          <w:rFonts w:ascii="Times New Roman" w:hAnsi="Times New Roman" w:cs="Times New Roman"/>
          <w:i/>
          <w:sz w:val="24"/>
        </w:rPr>
        <w:tab/>
        <w:t>Transparent payload.</w:t>
      </w:r>
    </w:p>
    <w:p w14:paraId="69C103BA" w14:textId="77777777"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w:t>
      </w:r>
      <w:r w:rsidRPr="00416213">
        <w:rPr>
          <w:rFonts w:ascii="Times New Roman" w:hAnsi="Times New Roman" w:cs="Times New Roman"/>
          <w:i/>
          <w:sz w:val="24"/>
        </w:rPr>
        <w:tab/>
        <w:t>Link budget</w:t>
      </w:r>
    </w:p>
    <w:p w14:paraId="2CB8F43A" w14:textId="77777777" w:rsidR="005A500F" w:rsidRPr="00416213" w:rsidRDefault="005A500F" w:rsidP="005A500F">
      <w:pPr>
        <w:pStyle w:val="NO"/>
        <w:ind w:left="1419"/>
        <w:rPr>
          <w:rFonts w:ascii="Times New Roman" w:hAnsi="Times New Roman" w:cs="Times New Roman"/>
          <w:i/>
          <w:sz w:val="24"/>
        </w:rPr>
      </w:pPr>
      <w:r w:rsidRPr="00416213">
        <w:rPr>
          <w:rFonts w:ascii="Times New Roman" w:hAnsi="Times New Roman" w:cs="Times New Roman"/>
          <w:i/>
          <w:sz w:val="24"/>
        </w:rPr>
        <w:t>NOTE 1: This first objective will be based on the scenarios documented in TR 38.821.</w:t>
      </w:r>
    </w:p>
    <w:p w14:paraId="4E7E2000" w14:textId="77777777" w:rsidR="005A500F" w:rsidRPr="00416213" w:rsidRDefault="005A500F" w:rsidP="005A500F">
      <w:pPr>
        <w:pStyle w:val="NO"/>
        <w:ind w:left="1419"/>
        <w:rPr>
          <w:rFonts w:ascii="Times New Roman" w:hAnsi="Times New Roman" w:cs="Times New Roman"/>
          <w:i/>
          <w:sz w:val="24"/>
        </w:rPr>
      </w:pPr>
      <w:r w:rsidRPr="00416213">
        <w:rPr>
          <w:rFonts w:ascii="Times New Roman" w:hAnsi="Times New Roman" w:cs="Times New Roman"/>
          <w:i/>
          <w:sz w:val="24"/>
        </w:rPr>
        <w:t>NOTE 2: UE mobility assumptions follow terrestrial NB-IoT/eMTC assumptions.</w:t>
      </w:r>
    </w:p>
    <w:p w14:paraId="579E6C0D" w14:textId="77777777" w:rsidR="005A500F" w:rsidRPr="00416213" w:rsidRDefault="005A500F" w:rsidP="005A500F">
      <w:pPr>
        <w:ind w:left="284"/>
        <w:rPr>
          <w:rFonts w:ascii="Times New Roman" w:hAnsi="Times New Roman" w:cs="Times New Roman"/>
          <w:i/>
        </w:rPr>
      </w:pPr>
      <w:r w:rsidRPr="00416213">
        <w:rPr>
          <w:rFonts w:ascii="Times New Roman" w:hAnsi="Times New Roman" w:cs="Times New Roman"/>
          <w:i/>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73A41692" w14:textId="77777777"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w:t>
      </w:r>
      <w:r w:rsidRPr="00416213">
        <w:rPr>
          <w:rFonts w:ascii="Times New Roman" w:hAnsi="Times New Roman" w:cs="Times New Roman"/>
          <w:i/>
          <w:sz w:val="24"/>
        </w:rPr>
        <w:tab/>
        <w:t>Aspects related to random access procedure/signals [RAN1, RAN2]</w:t>
      </w:r>
    </w:p>
    <w:p w14:paraId="7902D5CC" w14:textId="77777777"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w:t>
      </w:r>
      <w:r w:rsidRPr="00416213">
        <w:rPr>
          <w:rFonts w:ascii="Times New Roman" w:hAnsi="Times New Roman" w:cs="Times New Roman"/>
          <w:i/>
          <w:sz w:val="24"/>
        </w:rPr>
        <w:tab/>
        <w:t>Mechanisms for time/frequency adjustment including Timing Advance, and UL frequency compensation indication [RAN1, RAN2]</w:t>
      </w:r>
    </w:p>
    <w:p w14:paraId="7CD0EF90" w14:textId="77777777"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w:t>
      </w:r>
      <w:r w:rsidRPr="00416213">
        <w:rPr>
          <w:rFonts w:ascii="Times New Roman" w:hAnsi="Times New Roman" w:cs="Times New Roman"/>
          <w:i/>
          <w:sz w:val="24"/>
        </w:rPr>
        <w:tab/>
        <w:t>Timing offset related to scheduling and HARQ-ACK feedback [RAN1, RAN2]</w:t>
      </w:r>
    </w:p>
    <w:p w14:paraId="76835C46" w14:textId="060589A0" w:rsidR="005A500F" w:rsidRPr="00416213" w:rsidRDefault="005A500F" w:rsidP="005A500F">
      <w:pPr>
        <w:pStyle w:val="B1"/>
        <w:ind w:left="852"/>
        <w:rPr>
          <w:rFonts w:ascii="Times New Roman" w:hAnsi="Times New Roman" w:cs="Times New Roman"/>
          <w:i/>
          <w:sz w:val="24"/>
        </w:rPr>
      </w:pPr>
      <w:r w:rsidRPr="00416213">
        <w:rPr>
          <w:rFonts w:ascii="Times New Roman" w:hAnsi="Times New Roman" w:cs="Times New Roman"/>
          <w:i/>
          <w:sz w:val="24"/>
        </w:rPr>
        <w:t>-  Aspects related to HARQ operation [RAN2, RAN1]</w:t>
      </w:r>
    </w:p>
    <w:p w14:paraId="40171C3E" w14:textId="5C1B4243" w:rsidR="005A500F" w:rsidRDefault="005A500F" w:rsidP="005A500F">
      <w:pPr>
        <w:jc w:val="both"/>
        <w:rPr>
          <w:rFonts w:ascii="Arial" w:hAnsi="Arial" w:cs="Arial"/>
        </w:rPr>
      </w:pPr>
      <w:r>
        <w:rPr>
          <w:rFonts w:ascii="Arial" w:hAnsi="Arial" w:cs="Arial"/>
        </w:rPr>
        <w:t>In this</w:t>
      </w:r>
      <w:r w:rsidRPr="00416213">
        <w:rPr>
          <w:rFonts w:ascii="Arial" w:hAnsi="Arial" w:cs="Arial"/>
        </w:rPr>
        <w:t xml:space="preserve"> contribution</w:t>
      </w:r>
      <w:r>
        <w:rPr>
          <w:rFonts w:ascii="Arial" w:hAnsi="Arial" w:cs="Arial"/>
        </w:rPr>
        <w:t>, we</w:t>
      </w:r>
      <w:r w:rsidRPr="00416213">
        <w:rPr>
          <w:rFonts w:ascii="Arial" w:hAnsi="Arial" w:cs="Arial"/>
        </w:rPr>
        <w:t xml:space="preserve"> will focus on </w:t>
      </w:r>
      <w:r>
        <w:rPr>
          <w:rFonts w:ascii="Arial" w:hAnsi="Arial" w:cs="Arial"/>
        </w:rPr>
        <w:t xml:space="preserve">necessary changes to extend NB-IoT/eMTC to a non-terrestrial environment in terms of </w:t>
      </w:r>
      <w:r w:rsidR="00C41AE3">
        <w:rPr>
          <w:rFonts w:ascii="Arial" w:hAnsi="Arial" w:cs="Arial"/>
        </w:rPr>
        <w:t>HARQ operation</w:t>
      </w:r>
      <w:r w:rsidR="0038691E">
        <w:rPr>
          <w:rFonts w:ascii="Arial" w:hAnsi="Arial" w:cs="Arial"/>
        </w:rPr>
        <w:t xml:space="preserve"> in the second objective.</w:t>
      </w:r>
    </w:p>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lastRenderedPageBreak/>
        <w:t>Discussion</w:t>
      </w:r>
    </w:p>
    <w:p w14:paraId="27C2E57A" w14:textId="77777777" w:rsidR="00745259" w:rsidRPr="00416213" w:rsidRDefault="00745259" w:rsidP="00820CC3">
      <w:pPr>
        <w:spacing w:after="120" w:line="276" w:lineRule="auto"/>
        <w:jc w:val="both"/>
        <w:rPr>
          <w:rFonts w:ascii="Arial" w:hAnsi="Arial" w:cs="Arial"/>
        </w:rPr>
      </w:pPr>
      <w:r w:rsidRPr="00416213">
        <w:rPr>
          <w:rFonts w:ascii="Arial" w:hAnsi="Arial" w:cs="Arial"/>
        </w:rPr>
        <w:t>A new SID on NB-IoT/eMTC device support for non-terrestrial networks was approved in RAN#86 to provide IoT operation to remote areas with low or no cellular connectivity. It is expected that such enhancements will support a broad range of industries, including transportation, farming, mining etc.</w:t>
      </w:r>
    </w:p>
    <w:p w14:paraId="7AEA53AE" w14:textId="77777777" w:rsidR="00745259" w:rsidRPr="00416213" w:rsidRDefault="00745259" w:rsidP="00820CC3">
      <w:pPr>
        <w:spacing w:after="120" w:line="276" w:lineRule="auto"/>
        <w:jc w:val="both"/>
        <w:rPr>
          <w:rFonts w:ascii="Arial" w:hAnsi="Arial" w:cs="Arial"/>
        </w:rPr>
      </w:pPr>
      <w:r w:rsidRPr="00416213">
        <w:rPr>
          <w:rFonts w:ascii="Arial" w:hAnsi="Arial" w:cs="Arial"/>
        </w:rPr>
        <w:t xml:space="preserve">As described in the NB-IoT/eMTC study item description, non-terrestrial deployment scenarios under consideration consist of both LEO and GEO orbits with transparent payload. GEO deployments are characterized by large propagation delay and cell size, however stationary and approximately fixed relative to a point on earth. Though propagation delay and cell size is less in LEO deployments, satellites move relative to a fixed point on earth with cells either moving along the ground, or fixed via e.g. beam steering techniques.  </w:t>
      </w:r>
    </w:p>
    <w:p w14:paraId="0A993CAA" w14:textId="155F0FC9" w:rsidR="00745259" w:rsidRPr="00416213" w:rsidRDefault="00745259" w:rsidP="00820CC3">
      <w:pPr>
        <w:spacing w:after="120" w:line="276" w:lineRule="auto"/>
        <w:jc w:val="both"/>
        <w:rPr>
          <w:rFonts w:ascii="Arial" w:hAnsi="Arial" w:cs="Arial"/>
        </w:rPr>
      </w:pPr>
      <w:r w:rsidRPr="00416213">
        <w:rPr>
          <w:rFonts w:ascii="Arial" w:hAnsi="Arial" w:cs="Arial"/>
        </w:rPr>
        <w:t>Key modifications to enable terrestrial deployments are therefore enhanced time compensation techniques to accommodate greatly increased propagation delay, and enhanced frequency compensation due to fast moving LEO satellites. Specific values relevant for this contribution are included in Table 1 for reference, however a full description of NR NTN reference scenario parameters is found in Table 4.2-2 in TR 38.821 [2].</w:t>
      </w:r>
    </w:p>
    <w:p w14:paraId="7AED3E4D" w14:textId="77777777" w:rsidR="00745259" w:rsidRPr="00416213" w:rsidRDefault="00745259" w:rsidP="00745259">
      <w:pPr>
        <w:rPr>
          <w:rFonts w:ascii="Arial" w:hAnsi="Arial" w:cs="Arial"/>
        </w:rPr>
      </w:pPr>
    </w:p>
    <w:p w14:paraId="33B90260" w14:textId="77777777" w:rsidR="00745259" w:rsidRPr="00416213" w:rsidRDefault="00745259" w:rsidP="00745259">
      <w:pPr>
        <w:jc w:val="center"/>
        <w:rPr>
          <w:rFonts w:ascii="Arial" w:hAnsi="Arial" w:cs="Arial"/>
          <w:b/>
        </w:rPr>
      </w:pPr>
      <w:r w:rsidRPr="00416213">
        <w:rPr>
          <w:rFonts w:ascii="Arial" w:hAnsi="Arial" w:cs="Arial"/>
          <w:b/>
        </w:rPr>
        <w:t>Table 1 [2]: Relevant reference parameters for max RTD and Doppler shift.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8"/>
        <w:gridCol w:w="2433"/>
        <w:gridCol w:w="4031"/>
      </w:tblGrid>
      <w:tr w:rsidR="00745259" w:rsidRPr="00416213" w14:paraId="0DCBA6A6" w14:textId="77777777" w:rsidTr="00536A72">
        <w:trPr>
          <w:cantSplit/>
          <w:jc w:val="center"/>
        </w:trPr>
        <w:tc>
          <w:tcPr>
            <w:tcW w:w="0" w:type="auto"/>
            <w:shd w:val="clear" w:color="auto" w:fill="auto"/>
            <w:vAlign w:val="center"/>
          </w:tcPr>
          <w:p w14:paraId="5B9CF4B1" w14:textId="77777777" w:rsidR="00745259" w:rsidRPr="00416213" w:rsidRDefault="00745259" w:rsidP="00536A72">
            <w:pPr>
              <w:pStyle w:val="TAL"/>
              <w:rPr>
                <w:rFonts w:eastAsia="Calibri" w:cs="Arial"/>
                <w:sz w:val="24"/>
              </w:rPr>
            </w:pPr>
            <w:r w:rsidRPr="00416213">
              <w:rPr>
                <w:rFonts w:eastAsia="Calibri" w:cs="Arial"/>
                <w:sz w:val="24"/>
              </w:rPr>
              <w:t>Max Round Trip Delay (propagation delay only)</w:t>
            </w:r>
          </w:p>
        </w:tc>
        <w:tc>
          <w:tcPr>
            <w:tcW w:w="0" w:type="auto"/>
            <w:shd w:val="clear" w:color="auto" w:fill="auto"/>
            <w:vAlign w:val="center"/>
          </w:tcPr>
          <w:p w14:paraId="2F63FFA5" w14:textId="77777777" w:rsidR="00745259" w:rsidRPr="00416213" w:rsidRDefault="00745259" w:rsidP="00536A72">
            <w:pPr>
              <w:pStyle w:val="TAL"/>
              <w:rPr>
                <w:rFonts w:eastAsia="Calibri" w:cs="Arial"/>
                <w:sz w:val="24"/>
              </w:rPr>
            </w:pPr>
            <w:r w:rsidRPr="00416213">
              <w:rPr>
                <w:rFonts w:eastAsia="Calibri" w:cs="Arial"/>
                <w:sz w:val="24"/>
              </w:rPr>
              <w:t>541.46 ms (service and feeder links)</w:t>
            </w:r>
          </w:p>
          <w:p w14:paraId="2A533283" w14:textId="77777777" w:rsidR="00745259" w:rsidRPr="00416213" w:rsidRDefault="00745259" w:rsidP="00536A72">
            <w:pPr>
              <w:pStyle w:val="TAL"/>
              <w:rPr>
                <w:rFonts w:eastAsia="Calibri" w:cs="Arial"/>
                <w:sz w:val="24"/>
              </w:rPr>
            </w:pPr>
          </w:p>
        </w:tc>
        <w:tc>
          <w:tcPr>
            <w:tcW w:w="0" w:type="auto"/>
            <w:shd w:val="clear" w:color="auto" w:fill="auto"/>
            <w:vAlign w:val="center"/>
          </w:tcPr>
          <w:p w14:paraId="54C58FB3" w14:textId="77777777" w:rsidR="00745259" w:rsidRPr="00416213" w:rsidRDefault="00745259" w:rsidP="00536A72">
            <w:pPr>
              <w:pStyle w:val="TAL"/>
              <w:rPr>
                <w:rFonts w:eastAsia="Calibri" w:cs="Arial"/>
                <w:sz w:val="24"/>
              </w:rPr>
            </w:pPr>
            <w:r w:rsidRPr="00416213">
              <w:rPr>
                <w:rFonts w:eastAsia="Calibri" w:cs="Arial"/>
                <w:sz w:val="24"/>
              </w:rPr>
              <w:t>25.77 ms (600km)</w:t>
            </w:r>
          </w:p>
          <w:p w14:paraId="3A26A423" w14:textId="77777777" w:rsidR="00745259" w:rsidRPr="00416213" w:rsidRDefault="00745259" w:rsidP="00536A72">
            <w:pPr>
              <w:pStyle w:val="TAL"/>
              <w:rPr>
                <w:rFonts w:eastAsia="Calibri" w:cs="Arial"/>
                <w:sz w:val="24"/>
              </w:rPr>
            </w:pPr>
            <w:r w:rsidRPr="00416213">
              <w:rPr>
                <w:rFonts w:eastAsia="Calibri" w:cs="Arial"/>
                <w:sz w:val="24"/>
              </w:rPr>
              <w:t>41.77 ms (1200km)</w:t>
            </w:r>
          </w:p>
          <w:p w14:paraId="7773B1F2" w14:textId="77777777" w:rsidR="00745259" w:rsidRPr="00416213" w:rsidRDefault="00745259" w:rsidP="00536A72">
            <w:pPr>
              <w:pStyle w:val="TAL"/>
              <w:rPr>
                <w:rFonts w:eastAsia="Calibri" w:cs="Arial"/>
                <w:sz w:val="24"/>
              </w:rPr>
            </w:pPr>
          </w:p>
          <w:p w14:paraId="2C7E8BF3" w14:textId="77777777" w:rsidR="00745259" w:rsidRPr="00416213" w:rsidRDefault="00745259" w:rsidP="00536A72">
            <w:pPr>
              <w:pStyle w:val="TAL"/>
              <w:rPr>
                <w:rFonts w:cs="Arial"/>
                <w:sz w:val="24"/>
              </w:rPr>
            </w:pPr>
          </w:p>
        </w:tc>
      </w:tr>
      <w:tr w:rsidR="00745259" w:rsidRPr="00416213" w14:paraId="4B2FFBF9" w14:textId="77777777" w:rsidTr="00536A72">
        <w:trPr>
          <w:cantSplit/>
          <w:jc w:val="center"/>
        </w:trPr>
        <w:tc>
          <w:tcPr>
            <w:tcW w:w="0" w:type="auto"/>
            <w:shd w:val="clear" w:color="auto" w:fill="auto"/>
            <w:vAlign w:val="center"/>
          </w:tcPr>
          <w:p w14:paraId="58C4D8B7" w14:textId="77777777" w:rsidR="00745259" w:rsidRPr="00416213" w:rsidRDefault="00745259" w:rsidP="00536A72">
            <w:pPr>
              <w:pStyle w:val="TAL"/>
              <w:rPr>
                <w:rFonts w:eastAsia="Calibri" w:cs="Arial"/>
                <w:sz w:val="24"/>
              </w:rPr>
            </w:pPr>
            <w:r w:rsidRPr="00416213">
              <w:rPr>
                <w:rFonts w:eastAsia="Calibri" w:cs="Arial"/>
                <w:sz w:val="24"/>
              </w:rPr>
              <w:t>Max differential delay within a cell (Note 6)</w:t>
            </w:r>
          </w:p>
        </w:tc>
        <w:tc>
          <w:tcPr>
            <w:tcW w:w="0" w:type="auto"/>
            <w:shd w:val="clear" w:color="auto" w:fill="auto"/>
            <w:vAlign w:val="center"/>
          </w:tcPr>
          <w:p w14:paraId="12BAB6FB" w14:textId="77777777" w:rsidR="00745259" w:rsidRPr="00416213" w:rsidRDefault="00745259" w:rsidP="00536A72">
            <w:pPr>
              <w:pStyle w:val="TAL"/>
              <w:rPr>
                <w:rFonts w:eastAsia="Calibri" w:cs="Arial"/>
                <w:sz w:val="24"/>
              </w:rPr>
            </w:pPr>
            <w:r w:rsidRPr="00416213">
              <w:rPr>
                <w:rFonts w:eastAsia="Calibri" w:cs="Arial"/>
                <w:sz w:val="24"/>
              </w:rPr>
              <w:t>10.3 ms</w:t>
            </w:r>
          </w:p>
        </w:tc>
        <w:tc>
          <w:tcPr>
            <w:tcW w:w="0" w:type="auto"/>
            <w:shd w:val="clear" w:color="auto" w:fill="auto"/>
            <w:vAlign w:val="center"/>
          </w:tcPr>
          <w:p w14:paraId="200A6E23" w14:textId="77777777" w:rsidR="00745259" w:rsidRPr="00416213" w:rsidRDefault="00745259" w:rsidP="00536A72">
            <w:pPr>
              <w:pStyle w:val="TAL"/>
              <w:rPr>
                <w:rFonts w:eastAsia="Calibri" w:cs="Arial"/>
                <w:sz w:val="24"/>
              </w:rPr>
            </w:pPr>
            <w:r w:rsidRPr="00416213">
              <w:rPr>
                <w:rFonts w:eastAsia="Calibri" w:cs="Arial"/>
                <w:sz w:val="24"/>
              </w:rPr>
              <w:t xml:space="preserve">3.12 ms and </w:t>
            </w:r>
            <w:r w:rsidRPr="00416213">
              <w:rPr>
                <w:rFonts w:cs="Arial"/>
                <w:sz w:val="24"/>
              </w:rPr>
              <w:t>3.18 ms</w:t>
            </w:r>
            <w:r w:rsidRPr="00416213">
              <w:rPr>
                <w:rFonts w:eastAsia="Calibri" w:cs="Arial"/>
                <w:sz w:val="24"/>
              </w:rPr>
              <w:t xml:space="preserve"> for respectively 600km and 1200km</w:t>
            </w:r>
          </w:p>
        </w:tc>
      </w:tr>
      <w:tr w:rsidR="00745259" w:rsidRPr="00416213" w14:paraId="12FCE5AC" w14:textId="77777777" w:rsidTr="00536A72">
        <w:trPr>
          <w:cantSplit/>
          <w:jc w:val="center"/>
        </w:trPr>
        <w:tc>
          <w:tcPr>
            <w:tcW w:w="0" w:type="auto"/>
            <w:shd w:val="clear" w:color="auto" w:fill="auto"/>
            <w:vAlign w:val="center"/>
          </w:tcPr>
          <w:p w14:paraId="0AE24F56" w14:textId="77777777" w:rsidR="00745259" w:rsidRPr="00416213" w:rsidRDefault="00745259" w:rsidP="00536A72">
            <w:pPr>
              <w:pStyle w:val="TAL"/>
              <w:rPr>
                <w:rFonts w:eastAsia="Calibri" w:cs="Arial"/>
                <w:sz w:val="24"/>
              </w:rPr>
            </w:pPr>
            <w:r w:rsidRPr="00416213">
              <w:rPr>
                <w:rFonts w:eastAsia="Calibri" w:cs="Arial"/>
                <w:sz w:val="24"/>
              </w:rPr>
              <w:t>Max Doppler shift (earth fixed user equipment)</w:t>
            </w:r>
          </w:p>
        </w:tc>
        <w:tc>
          <w:tcPr>
            <w:tcW w:w="0" w:type="auto"/>
            <w:shd w:val="clear" w:color="auto" w:fill="auto"/>
            <w:vAlign w:val="center"/>
          </w:tcPr>
          <w:p w14:paraId="270A3B7C" w14:textId="77777777" w:rsidR="00745259" w:rsidRPr="00416213" w:rsidRDefault="00745259" w:rsidP="00536A72">
            <w:pPr>
              <w:pStyle w:val="TAL"/>
              <w:rPr>
                <w:rFonts w:eastAsia="Calibri" w:cs="Arial"/>
                <w:sz w:val="24"/>
              </w:rPr>
            </w:pPr>
            <w:r w:rsidRPr="00416213">
              <w:rPr>
                <w:rFonts w:eastAsia="Calibri" w:cs="Arial"/>
                <w:sz w:val="24"/>
              </w:rPr>
              <w:t>0.93 ppm</w:t>
            </w:r>
          </w:p>
        </w:tc>
        <w:tc>
          <w:tcPr>
            <w:tcW w:w="0" w:type="auto"/>
            <w:shd w:val="clear" w:color="auto" w:fill="auto"/>
            <w:vAlign w:val="center"/>
          </w:tcPr>
          <w:p w14:paraId="4E98C216" w14:textId="77777777" w:rsidR="00745259" w:rsidRPr="00416213" w:rsidRDefault="00745259" w:rsidP="00536A72">
            <w:pPr>
              <w:pStyle w:val="TAL"/>
              <w:rPr>
                <w:rFonts w:eastAsia="Calibri" w:cs="Arial"/>
                <w:sz w:val="24"/>
              </w:rPr>
            </w:pPr>
            <w:r w:rsidRPr="00416213">
              <w:rPr>
                <w:rFonts w:eastAsia="Calibri" w:cs="Arial"/>
                <w:sz w:val="24"/>
              </w:rPr>
              <w:t>24 ppm (600km)</w:t>
            </w:r>
          </w:p>
          <w:p w14:paraId="555AAF1E" w14:textId="77777777" w:rsidR="00745259" w:rsidRPr="00416213" w:rsidRDefault="00745259" w:rsidP="00536A72">
            <w:pPr>
              <w:pStyle w:val="TAL"/>
              <w:rPr>
                <w:rFonts w:eastAsia="Calibri" w:cs="Arial"/>
                <w:sz w:val="24"/>
              </w:rPr>
            </w:pPr>
            <w:r w:rsidRPr="00416213">
              <w:rPr>
                <w:rFonts w:eastAsia="Calibri" w:cs="Arial"/>
                <w:sz w:val="24"/>
              </w:rPr>
              <w:t xml:space="preserve">21ppm(1200km) </w:t>
            </w:r>
          </w:p>
        </w:tc>
      </w:tr>
      <w:tr w:rsidR="00745259" w:rsidRPr="00416213" w14:paraId="7DBBD3B4" w14:textId="77777777" w:rsidTr="00536A72">
        <w:trPr>
          <w:cantSplit/>
          <w:jc w:val="center"/>
        </w:trPr>
        <w:tc>
          <w:tcPr>
            <w:tcW w:w="0" w:type="auto"/>
            <w:shd w:val="clear" w:color="auto" w:fill="auto"/>
            <w:vAlign w:val="center"/>
          </w:tcPr>
          <w:p w14:paraId="0B03ADD0" w14:textId="77777777" w:rsidR="00745259" w:rsidRPr="00416213" w:rsidRDefault="00745259" w:rsidP="00536A72">
            <w:pPr>
              <w:pStyle w:val="TAL"/>
              <w:rPr>
                <w:rFonts w:eastAsia="Calibri" w:cs="Arial"/>
                <w:sz w:val="24"/>
              </w:rPr>
            </w:pPr>
            <w:r w:rsidRPr="00416213">
              <w:rPr>
                <w:rFonts w:eastAsia="Calibri" w:cs="Arial"/>
                <w:sz w:val="24"/>
              </w:rPr>
              <w:t>Max Doppler shift variation (earth fixed user equipment)</w:t>
            </w:r>
          </w:p>
        </w:tc>
        <w:tc>
          <w:tcPr>
            <w:tcW w:w="0" w:type="auto"/>
            <w:shd w:val="clear" w:color="auto" w:fill="auto"/>
            <w:vAlign w:val="center"/>
          </w:tcPr>
          <w:p w14:paraId="272FAC20" w14:textId="23D3AFA7" w:rsidR="00745259" w:rsidRPr="00416213" w:rsidRDefault="00745259" w:rsidP="00536A72">
            <w:pPr>
              <w:pStyle w:val="TAL"/>
              <w:rPr>
                <w:rFonts w:eastAsia="Calibri" w:cs="Arial"/>
                <w:sz w:val="24"/>
              </w:rPr>
            </w:pPr>
            <w:r w:rsidRPr="00416213">
              <w:rPr>
                <w:rFonts w:eastAsia="Calibri" w:cs="Arial"/>
                <w:sz w:val="24"/>
              </w:rPr>
              <w:t xml:space="preserve">0.000045 ppm/s </w:t>
            </w:r>
          </w:p>
        </w:tc>
        <w:tc>
          <w:tcPr>
            <w:tcW w:w="0" w:type="auto"/>
            <w:shd w:val="clear" w:color="auto" w:fill="auto"/>
            <w:vAlign w:val="center"/>
          </w:tcPr>
          <w:p w14:paraId="6AEB1DDD" w14:textId="77777777" w:rsidR="00745259" w:rsidRPr="00416213" w:rsidRDefault="00745259" w:rsidP="00536A72">
            <w:pPr>
              <w:pStyle w:val="TAL"/>
              <w:rPr>
                <w:rFonts w:eastAsia="Calibri" w:cs="Arial"/>
                <w:sz w:val="24"/>
              </w:rPr>
            </w:pPr>
            <w:r w:rsidRPr="00416213">
              <w:rPr>
                <w:rFonts w:eastAsia="Calibri" w:cs="Arial"/>
                <w:sz w:val="24"/>
              </w:rPr>
              <w:t>0.27ppm/s (600km)</w:t>
            </w:r>
          </w:p>
          <w:p w14:paraId="58E5AA1C" w14:textId="77777777" w:rsidR="00745259" w:rsidRPr="00416213" w:rsidRDefault="00745259" w:rsidP="00536A72">
            <w:pPr>
              <w:pStyle w:val="TAL"/>
              <w:rPr>
                <w:rFonts w:eastAsia="Calibri" w:cs="Arial"/>
                <w:sz w:val="24"/>
              </w:rPr>
            </w:pPr>
            <w:r w:rsidRPr="00416213">
              <w:rPr>
                <w:rFonts w:eastAsia="Calibri" w:cs="Arial"/>
                <w:sz w:val="24"/>
              </w:rPr>
              <w:t>0.13ppm/s(1200km)</w:t>
            </w:r>
          </w:p>
        </w:tc>
      </w:tr>
    </w:tbl>
    <w:p w14:paraId="6B6DF7AC" w14:textId="48FB2FA4" w:rsidR="00745259" w:rsidRDefault="00745259" w:rsidP="0020560A">
      <w:pPr>
        <w:jc w:val="both"/>
        <w:rPr>
          <w:rFonts w:ascii="Arial" w:hAnsi="Arial" w:cs="Arial"/>
        </w:rPr>
      </w:pPr>
    </w:p>
    <w:p w14:paraId="2CC2C83A" w14:textId="570C9790" w:rsidR="00CC3670" w:rsidRDefault="00C41AE3" w:rsidP="00CC3670">
      <w:pPr>
        <w:pStyle w:val="Heading2"/>
      </w:pPr>
      <w:r>
        <w:t>HARQ enhancement</w:t>
      </w:r>
    </w:p>
    <w:p w14:paraId="796566F9" w14:textId="77777777" w:rsidR="008D6261" w:rsidRPr="008D6261" w:rsidRDefault="008D6261" w:rsidP="008D6261">
      <w:pPr>
        <w:spacing w:after="120" w:line="276" w:lineRule="auto"/>
        <w:jc w:val="both"/>
        <w:rPr>
          <w:rFonts w:ascii="Arial" w:hAnsi="Arial" w:cs="Arial"/>
        </w:rPr>
      </w:pPr>
      <w:r w:rsidRPr="008D6261">
        <w:rPr>
          <w:rFonts w:ascii="Arial" w:hAnsi="Arial" w:cs="Arial"/>
        </w:rPr>
        <w:t>Two HARQ aspects are currently under discussion in RAN1: 1) the enabling/disabling of HARQ feedback for downlink transmission and; 2) the extension of maximal HARQ process number. Such enhancements are necessary to avoid HARQ stalling in NTN due to large propagation delays. The following agreements from RAN1#102e are summarized below [3]:</w:t>
      </w:r>
    </w:p>
    <w:p w14:paraId="422C5EBC" w14:textId="77777777" w:rsidR="008D6261" w:rsidRPr="008D6261" w:rsidRDefault="008D6261" w:rsidP="008D6261">
      <w:pPr>
        <w:spacing w:after="120" w:line="276" w:lineRule="auto"/>
        <w:ind w:left="720"/>
        <w:rPr>
          <w:rFonts w:ascii="Arial" w:hAnsi="Arial" w:cs="Arial"/>
          <w:i/>
          <w:lang w:eastAsia="x-none"/>
        </w:rPr>
      </w:pPr>
      <w:r w:rsidRPr="008D6261">
        <w:rPr>
          <w:rFonts w:ascii="Arial" w:hAnsi="Arial" w:cs="Arial"/>
          <w:i/>
          <w:highlight w:val="green"/>
          <w:lang w:eastAsia="x-none"/>
        </w:rPr>
        <w:t>Agreement:</w:t>
      </w:r>
    </w:p>
    <w:p w14:paraId="3B3B2AF0" w14:textId="77777777" w:rsidR="008D6261" w:rsidRPr="008D6261" w:rsidRDefault="008D6261" w:rsidP="008D6261">
      <w:pPr>
        <w:spacing w:after="120" w:line="276" w:lineRule="auto"/>
        <w:ind w:left="720"/>
        <w:rPr>
          <w:rFonts w:ascii="Arial" w:hAnsi="Arial" w:cs="Arial"/>
          <w:i/>
          <w:lang w:eastAsia="x-none"/>
        </w:rPr>
      </w:pPr>
      <w:r w:rsidRPr="008D6261">
        <w:rPr>
          <w:rFonts w:ascii="Arial" w:hAnsi="Arial" w:cs="Arial"/>
          <w:i/>
          <w:lang w:eastAsia="x-none"/>
        </w:rPr>
        <w:lastRenderedPageBreak/>
        <w:t>Enabling/disabling on HARQ feedback for downlink transmission should be at least configurable per HARQ process via UE specific RRC signaling</w:t>
      </w:r>
    </w:p>
    <w:p w14:paraId="67EB0E74" w14:textId="77777777" w:rsidR="008D6261" w:rsidRPr="008D6261" w:rsidRDefault="008D6261" w:rsidP="008D6261">
      <w:pPr>
        <w:spacing w:after="120" w:line="276" w:lineRule="auto"/>
        <w:ind w:left="720"/>
        <w:rPr>
          <w:rFonts w:ascii="Arial" w:hAnsi="Arial" w:cs="Arial"/>
          <w:i/>
          <w:lang w:eastAsia="x-none"/>
        </w:rPr>
      </w:pPr>
      <w:r w:rsidRPr="008D6261">
        <w:rPr>
          <w:rFonts w:ascii="Arial" w:hAnsi="Arial" w:cs="Arial"/>
          <w:i/>
          <w:highlight w:val="green"/>
          <w:lang w:eastAsia="x-none"/>
        </w:rPr>
        <w:t>Agreement:</w:t>
      </w:r>
    </w:p>
    <w:p w14:paraId="3F966D1B" w14:textId="77777777" w:rsidR="008D6261" w:rsidRPr="008D6261" w:rsidRDefault="008D6261" w:rsidP="008D6261">
      <w:pPr>
        <w:spacing w:after="120" w:line="276" w:lineRule="auto"/>
        <w:ind w:left="720"/>
        <w:rPr>
          <w:rFonts w:ascii="Arial" w:hAnsi="Arial" w:cs="Arial"/>
          <w:i/>
          <w:lang w:eastAsia="x-none"/>
        </w:rPr>
      </w:pPr>
      <w:r w:rsidRPr="008D6261">
        <w:rPr>
          <w:rFonts w:ascii="Arial" w:hAnsi="Arial" w:cs="Arial"/>
          <w:i/>
          <w:lang w:eastAsia="x-none"/>
        </w:rPr>
        <w:t>The extension of maximal HARQ process number can be considered with following assumptions:</w:t>
      </w:r>
    </w:p>
    <w:p w14:paraId="08E46D0B" w14:textId="77777777" w:rsidR="008D6261" w:rsidRPr="008D6261" w:rsidRDefault="008D6261" w:rsidP="008D6261">
      <w:pPr>
        <w:pStyle w:val="ListParagraph"/>
        <w:numPr>
          <w:ilvl w:val="0"/>
          <w:numId w:val="54"/>
        </w:numPr>
        <w:overflowPunct w:val="0"/>
        <w:autoSpaceDE w:val="0"/>
        <w:autoSpaceDN w:val="0"/>
        <w:adjustRightInd w:val="0"/>
        <w:spacing w:after="120" w:line="276" w:lineRule="auto"/>
        <w:ind w:left="1440"/>
        <w:contextualSpacing/>
        <w:textAlignment w:val="baseline"/>
        <w:rPr>
          <w:rFonts w:ascii="Arial" w:hAnsi="Arial" w:cs="Arial"/>
          <w:i/>
        </w:rPr>
      </w:pPr>
      <w:r w:rsidRPr="008D6261">
        <w:rPr>
          <w:rFonts w:ascii="Arial" w:hAnsi="Arial" w:cs="Arial"/>
          <w:i/>
        </w:rPr>
        <w:t>The maximal supported HARQ process number is up to 32.</w:t>
      </w:r>
    </w:p>
    <w:p w14:paraId="3E37F65E" w14:textId="77777777" w:rsidR="008D6261" w:rsidRPr="008D6261" w:rsidRDefault="008D6261" w:rsidP="008D6261">
      <w:pPr>
        <w:pStyle w:val="ListParagraph"/>
        <w:numPr>
          <w:ilvl w:val="0"/>
          <w:numId w:val="54"/>
        </w:numPr>
        <w:overflowPunct w:val="0"/>
        <w:autoSpaceDE w:val="0"/>
        <w:autoSpaceDN w:val="0"/>
        <w:adjustRightInd w:val="0"/>
        <w:spacing w:after="120" w:line="276" w:lineRule="auto"/>
        <w:ind w:left="1440"/>
        <w:contextualSpacing/>
        <w:textAlignment w:val="baseline"/>
        <w:rPr>
          <w:rFonts w:ascii="Arial" w:hAnsi="Arial" w:cs="Arial"/>
          <w:i/>
        </w:rPr>
      </w:pPr>
      <w:r w:rsidRPr="008D6261">
        <w:rPr>
          <w:rFonts w:ascii="Arial" w:hAnsi="Arial" w:cs="Arial"/>
          <w:i/>
        </w:rPr>
        <w:t>FFS: Support on the maximal HARQ process number is up to UE capability</w:t>
      </w:r>
    </w:p>
    <w:p w14:paraId="03F356E8" w14:textId="77777777" w:rsidR="008D6261" w:rsidRPr="008D6261" w:rsidRDefault="008D6261" w:rsidP="008D6261">
      <w:pPr>
        <w:pStyle w:val="ListParagraph"/>
        <w:numPr>
          <w:ilvl w:val="0"/>
          <w:numId w:val="54"/>
        </w:numPr>
        <w:overflowPunct w:val="0"/>
        <w:autoSpaceDE w:val="0"/>
        <w:autoSpaceDN w:val="0"/>
        <w:adjustRightInd w:val="0"/>
        <w:spacing w:after="120" w:line="276" w:lineRule="auto"/>
        <w:ind w:left="1440"/>
        <w:contextualSpacing/>
        <w:textAlignment w:val="baseline"/>
        <w:rPr>
          <w:rFonts w:ascii="Arial" w:hAnsi="Arial" w:cs="Arial"/>
          <w:i/>
        </w:rPr>
      </w:pPr>
      <w:r w:rsidRPr="008D6261">
        <w:rPr>
          <w:rFonts w:ascii="Arial" w:hAnsi="Arial" w:cs="Arial"/>
          <w:i/>
        </w:rPr>
        <w:t>Minimizing the impacts on specification and scheduling</w:t>
      </w:r>
    </w:p>
    <w:p w14:paraId="2959C532" w14:textId="6BCA2E5C" w:rsidR="008D6261" w:rsidRPr="008D6261" w:rsidRDefault="008D6261" w:rsidP="008D5561">
      <w:pPr>
        <w:spacing w:after="120" w:line="276" w:lineRule="auto"/>
        <w:jc w:val="both"/>
        <w:rPr>
          <w:rFonts w:ascii="Arial" w:hAnsi="Arial" w:cs="Arial"/>
        </w:rPr>
      </w:pPr>
      <w:r w:rsidRPr="008D6261">
        <w:rPr>
          <w:rFonts w:ascii="Arial" w:hAnsi="Arial" w:cs="Arial"/>
        </w:rPr>
        <w:t>Although agreements on disabling HARQ process can be applied to NB-IoT/eMTC, given the increased delay requirements (i.e.</w:t>
      </w:r>
      <w:r>
        <w:rPr>
          <w:rFonts w:ascii="Arial" w:hAnsi="Arial" w:cs="Arial"/>
        </w:rPr>
        <w:t>,</w:t>
      </w:r>
      <w:r w:rsidRPr="008D6261">
        <w:rPr>
          <w:rFonts w:ascii="Arial" w:hAnsi="Arial" w:cs="Arial"/>
        </w:rPr>
        <w:t xml:space="preserve"> 10s from application to core network), solutions addressing HARQ stalling may not be as critical in NB-IoT/eMTC. Additionally, considering the low-cost nature of NB-IoT/eMTC devices, increasing the soft buffer requirements to support additional HARQ PIDs does not seem well motivated. </w:t>
      </w:r>
    </w:p>
    <w:p w14:paraId="73EECA81" w14:textId="2FB83253" w:rsidR="008D6261" w:rsidRPr="008D6261" w:rsidRDefault="008D6261" w:rsidP="008D6261">
      <w:pPr>
        <w:spacing w:after="120" w:line="276" w:lineRule="auto"/>
        <w:ind w:left="1440" w:hanging="1440"/>
        <w:rPr>
          <w:rFonts w:ascii="Arial" w:hAnsi="Arial" w:cs="Arial"/>
          <w:i/>
          <w:lang w:eastAsia="sv-SE"/>
        </w:rPr>
      </w:pPr>
      <w:r w:rsidRPr="008D6261">
        <w:rPr>
          <w:rFonts w:ascii="Arial" w:hAnsi="Arial" w:cs="Arial"/>
          <w:i/>
          <w:u w:val="single"/>
          <w:lang w:eastAsia="sv-SE"/>
        </w:rPr>
        <w:t xml:space="preserve">Observation </w:t>
      </w:r>
      <w:r>
        <w:rPr>
          <w:rFonts w:ascii="Arial" w:hAnsi="Arial" w:cs="Arial"/>
          <w:i/>
          <w:u w:val="single"/>
          <w:lang w:eastAsia="sv-SE"/>
        </w:rPr>
        <w:t>1</w:t>
      </w:r>
      <w:r w:rsidRPr="008D6261">
        <w:rPr>
          <w:rFonts w:ascii="Arial" w:hAnsi="Arial" w:cs="Arial"/>
          <w:i/>
          <w:lang w:eastAsia="sv-SE"/>
        </w:rPr>
        <w:t xml:space="preserve">: </w:t>
      </w:r>
      <w:r w:rsidRPr="008D6261">
        <w:rPr>
          <w:rFonts w:ascii="Arial" w:hAnsi="Arial" w:cs="Arial"/>
          <w:i/>
          <w:lang w:eastAsia="sv-SE"/>
        </w:rPr>
        <w:tab/>
        <w:t>Due to low-cost nature of NB-IoT/eMTC devices, increasing soft buffer requirements to support additional HARQ PIDs is not well motivated.</w:t>
      </w:r>
    </w:p>
    <w:p w14:paraId="2ADBB1AC" w14:textId="2AE7B567" w:rsidR="008D6261" w:rsidRPr="008D6261" w:rsidRDefault="008D6261" w:rsidP="008D6261">
      <w:pPr>
        <w:spacing w:after="120" w:line="276" w:lineRule="auto"/>
        <w:ind w:left="1440" w:hanging="1440"/>
        <w:rPr>
          <w:rFonts w:ascii="Arial" w:hAnsi="Arial" w:cs="Arial"/>
          <w:b/>
          <w:lang w:eastAsia="sv-SE"/>
        </w:rPr>
      </w:pPr>
      <w:r w:rsidRPr="008D6261">
        <w:rPr>
          <w:rFonts w:ascii="Arial" w:hAnsi="Arial" w:cs="Arial"/>
          <w:b/>
          <w:lang w:eastAsia="sv-SE"/>
        </w:rPr>
        <w:t xml:space="preserve">Proposal </w:t>
      </w:r>
      <w:r>
        <w:rPr>
          <w:rFonts w:ascii="Arial" w:hAnsi="Arial" w:cs="Arial"/>
          <w:b/>
          <w:lang w:eastAsia="sv-SE"/>
        </w:rPr>
        <w:t>1</w:t>
      </w:r>
      <w:r w:rsidRPr="008D6261">
        <w:rPr>
          <w:rFonts w:ascii="Arial" w:hAnsi="Arial" w:cs="Arial"/>
          <w:b/>
          <w:lang w:eastAsia="sv-SE"/>
        </w:rPr>
        <w:t xml:space="preserve">: </w:t>
      </w:r>
      <w:r w:rsidR="008D5561">
        <w:rPr>
          <w:rFonts w:ascii="Arial" w:hAnsi="Arial" w:cs="Arial"/>
          <w:b/>
          <w:lang w:eastAsia="sv-SE"/>
        </w:rPr>
        <w:t>Maximum HARQ process number is not increased</w:t>
      </w:r>
      <w:r w:rsidRPr="008D6261">
        <w:rPr>
          <w:rFonts w:ascii="Arial" w:hAnsi="Arial" w:cs="Arial"/>
          <w:b/>
          <w:lang w:eastAsia="sv-SE"/>
        </w:rPr>
        <w:t xml:space="preserve"> for NTN NB-IoT/eMTC devices.</w:t>
      </w:r>
    </w:p>
    <w:p w14:paraId="493BE23C" w14:textId="5F6318FB" w:rsidR="008D6261" w:rsidRPr="008D6261" w:rsidRDefault="008D6261" w:rsidP="008D5561">
      <w:pPr>
        <w:spacing w:after="120" w:line="276" w:lineRule="auto"/>
        <w:ind w:left="1440" w:hanging="1440"/>
        <w:jc w:val="both"/>
        <w:rPr>
          <w:rFonts w:ascii="Arial" w:hAnsi="Arial" w:cs="Arial"/>
          <w:b/>
          <w:lang w:eastAsia="sv-SE"/>
        </w:rPr>
      </w:pPr>
      <w:r w:rsidRPr="008D6261">
        <w:rPr>
          <w:rFonts w:ascii="Arial" w:hAnsi="Arial" w:cs="Arial"/>
          <w:b/>
          <w:lang w:eastAsia="sv-SE"/>
        </w:rPr>
        <w:t xml:space="preserve">Proposal </w:t>
      </w:r>
      <w:r>
        <w:rPr>
          <w:rFonts w:ascii="Arial" w:hAnsi="Arial" w:cs="Arial"/>
          <w:b/>
          <w:lang w:eastAsia="sv-SE"/>
        </w:rPr>
        <w:t>2</w:t>
      </w:r>
      <w:r w:rsidRPr="008D6261">
        <w:rPr>
          <w:rFonts w:ascii="Arial" w:hAnsi="Arial" w:cs="Arial"/>
          <w:b/>
          <w:lang w:eastAsia="sv-SE"/>
        </w:rPr>
        <w:t xml:space="preserve">: </w:t>
      </w:r>
      <w:r w:rsidRPr="008D6261">
        <w:rPr>
          <w:rFonts w:ascii="Arial" w:hAnsi="Arial" w:cs="Arial"/>
          <w:b/>
          <w:lang w:eastAsia="sv-SE"/>
        </w:rPr>
        <w:tab/>
        <w:t>Discussion on enhancements to reduce HARQ stalling is deprioritized in NB-IoT/eMTC.</w:t>
      </w:r>
    </w:p>
    <w:p w14:paraId="36094DAF" w14:textId="67712323" w:rsidR="008D5561" w:rsidRDefault="008D5561" w:rsidP="008D5561">
      <w:pPr>
        <w:spacing w:after="120" w:line="276" w:lineRule="auto"/>
        <w:jc w:val="both"/>
        <w:rPr>
          <w:rFonts w:ascii="Arial" w:hAnsi="Arial" w:cs="Arial"/>
        </w:rPr>
      </w:pPr>
      <w:r>
        <w:rPr>
          <w:rFonts w:ascii="Arial" w:hAnsi="Arial" w:cs="Arial"/>
        </w:rPr>
        <w:t>Other types of HARQ enhancement</w:t>
      </w:r>
      <w:r w:rsidR="00CF2893">
        <w:rPr>
          <w:rFonts w:ascii="Arial" w:hAnsi="Arial" w:cs="Arial"/>
        </w:rPr>
        <w:t>s</w:t>
      </w:r>
      <w:r>
        <w:rPr>
          <w:rFonts w:ascii="Arial" w:hAnsi="Arial" w:cs="Arial"/>
        </w:rPr>
        <w:t xml:space="preserve"> </w:t>
      </w:r>
      <w:r w:rsidR="00CF2893">
        <w:rPr>
          <w:rFonts w:ascii="Arial" w:hAnsi="Arial" w:cs="Arial"/>
        </w:rPr>
        <w:t xml:space="preserve">including </w:t>
      </w:r>
      <w:r>
        <w:rPr>
          <w:rFonts w:ascii="Arial" w:hAnsi="Arial" w:cs="Arial"/>
        </w:rPr>
        <w:t xml:space="preserve">HARQ codebook enhancement </w:t>
      </w:r>
      <w:r w:rsidR="00CF2893">
        <w:rPr>
          <w:rFonts w:ascii="Arial" w:hAnsi="Arial" w:cs="Arial"/>
        </w:rPr>
        <w:t>is currently under discussion in RAN1 for Rel-17 NTN WI. However, it seems to be premature to discuss those issues for IoT NTN until enough progress has made in the NTN WI.</w:t>
      </w:r>
    </w:p>
    <w:p w14:paraId="192D1F4D" w14:textId="77777777" w:rsidR="00CF2893" w:rsidRPr="008D6261" w:rsidRDefault="00CF2893" w:rsidP="00CF2893">
      <w:pPr>
        <w:spacing w:after="120" w:line="276" w:lineRule="auto"/>
        <w:ind w:left="1440" w:hanging="1440"/>
        <w:jc w:val="both"/>
        <w:rPr>
          <w:rFonts w:ascii="Arial" w:hAnsi="Arial" w:cs="Arial"/>
          <w:b/>
          <w:lang w:eastAsia="sv-SE"/>
        </w:rPr>
      </w:pPr>
      <w:r w:rsidRPr="008D6261">
        <w:rPr>
          <w:rFonts w:ascii="Arial" w:hAnsi="Arial" w:cs="Arial"/>
          <w:b/>
          <w:lang w:eastAsia="sv-SE"/>
        </w:rPr>
        <w:t xml:space="preserve">Proposal </w:t>
      </w:r>
      <w:r>
        <w:rPr>
          <w:rFonts w:ascii="Arial" w:hAnsi="Arial" w:cs="Arial"/>
          <w:b/>
          <w:lang w:eastAsia="sv-SE"/>
        </w:rPr>
        <w:t>3</w:t>
      </w:r>
      <w:r w:rsidRPr="008D6261">
        <w:rPr>
          <w:rFonts w:ascii="Arial" w:hAnsi="Arial" w:cs="Arial"/>
          <w:b/>
          <w:lang w:eastAsia="sv-SE"/>
        </w:rPr>
        <w:t xml:space="preserve">: </w:t>
      </w:r>
      <w:r>
        <w:rPr>
          <w:rFonts w:ascii="Arial" w:hAnsi="Arial" w:cs="Arial"/>
          <w:b/>
          <w:lang w:eastAsia="sv-SE"/>
        </w:rPr>
        <w:t>No discussion on the HARQ enhancement issues for IoT NTN until a sufficient progress is made for that in NTN.</w:t>
      </w: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0D325EF1" w14:textId="2BC3E89E" w:rsidR="003F215B"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CF2893">
        <w:rPr>
          <w:rFonts w:ascii="Arial" w:hAnsi="Arial" w:cs="Arial"/>
        </w:rPr>
        <w:t>HARQ enhancement</w:t>
      </w:r>
      <w:r w:rsidR="00F93D43">
        <w:rPr>
          <w:rFonts w:ascii="Arial" w:hAnsi="Arial" w:cs="Arial"/>
        </w:rPr>
        <w:t xml:space="preserve"> </w:t>
      </w:r>
      <w:r w:rsidR="0050017F">
        <w:rPr>
          <w:rFonts w:ascii="Arial" w:hAnsi="Arial" w:cs="Arial"/>
        </w:rPr>
        <w:t xml:space="preserve">for IoT NTN. Based on the discussion, we </w:t>
      </w:r>
      <w:r w:rsidR="00582C47">
        <w:rPr>
          <w:rFonts w:ascii="Arial" w:hAnsi="Arial" w:cs="Arial"/>
        </w:rPr>
        <w:t>make the following observations and proposals</w:t>
      </w:r>
      <w:r w:rsidR="00CB0932">
        <w:rPr>
          <w:rFonts w:ascii="Arial" w:hAnsi="Arial" w:cs="Arial"/>
        </w:rPr>
        <w:t>:</w:t>
      </w:r>
      <w:r w:rsidRPr="008924A3">
        <w:rPr>
          <w:rFonts w:ascii="Arial" w:hAnsi="Arial" w:cs="Arial"/>
        </w:rPr>
        <w:t xml:space="preserve"> </w:t>
      </w:r>
    </w:p>
    <w:p w14:paraId="6F560126" w14:textId="77777777" w:rsidR="00582C47" w:rsidRPr="008D6261" w:rsidRDefault="00582C47" w:rsidP="00582C47">
      <w:pPr>
        <w:spacing w:after="120" w:line="276" w:lineRule="auto"/>
        <w:ind w:left="1440" w:hanging="1440"/>
        <w:rPr>
          <w:rFonts w:ascii="Arial" w:hAnsi="Arial" w:cs="Arial"/>
          <w:i/>
          <w:lang w:eastAsia="sv-SE"/>
        </w:rPr>
      </w:pPr>
      <w:r w:rsidRPr="008D6261">
        <w:rPr>
          <w:rFonts w:ascii="Arial" w:hAnsi="Arial" w:cs="Arial"/>
          <w:i/>
          <w:u w:val="single"/>
          <w:lang w:eastAsia="sv-SE"/>
        </w:rPr>
        <w:t xml:space="preserve">Observation </w:t>
      </w:r>
      <w:r>
        <w:rPr>
          <w:rFonts w:ascii="Arial" w:hAnsi="Arial" w:cs="Arial"/>
          <w:i/>
          <w:u w:val="single"/>
          <w:lang w:eastAsia="sv-SE"/>
        </w:rPr>
        <w:t>1</w:t>
      </w:r>
      <w:r w:rsidRPr="008D6261">
        <w:rPr>
          <w:rFonts w:ascii="Arial" w:hAnsi="Arial" w:cs="Arial"/>
          <w:i/>
          <w:lang w:eastAsia="sv-SE"/>
        </w:rPr>
        <w:t xml:space="preserve">: </w:t>
      </w:r>
      <w:r w:rsidRPr="008D6261">
        <w:rPr>
          <w:rFonts w:ascii="Arial" w:hAnsi="Arial" w:cs="Arial"/>
          <w:i/>
          <w:lang w:eastAsia="sv-SE"/>
        </w:rPr>
        <w:tab/>
        <w:t>Due to low-cost nature of NB-IoT/eMTC devices, increasing soft buffer requirements to support additional HARQ PIDs is not well motivated.</w:t>
      </w:r>
    </w:p>
    <w:p w14:paraId="0F7D8F3F" w14:textId="77777777" w:rsidR="00CF2893" w:rsidRPr="008D6261" w:rsidRDefault="00CF2893" w:rsidP="00CF2893">
      <w:pPr>
        <w:spacing w:after="120" w:line="276" w:lineRule="auto"/>
        <w:ind w:left="1440" w:hanging="1440"/>
        <w:rPr>
          <w:rFonts w:ascii="Arial" w:hAnsi="Arial" w:cs="Arial"/>
          <w:b/>
          <w:lang w:eastAsia="sv-SE"/>
        </w:rPr>
      </w:pPr>
      <w:r w:rsidRPr="008D6261">
        <w:rPr>
          <w:rFonts w:ascii="Arial" w:hAnsi="Arial" w:cs="Arial"/>
          <w:b/>
          <w:lang w:eastAsia="sv-SE"/>
        </w:rPr>
        <w:t xml:space="preserve">Proposal </w:t>
      </w:r>
      <w:r>
        <w:rPr>
          <w:rFonts w:ascii="Arial" w:hAnsi="Arial" w:cs="Arial"/>
          <w:b/>
          <w:lang w:eastAsia="sv-SE"/>
        </w:rPr>
        <w:t>1</w:t>
      </w:r>
      <w:r w:rsidRPr="008D6261">
        <w:rPr>
          <w:rFonts w:ascii="Arial" w:hAnsi="Arial" w:cs="Arial"/>
          <w:b/>
          <w:lang w:eastAsia="sv-SE"/>
        </w:rPr>
        <w:t xml:space="preserve">: </w:t>
      </w:r>
      <w:r>
        <w:rPr>
          <w:rFonts w:ascii="Arial" w:hAnsi="Arial" w:cs="Arial"/>
          <w:b/>
          <w:lang w:eastAsia="sv-SE"/>
        </w:rPr>
        <w:t>Maximum HARQ process number is not increased</w:t>
      </w:r>
      <w:r w:rsidRPr="008D6261">
        <w:rPr>
          <w:rFonts w:ascii="Arial" w:hAnsi="Arial" w:cs="Arial"/>
          <w:b/>
          <w:lang w:eastAsia="sv-SE"/>
        </w:rPr>
        <w:t xml:space="preserve"> for NTN NB-IoT/eMTC devices.</w:t>
      </w:r>
    </w:p>
    <w:p w14:paraId="5EED1770" w14:textId="229F2503" w:rsidR="00CF2893" w:rsidRDefault="00CF2893" w:rsidP="00CF2893">
      <w:pPr>
        <w:spacing w:after="120" w:line="276" w:lineRule="auto"/>
        <w:ind w:left="1440" w:hanging="1440"/>
        <w:jc w:val="both"/>
        <w:rPr>
          <w:rFonts w:ascii="Arial" w:hAnsi="Arial" w:cs="Arial"/>
          <w:b/>
          <w:lang w:eastAsia="sv-SE"/>
        </w:rPr>
      </w:pPr>
      <w:r w:rsidRPr="008D6261">
        <w:rPr>
          <w:rFonts w:ascii="Arial" w:hAnsi="Arial" w:cs="Arial"/>
          <w:b/>
          <w:lang w:eastAsia="sv-SE"/>
        </w:rPr>
        <w:t xml:space="preserve">Proposal </w:t>
      </w:r>
      <w:r>
        <w:rPr>
          <w:rFonts w:ascii="Arial" w:hAnsi="Arial" w:cs="Arial"/>
          <w:b/>
          <w:lang w:eastAsia="sv-SE"/>
        </w:rPr>
        <w:t>2</w:t>
      </w:r>
      <w:r w:rsidRPr="008D6261">
        <w:rPr>
          <w:rFonts w:ascii="Arial" w:hAnsi="Arial" w:cs="Arial"/>
          <w:b/>
          <w:lang w:eastAsia="sv-SE"/>
        </w:rPr>
        <w:t xml:space="preserve">: </w:t>
      </w:r>
      <w:r w:rsidRPr="008D6261">
        <w:rPr>
          <w:rFonts w:ascii="Arial" w:hAnsi="Arial" w:cs="Arial"/>
          <w:b/>
          <w:lang w:eastAsia="sv-SE"/>
        </w:rPr>
        <w:tab/>
        <w:t>Discussion on enhancements to reduce HARQ stalling is deprioritized in NB-IoT/eMTC.</w:t>
      </w:r>
    </w:p>
    <w:p w14:paraId="2C2877F6" w14:textId="6BAB287B" w:rsidR="00CF2893" w:rsidRPr="008D6261" w:rsidRDefault="00CF2893" w:rsidP="00CF2893">
      <w:pPr>
        <w:spacing w:after="120" w:line="276" w:lineRule="auto"/>
        <w:ind w:left="1440" w:hanging="1440"/>
        <w:jc w:val="both"/>
        <w:rPr>
          <w:rFonts w:ascii="Arial" w:hAnsi="Arial" w:cs="Arial"/>
          <w:b/>
          <w:lang w:eastAsia="sv-SE"/>
        </w:rPr>
      </w:pPr>
      <w:r w:rsidRPr="008D6261">
        <w:rPr>
          <w:rFonts w:ascii="Arial" w:hAnsi="Arial" w:cs="Arial"/>
          <w:b/>
          <w:lang w:eastAsia="sv-SE"/>
        </w:rPr>
        <w:t xml:space="preserve">Proposal </w:t>
      </w:r>
      <w:r>
        <w:rPr>
          <w:rFonts w:ascii="Arial" w:hAnsi="Arial" w:cs="Arial"/>
          <w:b/>
          <w:lang w:eastAsia="sv-SE"/>
        </w:rPr>
        <w:t>3</w:t>
      </w:r>
      <w:r w:rsidRPr="008D6261">
        <w:rPr>
          <w:rFonts w:ascii="Arial" w:hAnsi="Arial" w:cs="Arial"/>
          <w:b/>
          <w:lang w:eastAsia="sv-SE"/>
        </w:rPr>
        <w:t xml:space="preserve">: </w:t>
      </w:r>
      <w:r>
        <w:rPr>
          <w:rFonts w:ascii="Arial" w:hAnsi="Arial" w:cs="Arial"/>
          <w:b/>
          <w:lang w:eastAsia="sv-SE"/>
        </w:rPr>
        <w:t>No discussion on the HARQ enhancement issues for IoT NTN until a sufficient progress is made for that in NTN.</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2F02CFF5" w14:textId="1321CEBF" w:rsidR="00F8241F" w:rsidRPr="00994D39" w:rsidRDefault="00F8241F" w:rsidP="00F8241F">
      <w:pPr>
        <w:pStyle w:val="Reference"/>
        <w:spacing w:after="120"/>
        <w:jc w:val="both"/>
        <w:rPr>
          <w:rFonts w:ascii="Times New Roman" w:hAnsi="Times New Roman" w:cs="Times New Roman"/>
        </w:rPr>
      </w:pPr>
      <w:bookmarkStart w:id="2" w:name="_Ref49798330"/>
      <w:r w:rsidRPr="00994D39">
        <w:rPr>
          <w:rFonts w:ascii="Times New Roman" w:hAnsi="Times New Roman" w:cs="Times New Roman"/>
        </w:rPr>
        <w:t>RP-193235, Study on NB-IoT/eMTC support for Non-terrestrial Network, MediaTek Inc., RAN#86, Dec 2019.</w:t>
      </w:r>
      <w:bookmarkEnd w:id="2"/>
    </w:p>
    <w:p w14:paraId="47BC1085" w14:textId="77777777" w:rsidR="00745259" w:rsidRPr="00344277" w:rsidRDefault="00745259" w:rsidP="00745259">
      <w:pPr>
        <w:pStyle w:val="Reference"/>
        <w:overflowPunct w:val="0"/>
        <w:autoSpaceDE w:val="0"/>
        <w:autoSpaceDN w:val="0"/>
        <w:adjustRightInd w:val="0"/>
        <w:spacing w:after="60"/>
        <w:jc w:val="both"/>
        <w:textAlignment w:val="baseline"/>
        <w:rPr>
          <w:rFonts w:ascii="Times New Roman" w:hAnsi="Times New Roman" w:cs="Times New Roman"/>
        </w:rPr>
      </w:pPr>
      <w:r w:rsidRPr="00344277">
        <w:rPr>
          <w:rFonts w:ascii="Times New Roman" w:hAnsi="Times New Roman" w:cs="Times New Roman"/>
        </w:rPr>
        <w:lastRenderedPageBreak/>
        <w:t>3GPP TR 38.821 Solutions for NR to support non-terrestrial networks (NTN)</w:t>
      </w:r>
    </w:p>
    <w:p w14:paraId="130531EF" w14:textId="77777777" w:rsidR="00745259" w:rsidRPr="00416213" w:rsidRDefault="00745259" w:rsidP="00416213">
      <w:pPr>
        <w:pStyle w:val="Reference"/>
        <w:numPr>
          <w:ilvl w:val="0"/>
          <w:numId w:val="0"/>
        </w:numPr>
        <w:spacing w:after="120"/>
        <w:jc w:val="both"/>
        <w:rPr>
          <w:rFonts w:ascii="Times New Roman" w:hAnsi="Times New Roman" w:cs="Times New Roman"/>
        </w:rPr>
      </w:pPr>
    </w:p>
    <w:p w14:paraId="400C6181" w14:textId="22D8BDED" w:rsidR="00163644" w:rsidRPr="00E652A0" w:rsidRDefault="00163644" w:rsidP="00DA0B7E">
      <w:pPr>
        <w:spacing w:before="120"/>
        <w:contextualSpacing/>
        <w:jc w:val="both"/>
      </w:pPr>
    </w:p>
    <w:sectPr w:rsidR="00163644" w:rsidRPr="00E652A0" w:rsidSect="00E74F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B7458" w14:textId="77777777" w:rsidR="00385679" w:rsidRDefault="00385679">
      <w:r>
        <w:separator/>
      </w:r>
    </w:p>
  </w:endnote>
  <w:endnote w:type="continuationSeparator" w:id="0">
    <w:p w14:paraId="3B77FF74" w14:textId="77777777" w:rsidR="00385679" w:rsidRDefault="00385679">
      <w:r>
        <w:continuationSeparator/>
      </w:r>
    </w:p>
  </w:endnote>
  <w:endnote w:type="continuationNotice" w:id="1">
    <w:p w14:paraId="781FDABF" w14:textId="77777777" w:rsidR="00385679" w:rsidRDefault="003856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8BCAA" w14:textId="77777777" w:rsidR="005E08D5" w:rsidRDefault="005E0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08137" w14:textId="77777777" w:rsidR="005E08D5" w:rsidRDefault="005E0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F72AA" w14:textId="77777777" w:rsidR="005E08D5" w:rsidRDefault="005E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9845FD" w14:textId="77777777" w:rsidR="00385679" w:rsidRDefault="00385679">
      <w:r>
        <w:separator/>
      </w:r>
    </w:p>
  </w:footnote>
  <w:footnote w:type="continuationSeparator" w:id="0">
    <w:p w14:paraId="355FA5B6" w14:textId="77777777" w:rsidR="00385679" w:rsidRDefault="00385679">
      <w:r>
        <w:continuationSeparator/>
      </w:r>
    </w:p>
  </w:footnote>
  <w:footnote w:type="continuationNotice" w:id="1">
    <w:p w14:paraId="0DF1F10D" w14:textId="77777777" w:rsidR="00385679" w:rsidRDefault="003856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FE0C3" w14:textId="77777777" w:rsidR="005E08D5" w:rsidRDefault="005E0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F634A" w14:textId="77777777" w:rsidR="005E08D5" w:rsidRDefault="005E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7F1372"/>
    <w:multiLevelType w:val="hybridMultilevel"/>
    <w:tmpl w:val="5F50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D1A23"/>
    <w:multiLevelType w:val="hybridMultilevel"/>
    <w:tmpl w:val="C5222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AD7C60"/>
    <w:multiLevelType w:val="hybridMultilevel"/>
    <w:tmpl w:val="8F7A9E92"/>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5" w15:restartNumberingAfterBreak="0">
    <w:nsid w:val="4ABB246A"/>
    <w:multiLevelType w:val="multilevel"/>
    <w:tmpl w:val="4C396493"/>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EE57D31"/>
    <w:multiLevelType w:val="hybridMultilevel"/>
    <w:tmpl w:val="4E5C7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18C3A9E"/>
    <w:multiLevelType w:val="hybridMultilevel"/>
    <w:tmpl w:val="17AA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AF07EFB"/>
    <w:multiLevelType w:val="hybridMultilevel"/>
    <w:tmpl w:val="7D6C30D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90C3EB9"/>
    <w:multiLevelType w:val="hybridMultilevel"/>
    <w:tmpl w:val="E74E5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0562AC"/>
    <w:multiLevelType w:val="hybridMultilevel"/>
    <w:tmpl w:val="63A8B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6"/>
  </w:num>
  <w:num w:numId="3">
    <w:abstractNumId w:val="20"/>
  </w:num>
  <w:num w:numId="4">
    <w:abstractNumId w:val="21"/>
  </w:num>
  <w:num w:numId="5">
    <w:abstractNumId w:val="14"/>
  </w:num>
  <w:num w:numId="6">
    <w:abstractNumId w:val="23"/>
  </w:num>
  <w:num w:numId="7">
    <w:abstractNumId w:val="33"/>
  </w:num>
  <w:num w:numId="8">
    <w:abstractNumId w:val="15"/>
  </w:num>
  <w:num w:numId="9">
    <w:abstractNumId w:val="45"/>
  </w:num>
  <w:num w:numId="10">
    <w:abstractNumId w:val="18"/>
  </w:num>
  <w:num w:numId="11">
    <w:abstractNumId w:val="36"/>
  </w:num>
  <w:num w:numId="12">
    <w:abstractNumId w:val="30"/>
  </w:num>
  <w:num w:numId="13">
    <w:abstractNumId w:val="46"/>
  </w:num>
  <w:num w:numId="14">
    <w:abstractNumId w:val="17"/>
  </w:num>
  <w:num w:numId="15">
    <w:abstractNumId w:val="11"/>
  </w:num>
  <w:num w:numId="16">
    <w:abstractNumId w:val="44"/>
  </w:num>
  <w:num w:numId="17">
    <w:abstractNumId w:val="9"/>
  </w:num>
  <w:num w:numId="18">
    <w:abstractNumId w:val="37"/>
  </w:num>
  <w:num w:numId="19">
    <w:abstractNumId w:val="4"/>
  </w:num>
  <w:num w:numId="20">
    <w:abstractNumId w:val="32"/>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5"/>
  </w:num>
  <w:num w:numId="28">
    <w:abstractNumId w:val="28"/>
  </w:num>
  <w:num w:numId="29">
    <w:abstractNumId w:val="40"/>
  </w:num>
  <w:num w:numId="30">
    <w:abstractNumId w:val="6"/>
  </w:num>
  <w:num w:numId="31">
    <w:abstractNumId w:val="42"/>
  </w:num>
  <w:num w:numId="32">
    <w:abstractNumId w:val="35"/>
  </w:num>
  <w:num w:numId="33">
    <w:abstractNumId w:val="7"/>
  </w:num>
  <w:num w:numId="34">
    <w:abstractNumId w:val="24"/>
  </w:num>
  <w:num w:numId="35">
    <w:abstractNumId w:val="0"/>
  </w:num>
  <w:num w:numId="36">
    <w:abstractNumId w:val="8"/>
  </w:num>
  <w:num w:numId="37">
    <w:abstractNumId w:val="27"/>
  </w:num>
  <w:num w:numId="38">
    <w:abstractNumId w:val="27"/>
  </w:num>
  <w:num w:numId="39">
    <w:abstractNumId w:val="2"/>
  </w:num>
  <w:num w:numId="40">
    <w:abstractNumId w:val="12"/>
  </w:num>
  <w:num w:numId="41">
    <w:abstractNumId w:val="31"/>
  </w:num>
  <w:num w:numId="42">
    <w:abstractNumId w:val="39"/>
  </w:num>
  <w:num w:numId="43">
    <w:abstractNumId w:val="1"/>
  </w:num>
  <w:num w:numId="44">
    <w:abstractNumId w:val="13"/>
  </w:num>
  <w:num w:numId="45">
    <w:abstractNumId w:val="38"/>
  </w:num>
  <w:num w:numId="46">
    <w:abstractNumId w:val="3"/>
  </w:num>
  <w:num w:numId="47">
    <w:abstractNumId w:val="34"/>
  </w:num>
  <w:num w:numId="48">
    <w:abstractNumId w:val="43"/>
  </w:num>
  <w:num w:numId="49">
    <w:abstractNumId w:val="29"/>
  </w:num>
  <w:num w:numId="50">
    <w:abstractNumId w:val="19"/>
  </w:num>
  <w:num w:numId="51">
    <w:abstractNumId w:val="10"/>
  </w:num>
  <w:num w:numId="52">
    <w:abstractNumId w:val="41"/>
  </w:num>
  <w:num w:numId="53">
    <w:abstractNumId w:val="25"/>
  </w:num>
  <w:num w:numId="54">
    <w:abstractNumId w:val="2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6CEF"/>
    <w:rsid w:val="00017074"/>
    <w:rsid w:val="000208E4"/>
    <w:rsid w:val="00020AFD"/>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5BE7"/>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152"/>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26A9"/>
    <w:rsid w:val="00122C85"/>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14A"/>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863"/>
    <w:rsid w:val="001C5B0C"/>
    <w:rsid w:val="001C6312"/>
    <w:rsid w:val="001C664F"/>
    <w:rsid w:val="001C7611"/>
    <w:rsid w:val="001C7E29"/>
    <w:rsid w:val="001D0064"/>
    <w:rsid w:val="001D0296"/>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F06CA"/>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560A"/>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1CC"/>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3D8"/>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4F16"/>
    <w:rsid w:val="002B5A22"/>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2E10"/>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277"/>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A75"/>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679"/>
    <w:rsid w:val="00385770"/>
    <w:rsid w:val="00385932"/>
    <w:rsid w:val="003859C1"/>
    <w:rsid w:val="00385BF0"/>
    <w:rsid w:val="003861C1"/>
    <w:rsid w:val="00386578"/>
    <w:rsid w:val="00386747"/>
    <w:rsid w:val="0038691E"/>
    <w:rsid w:val="00390D95"/>
    <w:rsid w:val="00390FFE"/>
    <w:rsid w:val="003913DB"/>
    <w:rsid w:val="00391638"/>
    <w:rsid w:val="003916B0"/>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213"/>
    <w:rsid w:val="00416DDF"/>
    <w:rsid w:val="00416EC3"/>
    <w:rsid w:val="00417B86"/>
    <w:rsid w:val="00417B92"/>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4A7"/>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DE"/>
    <w:rsid w:val="0046493F"/>
    <w:rsid w:val="00465D2A"/>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2FCD"/>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B38"/>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1CD5"/>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5FB7"/>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2F1C"/>
    <w:rsid w:val="004F30B7"/>
    <w:rsid w:val="004F4990"/>
    <w:rsid w:val="004F4A7F"/>
    <w:rsid w:val="004F4DA3"/>
    <w:rsid w:val="004F53E9"/>
    <w:rsid w:val="004F575D"/>
    <w:rsid w:val="004F631B"/>
    <w:rsid w:val="004F6322"/>
    <w:rsid w:val="004F659D"/>
    <w:rsid w:val="004F66A7"/>
    <w:rsid w:val="004F67B0"/>
    <w:rsid w:val="004F735E"/>
    <w:rsid w:val="004F7C51"/>
    <w:rsid w:val="0050017F"/>
    <w:rsid w:val="00500362"/>
    <w:rsid w:val="00500B52"/>
    <w:rsid w:val="00500C26"/>
    <w:rsid w:val="005011FB"/>
    <w:rsid w:val="00502124"/>
    <w:rsid w:val="00502401"/>
    <w:rsid w:val="0050268E"/>
    <w:rsid w:val="0050318E"/>
    <w:rsid w:val="0050345C"/>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23A"/>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2C47"/>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00F"/>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2E4C"/>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04D9"/>
    <w:rsid w:val="005D1602"/>
    <w:rsid w:val="005D2490"/>
    <w:rsid w:val="005D28DF"/>
    <w:rsid w:val="005D298E"/>
    <w:rsid w:val="005D2D53"/>
    <w:rsid w:val="005D32AE"/>
    <w:rsid w:val="005D3F72"/>
    <w:rsid w:val="005D47EF"/>
    <w:rsid w:val="005D4AB0"/>
    <w:rsid w:val="005D5050"/>
    <w:rsid w:val="005D53C3"/>
    <w:rsid w:val="005D5CDC"/>
    <w:rsid w:val="005D6010"/>
    <w:rsid w:val="005D623C"/>
    <w:rsid w:val="005D6446"/>
    <w:rsid w:val="005D69BE"/>
    <w:rsid w:val="005D6BAE"/>
    <w:rsid w:val="005D7271"/>
    <w:rsid w:val="005D7A1B"/>
    <w:rsid w:val="005D7B61"/>
    <w:rsid w:val="005D7C82"/>
    <w:rsid w:val="005D7ED3"/>
    <w:rsid w:val="005E05D4"/>
    <w:rsid w:val="005E08D5"/>
    <w:rsid w:val="005E0C50"/>
    <w:rsid w:val="005E0C55"/>
    <w:rsid w:val="005E18FE"/>
    <w:rsid w:val="005E251B"/>
    <w:rsid w:val="005E26FB"/>
    <w:rsid w:val="005E2DCB"/>
    <w:rsid w:val="005E33DA"/>
    <w:rsid w:val="005E33ED"/>
    <w:rsid w:val="005E385F"/>
    <w:rsid w:val="005E4663"/>
    <w:rsid w:val="005E4FCF"/>
    <w:rsid w:val="005E53B7"/>
    <w:rsid w:val="005E575F"/>
    <w:rsid w:val="005E5895"/>
    <w:rsid w:val="005E5B81"/>
    <w:rsid w:val="005E6492"/>
    <w:rsid w:val="005E6756"/>
    <w:rsid w:val="005E7CB8"/>
    <w:rsid w:val="005F2CB1"/>
    <w:rsid w:val="005F2D31"/>
    <w:rsid w:val="005F31CF"/>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2C2C"/>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5CB"/>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2FA3"/>
    <w:rsid w:val="006931AC"/>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238E"/>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6F80"/>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259"/>
    <w:rsid w:val="0074545D"/>
    <w:rsid w:val="00746608"/>
    <w:rsid w:val="00746CE2"/>
    <w:rsid w:val="00746EAC"/>
    <w:rsid w:val="007471D5"/>
    <w:rsid w:val="007474A3"/>
    <w:rsid w:val="00747D8B"/>
    <w:rsid w:val="00751228"/>
    <w:rsid w:val="00752C50"/>
    <w:rsid w:val="007540AD"/>
    <w:rsid w:val="007543CB"/>
    <w:rsid w:val="00755316"/>
    <w:rsid w:val="007557CC"/>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6C0"/>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A68"/>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1791C"/>
    <w:rsid w:val="00820715"/>
    <w:rsid w:val="00820CC3"/>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2E38"/>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2DF6"/>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261"/>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561"/>
    <w:rsid w:val="008D5BE7"/>
    <w:rsid w:val="008D5DA9"/>
    <w:rsid w:val="008D6261"/>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BB2"/>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0B6D"/>
    <w:rsid w:val="008F197A"/>
    <w:rsid w:val="008F19BC"/>
    <w:rsid w:val="008F1EAB"/>
    <w:rsid w:val="008F205C"/>
    <w:rsid w:val="008F21F5"/>
    <w:rsid w:val="008F2E6C"/>
    <w:rsid w:val="008F33DC"/>
    <w:rsid w:val="008F37D2"/>
    <w:rsid w:val="008F4050"/>
    <w:rsid w:val="008F43EC"/>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1A63"/>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7B5"/>
    <w:rsid w:val="0093582B"/>
    <w:rsid w:val="00935A7F"/>
    <w:rsid w:val="00936F0E"/>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696"/>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05E"/>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39"/>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874"/>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5C1"/>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695F"/>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8EE"/>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F3F"/>
    <w:rsid w:val="00A453DB"/>
    <w:rsid w:val="00A45AD5"/>
    <w:rsid w:val="00A45B74"/>
    <w:rsid w:val="00A45BB0"/>
    <w:rsid w:val="00A46187"/>
    <w:rsid w:val="00A4665B"/>
    <w:rsid w:val="00A4678B"/>
    <w:rsid w:val="00A469EB"/>
    <w:rsid w:val="00A469ED"/>
    <w:rsid w:val="00A46A95"/>
    <w:rsid w:val="00A47A09"/>
    <w:rsid w:val="00A50156"/>
    <w:rsid w:val="00A501EA"/>
    <w:rsid w:val="00A50F41"/>
    <w:rsid w:val="00A511A5"/>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39C"/>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36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2DB"/>
    <w:rsid w:val="00AE7707"/>
    <w:rsid w:val="00AF1C5D"/>
    <w:rsid w:val="00AF1E22"/>
    <w:rsid w:val="00AF271A"/>
    <w:rsid w:val="00AF2A94"/>
    <w:rsid w:val="00AF2FCD"/>
    <w:rsid w:val="00AF3219"/>
    <w:rsid w:val="00AF42D7"/>
    <w:rsid w:val="00AF4320"/>
    <w:rsid w:val="00AF474B"/>
    <w:rsid w:val="00AF4AFF"/>
    <w:rsid w:val="00AF5E46"/>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3E3"/>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3DB6"/>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2A36"/>
    <w:rsid w:val="00B4435B"/>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47E93"/>
    <w:rsid w:val="00B50916"/>
    <w:rsid w:val="00B51008"/>
    <w:rsid w:val="00B51031"/>
    <w:rsid w:val="00B51D73"/>
    <w:rsid w:val="00B52318"/>
    <w:rsid w:val="00B5286A"/>
    <w:rsid w:val="00B5310E"/>
    <w:rsid w:val="00B53485"/>
    <w:rsid w:val="00B5372E"/>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1682"/>
    <w:rsid w:val="00B62BEF"/>
    <w:rsid w:val="00B63658"/>
    <w:rsid w:val="00B63B96"/>
    <w:rsid w:val="00B63CEF"/>
    <w:rsid w:val="00B64A5E"/>
    <w:rsid w:val="00B64B37"/>
    <w:rsid w:val="00B6575C"/>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713"/>
    <w:rsid w:val="00BA28C0"/>
    <w:rsid w:val="00BA2A08"/>
    <w:rsid w:val="00BA33E1"/>
    <w:rsid w:val="00BA4E8B"/>
    <w:rsid w:val="00BA5484"/>
    <w:rsid w:val="00BA55AC"/>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7BB"/>
    <w:rsid w:val="00BC4D2E"/>
    <w:rsid w:val="00BC4E54"/>
    <w:rsid w:val="00BC6BDD"/>
    <w:rsid w:val="00BC73F2"/>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28B7"/>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19B"/>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AE3"/>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58D"/>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932"/>
    <w:rsid w:val="00CB0F89"/>
    <w:rsid w:val="00CB1F63"/>
    <w:rsid w:val="00CB2067"/>
    <w:rsid w:val="00CB2075"/>
    <w:rsid w:val="00CB37DE"/>
    <w:rsid w:val="00CB397C"/>
    <w:rsid w:val="00CB4899"/>
    <w:rsid w:val="00CB4D5A"/>
    <w:rsid w:val="00CB51CE"/>
    <w:rsid w:val="00CB639A"/>
    <w:rsid w:val="00CB6855"/>
    <w:rsid w:val="00CB6997"/>
    <w:rsid w:val="00CB712F"/>
    <w:rsid w:val="00CB751B"/>
    <w:rsid w:val="00CB79B1"/>
    <w:rsid w:val="00CC040E"/>
    <w:rsid w:val="00CC05E6"/>
    <w:rsid w:val="00CC111F"/>
    <w:rsid w:val="00CC1E1C"/>
    <w:rsid w:val="00CC265E"/>
    <w:rsid w:val="00CC2A50"/>
    <w:rsid w:val="00CC367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2893"/>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54F"/>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1D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3AED"/>
    <w:rsid w:val="00D84E2F"/>
    <w:rsid w:val="00D85917"/>
    <w:rsid w:val="00D85D70"/>
    <w:rsid w:val="00D871CE"/>
    <w:rsid w:val="00D871F0"/>
    <w:rsid w:val="00D87270"/>
    <w:rsid w:val="00D875AF"/>
    <w:rsid w:val="00D87BAE"/>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2B2"/>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354"/>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70"/>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70C"/>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743"/>
    <w:rsid w:val="00E83B48"/>
    <w:rsid w:val="00E84706"/>
    <w:rsid w:val="00E84B86"/>
    <w:rsid w:val="00E84E80"/>
    <w:rsid w:val="00E8504A"/>
    <w:rsid w:val="00E851D4"/>
    <w:rsid w:val="00E85443"/>
    <w:rsid w:val="00E85928"/>
    <w:rsid w:val="00E870F5"/>
    <w:rsid w:val="00E8723F"/>
    <w:rsid w:val="00E87822"/>
    <w:rsid w:val="00E87A9B"/>
    <w:rsid w:val="00E87D7F"/>
    <w:rsid w:val="00E90084"/>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CF4"/>
    <w:rsid w:val="00EC5D24"/>
    <w:rsid w:val="00EC60AE"/>
    <w:rsid w:val="00EC61BC"/>
    <w:rsid w:val="00EC640B"/>
    <w:rsid w:val="00EC657C"/>
    <w:rsid w:val="00EC6B56"/>
    <w:rsid w:val="00EC71CE"/>
    <w:rsid w:val="00EC7457"/>
    <w:rsid w:val="00EC7512"/>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49C"/>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41F"/>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948"/>
    <w:rsid w:val="00F87A58"/>
    <w:rsid w:val="00F90344"/>
    <w:rsid w:val="00F90399"/>
    <w:rsid w:val="00F9056A"/>
    <w:rsid w:val="00F90F8D"/>
    <w:rsid w:val="00F918FA"/>
    <w:rsid w:val="00F91ADD"/>
    <w:rsid w:val="00F91C3C"/>
    <w:rsid w:val="00F91DF0"/>
    <w:rsid w:val="00F922AB"/>
    <w:rsid w:val="00F92782"/>
    <w:rsid w:val="00F9378A"/>
    <w:rsid w:val="00F93AA9"/>
    <w:rsid w:val="00F93D43"/>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53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036"/>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715"/>
    <w:rsid w:val="00FC79F9"/>
    <w:rsid w:val="00FD07F6"/>
    <w:rsid w:val="00FD080A"/>
    <w:rsid w:val="00FD096B"/>
    <w:rsid w:val="00FD0F09"/>
    <w:rsid w:val="00FD1475"/>
    <w:rsid w:val="00FD1872"/>
    <w:rsid w:val="00FD1EC8"/>
    <w:rsid w:val="00FD2254"/>
    <w:rsid w:val="00FD2E88"/>
    <w:rsid w:val="00FD3055"/>
    <w:rsid w:val="00FD372A"/>
    <w:rsid w:val="00FD3B87"/>
    <w:rsid w:val="00FD4578"/>
    <w:rsid w:val="00FD4686"/>
    <w:rsid w:val="00FD47ED"/>
    <w:rsid w:val="00FD4ADE"/>
    <w:rsid w:val="00FD5285"/>
    <w:rsid w:val="00FD5D4D"/>
    <w:rsid w:val="00FD5D53"/>
    <w:rsid w:val="00FD67EC"/>
    <w:rsid w:val="00FD69B1"/>
    <w:rsid w:val="00FD6E83"/>
    <w:rsid w:val="00FD710F"/>
    <w:rsid w:val="00FD74DB"/>
    <w:rsid w:val="00FD75E6"/>
    <w:rsid w:val="00FD7660"/>
    <w:rsid w:val="00FD7787"/>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3A1"/>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5D2A"/>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65D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5D2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qFormat/>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qFormat/>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6468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dcmitype/"/>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907</Words>
  <Characters>5107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2021-01-15T22:45:00Z</dcterms:created>
  <dcterms:modified xsi:type="dcterms:W3CDTF">2021-01-18T22:52:00Z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