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D12" w:rsidRDefault="00F66D12" w:rsidP="00F66D12">
      <w:pPr>
        <w:tabs>
          <w:tab w:val="center" w:pos="4536"/>
          <w:tab w:val="right" w:pos="8280"/>
          <w:tab w:val="right" w:pos="9639"/>
        </w:tabs>
        <w:ind w:right="2"/>
        <w:rPr>
          <w:rFonts w:ascii="Arial" w:hAnsi="Arial" w:cs="Arial"/>
          <w:b/>
          <w:bCs/>
          <w:sz w:val="28"/>
          <w:lang w:val="en-US" w:eastAsia="zh-CN"/>
        </w:rPr>
      </w:pPr>
      <w:r>
        <w:rPr>
          <w:rFonts w:ascii="Arial" w:hAnsi="Arial" w:cs="Arial"/>
          <w:b/>
          <w:bCs/>
          <w:sz w:val="28"/>
        </w:rPr>
        <w:t>3GPP TSG RAN WG1 #103-e</w:t>
      </w:r>
      <w:r>
        <w:rPr>
          <w:rFonts w:ascii="Arial" w:hAnsi="Arial" w:cs="Arial"/>
          <w:b/>
          <w:bCs/>
          <w:sz w:val="28"/>
        </w:rPr>
        <w:tab/>
      </w:r>
      <w:r>
        <w:rPr>
          <w:rFonts w:ascii="Arial" w:hAnsi="Arial" w:cs="Arial"/>
          <w:b/>
          <w:bCs/>
          <w:sz w:val="28"/>
        </w:rPr>
        <w:tab/>
      </w:r>
      <w:r>
        <w:rPr>
          <w:rFonts w:ascii="Arial" w:hAnsi="Arial" w:cs="Arial"/>
          <w:b/>
          <w:bCs/>
          <w:sz w:val="28"/>
        </w:rPr>
        <w:tab/>
        <w:t>R1-20</w:t>
      </w:r>
      <w:r w:rsidR="00A4034C">
        <w:rPr>
          <w:rFonts w:ascii="Arial" w:hAnsi="Arial" w:cs="Arial"/>
          <w:b/>
          <w:bCs/>
          <w:sz w:val="28"/>
        </w:rPr>
        <w:t>09249</w:t>
      </w:r>
      <w:bookmarkStart w:id="0" w:name="_GoBack"/>
      <w:bookmarkEnd w:id="0"/>
    </w:p>
    <w:p w:rsidR="00F66D12" w:rsidRDefault="00F66D12" w:rsidP="00F66D1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1A2809" w:rsidRDefault="000A13A7">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8.</w:t>
      </w:r>
      <w:r>
        <w:rPr>
          <w:rFonts w:hint="eastAsia"/>
          <w:b/>
          <w:sz w:val="22"/>
          <w:szCs w:val="22"/>
          <w:lang w:val="en-US" w:eastAsia="zh-CN"/>
        </w:rPr>
        <w:t>4</w:t>
      </w:r>
      <w:r>
        <w:rPr>
          <w:rFonts w:hint="eastAsia"/>
          <w:b/>
          <w:sz w:val="22"/>
          <w:szCs w:val="22"/>
          <w:lang w:eastAsia="zh-CN"/>
        </w:rPr>
        <w:t>.</w:t>
      </w:r>
      <w:r>
        <w:rPr>
          <w:rFonts w:hint="eastAsia"/>
          <w:b/>
          <w:sz w:val="22"/>
          <w:szCs w:val="22"/>
          <w:lang w:val="en-US" w:eastAsia="zh-CN"/>
        </w:rPr>
        <w:t>4</w:t>
      </w:r>
    </w:p>
    <w:p w:rsidR="001A2809" w:rsidRDefault="000A13A7">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1A2809" w:rsidRDefault="000A13A7">
      <w:pPr>
        <w:tabs>
          <w:tab w:val="left" w:pos="1701"/>
          <w:tab w:val="right" w:pos="9072"/>
          <w:tab w:val="right" w:pos="10206"/>
        </w:tabs>
        <w:rPr>
          <w:b/>
          <w:sz w:val="22"/>
          <w:szCs w:val="22"/>
          <w:lang w:val="en-US" w:eastAsia="zh-CN"/>
        </w:rPr>
      </w:pPr>
      <w:r>
        <w:rPr>
          <w:b/>
          <w:sz w:val="22"/>
          <w:szCs w:val="22"/>
        </w:rPr>
        <w:t>Title:</w:t>
      </w:r>
      <w:bookmarkStart w:id="1" w:name="Title"/>
      <w:bookmarkEnd w:id="1"/>
      <w:r>
        <w:rPr>
          <w:b/>
          <w:sz w:val="22"/>
          <w:szCs w:val="22"/>
        </w:rPr>
        <w:tab/>
      </w:r>
      <w:r>
        <w:rPr>
          <w:sz w:val="22"/>
          <w:szCs w:val="22"/>
          <w:lang w:eastAsia="zh-CN"/>
        </w:rPr>
        <w:t xml:space="preserve">Discussion on </w:t>
      </w:r>
      <w:r>
        <w:rPr>
          <w:rFonts w:hint="eastAsia"/>
          <w:sz w:val="22"/>
          <w:szCs w:val="22"/>
          <w:lang w:val="en-US" w:eastAsia="zh-CN"/>
        </w:rPr>
        <w:t>beam management of NTN</w:t>
      </w:r>
    </w:p>
    <w:p w:rsidR="001A2809" w:rsidRDefault="000A13A7">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1A2809" w:rsidRDefault="000A13A7">
      <w:pPr>
        <w:pStyle w:val="1"/>
        <w:tabs>
          <w:tab w:val="left" w:pos="9781"/>
        </w:tabs>
        <w:ind w:right="-28"/>
        <w:jc w:val="both"/>
        <w:rPr>
          <w:lang w:eastAsia="zh-CN"/>
        </w:rPr>
      </w:pPr>
      <w:r>
        <w:t>Introduction</w:t>
      </w:r>
    </w:p>
    <w:p w:rsidR="001A2809" w:rsidRPr="0065688E" w:rsidRDefault="000A13A7">
      <w:pPr>
        <w:pStyle w:val="3GPPText"/>
        <w:rPr>
          <w:sz w:val="21"/>
          <w:szCs w:val="21"/>
          <w:lang w:eastAsia="ja-JP"/>
        </w:rPr>
      </w:pPr>
      <w:r w:rsidRPr="0065688E">
        <w:rPr>
          <w:sz w:val="21"/>
          <w:szCs w:val="21"/>
        </w:rPr>
        <w:t xml:space="preserve">At RAN#86 meeting, the study item on NR </w:t>
      </w:r>
      <w:r w:rsidRPr="0065688E">
        <w:rPr>
          <w:sz w:val="21"/>
          <w:szCs w:val="21"/>
          <w:lang w:eastAsia="zh-CN"/>
        </w:rPr>
        <w:t>non-terrestrial networks (NTN)</w:t>
      </w:r>
      <w:r w:rsidRPr="0065688E">
        <w:rPr>
          <w:sz w:val="21"/>
          <w:szCs w:val="21"/>
        </w:rPr>
        <w:t xml:space="preserve">was approved </w:t>
      </w:r>
      <w:r w:rsidR="00E12881">
        <w:fldChar w:fldCharType="begin"/>
      </w:r>
      <w:r w:rsidR="00E12881">
        <w:instrText xml:space="preserve"> REF _Ref524868549 \n \h  \* MERGEFORMAT </w:instrText>
      </w:r>
      <w:r w:rsidR="00E12881">
        <w:fldChar w:fldCharType="separate"/>
      </w:r>
      <w:r w:rsidRPr="0065688E">
        <w:rPr>
          <w:sz w:val="21"/>
          <w:szCs w:val="21"/>
        </w:rPr>
        <w:t>[1]</w:t>
      </w:r>
      <w:r w:rsidR="00E12881">
        <w:fldChar w:fldCharType="end"/>
      </w:r>
      <w:r w:rsidRPr="0065688E">
        <w:rPr>
          <w:sz w:val="21"/>
          <w:szCs w:val="21"/>
        </w:rPr>
        <w:t>. From RAN1’s perspective, t</w:t>
      </w:r>
      <w:r w:rsidRPr="0065688E">
        <w:rPr>
          <w:sz w:val="21"/>
          <w:szCs w:val="21"/>
          <w:lang w:eastAsia="ja-JP"/>
        </w:rPr>
        <w:t>he SI includes the following objectives:</w:t>
      </w:r>
    </w:p>
    <w:p w:rsidR="001A2809" w:rsidRPr="0065688E" w:rsidRDefault="000A13A7">
      <w:pPr>
        <w:spacing w:after="0"/>
        <w:rPr>
          <w:rFonts w:eastAsia="PMingLiU"/>
          <w:sz w:val="21"/>
          <w:szCs w:val="21"/>
          <w:lang w:eastAsia="zh-TW"/>
        </w:rPr>
      </w:pPr>
      <w:r w:rsidRPr="0065688E">
        <w:rPr>
          <w:sz w:val="21"/>
          <w:szCs w:val="21"/>
          <w:lang w:eastAsia="ko-KR"/>
        </w:rPr>
        <w:t>The work item aims to specify the enhancements identified for NR NTN (non-terrestr</w:t>
      </w:r>
      <w:r w:rsidRPr="0065688E">
        <w:rPr>
          <w:bCs/>
          <w:sz w:val="21"/>
          <w:szCs w:val="21"/>
        </w:rPr>
        <w:t>ial networks</w:t>
      </w:r>
      <w:r w:rsidRPr="0065688E">
        <w:rPr>
          <w:sz w:val="21"/>
          <w:szCs w:val="21"/>
          <w:lang w:eastAsia="ko-KR"/>
        </w:rPr>
        <w:t>) especially LEO and GEO with implicit compatibility to support HAPS (high altitude platform station) and ATG (air to ground) scenarios according to the following principles:</w:t>
      </w:r>
    </w:p>
    <w:p w:rsidR="001A2809" w:rsidRPr="0065688E" w:rsidRDefault="000A13A7">
      <w:pPr>
        <w:numPr>
          <w:ilvl w:val="0"/>
          <w:numId w:val="5"/>
        </w:numPr>
        <w:spacing w:after="0"/>
        <w:rPr>
          <w:rFonts w:eastAsia="PMingLiU"/>
          <w:sz w:val="21"/>
          <w:szCs w:val="21"/>
          <w:lang w:eastAsia="zh-TW"/>
        </w:rPr>
      </w:pPr>
      <w:r w:rsidRPr="0065688E">
        <w:rPr>
          <w:rFonts w:eastAsia="PMingLiU"/>
          <w:sz w:val="21"/>
          <w:szCs w:val="21"/>
          <w:lang w:eastAsia="zh-TW"/>
        </w:rPr>
        <w:t>FDD is assumed for core specification work for NR-NTN.</w:t>
      </w:r>
    </w:p>
    <w:p w:rsidR="001A2809" w:rsidRPr="0065688E" w:rsidRDefault="000A13A7">
      <w:pPr>
        <w:numPr>
          <w:ilvl w:val="1"/>
          <w:numId w:val="5"/>
        </w:numPr>
        <w:spacing w:after="0"/>
        <w:rPr>
          <w:rFonts w:eastAsia="PMingLiU"/>
          <w:sz w:val="21"/>
          <w:szCs w:val="21"/>
          <w:lang w:eastAsia="zh-TW"/>
        </w:rPr>
      </w:pPr>
      <w:r w:rsidRPr="0065688E">
        <w:rPr>
          <w:rFonts w:eastAsia="PMingLiU"/>
          <w:sz w:val="21"/>
          <w:szCs w:val="21"/>
          <w:lang w:eastAsia="zh-TW"/>
        </w:rPr>
        <w:t>NOTE: This does not imply that TDD cannot be used for relevant scenarios e.g. HAPS, ATG</w:t>
      </w:r>
    </w:p>
    <w:p w:rsidR="001A2809" w:rsidRPr="0065688E" w:rsidRDefault="000A13A7">
      <w:pPr>
        <w:numPr>
          <w:ilvl w:val="0"/>
          <w:numId w:val="5"/>
        </w:numPr>
        <w:spacing w:after="0"/>
        <w:rPr>
          <w:rFonts w:eastAsia="PMingLiU"/>
          <w:sz w:val="21"/>
          <w:szCs w:val="21"/>
          <w:lang w:eastAsia="zh-TW"/>
        </w:rPr>
      </w:pPr>
      <w:r w:rsidRPr="0065688E">
        <w:rPr>
          <w:rFonts w:eastAsia="PMingLiU"/>
          <w:sz w:val="21"/>
          <w:szCs w:val="21"/>
          <w:lang w:eastAsia="zh-TW"/>
        </w:rPr>
        <w:t>Earth fixed Tracking area is assumed with Earth fixed and moving cells</w:t>
      </w:r>
    </w:p>
    <w:p w:rsidR="001A2809" w:rsidRPr="0065688E" w:rsidRDefault="000A13A7">
      <w:pPr>
        <w:numPr>
          <w:ilvl w:val="0"/>
          <w:numId w:val="5"/>
        </w:numPr>
        <w:spacing w:after="0"/>
        <w:rPr>
          <w:rFonts w:eastAsia="PMingLiU"/>
          <w:sz w:val="21"/>
          <w:szCs w:val="21"/>
          <w:lang w:eastAsia="zh-TW"/>
        </w:rPr>
      </w:pPr>
      <w:r w:rsidRPr="0065688E">
        <w:rPr>
          <w:rFonts w:eastAsia="PMingLiU"/>
          <w:sz w:val="21"/>
          <w:szCs w:val="21"/>
          <w:lang w:eastAsia="zh-TW"/>
        </w:rPr>
        <w:t>UEs with GNSS capabilities are assumed.</w:t>
      </w:r>
    </w:p>
    <w:p w:rsidR="001A2809" w:rsidRPr="0065688E" w:rsidRDefault="001A2809">
      <w:pPr>
        <w:spacing w:after="0"/>
        <w:rPr>
          <w:sz w:val="21"/>
          <w:szCs w:val="21"/>
          <w:lang w:eastAsia="ko-KR"/>
        </w:rPr>
      </w:pPr>
    </w:p>
    <w:p w:rsidR="001A2809" w:rsidRPr="0065688E" w:rsidRDefault="000A13A7">
      <w:pPr>
        <w:spacing w:after="0"/>
        <w:rPr>
          <w:sz w:val="21"/>
          <w:szCs w:val="21"/>
          <w:lang w:eastAsia="ko-KR"/>
        </w:rPr>
      </w:pPr>
      <w:r w:rsidRPr="0065688E">
        <w:rPr>
          <w:sz w:val="21"/>
          <w:szCs w:val="21"/>
          <w:lang w:eastAsia="ko-KR"/>
        </w:rPr>
        <w:t xml:space="preserve">The detailed objectives are to specify enhancing features to </w:t>
      </w:r>
      <w:r w:rsidRPr="0065688E">
        <w:rPr>
          <w:sz w:val="21"/>
          <w:szCs w:val="21"/>
        </w:rPr>
        <w:t xml:space="preserve">Rel-15 &amp; Rel-16’s NR radio interface &amp; NG-RAN </w:t>
      </w:r>
      <w:r w:rsidRPr="0065688E">
        <w:rPr>
          <w:sz w:val="21"/>
          <w:szCs w:val="21"/>
          <w:lang w:eastAsia="ko-KR"/>
        </w:rPr>
        <w:t>as follows:</w:t>
      </w:r>
    </w:p>
    <w:p w:rsidR="001A2809" w:rsidRPr="0065688E" w:rsidRDefault="000A13A7">
      <w:pPr>
        <w:rPr>
          <w:sz w:val="21"/>
          <w:szCs w:val="21"/>
          <w:lang w:eastAsia="ja-JP"/>
        </w:rPr>
      </w:pPr>
      <w:r w:rsidRPr="0065688E">
        <w:rPr>
          <w:sz w:val="21"/>
          <w:szCs w:val="21"/>
        </w:rPr>
        <w:t>Enhancing features to address the identified issues due to long propagation delays, large Doppler effects, and moving cells in NTN,</w:t>
      </w:r>
      <w:r w:rsidRPr="0065688E">
        <w:rPr>
          <w:sz w:val="21"/>
          <w:szCs w:val="21"/>
          <w:lang w:eastAsia="ja-JP"/>
        </w:rPr>
        <w:t xml:space="preserve"> the following should be specified (see TR 38.821):</w:t>
      </w:r>
    </w:p>
    <w:p w:rsidR="001A2809" w:rsidRPr="0065688E" w:rsidRDefault="000A13A7">
      <w:pPr>
        <w:numPr>
          <w:ilvl w:val="0"/>
          <w:numId w:val="5"/>
        </w:numPr>
        <w:spacing w:before="100" w:beforeAutospacing="1" w:after="100" w:afterAutospacing="1"/>
        <w:rPr>
          <w:sz w:val="21"/>
          <w:szCs w:val="21"/>
        </w:rPr>
      </w:pPr>
      <w:r w:rsidRPr="0065688E">
        <w:rPr>
          <w:sz w:val="21"/>
          <w:szCs w:val="21"/>
        </w:rPr>
        <w:t>Timing relationship enhancements[RAN1,RAN2]</w:t>
      </w:r>
    </w:p>
    <w:p w:rsidR="001A2809" w:rsidRPr="0065688E" w:rsidRDefault="000A13A7">
      <w:pPr>
        <w:numPr>
          <w:ilvl w:val="0"/>
          <w:numId w:val="5"/>
        </w:numPr>
        <w:spacing w:before="100" w:beforeAutospacing="1" w:after="100" w:afterAutospacing="1"/>
        <w:rPr>
          <w:sz w:val="21"/>
          <w:szCs w:val="21"/>
        </w:rPr>
      </w:pPr>
      <w:r w:rsidRPr="0065688E">
        <w:rPr>
          <w:sz w:val="21"/>
          <w:szCs w:val="21"/>
        </w:rPr>
        <w:t>Enhancements on UL time and frequency synchronization [RAN1,RAN2]</w:t>
      </w:r>
    </w:p>
    <w:p w:rsidR="001A2809" w:rsidRPr="0065688E" w:rsidRDefault="000A13A7">
      <w:pPr>
        <w:numPr>
          <w:ilvl w:val="0"/>
          <w:numId w:val="5"/>
        </w:numPr>
        <w:spacing w:before="100" w:beforeAutospacing="1" w:after="100" w:afterAutospacing="1"/>
        <w:rPr>
          <w:sz w:val="21"/>
          <w:szCs w:val="21"/>
        </w:rPr>
      </w:pPr>
      <w:r w:rsidRPr="0065688E">
        <w:rPr>
          <w:sz w:val="21"/>
          <w:szCs w:val="21"/>
        </w:rPr>
        <w:t>HARQ</w:t>
      </w:r>
    </w:p>
    <w:p w:rsidR="001A2809" w:rsidRPr="0065688E" w:rsidRDefault="000A13A7">
      <w:pPr>
        <w:numPr>
          <w:ilvl w:val="1"/>
          <w:numId w:val="5"/>
        </w:numPr>
        <w:spacing w:before="100" w:beforeAutospacing="1" w:after="100" w:afterAutospacing="1"/>
        <w:rPr>
          <w:sz w:val="21"/>
          <w:szCs w:val="21"/>
        </w:rPr>
      </w:pPr>
      <w:r w:rsidRPr="0065688E">
        <w:rPr>
          <w:sz w:val="21"/>
          <w:szCs w:val="21"/>
        </w:rPr>
        <w:t>Number of HARQ process [RAN1]</w:t>
      </w:r>
    </w:p>
    <w:p w:rsidR="001A2809" w:rsidRPr="0065688E" w:rsidRDefault="000A13A7">
      <w:pPr>
        <w:numPr>
          <w:ilvl w:val="1"/>
          <w:numId w:val="5"/>
        </w:numPr>
        <w:spacing w:before="100" w:beforeAutospacing="1" w:after="100" w:afterAutospacing="1"/>
        <w:rPr>
          <w:sz w:val="21"/>
          <w:szCs w:val="21"/>
        </w:rPr>
      </w:pPr>
      <w:r w:rsidRPr="0065688E">
        <w:rPr>
          <w:sz w:val="21"/>
          <w:szCs w:val="21"/>
        </w:rPr>
        <w:t xml:space="preserve">Enabling / disabling of HARQ feedback as described in the TR 38.821 </w:t>
      </w:r>
      <w:r w:rsidRPr="0065688E">
        <w:rPr>
          <w:rFonts w:hint="eastAsia"/>
          <w:sz w:val="21"/>
          <w:szCs w:val="21"/>
        </w:rPr>
        <w:t>[</w:t>
      </w:r>
      <w:r w:rsidRPr="0065688E">
        <w:rPr>
          <w:sz w:val="21"/>
          <w:szCs w:val="21"/>
        </w:rPr>
        <w:t>RAN1&amp;2</w:t>
      </w:r>
      <w:r w:rsidRPr="0065688E">
        <w:rPr>
          <w:rFonts w:hint="eastAsia"/>
          <w:sz w:val="21"/>
          <w:szCs w:val="21"/>
        </w:rPr>
        <w:t>]</w:t>
      </w:r>
    </w:p>
    <w:p w:rsidR="001A2809" w:rsidRPr="0065688E" w:rsidRDefault="000A13A7">
      <w:pPr>
        <w:rPr>
          <w:sz w:val="21"/>
          <w:szCs w:val="21"/>
        </w:rPr>
      </w:pPr>
      <w:r w:rsidRPr="0065688E">
        <w:rPr>
          <w:sz w:val="21"/>
          <w:szCs w:val="21"/>
        </w:rPr>
        <w:t>In addition, the following topics should be specified if beneficial and needed</w:t>
      </w:r>
    </w:p>
    <w:p w:rsidR="001A2809" w:rsidRPr="0065688E" w:rsidRDefault="000A13A7">
      <w:pPr>
        <w:numPr>
          <w:ilvl w:val="0"/>
          <w:numId w:val="5"/>
        </w:numPr>
        <w:spacing w:before="100" w:beforeAutospacing="1" w:after="100" w:afterAutospacing="1"/>
        <w:rPr>
          <w:sz w:val="21"/>
          <w:szCs w:val="21"/>
        </w:rPr>
      </w:pPr>
      <w:r w:rsidRPr="0065688E">
        <w:rPr>
          <w:sz w:val="21"/>
          <w:szCs w:val="21"/>
        </w:rPr>
        <w:t>Enhancement on the PRACH sequence and/or format and extension of the ra-ResponseWindow duration (in the case of UE with GNSS capability but without pre-compensation of timing and frequency offset capabilities) [RAN1/2]</w:t>
      </w:r>
      <w:r w:rsidRPr="0065688E">
        <w:rPr>
          <w:rFonts w:eastAsia="PMingLiU"/>
          <w:sz w:val="21"/>
          <w:szCs w:val="21"/>
          <w:lang w:eastAsia="zh-TW"/>
        </w:rPr>
        <w:t>.</w:t>
      </w:r>
    </w:p>
    <w:p w:rsidR="001A2809" w:rsidRPr="0065688E" w:rsidRDefault="000A13A7">
      <w:pPr>
        <w:numPr>
          <w:ilvl w:val="0"/>
          <w:numId w:val="5"/>
        </w:numPr>
        <w:spacing w:before="100" w:beforeAutospacing="1" w:after="100" w:afterAutospacing="1"/>
        <w:rPr>
          <w:sz w:val="21"/>
          <w:szCs w:val="21"/>
        </w:rPr>
      </w:pPr>
      <w:r w:rsidRPr="0065688E">
        <w:rPr>
          <w:sz w:val="21"/>
          <w:szCs w:val="21"/>
        </w:rPr>
        <w:t>Feeder link switch [RAN2,RAN1]</w:t>
      </w:r>
    </w:p>
    <w:p w:rsidR="001A2809" w:rsidRPr="0065688E" w:rsidRDefault="000A13A7">
      <w:pPr>
        <w:numPr>
          <w:ilvl w:val="0"/>
          <w:numId w:val="5"/>
        </w:numPr>
        <w:spacing w:before="100" w:beforeAutospacing="1" w:after="100" w:afterAutospacing="1"/>
        <w:rPr>
          <w:sz w:val="21"/>
          <w:szCs w:val="21"/>
        </w:rPr>
      </w:pPr>
      <w:r w:rsidRPr="0065688E">
        <w:rPr>
          <w:sz w:val="21"/>
          <w:szCs w:val="21"/>
        </w:rPr>
        <w:t>Beam management and Bandwidth Parts (BWP) operation for NTN with frequency reuse [RAN1/2]</w:t>
      </w:r>
    </w:p>
    <w:p w:rsidR="001A2809" w:rsidRPr="0065688E" w:rsidRDefault="000A13A7">
      <w:pPr>
        <w:numPr>
          <w:ilvl w:val="1"/>
          <w:numId w:val="5"/>
        </w:numPr>
        <w:spacing w:after="0"/>
        <w:rPr>
          <w:rFonts w:eastAsia="PMingLiU"/>
          <w:sz w:val="21"/>
          <w:szCs w:val="21"/>
          <w:lang w:eastAsia="zh-TW"/>
        </w:rPr>
      </w:pPr>
      <w:r w:rsidRPr="0065688E">
        <w:rPr>
          <w:rFonts w:eastAsia="PMingLiU"/>
          <w:sz w:val="21"/>
          <w:szCs w:val="21"/>
          <w:lang w:eastAsia="zh-TW"/>
        </w:rPr>
        <w:t>Including signalling of polarization mode</w:t>
      </w:r>
    </w:p>
    <w:p w:rsidR="00C701AA" w:rsidRPr="0065688E" w:rsidRDefault="000A13A7">
      <w:pPr>
        <w:pStyle w:val="3GPPText"/>
        <w:rPr>
          <w:sz w:val="21"/>
          <w:szCs w:val="21"/>
          <w:lang w:eastAsia="zh-CN"/>
        </w:rPr>
      </w:pPr>
      <w:r w:rsidRPr="0065688E">
        <w:rPr>
          <w:sz w:val="21"/>
          <w:szCs w:val="21"/>
        </w:rPr>
        <w:t xml:space="preserve">As stated above, the </w:t>
      </w:r>
      <w:r w:rsidRPr="0065688E">
        <w:rPr>
          <w:rFonts w:hint="eastAsia"/>
          <w:sz w:val="21"/>
          <w:szCs w:val="21"/>
          <w:lang w:eastAsia="zh-CN"/>
        </w:rPr>
        <w:t>WI should specify beam management and Bandwidth Parts (BWP) operatio</w:t>
      </w:r>
      <w:r w:rsidR="00386304" w:rsidRPr="0065688E">
        <w:rPr>
          <w:rFonts w:hint="eastAsia"/>
          <w:sz w:val="21"/>
          <w:szCs w:val="21"/>
          <w:lang w:eastAsia="zh-CN"/>
        </w:rPr>
        <w:t>n for NTN with frequency reuse.</w:t>
      </w:r>
    </w:p>
    <w:p w:rsidR="00E94CC8" w:rsidRPr="0065688E" w:rsidRDefault="00E94CC8" w:rsidP="00C701AA">
      <w:pPr>
        <w:pStyle w:val="3GPPText"/>
        <w:rPr>
          <w:sz w:val="21"/>
          <w:szCs w:val="21"/>
        </w:rPr>
      </w:pPr>
      <w:r w:rsidRPr="0065688E">
        <w:rPr>
          <w:rFonts w:hint="eastAsia"/>
          <w:sz w:val="21"/>
          <w:szCs w:val="21"/>
          <w:lang w:eastAsia="zh-CN"/>
        </w:rPr>
        <w:t>In last RAN1 meeting, there is an agreement about beam management:</w:t>
      </w:r>
      <w:r w:rsidRPr="0065688E">
        <w:rPr>
          <w:sz w:val="21"/>
          <w:szCs w:val="21"/>
        </w:rPr>
        <w:t>One-beam per cell and multiple-beam per cell are supported in existing NR specifications and are baseline for NR NTN.</w:t>
      </w:r>
    </w:p>
    <w:p w:rsidR="00E94CC8" w:rsidRPr="0065688E" w:rsidRDefault="00E94CC8" w:rsidP="00E94CC8">
      <w:pPr>
        <w:numPr>
          <w:ilvl w:val="0"/>
          <w:numId w:val="10"/>
        </w:numPr>
        <w:spacing w:after="0"/>
        <w:rPr>
          <w:sz w:val="21"/>
          <w:szCs w:val="21"/>
        </w:rPr>
      </w:pPr>
      <w:r w:rsidRPr="0065688E">
        <w:rPr>
          <w:sz w:val="21"/>
          <w:szCs w:val="21"/>
        </w:rPr>
        <w:t xml:space="preserve">FFS: The need for potential enhancement for beam management </w:t>
      </w:r>
    </w:p>
    <w:p w:rsidR="00E94CC8" w:rsidRPr="0065688E" w:rsidRDefault="00E94CC8" w:rsidP="00E94CC8">
      <w:pPr>
        <w:numPr>
          <w:ilvl w:val="0"/>
          <w:numId w:val="10"/>
        </w:numPr>
        <w:spacing w:after="0"/>
        <w:rPr>
          <w:sz w:val="21"/>
          <w:szCs w:val="21"/>
        </w:rPr>
      </w:pPr>
      <w:r w:rsidRPr="0065688E">
        <w:rPr>
          <w:sz w:val="21"/>
          <w:szCs w:val="21"/>
        </w:rPr>
        <w:t>FFS: The need for potential enhancement on association of SSBs, beams and BWPs</w:t>
      </w:r>
    </w:p>
    <w:p w:rsidR="001A2809" w:rsidRDefault="000A13A7">
      <w:pPr>
        <w:pStyle w:val="3GPPText"/>
      </w:pPr>
      <w:r w:rsidRPr="0065688E">
        <w:rPr>
          <w:rFonts w:eastAsia="PMingLiU" w:hint="eastAsia"/>
          <w:sz w:val="21"/>
          <w:szCs w:val="21"/>
          <w:lang w:eastAsia="zh-TW"/>
        </w:rPr>
        <w:t>This contribution</w:t>
      </w:r>
      <w:r w:rsidRPr="0065688E">
        <w:rPr>
          <w:rFonts w:eastAsiaTheme="minorEastAsia" w:hint="eastAsia"/>
          <w:sz w:val="21"/>
          <w:szCs w:val="21"/>
          <w:lang w:eastAsia="zh-CN"/>
        </w:rPr>
        <w:t xml:space="preserve"> discusses beam management and Bandwidth Parts (BWP)</w:t>
      </w:r>
      <w:r w:rsidR="00EF1634" w:rsidRPr="0065688E">
        <w:rPr>
          <w:rFonts w:eastAsiaTheme="minorEastAsia" w:hint="eastAsia"/>
          <w:sz w:val="21"/>
          <w:szCs w:val="21"/>
          <w:lang w:eastAsia="zh-CN"/>
        </w:rPr>
        <w:t xml:space="preserve"> and other issues</w:t>
      </w:r>
      <w:r w:rsidRPr="0065688E">
        <w:rPr>
          <w:rFonts w:eastAsiaTheme="minorEastAsia" w:hint="eastAsia"/>
          <w:sz w:val="21"/>
          <w:szCs w:val="21"/>
          <w:lang w:eastAsia="zh-CN"/>
        </w:rPr>
        <w:t>.</w:t>
      </w:r>
    </w:p>
    <w:p w:rsidR="001A2809" w:rsidRDefault="000A13A7">
      <w:pPr>
        <w:keepNext/>
        <w:keepLines/>
        <w:pBdr>
          <w:top w:val="single" w:sz="12" w:space="4" w:color="auto"/>
        </w:pBdr>
        <w:tabs>
          <w:tab w:val="left" w:pos="426"/>
          <w:tab w:val="left" w:pos="4969"/>
        </w:tabs>
        <w:spacing w:after="120"/>
        <w:ind w:left="425" w:hanging="425"/>
        <w:jc w:val="both"/>
        <w:outlineLvl w:val="0"/>
        <w:rPr>
          <w:b/>
          <w:sz w:val="36"/>
          <w:szCs w:val="36"/>
          <w:lang w:eastAsia="zh-CN"/>
        </w:rPr>
      </w:pPr>
      <w:r>
        <w:rPr>
          <w:rFonts w:ascii="Arial" w:eastAsia="MS Mincho" w:hAnsi="Arial"/>
          <w:sz w:val="36"/>
          <w:szCs w:val="36"/>
        </w:rPr>
        <w:t xml:space="preserve">2. Beam management </w:t>
      </w:r>
    </w:p>
    <w:p w:rsidR="001A2809" w:rsidRPr="0065688E" w:rsidRDefault="000A13A7">
      <w:pPr>
        <w:pStyle w:val="3GPPText"/>
        <w:rPr>
          <w:sz w:val="21"/>
          <w:szCs w:val="21"/>
        </w:rPr>
      </w:pPr>
      <w:r w:rsidRPr="0065688E">
        <w:rPr>
          <w:sz w:val="21"/>
          <w:szCs w:val="21"/>
          <w:lang w:eastAsia="ja-JP"/>
        </w:rPr>
        <w:t>In NTN, beam footprint (or spot beam) created by satellite beam can be handled as either “cell” or “beam” as defined in Rel.15.</w:t>
      </w:r>
      <w:r w:rsidRPr="0065688E">
        <w:rPr>
          <w:sz w:val="21"/>
          <w:szCs w:val="21"/>
        </w:rPr>
        <w:t xml:space="preserve">Satellite beams or satellites are not considered to be visible from UE perspective in NTN. </w:t>
      </w:r>
    </w:p>
    <w:p w:rsidR="001A2809" w:rsidRDefault="000A13A7">
      <w:r w:rsidRPr="0065688E">
        <w:rPr>
          <w:sz w:val="21"/>
          <w:szCs w:val="21"/>
        </w:rPr>
        <w:t>Both options a) same PCI for several satellite beams and b) one PCI per satellite beam, can be considered in NTN. A satellite beam can consist of one or more SSB beams. One cell (PCI) can have maximum of L SSB beams, where L can be 4, 8 or 64 depending on the band.</w:t>
      </w:r>
      <w:bookmarkStart w:id="3" w:name="OLE_LINK1"/>
      <w:r w:rsidRPr="0065688E">
        <w:rPr>
          <w:sz w:val="21"/>
          <w:szCs w:val="21"/>
        </w:rPr>
        <w:t xml:space="preserve">Similar to TN, one or several SSB index can be used per PCI to separate SSB transmission on different beams.In TN, the mapping of antenna ports or physical beams to SSB </w:t>
      </w:r>
      <w:r w:rsidRPr="0065688E">
        <w:rPr>
          <w:sz w:val="21"/>
          <w:szCs w:val="21"/>
        </w:rPr>
        <w:lastRenderedPageBreak/>
        <w:t>index is left for implementation. In NTN, the association between satellite beams and SSBs index is left for implementation (i.e. it will not be specified)</w:t>
      </w:r>
      <w:r w:rsidR="00E12881">
        <w:fldChar w:fldCharType="begin"/>
      </w:r>
      <w:r w:rsidR="00E12881">
        <w:instrText xml:space="preserve"> REF _Ref524868549 \n \h  \* MERGEFORMAT </w:instrText>
      </w:r>
      <w:r w:rsidR="00E12881">
        <w:fldChar w:fldCharType="separate"/>
      </w:r>
      <w:r w:rsidRPr="0065688E">
        <w:rPr>
          <w:sz w:val="21"/>
          <w:szCs w:val="21"/>
        </w:rPr>
        <w:t>[</w:t>
      </w:r>
      <w:r w:rsidRPr="0065688E">
        <w:rPr>
          <w:rFonts w:hint="eastAsia"/>
          <w:sz w:val="21"/>
          <w:szCs w:val="21"/>
          <w:lang w:val="en-US" w:eastAsia="zh-CN"/>
        </w:rPr>
        <w:t>2</w:t>
      </w:r>
      <w:r w:rsidRPr="0065688E">
        <w:rPr>
          <w:sz w:val="21"/>
          <w:szCs w:val="21"/>
          <w:lang w:val="en-US" w:eastAsia="zh-CN"/>
        </w:rPr>
        <w:t>]</w:t>
      </w:r>
      <w:r w:rsidR="00E12881">
        <w:fldChar w:fldCharType="end"/>
      </w:r>
      <w:r w:rsidRPr="0065688E">
        <w:rPr>
          <w:sz w:val="21"/>
          <w:szCs w:val="21"/>
        </w:rPr>
        <w:t>.</w:t>
      </w:r>
    </w:p>
    <w:bookmarkEnd w:id="3"/>
    <w:p w:rsidR="001A2809" w:rsidRDefault="001A2809"/>
    <w:p w:rsidR="001A2809" w:rsidRDefault="000A13A7">
      <w:pPr>
        <w:jc w:val="center"/>
      </w:pPr>
      <w:r>
        <w:rPr>
          <w:noProof/>
          <w:lang w:val="en-US" w:eastAsia="zh-CN"/>
        </w:rPr>
        <w:drawing>
          <wp:inline distT="0" distB="0" distL="114300" distR="114300">
            <wp:extent cx="4466590" cy="30289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4466590" cy="3028950"/>
                    </a:xfrm>
                    <a:prstGeom prst="rect">
                      <a:avLst/>
                    </a:prstGeom>
                    <a:noFill/>
                    <a:ln>
                      <a:noFill/>
                    </a:ln>
                  </pic:spPr>
                </pic:pic>
              </a:graphicData>
            </a:graphic>
          </wp:inline>
        </w:drawing>
      </w:r>
    </w:p>
    <w:p w:rsidR="001A2809" w:rsidRDefault="000A13A7">
      <w:pPr>
        <w:pStyle w:val="TF"/>
        <w:outlineLvl w:val="0"/>
      </w:pPr>
      <w:r>
        <w:t xml:space="preserve">Figure </w:t>
      </w:r>
      <w:r>
        <w:rPr>
          <w:rFonts w:eastAsia="宋体" w:hint="eastAsia"/>
          <w:lang w:val="en-US" w:eastAsia="zh-CN"/>
        </w:rPr>
        <w:t>1</w:t>
      </w:r>
      <w:r>
        <w:t>: Options for PCI mapping into satellite beams</w:t>
      </w:r>
    </w:p>
    <w:p w:rsidR="001A2809" w:rsidRPr="0065688E" w:rsidRDefault="000A13A7">
      <w:pPr>
        <w:rPr>
          <w:sz w:val="21"/>
          <w:szCs w:val="21"/>
          <w:lang w:val="en-US" w:eastAsia="zh-CN"/>
        </w:rPr>
      </w:pPr>
      <w:r w:rsidRPr="0065688E">
        <w:rPr>
          <w:rFonts w:hint="eastAsia"/>
          <w:sz w:val="21"/>
          <w:szCs w:val="21"/>
          <w:lang w:val="en-US" w:eastAsia="zh-CN"/>
        </w:rPr>
        <w:t xml:space="preserve">For option a, </w:t>
      </w:r>
      <w:r w:rsidRPr="0065688E">
        <w:rPr>
          <w:sz w:val="21"/>
          <w:szCs w:val="21"/>
        </w:rPr>
        <w:t>same PCI for several satellite beams</w:t>
      </w:r>
      <w:r w:rsidRPr="0065688E">
        <w:rPr>
          <w:rFonts w:hint="eastAsia"/>
          <w:sz w:val="21"/>
          <w:szCs w:val="21"/>
          <w:lang w:val="en-US" w:eastAsia="zh-CN"/>
        </w:rPr>
        <w:t xml:space="preserve">, which means the SSBs are beam specific, could avoid the packet interruption and large signalling overhead introduced by cell handover. While for option b, only one beam mapped per PCI, the Rel-15 NR beam management is not suitable to this case, and the cell handover could be unavoidable. So option a is more preferred, because beam specific SSBs can be used for beam management to avoid cell handover. </w:t>
      </w:r>
    </w:p>
    <w:p w:rsidR="001A2809" w:rsidRPr="0065688E" w:rsidRDefault="000A13A7">
      <w:pPr>
        <w:rPr>
          <w:sz w:val="21"/>
          <w:szCs w:val="21"/>
          <w:lang w:val="en-US" w:eastAsia="zh-CN"/>
        </w:rPr>
      </w:pPr>
      <w:r w:rsidRPr="0065688E">
        <w:rPr>
          <w:rFonts w:hint="eastAsia"/>
          <w:sz w:val="21"/>
          <w:szCs w:val="21"/>
          <w:lang w:val="en-US" w:eastAsia="zh-CN"/>
        </w:rPr>
        <w:t>As option a, the NTN beam can be deployed in the same frequency or different frequency, when the NTN beams are deployed in the same frequency, the allocated bandwith of each beam is very large, but the UEs served by one beam may be co-channel interfered by neighboring beams, but if the NTN beams are deployed in different frequency with frequency reuse factors, although the allocated bandwidth is much smaller for each beam, the co-channel interference is largely reduced.</w:t>
      </w:r>
    </w:p>
    <w:p w:rsidR="001A2809" w:rsidRPr="0065688E" w:rsidRDefault="000A13A7">
      <w:pPr>
        <w:rPr>
          <w:sz w:val="21"/>
          <w:szCs w:val="21"/>
          <w:lang w:val="en-US" w:eastAsia="zh-CN"/>
        </w:rPr>
      </w:pPr>
      <w:r w:rsidRPr="0065688E">
        <w:rPr>
          <w:rFonts w:hint="eastAsia"/>
          <w:sz w:val="21"/>
          <w:szCs w:val="21"/>
          <w:lang w:val="en-US" w:eastAsia="zh-CN"/>
        </w:rPr>
        <w:t>When the frequency reuse factor is larger than 1, the system bandwidth can be individed into many BWPs with each beam transmitted in one BWP. For example, the SSBs and SIBs of all beams can be transmitted in the initial BWP(BWP0), the initial access UEs firstly detect SSBs and SIBs, and then finish uplink RACH access in BWP0, and when the RRC procedure is connected, the BWP configuration for each beams can be configured to the UEs.</w:t>
      </w:r>
    </w:p>
    <w:p w:rsidR="001A2809" w:rsidRPr="0065688E" w:rsidRDefault="000A13A7">
      <w:pPr>
        <w:rPr>
          <w:sz w:val="21"/>
          <w:szCs w:val="21"/>
          <w:lang w:val="en-US" w:eastAsia="zh-CN"/>
        </w:rPr>
      </w:pPr>
      <w:r w:rsidRPr="0065688E">
        <w:rPr>
          <w:rFonts w:hint="eastAsia"/>
          <w:sz w:val="21"/>
          <w:szCs w:val="21"/>
          <w:lang w:val="en-US" w:eastAsia="zh-CN"/>
        </w:rPr>
        <w:t xml:space="preserve">In this case, the beam switch procedure for this BWP specific beam management could be optimized by downlink signalling or optimized by UE procedure of beam switch/beam failure recovery. As in the Rel-15 NR, when stronger beams are detected and reported in UEs, the beam switch can be realized by downlink signalling. But for NR BWP switching, the BWP index is introduced independantly in the DCI scheduling data for downlink and uplink, if this DCI indication is still reused in NTN beam switch, it should be optimized to support both UL and DL switched to the same BWP. </w:t>
      </w:r>
    </w:p>
    <w:p w:rsidR="001A2809" w:rsidRPr="0065688E" w:rsidRDefault="005C4878">
      <w:pPr>
        <w:rPr>
          <w:sz w:val="21"/>
          <w:szCs w:val="21"/>
          <w:lang w:val="en-US" w:eastAsia="zh-CN"/>
        </w:rPr>
      </w:pPr>
      <w:r w:rsidRPr="0065688E">
        <w:rPr>
          <w:rFonts w:hint="eastAsia"/>
          <w:sz w:val="21"/>
          <w:szCs w:val="21"/>
          <w:lang w:val="en-US" w:eastAsia="zh-CN"/>
        </w:rPr>
        <w:t>The other</w:t>
      </w:r>
      <w:r w:rsidR="000A13A7" w:rsidRPr="0065688E">
        <w:rPr>
          <w:rFonts w:hint="eastAsia"/>
          <w:sz w:val="21"/>
          <w:szCs w:val="21"/>
          <w:lang w:val="en-US" w:eastAsia="zh-CN"/>
        </w:rPr>
        <w:t xml:space="preserve"> possible case of satellite beam</w:t>
      </w:r>
      <w:r w:rsidR="00521EBF" w:rsidRPr="0065688E">
        <w:rPr>
          <w:rFonts w:hint="eastAsia"/>
          <w:sz w:val="21"/>
          <w:szCs w:val="21"/>
          <w:lang w:val="en-US" w:eastAsia="zh-CN"/>
        </w:rPr>
        <w:t xml:space="preserve"> switching</w:t>
      </w:r>
      <w:r w:rsidR="000A13A7" w:rsidRPr="0065688E">
        <w:rPr>
          <w:rFonts w:hint="eastAsia"/>
          <w:sz w:val="21"/>
          <w:szCs w:val="21"/>
          <w:lang w:val="en-US" w:eastAsia="zh-CN"/>
        </w:rPr>
        <w:t xml:space="preserve"> is the SSBs are transmitted in the initial BWP (BWP0), but the SIBs and even RACH may be transmitted in other BWPs, which means the UEs can be initial accessed in the suitable BWPs and beams. This case need</w:t>
      </w:r>
      <w:r w:rsidR="00DE0C38" w:rsidRPr="0065688E">
        <w:rPr>
          <w:rFonts w:hint="eastAsia"/>
          <w:sz w:val="21"/>
          <w:szCs w:val="21"/>
          <w:lang w:val="en-US" w:eastAsia="zh-CN"/>
        </w:rPr>
        <w:t>s</w:t>
      </w:r>
      <w:r w:rsidR="000A13A7" w:rsidRPr="0065688E">
        <w:rPr>
          <w:rFonts w:hint="eastAsia"/>
          <w:sz w:val="21"/>
          <w:szCs w:val="21"/>
          <w:lang w:val="en-US" w:eastAsia="zh-CN"/>
        </w:rPr>
        <w:t xml:space="preserve"> much more specification.</w:t>
      </w:r>
    </w:p>
    <w:p w:rsidR="000A744D" w:rsidRPr="0065688E" w:rsidRDefault="0007475A" w:rsidP="00E425E9">
      <w:pPr>
        <w:rPr>
          <w:sz w:val="21"/>
          <w:szCs w:val="21"/>
          <w:lang w:val="en-US" w:eastAsia="zh-CN"/>
        </w:rPr>
      </w:pPr>
      <w:r w:rsidRPr="0065688E">
        <w:rPr>
          <w:rFonts w:hint="eastAsia"/>
          <w:sz w:val="21"/>
          <w:szCs w:val="21"/>
          <w:lang w:val="en-US" w:eastAsia="zh-CN"/>
        </w:rPr>
        <w:t xml:space="preserve">Another </w:t>
      </w:r>
      <w:r w:rsidR="00521EBF" w:rsidRPr="0065688E">
        <w:rPr>
          <w:rFonts w:hint="eastAsia"/>
          <w:sz w:val="21"/>
          <w:szCs w:val="21"/>
          <w:lang w:val="en-US" w:eastAsia="zh-CN"/>
        </w:rPr>
        <w:t xml:space="preserve">possible case of satellite beam switching is the SSBs are transmitted in different BWPs, </w:t>
      </w:r>
      <w:r w:rsidR="00863C79" w:rsidRPr="0065688E">
        <w:rPr>
          <w:sz w:val="21"/>
          <w:szCs w:val="21"/>
          <w:lang w:val="en-US" w:eastAsia="zh-CN"/>
        </w:rPr>
        <w:t>different beams are located on different BWPs, so the SSB</w:t>
      </w:r>
      <w:r w:rsidR="00913645" w:rsidRPr="0065688E">
        <w:rPr>
          <w:rFonts w:hint="eastAsia"/>
          <w:sz w:val="21"/>
          <w:szCs w:val="21"/>
          <w:lang w:val="en-US" w:eastAsia="zh-CN"/>
        </w:rPr>
        <w:t>s</w:t>
      </w:r>
      <w:r w:rsidR="00863C79" w:rsidRPr="0065688E">
        <w:rPr>
          <w:sz w:val="21"/>
          <w:szCs w:val="21"/>
          <w:lang w:val="en-US" w:eastAsia="zh-CN"/>
        </w:rPr>
        <w:t xml:space="preserve"> associated with the corresponding beam</w:t>
      </w:r>
      <w:r w:rsidR="00913645" w:rsidRPr="0065688E">
        <w:rPr>
          <w:rFonts w:hint="eastAsia"/>
          <w:sz w:val="21"/>
          <w:szCs w:val="21"/>
          <w:lang w:val="en-US" w:eastAsia="zh-CN"/>
        </w:rPr>
        <w:t>s</w:t>
      </w:r>
      <w:r w:rsidR="00863C79" w:rsidRPr="0065688E">
        <w:rPr>
          <w:sz w:val="21"/>
          <w:szCs w:val="21"/>
          <w:lang w:val="en-US" w:eastAsia="zh-CN"/>
        </w:rPr>
        <w:t xml:space="preserve"> can exist on the BWP</w:t>
      </w:r>
      <w:r w:rsidR="00667B56" w:rsidRPr="0065688E">
        <w:rPr>
          <w:rFonts w:hint="eastAsia"/>
          <w:sz w:val="21"/>
          <w:szCs w:val="21"/>
          <w:lang w:val="en-US" w:eastAsia="zh-CN"/>
        </w:rPr>
        <w:t>s</w:t>
      </w:r>
      <w:r w:rsidR="00863C79" w:rsidRPr="0065688E">
        <w:rPr>
          <w:sz w:val="21"/>
          <w:szCs w:val="21"/>
          <w:lang w:val="en-US" w:eastAsia="zh-CN"/>
        </w:rPr>
        <w:t xml:space="preserve"> where the beam is located.</w:t>
      </w:r>
      <w:r w:rsidR="000A744D" w:rsidRPr="0065688E">
        <w:rPr>
          <w:sz w:val="21"/>
          <w:szCs w:val="21"/>
          <w:lang w:val="en-US" w:eastAsia="zh-CN"/>
        </w:rPr>
        <w:t xml:space="preserve"> </w:t>
      </w:r>
      <w:r w:rsidR="002365EC">
        <w:rPr>
          <w:sz w:val="21"/>
          <w:szCs w:val="21"/>
          <w:lang w:val="en-US" w:eastAsia="zh-CN"/>
        </w:rPr>
        <w:t xml:space="preserve">In this case, </w:t>
      </w:r>
      <w:r w:rsidR="002365EC">
        <w:rPr>
          <w:rFonts w:hint="eastAsia"/>
          <w:sz w:val="21"/>
          <w:szCs w:val="21"/>
          <w:lang w:val="en-US" w:eastAsia="zh-CN"/>
        </w:rPr>
        <w:t>the</w:t>
      </w:r>
      <w:r w:rsidR="000A744D" w:rsidRPr="0065688E">
        <w:rPr>
          <w:sz w:val="21"/>
          <w:szCs w:val="21"/>
          <w:lang w:val="en-US" w:eastAsia="zh-CN"/>
        </w:rPr>
        <w:t xml:space="preserve"> </w:t>
      </w:r>
      <w:r w:rsidR="00744F1D">
        <w:rPr>
          <w:rFonts w:hint="eastAsia"/>
          <w:sz w:val="21"/>
          <w:szCs w:val="21"/>
          <w:lang w:val="en-US" w:eastAsia="zh-CN"/>
        </w:rPr>
        <w:t>UE</w:t>
      </w:r>
      <w:r w:rsidR="000A744D" w:rsidRPr="0065688E">
        <w:rPr>
          <w:sz w:val="21"/>
          <w:szCs w:val="21"/>
          <w:lang w:val="en-US" w:eastAsia="zh-CN"/>
        </w:rPr>
        <w:t xml:space="preserve"> searche</w:t>
      </w:r>
      <w:r w:rsidR="002365EC">
        <w:rPr>
          <w:rFonts w:hint="eastAsia"/>
          <w:sz w:val="21"/>
          <w:szCs w:val="21"/>
          <w:lang w:val="en-US" w:eastAsia="zh-CN"/>
        </w:rPr>
        <w:t>s</w:t>
      </w:r>
      <w:r w:rsidR="000A744D" w:rsidRPr="0065688E">
        <w:rPr>
          <w:sz w:val="21"/>
          <w:szCs w:val="21"/>
          <w:lang w:val="en-US" w:eastAsia="zh-CN"/>
        </w:rPr>
        <w:t xml:space="preserve"> for the synchronous raster to find the corresponding SSB</w:t>
      </w:r>
      <w:r w:rsidR="00256DAF" w:rsidRPr="0065688E">
        <w:rPr>
          <w:rFonts w:hint="eastAsia"/>
          <w:sz w:val="21"/>
          <w:szCs w:val="21"/>
          <w:lang w:val="en-US" w:eastAsia="zh-CN"/>
        </w:rPr>
        <w:t>s</w:t>
      </w:r>
      <w:r w:rsidR="000A744D" w:rsidRPr="0065688E">
        <w:rPr>
          <w:sz w:val="21"/>
          <w:szCs w:val="21"/>
          <w:lang w:val="en-US" w:eastAsia="zh-CN"/>
        </w:rPr>
        <w:t>, and accordingly connect</w:t>
      </w:r>
      <w:r w:rsidR="002365EC">
        <w:rPr>
          <w:rFonts w:hint="eastAsia"/>
          <w:sz w:val="21"/>
          <w:szCs w:val="21"/>
          <w:lang w:val="en-US" w:eastAsia="zh-CN"/>
        </w:rPr>
        <w:t>s</w:t>
      </w:r>
      <w:r w:rsidR="000A744D" w:rsidRPr="0065688E">
        <w:rPr>
          <w:sz w:val="21"/>
          <w:szCs w:val="21"/>
          <w:lang w:val="en-US" w:eastAsia="zh-CN"/>
        </w:rPr>
        <w:t xml:space="preserve"> to the corresponding beam and the BWP where it is located. For mobility </w:t>
      </w:r>
      <w:r w:rsidR="009B735E" w:rsidRPr="0065688E">
        <w:rPr>
          <w:rFonts w:hint="eastAsia"/>
          <w:sz w:val="21"/>
          <w:szCs w:val="21"/>
          <w:lang w:val="en-US" w:eastAsia="zh-CN"/>
        </w:rPr>
        <w:t xml:space="preserve">issue </w:t>
      </w:r>
      <w:r w:rsidR="000A744D" w:rsidRPr="0065688E">
        <w:rPr>
          <w:sz w:val="21"/>
          <w:szCs w:val="21"/>
          <w:lang w:val="en-US" w:eastAsia="zh-CN"/>
        </w:rPr>
        <w:t xml:space="preserve">considerations, the </w:t>
      </w:r>
      <w:r w:rsidR="002365EC">
        <w:rPr>
          <w:rFonts w:hint="eastAsia"/>
          <w:sz w:val="21"/>
          <w:szCs w:val="21"/>
          <w:lang w:val="en-US" w:eastAsia="zh-CN"/>
        </w:rPr>
        <w:t>UE</w:t>
      </w:r>
      <w:r w:rsidR="000A744D" w:rsidRPr="0065688E">
        <w:rPr>
          <w:sz w:val="21"/>
          <w:szCs w:val="21"/>
          <w:lang w:val="en-US" w:eastAsia="zh-CN"/>
        </w:rPr>
        <w:t xml:space="preserve"> also needs to know the direction of other beams and the BWP</w:t>
      </w:r>
      <w:r w:rsidR="002365EC">
        <w:rPr>
          <w:rFonts w:hint="eastAsia"/>
          <w:sz w:val="21"/>
          <w:szCs w:val="21"/>
          <w:lang w:val="en-US" w:eastAsia="zh-CN"/>
        </w:rPr>
        <w:t>s</w:t>
      </w:r>
      <w:r w:rsidR="000A744D" w:rsidRPr="0065688E">
        <w:rPr>
          <w:sz w:val="21"/>
          <w:szCs w:val="21"/>
          <w:lang w:val="en-US" w:eastAsia="zh-CN"/>
        </w:rPr>
        <w:t xml:space="preserve"> where </w:t>
      </w:r>
      <w:r w:rsidR="00C255A3" w:rsidRPr="0065688E">
        <w:rPr>
          <w:rFonts w:hint="eastAsia"/>
          <w:sz w:val="21"/>
          <w:szCs w:val="21"/>
          <w:lang w:val="en-US" w:eastAsia="zh-CN"/>
        </w:rPr>
        <w:t>other beams</w:t>
      </w:r>
      <w:r w:rsidR="00F82F35" w:rsidRPr="0065688E">
        <w:rPr>
          <w:rFonts w:hint="eastAsia"/>
          <w:sz w:val="21"/>
          <w:szCs w:val="21"/>
          <w:lang w:val="en-US" w:eastAsia="zh-CN"/>
        </w:rPr>
        <w:t xml:space="preserve"> are</w:t>
      </w:r>
      <w:r w:rsidR="000A744D" w:rsidRPr="0065688E">
        <w:rPr>
          <w:sz w:val="21"/>
          <w:szCs w:val="21"/>
          <w:lang w:val="en-US" w:eastAsia="zh-CN"/>
        </w:rPr>
        <w:t xml:space="preserve"> located.</w:t>
      </w:r>
    </w:p>
    <w:p w:rsidR="001A2809" w:rsidRDefault="000A13A7">
      <w:pPr>
        <w:rPr>
          <w:b/>
          <w:lang w:val="en-US" w:eastAsia="zh-CN"/>
        </w:rPr>
      </w:pPr>
      <w:r>
        <w:rPr>
          <w:rFonts w:hint="eastAsia"/>
          <w:b/>
          <w:kern w:val="2"/>
          <w:lang w:eastAsia="zh-CN"/>
        </w:rPr>
        <w:t>Proposal</w:t>
      </w:r>
      <w:r w:rsidR="005A39BC">
        <w:rPr>
          <w:rFonts w:hint="eastAsia"/>
          <w:b/>
          <w:kern w:val="2"/>
          <w:lang w:eastAsia="zh-CN"/>
        </w:rPr>
        <w:t xml:space="preserve"> 1</w:t>
      </w:r>
      <w:r>
        <w:rPr>
          <w:rFonts w:hint="eastAsia"/>
          <w:b/>
          <w:kern w:val="2"/>
          <w:lang w:eastAsia="zh-CN"/>
        </w:rPr>
        <w:t xml:space="preserve">: </w:t>
      </w:r>
      <w:r>
        <w:rPr>
          <w:rFonts w:hint="eastAsia"/>
          <w:b/>
          <w:kern w:val="2"/>
          <w:lang w:val="en-US" w:eastAsia="zh-CN"/>
        </w:rPr>
        <w:t>Enhance</w:t>
      </w:r>
      <w:r>
        <w:rPr>
          <w:rFonts w:hint="eastAsia"/>
          <w:b/>
          <w:kern w:val="2"/>
          <w:lang w:eastAsia="zh-CN"/>
        </w:rPr>
        <w:t xml:space="preserve"> BWP switching</w:t>
      </w:r>
      <w:r w:rsidR="00215B4F">
        <w:rPr>
          <w:rFonts w:hint="eastAsia"/>
          <w:b/>
          <w:kern w:val="2"/>
          <w:lang w:eastAsia="zh-CN"/>
        </w:rPr>
        <w:t xml:space="preserve"> </w:t>
      </w:r>
      <w:r>
        <w:rPr>
          <w:rFonts w:hint="eastAsia"/>
          <w:b/>
          <w:kern w:val="2"/>
          <w:lang w:eastAsia="zh-CN"/>
        </w:rPr>
        <w:t xml:space="preserve">used for </w:t>
      </w:r>
      <w:r>
        <w:rPr>
          <w:rFonts w:hint="eastAsia"/>
          <w:b/>
          <w:kern w:val="2"/>
          <w:lang w:val="en-US" w:eastAsia="zh-CN"/>
        </w:rPr>
        <w:t>NTN</w:t>
      </w:r>
      <w:r>
        <w:rPr>
          <w:rFonts w:hint="eastAsia"/>
          <w:b/>
          <w:kern w:val="2"/>
          <w:lang w:eastAsia="zh-CN"/>
        </w:rPr>
        <w:t xml:space="preserve"> beam switching to reduce beam switching latency</w:t>
      </w:r>
      <w:r>
        <w:rPr>
          <w:rFonts w:hint="eastAsia"/>
          <w:b/>
          <w:kern w:val="2"/>
          <w:lang w:val="en-US" w:eastAsia="zh-CN"/>
        </w:rPr>
        <w:t>.</w:t>
      </w:r>
    </w:p>
    <w:p w:rsidR="001A2809" w:rsidRPr="00194C2D" w:rsidRDefault="00B07EE3" w:rsidP="00194C2D">
      <w:pPr>
        <w:keepNext/>
        <w:keepLines/>
        <w:pBdr>
          <w:top w:val="single" w:sz="12" w:space="4" w:color="auto"/>
        </w:pBdr>
        <w:tabs>
          <w:tab w:val="left" w:pos="426"/>
          <w:tab w:val="left" w:pos="4969"/>
        </w:tabs>
        <w:spacing w:after="120"/>
        <w:ind w:left="425" w:hanging="425"/>
        <w:jc w:val="both"/>
        <w:outlineLvl w:val="0"/>
        <w:rPr>
          <w:rFonts w:ascii="Arial" w:eastAsia="MS Mincho" w:hAnsi="Arial"/>
          <w:sz w:val="36"/>
          <w:szCs w:val="36"/>
        </w:rPr>
      </w:pPr>
      <w:r w:rsidRPr="00194C2D">
        <w:rPr>
          <w:rFonts w:ascii="Arial" w:eastAsia="MS Mincho" w:hAnsi="Arial" w:hint="eastAsia"/>
          <w:sz w:val="36"/>
          <w:szCs w:val="36"/>
        </w:rPr>
        <w:lastRenderedPageBreak/>
        <w:t>The setting of the beams</w:t>
      </w:r>
    </w:p>
    <w:p w:rsidR="00194C2D" w:rsidRPr="005A39BC" w:rsidRDefault="00DD7093" w:rsidP="00194C2D">
      <w:pPr>
        <w:rPr>
          <w:sz w:val="21"/>
          <w:szCs w:val="22"/>
          <w:lang w:val="en-US" w:eastAsia="zh-CN"/>
        </w:rPr>
      </w:pPr>
      <w:r w:rsidRPr="005A39BC">
        <w:rPr>
          <w:rFonts w:hint="eastAsia"/>
          <w:sz w:val="21"/>
          <w:szCs w:val="22"/>
          <w:lang w:val="en-US" w:eastAsia="zh-CN"/>
        </w:rPr>
        <w:t>Itwas</w:t>
      </w:r>
      <w:r w:rsidRPr="005A39BC">
        <w:rPr>
          <w:sz w:val="21"/>
          <w:szCs w:val="22"/>
          <w:lang w:val="en-US" w:eastAsia="zh-CN"/>
        </w:rPr>
        <w:t>observed that the impact of earth-fixed beam is expected to be much s</w:t>
      </w:r>
      <w:r w:rsidR="00194C2D" w:rsidRPr="005A39BC">
        <w:rPr>
          <w:sz w:val="21"/>
          <w:szCs w:val="22"/>
          <w:lang w:val="en-US" w:eastAsia="zh-CN"/>
        </w:rPr>
        <w:t xml:space="preserve">maller than earth-moving beams  </w:t>
      </w:r>
      <w:r w:rsidRPr="005A39BC">
        <w:rPr>
          <w:sz w:val="21"/>
          <w:szCs w:val="22"/>
          <w:lang w:val="en-US" w:eastAsia="zh-CN"/>
        </w:rPr>
        <w:t>[3]</w:t>
      </w:r>
      <w:r w:rsidR="00194C2D" w:rsidRPr="005A39BC">
        <w:rPr>
          <w:rFonts w:hint="eastAsia"/>
          <w:sz w:val="21"/>
          <w:szCs w:val="22"/>
          <w:lang w:val="en-US" w:eastAsia="zh-CN"/>
        </w:rPr>
        <w:t>. Accordingto</w:t>
      </w:r>
      <w:r w:rsidR="00194C2D" w:rsidRPr="005A39BC">
        <w:rPr>
          <w:sz w:val="21"/>
          <w:szCs w:val="22"/>
          <w:lang w:val="en-US" w:eastAsia="zh-CN"/>
        </w:rPr>
        <w:t>[</w:t>
      </w:r>
      <w:r w:rsidR="00194C2D" w:rsidRPr="005A39BC">
        <w:rPr>
          <w:rFonts w:hint="eastAsia"/>
          <w:sz w:val="21"/>
          <w:szCs w:val="22"/>
          <w:lang w:val="en-US" w:eastAsia="zh-CN"/>
        </w:rPr>
        <w:t>4</w:t>
      </w:r>
      <w:r w:rsidR="00194C2D" w:rsidRPr="005A39BC">
        <w:rPr>
          <w:sz w:val="21"/>
          <w:szCs w:val="22"/>
          <w:lang w:val="en-US" w:eastAsia="zh-CN"/>
        </w:rPr>
        <w:t>], in order to reduce the standardization work, the table here below identifies the worst case NTN scenarios to be considered for the delay constraint.</w:t>
      </w:r>
    </w:p>
    <w:p w:rsidR="00194C2D" w:rsidRPr="00B923D6" w:rsidRDefault="00194C2D" w:rsidP="00194C2D">
      <w:pPr>
        <w:pStyle w:val="TH"/>
      </w:pPr>
      <w:r w:rsidRPr="00B923D6">
        <w:t>Table 1: NTN scenarios vers</w:t>
      </w:r>
      <w:r>
        <w:t>us delay constraints</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701"/>
        <w:gridCol w:w="960"/>
        <w:gridCol w:w="961"/>
        <w:gridCol w:w="63"/>
        <w:gridCol w:w="897"/>
        <w:gridCol w:w="961"/>
      </w:tblGrid>
      <w:tr w:rsidR="00194C2D" w:rsidRPr="00B923D6" w:rsidTr="004F2316">
        <w:trPr>
          <w:cantSplit/>
          <w:tblHeader/>
        </w:trPr>
        <w:tc>
          <w:tcPr>
            <w:tcW w:w="2689" w:type="dxa"/>
            <w:shd w:val="clear" w:color="auto" w:fill="auto"/>
          </w:tcPr>
          <w:p w:rsidR="00194C2D" w:rsidRPr="00B923D6" w:rsidRDefault="00194C2D" w:rsidP="004F2316">
            <w:pPr>
              <w:pStyle w:val="TAC"/>
              <w:adjustRightInd w:val="0"/>
              <w:snapToGrid w:val="0"/>
            </w:pPr>
            <w:r w:rsidRPr="00B923D6">
              <w:t>NTN scenarios</w:t>
            </w:r>
          </w:p>
        </w:tc>
        <w:tc>
          <w:tcPr>
            <w:tcW w:w="1701" w:type="dxa"/>
          </w:tcPr>
          <w:p w:rsidR="00194C2D" w:rsidRPr="00B923D6" w:rsidRDefault="00194C2D" w:rsidP="004F2316">
            <w:pPr>
              <w:pStyle w:val="TAC"/>
              <w:adjustRightInd w:val="0"/>
              <w:snapToGrid w:val="0"/>
            </w:pPr>
            <w:r w:rsidRPr="00B923D6">
              <w:t>A</w:t>
            </w:r>
          </w:p>
        </w:tc>
        <w:tc>
          <w:tcPr>
            <w:tcW w:w="1701" w:type="dxa"/>
          </w:tcPr>
          <w:p w:rsidR="00194C2D" w:rsidRPr="00B923D6" w:rsidRDefault="00194C2D" w:rsidP="004F2316">
            <w:pPr>
              <w:pStyle w:val="TAC"/>
              <w:adjustRightInd w:val="0"/>
              <w:snapToGrid w:val="0"/>
            </w:pPr>
            <w:r w:rsidRPr="00B923D6">
              <w:t>B</w:t>
            </w:r>
          </w:p>
        </w:tc>
        <w:tc>
          <w:tcPr>
            <w:tcW w:w="960" w:type="dxa"/>
            <w:shd w:val="clear" w:color="auto" w:fill="auto"/>
          </w:tcPr>
          <w:p w:rsidR="00194C2D" w:rsidRPr="00B923D6" w:rsidRDefault="00194C2D" w:rsidP="004F2316">
            <w:pPr>
              <w:pStyle w:val="TAC"/>
              <w:adjustRightInd w:val="0"/>
              <w:snapToGrid w:val="0"/>
            </w:pPr>
            <w:r w:rsidRPr="00B923D6">
              <w:t>C1</w:t>
            </w:r>
          </w:p>
        </w:tc>
        <w:tc>
          <w:tcPr>
            <w:tcW w:w="961" w:type="dxa"/>
          </w:tcPr>
          <w:p w:rsidR="00194C2D" w:rsidRPr="00B923D6" w:rsidRDefault="00194C2D" w:rsidP="004F2316">
            <w:pPr>
              <w:pStyle w:val="TAC"/>
              <w:adjustRightInd w:val="0"/>
              <w:snapToGrid w:val="0"/>
            </w:pPr>
            <w:r w:rsidRPr="00B923D6">
              <w:t>C2</w:t>
            </w:r>
          </w:p>
        </w:tc>
        <w:tc>
          <w:tcPr>
            <w:tcW w:w="960" w:type="dxa"/>
            <w:gridSpan w:val="2"/>
            <w:shd w:val="clear" w:color="auto" w:fill="auto"/>
          </w:tcPr>
          <w:p w:rsidR="00194C2D" w:rsidRPr="00B923D6" w:rsidRDefault="00194C2D" w:rsidP="004F2316">
            <w:pPr>
              <w:pStyle w:val="TAC"/>
              <w:adjustRightInd w:val="0"/>
              <w:snapToGrid w:val="0"/>
            </w:pPr>
            <w:r w:rsidRPr="00B923D6">
              <w:t>D1</w:t>
            </w:r>
          </w:p>
        </w:tc>
        <w:tc>
          <w:tcPr>
            <w:tcW w:w="961" w:type="dxa"/>
          </w:tcPr>
          <w:p w:rsidR="00194C2D" w:rsidRPr="00B923D6" w:rsidRDefault="00194C2D" w:rsidP="004F2316">
            <w:pPr>
              <w:pStyle w:val="TAC"/>
              <w:adjustRightInd w:val="0"/>
              <w:snapToGrid w:val="0"/>
            </w:pPr>
            <w:r w:rsidRPr="00B923D6">
              <w:t>D2</w:t>
            </w:r>
          </w:p>
        </w:tc>
      </w:tr>
      <w:tr w:rsidR="00194C2D" w:rsidRPr="00B923D6" w:rsidTr="004F2316">
        <w:trPr>
          <w:cantSplit/>
          <w:tblHeader/>
        </w:trPr>
        <w:tc>
          <w:tcPr>
            <w:tcW w:w="2689" w:type="dxa"/>
            <w:shd w:val="clear" w:color="auto" w:fill="auto"/>
          </w:tcPr>
          <w:p w:rsidR="00194C2D" w:rsidRPr="00B923D6" w:rsidRDefault="00194C2D" w:rsidP="004F2316">
            <w:pPr>
              <w:pStyle w:val="TAC"/>
              <w:adjustRightInd w:val="0"/>
              <w:snapToGrid w:val="0"/>
            </w:pPr>
          </w:p>
        </w:tc>
        <w:tc>
          <w:tcPr>
            <w:tcW w:w="1701" w:type="dxa"/>
          </w:tcPr>
          <w:p w:rsidR="00194C2D" w:rsidRPr="00450CE8" w:rsidRDefault="00194C2D" w:rsidP="004F2316">
            <w:pPr>
              <w:pStyle w:val="TAC"/>
              <w:adjustRightInd w:val="0"/>
              <w:snapToGrid w:val="0"/>
              <w:rPr>
                <w:i/>
                <w:szCs w:val="18"/>
              </w:rPr>
            </w:pPr>
            <w:r w:rsidRPr="00450CE8">
              <w:rPr>
                <w:i/>
                <w:szCs w:val="18"/>
              </w:rPr>
              <w:t>GEO transparent payload</w:t>
            </w:r>
          </w:p>
        </w:tc>
        <w:tc>
          <w:tcPr>
            <w:tcW w:w="1701" w:type="dxa"/>
          </w:tcPr>
          <w:p w:rsidR="00194C2D" w:rsidRPr="00B923D6" w:rsidRDefault="00194C2D" w:rsidP="004F2316">
            <w:pPr>
              <w:pStyle w:val="TAC"/>
              <w:adjustRightInd w:val="0"/>
              <w:snapToGrid w:val="0"/>
              <w:rPr>
                <w:i/>
                <w:szCs w:val="18"/>
              </w:rPr>
            </w:pPr>
            <w:r w:rsidRPr="00B923D6">
              <w:rPr>
                <w:i/>
                <w:szCs w:val="18"/>
              </w:rPr>
              <w:t>GEO regenerative payload</w:t>
            </w:r>
          </w:p>
        </w:tc>
        <w:tc>
          <w:tcPr>
            <w:tcW w:w="1921" w:type="dxa"/>
            <w:gridSpan w:val="2"/>
            <w:shd w:val="clear" w:color="auto" w:fill="auto"/>
          </w:tcPr>
          <w:p w:rsidR="00194C2D" w:rsidRPr="00B923D6" w:rsidRDefault="00194C2D" w:rsidP="004F2316">
            <w:pPr>
              <w:pStyle w:val="TAC"/>
              <w:adjustRightInd w:val="0"/>
              <w:snapToGrid w:val="0"/>
              <w:rPr>
                <w:i/>
                <w:szCs w:val="18"/>
              </w:rPr>
            </w:pPr>
            <w:r w:rsidRPr="00B923D6">
              <w:rPr>
                <w:i/>
                <w:szCs w:val="18"/>
              </w:rPr>
              <w:t>LEO transparent payload</w:t>
            </w:r>
          </w:p>
        </w:tc>
        <w:tc>
          <w:tcPr>
            <w:tcW w:w="1921" w:type="dxa"/>
            <w:gridSpan w:val="3"/>
            <w:shd w:val="clear" w:color="auto" w:fill="auto"/>
          </w:tcPr>
          <w:p w:rsidR="00194C2D" w:rsidRPr="00B923D6" w:rsidRDefault="00194C2D" w:rsidP="004F2316">
            <w:pPr>
              <w:pStyle w:val="TAC"/>
              <w:adjustRightInd w:val="0"/>
              <w:snapToGrid w:val="0"/>
              <w:rPr>
                <w:i/>
                <w:szCs w:val="18"/>
              </w:rPr>
            </w:pPr>
            <w:r w:rsidRPr="00B923D6">
              <w:rPr>
                <w:i/>
                <w:szCs w:val="18"/>
              </w:rPr>
              <w:t>LEO regenerative payload</w:t>
            </w:r>
          </w:p>
        </w:tc>
      </w:tr>
      <w:tr w:rsidR="00194C2D" w:rsidRPr="00B923D6" w:rsidTr="004F2316">
        <w:trPr>
          <w:cantSplit/>
        </w:trPr>
        <w:tc>
          <w:tcPr>
            <w:tcW w:w="2689" w:type="dxa"/>
            <w:shd w:val="clear" w:color="auto" w:fill="auto"/>
            <w:vAlign w:val="center"/>
          </w:tcPr>
          <w:p w:rsidR="00194C2D" w:rsidRPr="00B923D6" w:rsidRDefault="00194C2D" w:rsidP="004F2316">
            <w:pPr>
              <w:pStyle w:val="TAC"/>
              <w:adjustRightInd w:val="0"/>
              <w:snapToGrid w:val="0"/>
            </w:pPr>
            <w:r w:rsidRPr="00B923D6">
              <w:t>Satellite altitude</w:t>
            </w:r>
          </w:p>
        </w:tc>
        <w:tc>
          <w:tcPr>
            <w:tcW w:w="3402" w:type="dxa"/>
            <w:gridSpan w:val="2"/>
            <w:vAlign w:val="center"/>
          </w:tcPr>
          <w:p w:rsidR="00194C2D" w:rsidRPr="00B923D6" w:rsidRDefault="00194C2D" w:rsidP="004F2316">
            <w:pPr>
              <w:pStyle w:val="TAC"/>
              <w:adjustRightInd w:val="0"/>
              <w:snapToGrid w:val="0"/>
            </w:pPr>
            <w:r w:rsidRPr="00B923D6">
              <w:rPr>
                <w:rFonts w:eastAsia="Calibri"/>
              </w:rPr>
              <w:t>35786 km</w:t>
            </w:r>
          </w:p>
        </w:tc>
        <w:tc>
          <w:tcPr>
            <w:tcW w:w="3842" w:type="dxa"/>
            <w:gridSpan w:val="5"/>
            <w:shd w:val="clear" w:color="auto" w:fill="auto"/>
            <w:vAlign w:val="center"/>
          </w:tcPr>
          <w:p w:rsidR="00194C2D" w:rsidRPr="00B923D6" w:rsidRDefault="00194C2D" w:rsidP="004F2316">
            <w:pPr>
              <w:pStyle w:val="TAC"/>
              <w:adjustRightInd w:val="0"/>
              <w:snapToGrid w:val="0"/>
            </w:pPr>
            <w:r w:rsidRPr="00B923D6">
              <w:t>600 km</w:t>
            </w:r>
          </w:p>
        </w:tc>
      </w:tr>
      <w:tr w:rsidR="00194C2D" w:rsidRPr="00B923D6" w:rsidTr="004F2316">
        <w:trPr>
          <w:cantSplit/>
        </w:trPr>
        <w:tc>
          <w:tcPr>
            <w:tcW w:w="2689" w:type="dxa"/>
            <w:shd w:val="clear" w:color="auto" w:fill="auto"/>
            <w:vAlign w:val="center"/>
          </w:tcPr>
          <w:p w:rsidR="00194C2D" w:rsidRPr="00B923D6" w:rsidRDefault="00194C2D" w:rsidP="004F2316">
            <w:pPr>
              <w:pStyle w:val="TAC"/>
              <w:adjustRightInd w:val="0"/>
              <w:snapToGrid w:val="0"/>
            </w:pPr>
            <w:r w:rsidRPr="00B923D6">
              <w:t>Relative speed of Satellite with respect to earth</w:t>
            </w:r>
          </w:p>
        </w:tc>
        <w:tc>
          <w:tcPr>
            <w:tcW w:w="3402" w:type="dxa"/>
            <w:gridSpan w:val="2"/>
            <w:vAlign w:val="center"/>
          </w:tcPr>
          <w:p w:rsidR="00194C2D" w:rsidRPr="00B923D6" w:rsidRDefault="00194C2D" w:rsidP="004F2316">
            <w:pPr>
              <w:pStyle w:val="TAC"/>
              <w:adjustRightInd w:val="0"/>
              <w:snapToGrid w:val="0"/>
            </w:pPr>
            <w:r w:rsidRPr="00B923D6">
              <w:rPr>
                <w:rFonts w:eastAsia="Calibri"/>
              </w:rPr>
              <w:t>negligible</w:t>
            </w:r>
          </w:p>
        </w:tc>
        <w:tc>
          <w:tcPr>
            <w:tcW w:w="3842" w:type="dxa"/>
            <w:gridSpan w:val="5"/>
            <w:shd w:val="clear" w:color="auto" w:fill="auto"/>
            <w:vAlign w:val="center"/>
          </w:tcPr>
          <w:p w:rsidR="00194C2D" w:rsidRPr="00B923D6" w:rsidRDefault="00194C2D" w:rsidP="004F2316">
            <w:pPr>
              <w:pStyle w:val="TAC"/>
              <w:adjustRightInd w:val="0"/>
              <w:snapToGrid w:val="0"/>
            </w:pPr>
            <w:r w:rsidRPr="00B923D6">
              <w:t>7.56 km per second</w:t>
            </w:r>
          </w:p>
        </w:tc>
      </w:tr>
      <w:tr w:rsidR="00194C2D" w:rsidRPr="00B923D6" w:rsidTr="004F2316">
        <w:trPr>
          <w:cantSplit/>
        </w:trPr>
        <w:tc>
          <w:tcPr>
            <w:tcW w:w="2689" w:type="dxa"/>
            <w:shd w:val="clear" w:color="auto" w:fill="auto"/>
            <w:vAlign w:val="center"/>
          </w:tcPr>
          <w:p w:rsidR="00194C2D" w:rsidRPr="00B923D6" w:rsidRDefault="00194C2D" w:rsidP="004F2316">
            <w:pPr>
              <w:pStyle w:val="TAC"/>
              <w:adjustRightInd w:val="0"/>
              <w:snapToGrid w:val="0"/>
            </w:pPr>
            <w:r w:rsidRPr="00B923D6">
              <w:t>Min elevation for both feeder and service links</w:t>
            </w:r>
          </w:p>
        </w:tc>
        <w:tc>
          <w:tcPr>
            <w:tcW w:w="7244" w:type="dxa"/>
            <w:gridSpan w:val="7"/>
            <w:vAlign w:val="center"/>
          </w:tcPr>
          <w:p w:rsidR="00194C2D" w:rsidRPr="00B923D6" w:rsidRDefault="00194C2D" w:rsidP="004F2316">
            <w:pPr>
              <w:pStyle w:val="TAC"/>
              <w:adjustRightInd w:val="0"/>
              <w:snapToGrid w:val="0"/>
            </w:pPr>
            <w:r w:rsidRPr="00B923D6">
              <w:t>10° for service link and 10° for feeder link</w:t>
            </w:r>
          </w:p>
        </w:tc>
      </w:tr>
      <w:tr w:rsidR="00194C2D" w:rsidRPr="00B923D6" w:rsidTr="004F2316">
        <w:trPr>
          <w:cantSplit/>
        </w:trPr>
        <w:tc>
          <w:tcPr>
            <w:tcW w:w="2689" w:type="dxa"/>
            <w:shd w:val="clear" w:color="auto" w:fill="auto"/>
            <w:vAlign w:val="center"/>
          </w:tcPr>
          <w:p w:rsidR="00194C2D" w:rsidRPr="00B923D6" w:rsidRDefault="00194C2D" w:rsidP="004F2316">
            <w:pPr>
              <w:pStyle w:val="TAC"/>
              <w:adjustRightInd w:val="0"/>
              <w:snapToGrid w:val="0"/>
            </w:pPr>
            <w:r w:rsidRPr="00B923D6">
              <w:t xml:space="preserve">Typical Min / Max NTN beam foot print diameter (note 1) </w:t>
            </w:r>
          </w:p>
        </w:tc>
        <w:tc>
          <w:tcPr>
            <w:tcW w:w="3402" w:type="dxa"/>
            <w:gridSpan w:val="2"/>
            <w:vAlign w:val="center"/>
          </w:tcPr>
          <w:p w:rsidR="00194C2D" w:rsidRPr="00B923D6" w:rsidRDefault="00194C2D" w:rsidP="004F2316">
            <w:pPr>
              <w:pStyle w:val="TAC"/>
              <w:adjustRightInd w:val="0"/>
              <w:snapToGrid w:val="0"/>
            </w:pPr>
            <w:r w:rsidRPr="00B923D6">
              <w:t>100 km / 3500</w:t>
            </w:r>
            <w:r w:rsidRPr="00B923D6">
              <w:rPr>
                <w:rFonts w:eastAsia="Calibri"/>
              </w:rPr>
              <w:t xml:space="preserve"> km</w:t>
            </w:r>
          </w:p>
        </w:tc>
        <w:tc>
          <w:tcPr>
            <w:tcW w:w="3842" w:type="dxa"/>
            <w:gridSpan w:val="5"/>
            <w:shd w:val="clear" w:color="auto" w:fill="auto"/>
            <w:vAlign w:val="center"/>
          </w:tcPr>
          <w:p w:rsidR="00194C2D" w:rsidRPr="00B923D6" w:rsidRDefault="00194C2D" w:rsidP="004F2316">
            <w:pPr>
              <w:pStyle w:val="TAC"/>
              <w:adjustRightInd w:val="0"/>
              <w:snapToGrid w:val="0"/>
            </w:pPr>
            <w:r w:rsidRPr="00B923D6">
              <w:t>50 km / 1000 km</w:t>
            </w:r>
          </w:p>
        </w:tc>
      </w:tr>
      <w:tr w:rsidR="00194C2D" w:rsidRPr="00B923D6" w:rsidTr="004F2316">
        <w:trPr>
          <w:cantSplit/>
        </w:trPr>
        <w:tc>
          <w:tcPr>
            <w:tcW w:w="2689" w:type="dxa"/>
            <w:shd w:val="clear" w:color="auto" w:fill="auto"/>
            <w:vAlign w:val="center"/>
          </w:tcPr>
          <w:p w:rsidR="00194C2D" w:rsidRPr="00B923D6" w:rsidRDefault="00194C2D" w:rsidP="004F2316">
            <w:pPr>
              <w:pStyle w:val="TAC"/>
              <w:adjustRightInd w:val="0"/>
              <w:snapToGrid w:val="0"/>
            </w:pPr>
            <w:r w:rsidRPr="00B923D6">
              <w:t>Maximum Delay variation as seen by the UE(note 2)</w:t>
            </w:r>
          </w:p>
        </w:tc>
        <w:tc>
          <w:tcPr>
            <w:tcW w:w="3402" w:type="dxa"/>
            <w:gridSpan w:val="2"/>
            <w:vAlign w:val="center"/>
          </w:tcPr>
          <w:p w:rsidR="00194C2D" w:rsidRPr="00B923D6" w:rsidRDefault="00194C2D" w:rsidP="004F2316">
            <w:pPr>
              <w:pStyle w:val="TAC"/>
              <w:adjustRightInd w:val="0"/>
              <w:snapToGrid w:val="0"/>
            </w:pPr>
            <w:r w:rsidRPr="00B923D6">
              <w:t>Negligible</w:t>
            </w:r>
          </w:p>
        </w:tc>
        <w:tc>
          <w:tcPr>
            <w:tcW w:w="1984" w:type="dxa"/>
            <w:gridSpan w:val="3"/>
            <w:shd w:val="clear" w:color="auto" w:fill="auto"/>
            <w:vAlign w:val="center"/>
          </w:tcPr>
          <w:p w:rsidR="00194C2D" w:rsidRPr="00B923D6" w:rsidRDefault="00194C2D" w:rsidP="004F2316">
            <w:pPr>
              <w:pStyle w:val="TAC"/>
              <w:adjustRightInd w:val="0"/>
              <w:snapToGrid w:val="0"/>
            </w:pPr>
            <w:r w:rsidRPr="00B923D6">
              <w:t>Up to +/- 40 µs/sec (Worst case)</w:t>
            </w:r>
          </w:p>
        </w:tc>
        <w:tc>
          <w:tcPr>
            <w:tcW w:w="1858" w:type="dxa"/>
            <w:gridSpan w:val="2"/>
            <w:shd w:val="clear" w:color="auto" w:fill="auto"/>
            <w:vAlign w:val="center"/>
          </w:tcPr>
          <w:p w:rsidR="00194C2D" w:rsidRPr="00B923D6" w:rsidRDefault="00194C2D" w:rsidP="004F2316">
            <w:pPr>
              <w:pStyle w:val="TAC"/>
              <w:adjustRightInd w:val="0"/>
              <w:snapToGrid w:val="0"/>
            </w:pPr>
            <w:r w:rsidRPr="00B923D6">
              <w:t>Up to +/- 20 µs/sec</w:t>
            </w:r>
          </w:p>
        </w:tc>
      </w:tr>
      <w:tr w:rsidR="00194C2D" w:rsidRPr="00B923D6" w:rsidTr="004F2316">
        <w:trPr>
          <w:cantSplit/>
        </w:trPr>
        <w:tc>
          <w:tcPr>
            <w:tcW w:w="99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94C2D" w:rsidRPr="00B923D6" w:rsidRDefault="00194C2D" w:rsidP="00194C2D">
            <w:pPr>
              <w:pStyle w:val="TAN"/>
              <w:adjustRightInd w:val="0"/>
              <w:snapToGrid w:val="0"/>
              <w:ind w:leftChars="68" w:left="556" w:hanging="420"/>
            </w:pPr>
            <w:r w:rsidRPr="00B923D6">
              <w:t>NOTE 1: The beam foot print diameter are indicative. The diameter depends on the orbit, earth latitude, antenna design, and radio resource management strategy in a given system.</w:t>
            </w:r>
          </w:p>
          <w:p w:rsidR="00194C2D" w:rsidRPr="00B923D6" w:rsidRDefault="00194C2D" w:rsidP="00194C2D">
            <w:pPr>
              <w:pStyle w:val="TAN"/>
              <w:adjustRightInd w:val="0"/>
              <w:snapToGrid w:val="0"/>
              <w:ind w:leftChars="68" w:left="556" w:hanging="420"/>
            </w:pPr>
            <w:r w:rsidRPr="00B923D6">
              <w:t>NOTE 2: The delay variation measures how fast the round trip delay (function of UE-satellite-NTN gateway distance) varies over time when the satellite moves towards/away from the UE. It is expressed in µs/s and</w:t>
            </w:r>
            <w:r>
              <w:t xml:space="preserve"> is negligible for GEO scenario</w:t>
            </w:r>
          </w:p>
        </w:tc>
      </w:tr>
    </w:tbl>
    <w:p w:rsidR="00194C2D" w:rsidRPr="00A93B95" w:rsidRDefault="00D15069" w:rsidP="00D15069">
      <w:pPr>
        <w:pStyle w:val="Observation"/>
        <w:numPr>
          <w:ilvl w:val="0"/>
          <w:numId w:val="0"/>
        </w:numPr>
        <w:rPr>
          <w:rFonts w:ascii="Times New Roman" w:hAnsi="Times New Roman" w:cs="Times New Roman"/>
          <w:szCs w:val="21"/>
        </w:rPr>
      </w:pPr>
      <w:r>
        <w:rPr>
          <w:rFonts w:ascii="Times New Roman" w:hAnsi="Times New Roman" w:cs="Times New Roman" w:hint="eastAsia"/>
          <w:szCs w:val="21"/>
          <w:lang w:eastAsia="zh-CN"/>
        </w:rPr>
        <w:t>Observation 1</w:t>
      </w:r>
      <w:r w:rsidR="00194C2D" w:rsidRPr="00A93B95">
        <w:rPr>
          <w:rFonts w:ascii="Times New Roman" w:hAnsi="Times New Roman" w:cs="Times New Roman"/>
          <w:szCs w:val="21"/>
        </w:rPr>
        <w:t xml:space="preserve">:In LEO scenarios, </w:t>
      </w:r>
      <w:r w:rsidR="00194C2D" w:rsidRPr="00A93B95">
        <w:rPr>
          <w:szCs w:val="21"/>
        </w:rPr>
        <w:t>relative speed of satellite with respect to earth</w:t>
      </w:r>
      <w:r w:rsidR="00194C2D" w:rsidRPr="00A93B95">
        <w:rPr>
          <w:rFonts w:ascii="Times New Roman" w:hAnsi="Times New Roman" w:cs="Times New Roman"/>
          <w:szCs w:val="21"/>
        </w:rPr>
        <w:t xml:space="preserve">is very fast, several kilometers per second, </w:t>
      </w:r>
      <w:r w:rsidR="00194C2D" w:rsidRPr="00A93B95">
        <w:rPr>
          <w:szCs w:val="21"/>
        </w:rPr>
        <w:t>link switching high frequency.</w:t>
      </w:r>
    </w:p>
    <w:p w:rsidR="00194C2D" w:rsidRPr="005A39BC" w:rsidRDefault="00194C2D" w:rsidP="00194C2D">
      <w:pPr>
        <w:rPr>
          <w:sz w:val="21"/>
          <w:szCs w:val="22"/>
          <w:lang w:val="en-US" w:eastAsia="zh-CN"/>
        </w:rPr>
      </w:pPr>
      <w:r w:rsidRPr="005A39BC">
        <w:rPr>
          <w:sz w:val="21"/>
          <w:szCs w:val="22"/>
          <w:lang w:val="en-US" w:eastAsia="zh-CN"/>
        </w:rPr>
        <w:t>While</w:t>
      </w:r>
      <w:r w:rsidR="005A39BC">
        <w:rPr>
          <w:rFonts w:hint="eastAsia"/>
          <w:sz w:val="21"/>
          <w:szCs w:val="22"/>
          <w:lang w:val="en-US" w:eastAsia="zh-CN"/>
        </w:rPr>
        <w:t xml:space="preserve"> </w:t>
      </w:r>
      <w:r w:rsidRPr="005A39BC">
        <w:rPr>
          <w:sz w:val="21"/>
          <w:szCs w:val="22"/>
          <w:lang w:val="en-US" w:eastAsia="zh-CN"/>
        </w:rPr>
        <w:t xml:space="preserve">Satellite altitude at 600km, relative speed of Satellite with respect to earth is 7.56 km per second, and typical minimal beam foot print diameter is 50 km. According to above data, all users under one beam need to switch once every 6.61 seconds. </w:t>
      </w:r>
    </w:p>
    <w:p w:rsidR="00194C2D" w:rsidRPr="00A93B95" w:rsidRDefault="00D15069" w:rsidP="008B3C71">
      <w:pPr>
        <w:pStyle w:val="Observation"/>
        <w:numPr>
          <w:ilvl w:val="0"/>
          <w:numId w:val="0"/>
        </w:numPr>
        <w:rPr>
          <w:rFonts w:ascii="Times New Roman" w:hAnsi="Times New Roman" w:cs="Times New Roman"/>
          <w:szCs w:val="21"/>
        </w:rPr>
      </w:pPr>
      <w:r>
        <w:rPr>
          <w:rFonts w:ascii="Times New Roman" w:hAnsi="Times New Roman" w:cs="Times New Roman" w:hint="eastAsia"/>
          <w:szCs w:val="21"/>
          <w:lang w:eastAsia="zh-CN"/>
        </w:rPr>
        <w:t>Observation 2:</w:t>
      </w:r>
      <w:r w:rsidR="00194C2D" w:rsidRPr="00A93B95">
        <w:rPr>
          <w:rFonts w:ascii="Times New Roman" w:hAnsi="Times New Roman" w:cs="Times New Roman"/>
          <w:szCs w:val="21"/>
        </w:rPr>
        <w:t>Depending on ephemeris information, the switch caused by the satellite's movement can be predicted</w:t>
      </w:r>
    </w:p>
    <w:p w:rsidR="00194C2D" w:rsidRPr="00D15069" w:rsidRDefault="00D15069" w:rsidP="00D15069">
      <w:pPr>
        <w:widowControl w:val="0"/>
        <w:spacing w:beforeLines="50" w:before="120" w:afterLines="50" w:after="120"/>
        <w:jc w:val="both"/>
        <w:rPr>
          <w:b/>
          <w:sz w:val="21"/>
          <w:szCs w:val="21"/>
        </w:rPr>
      </w:pPr>
      <w:r>
        <w:rPr>
          <w:rFonts w:hint="eastAsia"/>
          <w:b/>
          <w:sz w:val="21"/>
          <w:szCs w:val="21"/>
          <w:lang w:eastAsia="zh-CN"/>
        </w:rPr>
        <w:t xml:space="preserve">Proposal2: </w:t>
      </w:r>
      <w:r w:rsidR="00194C2D" w:rsidRPr="00D15069">
        <w:rPr>
          <w:b/>
          <w:sz w:val="21"/>
          <w:szCs w:val="21"/>
        </w:rPr>
        <w:t>The setting of the beam to be regular and uniformly distributed to reduce the complexity of switching</w:t>
      </w:r>
      <w:r w:rsidR="00194C2D" w:rsidRPr="00D15069">
        <w:rPr>
          <w:rFonts w:hint="eastAsia"/>
          <w:b/>
          <w:sz w:val="21"/>
          <w:szCs w:val="21"/>
        </w:rPr>
        <w:t>.</w:t>
      </w:r>
    </w:p>
    <w:p w:rsidR="00194C2D" w:rsidRPr="00586055" w:rsidRDefault="00194C2D" w:rsidP="00641623">
      <w:pPr>
        <w:spacing w:beforeLines="50" w:before="120" w:afterLines="50" w:after="120"/>
        <w:jc w:val="center"/>
        <w:rPr>
          <w:sz w:val="22"/>
          <w:szCs w:val="22"/>
        </w:rPr>
      </w:pPr>
      <w:r>
        <w:object w:dxaOrig="6280"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86pt" o:ole="">
            <v:imagedata r:id="rId10" o:title=""/>
          </v:shape>
          <o:OLEObject Type="Embed" ProgID="Visio.Drawing.15" ShapeID="_x0000_i1025" DrawAspect="Content" ObjectID="_1664979951" r:id="rId11"/>
        </w:object>
      </w:r>
    </w:p>
    <w:p w:rsidR="00194C2D" w:rsidRPr="00295CC0" w:rsidRDefault="00194C2D" w:rsidP="00194C2D">
      <w:pPr>
        <w:spacing w:before="120"/>
        <w:jc w:val="center"/>
        <w:rPr>
          <w:rFonts w:ascii="Arial" w:eastAsia="等线" w:hAnsi="Arial" w:cs="Arial"/>
          <w:b/>
          <w:lang w:eastAsia="en-GB"/>
        </w:rPr>
      </w:pPr>
      <w:bookmarkStart w:id="4" w:name="_Ref47455037"/>
      <w:r w:rsidRPr="00295CC0">
        <w:rPr>
          <w:rFonts w:ascii="Arial" w:eastAsia="等线" w:hAnsi="Arial" w:cs="Arial"/>
          <w:b/>
          <w:lang w:eastAsia="en-GB"/>
        </w:rPr>
        <w:t xml:space="preserve">Figure </w:t>
      </w:r>
      <w:r w:rsidR="00546651">
        <w:rPr>
          <w:rFonts w:ascii="Arial" w:eastAsia="等线" w:hAnsi="Arial" w:cs="Arial" w:hint="eastAsia"/>
          <w:b/>
          <w:lang w:eastAsia="zh-CN"/>
        </w:rPr>
        <w:t>2</w:t>
      </w:r>
      <w:r w:rsidRPr="00295CC0">
        <w:rPr>
          <w:rFonts w:ascii="Arial" w:eastAsia="等线" w:hAnsi="Arial" w:cs="Arial"/>
          <w:b/>
          <w:lang w:eastAsia="en-GB"/>
        </w:rPr>
        <w:t xml:space="preserve"> Satellite beam</w:t>
      </w:r>
      <w:r>
        <w:rPr>
          <w:rFonts w:ascii="Arial" w:eastAsia="等线" w:hAnsi="Arial" w:cs="Arial"/>
          <w:b/>
          <w:lang w:eastAsia="en-GB"/>
        </w:rPr>
        <w:t>s</w:t>
      </w:r>
      <w:bookmarkEnd w:id="4"/>
      <w:r>
        <w:rPr>
          <w:rFonts w:ascii="Arial" w:eastAsia="等线" w:hAnsi="Arial" w:cs="Arial" w:hint="eastAsia"/>
          <w:b/>
        </w:rPr>
        <w:t>patternillustration</w:t>
      </w:r>
    </w:p>
    <w:p w:rsidR="00194C2D" w:rsidRPr="00A93B95" w:rsidRDefault="008B3C71" w:rsidP="008B3C71">
      <w:pPr>
        <w:pStyle w:val="Observation"/>
        <w:numPr>
          <w:ilvl w:val="0"/>
          <w:numId w:val="0"/>
        </w:numPr>
        <w:rPr>
          <w:rFonts w:ascii="Times New Roman" w:hAnsi="Times New Roman" w:cs="Times New Roman"/>
          <w:szCs w:val="21"/>
        </w:rPr>
      </w:pPr>
      <w:r>
        <w:rPr>
          <w:rFonts w:ascii="Times New Roman" w:hAnsi="Times New Roman" w:cs="Times New Roman" w:hint="eastAsia"/>
          <w:szCs w:val="21"/>
          <w:lang w:eastAsia="zh-CN"/>
        </w:rPr>
        <w:t xml:space="preserve">Observation 3: </w:t>
      </w:r>
      <w:r w:rsidR="00194C2D" w:rsidRPr="00A93B95">
        <w:rPr>
          <w:rFonts w:ascii="Times New Roman" w:hAnsi="Times New Roman" w:cs="Times New Roman"/>
          <w:szCs w:val="21"/>
        </w:rPr>
        <w:t>The projection of the satellite beam on the earth's surface is irregular due to the elevation fluctuations of the earth's surface</w:t>
      </w:r>
      <w:r w:rsidR="00194C2D" w:rsidRPr="00A93B95">
        <w:rPr>
          <w:rFonts w:ascii="Times New Roman" w:hAnsi="Times New Roman" w:cs="Times New Roman"/>
          <w:szCs w:val="21"/>
          <w:lang w:eastAsia="zh-CN"/>
        </w:rPr>
        <w:t>.</w:t>
      </w:r>
    </w:p>
    <w:p w:rsidR="00194C2D" w:rsidRPr="00A93B95" w:rsidRDefault="00194C2D" w:rsidP="00194C2D">
      <w:pPr>
        <w:rPr>
          <w:sz w:val="21"/>
          <w:szCs w:val="21"/>
        </w:rPr>
      </w:pPr>
      <w:r w:rsidRPr="00A93B95">
        <w:rPr>
          <w:rFonts w:hint="eastAsia"/>
          <w:sz w:val="21"/>
          <w:szCs w:val="21"/>
        </w:rPr>
        <w:t>A</w:t>
      </w:r>
      <w:r w:rsidRPr="00A93B95">
        <w:rPr>
          <w:sz w:val="21"/>
          <w:szCs w:val="21"/>
        </w:rPr>
        <w:t>s show in Table 1, typical NTN beam foot print diameter, min beam is 50km, max beam is 1000km, max/min ratio is 20.</w:t>
      </w:r>
    </w:p>
    <w:p w:rsidR="00194C2D" w:rsidRPr="00A93B95" w:rsidRDefault="008B3C71" w:rsidP="00E3606C">
      <w:pPr>
        <w:pStyle w:val="af8"/>
        <w:widowControl w:val="0"/>
        <w:spacing w:after="0"/>
        <w:ind w:firstLineChars="0" w:firstLine="0"/>
        <w:jc w:val="both"/>
        <w:rPr>
          <w:b/>
          <w:sz w:val="21"/>
          <w:szCs w:val="21"/>
        </w:rPr>
      </w:pPr>
      <w:r>
        <w:rPr>
          <w:rFonts w:hint="eastAsia"/>
          <w:b/>
          <w:sz w:val="21"/>
          <w:szCs w:val="21"/>
          <w:lang w:eastAsia="zh-CN"/>
        </w:rPr>
        <w:t xml:space="preserve">Proposal 3: </w:t>
      </w:r>
      <w:r w:rsidR="00194C2D" w:rsidRPr="00A93B95">
        <w:rPr>
          <w:b/>
          <w:sz w:val="21"/>
          <w:szCs w:val="21"/>
        </w:rPr>
        <w:t>Different beam sizes should be considered for timing and other parameters.</w:t>
      </w:r>
    </w:p>
    <w:p w:rsidR="00194C2D" w:rsidRPr="00A93B95" w:rsidRDefault="008B3C71" w:rsidP="008B3C71">
      <w:pPr>
        <w:pStyle w:val="Observation"/>
        <w:numPr>
          <w:ilvl w:val="0"/>
          <w:numId w:val="0"/>
        </w:numPr>
        <w:rPr>
          <w:rFonts w:ascii="Times New Roman" w:hAnsi="Times New Roman" w:cs="Times New Roman"/>
          <w:szCs w:val="21"/>
          <w:lang w:eastAsia="zh-CN"/>
        </w:rPr>
      </w:pPr>
      <w:r>
        <w:rPr>
          <w:rFonts w:ascii="Times New Roman" w:hAnsi="Times New Roman" w:cs="Times New Roman" w:hint="eastAsia"/>
          <w:szCs w:val="21"/>
          <w:lang w:eastAsia="zh-CN"/>
        </w:rPr>
        <w:t xml:space="preserve">Observation 4: </w:t>
      </w:r>
      <w:r w:rsidR="00194C2D" w:rsidRPr="00A93B95">
        <w:rPr>
          <w:rFonts w:ascii="Times New Roman" w:hAnsi="Times New Roman" w:cs="Times New Roman"/>
          <w:szCs w:val="21"/>
        </w:rPr>
        <w:t>The variation of frequency and timing under different elevation angles</w:t>
      </w:r>
      <w:r w:rsidR="00FB475F">
        <w:rPr>
          <w:rFonts w:ascii="Times New Roman" w:hAnsi="Times New Roman" w:cs="Times New Roman" w:hint="eastAsia"/>
          <w:szCs w:val="21"/>
          <w:lang w:eastAsia="zh-CN"/>
        </w:rPr>
        <w:t>.</w:t>
      </w:r>
    </w:p>
    <w:p w:rsidR="00DD7093" w:rsidRPr="00A93B95" w:rsidRDefault="000A169B" w:rsidP="000A169B">
      <w:pPr>
        <w:rPr>
          <w:b/>
          <w:i/>
          <w:sz w:val="21"/>
          <w:szCs w:val="21"/>
          <w:lang w:eastAsia="zh-CN"/>
        </w:rPr>
      </w:pPr>
      <w:r>
        <w:rPr>
          <w:rFonts w:hint="eastAsia"/>
          <w:b/>
          <w:sz w:val="21"/>
          <w:szCs w:val="21"/>
          <w:lang w:eastAsia="zh-CN"/>
        </w:rPr>
        <w:t>Proposal 4:</w:t>
      </w:r>
      <w:r w:rsidR="00194C2D" w:rsidRPr="00A93B95">
        <w:rPr>
          <w:b/>
          <w:sz w:val="21"/>
          <w:szCs w:val="21"/>
        </w:rPr>
        <w:t>Parameter setting should consider the timing change rate at low elevation Angle, so it is very necessary to compensate according to ephemeris and pre-compensation</w:t>
      </w:r>
      <w:r w:rsidR="00FB475F">
        <w:rPr>
          <w:rFonts w:hint="eastAsia"/>
          <w:b/>
          <w:sz w:val="21"/>
          <w:szCs w:val="21"/>
          <w:lang w:eastAsia="zh-CN"/>
        </w:rPr>
        <w:t>.</w:t>
      </w:r>
    </w:p>
    <w:p w:rsidR="001A2809" w:rsidRDefault="000A13A7">
      <w:pPr>
        <w:pStyle w:val="1"/>
        <w:tabs>
          <w:tab w:val="left" w:pos="9781"/>
        </w:tabs>
        <w:ind w:right="-28"/>
        <w:jc w:val="both"/>
      </w:pPr>
      <w:r>
        <w:lastRenderedPageBreak/>
        <w:t>Conclusion</w:t>
      </w:r>
    </w:p>
    <w:p w:rsidR="001A2809" w:rsidRDefault="000A13A7" w:rsidP="00641623">
      <w:pPr>
        <w:spacing w:beforeLines="50" w:before="120"/>
        <w:jc w:val="both"/>
        <w:rPr>
          <w:rFonts w:cs="宋体"/>
          <w:lang w:eastAsia="zh-CN"/>
        </w:rPr>
      </w:pPr>
      <w:r>
        <w:rPr>
          <w:rFonts w:cs="宋体" w:hint="eastAsia"/>
          <w:lang w:eastAsia="zh-CN"/>
        </w:rPr>
        <w:t>In this contribution, we give our analysis and views on the</w:t>
      </w:r>
      <w:r>
        <w:rPr>
          <w:rFonts w:hint="eastAsia"/>
          <w:lang w:val="en-US" w:eastAsia="zh-CN"/>
        </w:rPr>
        <w:t>NTN beam managment</w:t>
      </w:r>
      <w:r w:rsidR="004A470B">
        <w:rPr>
          <w:rFonts w:hint="eastAsia"/>
          <w:lang w:val="en-US" w:eastAsia="zh-CN"/>
        </w:rPr>
        <w:t xml:space="preserve"> and other issues</w:t>
      </w:r>
      <w:r>
        <w:rPr>
          <w:rFonts w:cs="宋体" w:hint="eastAsia"/>
          <w:lang w:eastAsia="zh-CN"/>
        </w:rPr>
        <w:t>, the following proposals are given:</w:t>
      </w:r>
    </w:p>
    <w:p w:rsidR="001A2809" w:rsidRDefault="000A13A7">
      <w:pPr>
        <w:rPr>
          <w:b/>
          <w:lang w:val="en-US" w:eastAsia="zh-CN"/>
        </w:rPr>
      </w:pPr>
      <w:r>
        <w:rPr>
          <w:rFonts w:hint="eastAsia"/>
          <w:b/>
          <w:kern w:val="2"/>
          <w:lang w:eastAsia="zh-CN"/>
        </w:rPr>
        <w:t>Proposal</w:t>
      </w:r>
      <w:r w:rsidR="00A93B95">
        <w:rPr>
          <w:rFonts w:hint="eastAsia"/>
          <w:b/>
          <w:kern w:val="2"/>
          <w:lang w:eastAsia="zh-CN"/>
        </w:rPr>
        <w:t xml:space="preserve">1 </w:t>
      </w:r>
      <w:r>
        <w:rPr>
          <w:rFonts w:hint="eastAsia"/>
          <w:b/>
          <w:kern w:val="2"/>
          <w:lang w:eastAsia="zh-CN"/>
        </w:rPr>
        <w:t xml:space="preserve">: </w:t>
      </w:r>
      <w:r>
        <w:rPr>
          <w:rFonts w:hint="eastAsia"/>
          <w:b/>
          <w:kern w:val="2"/>
          <w:lang w:val="en-US" w:eastAsia="zh-CN"/>
        </w:rPr>
        <w:t>Enhance</w:t>
      </w:r>
      <w:r>
        <w:rPr>
          <w:rFonts w:hint="eastAsia"/>
          <w:b/>
          <w:kern w:val="2"/>
          <w:lang w:eastAsia="zh-CN"/>
        </w:rPr>
        <w:t xml:space="preserve"> BWP switchingused for </w:t>
      </w:r>
      <w:r>
        <w:rPr>
          <w:rFonts w:hint="eastAsia"/>
          <w:b/>
          <w:kern w:val="2"/>
          <w:lang w:val="en-US" w:eastAsia="zh-CN"/>
        </w:rPr>
        <w:t>NTN</w:t>
      </w:r>
      <w:r>
        <w:rPr>
          <w:rFonts w:hint="eastAsia"/>
          <w:b/>
          <w:kern w:val="2"/>
          <w:lang w:eastAsia="zh-CN"/>
        </w:rPr>
        <w:t xml:space="preserve"> beam switching to reduce beam switching latency</w:t>
      </w:r>
      <w:r>
        <w:rPr>
          <w:rFonts w:hint="eastAsia"/>
          <w:b/>
          <w:kern w:val="2"/>
          <w:lang w:val="en-US" w:eastAsia="zh-CN"/>
        </w:rPr>
        <w:t>.</w:t>
      </w:r>
    </w:p>
    <w:p w:rsidR="00A93B95" w:rsidRPr="00A93B95" w:rsidRDefault="00A93B95" w:rsidP="00A93B95">
      <w:pPr>
        <w:rPr>
          <w:b/>
          <w:kern w:val="2"/>
          <w:lang w:eastAsia="zh-CN"/>
        </w:rPr>
      </w:pPr>
      <w:r>
        <w:rPr>
          <w:rFonts w:hint="eastAsia"/>
          <w:b/>
          <w:kern w:val="2"/>
          <w:lang w:eastAsia="zh-CN"/>
        </w:rPr>
        <w:t xml:space="preserve">Proposal2: </w:t>
      </w:r>
      <w:r w:rsidRPr="00A93B95">
        <w:rPr>
          <w:b/>
          <w:kern w:val="2"/>
          <w:lang w:eastAsia="zh-CN"/>
        </w:rPr>
        <w:t>The setting of the beam to be regular and uniformly distributed to reduce the complexity of switching</w:t>
      </w:r>
      <w:r w:rsidRPr="00A93B95">
        <w:rPr>
          <w:rFonts w:hint="eastAsia"/>
          <w:b/>
          <w:kern w:val="2"/>
          <w:lang w:eastAsia="zh-CN"/>
        </w:rPr>
        <w:t>.</w:t>
      </w:r>
    </w:p>
    <w:p w:rsidR="00A93B95" w:rsidRPr="00A93B95" w:rsidRDefault="00A93B95" w:rsidP="00A93B95">
      <w:pPr>
        <w:rPr>
          <w:b/>
          <w:kern w:val="2"/>
          <w:lang w:eastAsia="zh-CN"/>
        </w:rPr>
      </w:pPr>
      <w:r>
        <w:rPr>
          <w:rFonts w:hint="eastAsia"/>
          <w:b/>
          <w:kern w:val="2"/>
          <w:lang w:eastAsia="zh-CN"/>
        </w:rPr>
        <w:t xml:space="preserve">Proposal 3: </w:t>
      </w:r>
      <w:r w:rsidRPr="00A93B95">
        <w:rPr>
          <w:b/>
          <w:kern w:val="2"/>
          <w:lang w:eastAsia="zh-CN"/>
        </w:rPr>
        <w:t>Different beam sizes should be considered for timing and other parameters.</w:t>
      </w:r>
    </w:p>
    <w:p w:rsidR="001A2809" w:rsidRPr="00A93B95" w:rsidRDefault="00A93B95" w:rsidP="00A93B95">
      <w:pPr>
        <w:rPr>
          <w:b/>
          <w:kern w:val="2"/>
          <w:lang w:eastAsia="zh-CN"/>
        </w:rPr>
      </w:pPr>
      <w:r>
        <w:rPr>
          <w:rFonts w:hint="eastAsia"/>
          <w:b/>
          <w:kern w:val="2"/>
          <w:lang w:eastAsia="zh-CN"/>
        </w:rPr>
        <w:t xml:space="preserve">Proposal 4: </w:t>
      </w:r>
      <w:r w:rsidRPr="00A93B95">
        <w:rPr>
          <w:b/>
          <w:kern w:val="2"/>
          <w:lang w:eastAsia="zh-CN"/>
        </w:rPr>
        <w:t>Parameter setting should consider the timing change rate at low elevation Angle, so it is very necessary to compensate according to ephemeris and pre-compensation</w:t>
      </w:r>
    </w:p>
    <w:p w:rsidR="001A2809" w:rsidRDefault="001A2809">
      <w:pPr>
        <w:spacing w:after="120"/>
        <w:jc w:val="both"/>
        <w:rPr>
          <w:b/>
          <w:bCs/>
          <w:i/>
          <w:lang w:eastAsia="zh-CN"/>
        </w:rPr>
      </w:pPr>
    </w:p>
    <w:p w:rsidR="001A2809" w:rsidRDefault="000A13A7">
      <w:pPr>
        <w:pStyle w:val="1"/>
        <w:tabs>
          <w:tab w:val="left" w:pos="9781"/>
        </w:tabs>
        <w:ind w:right="-28"/>
        <w:jc w:val="both"/>
      </w:pPr>
      <w:r>
        <w:t>References</w:t>
      </w:r>
    </w:p>
    <w:p w:rsidR="001A2809" w:rsidRDefault="000A13A7">
      <w:pPr>
        <w:numPr>
          <w:ilvl w:val="0"/>
          <w:numId w:val="6"/>
        </w:numPr>
        <w:tabs>
          <w:tab w:val="left" w:pos="3167"/>
        </w:tabs>
        <w:rPr>
          <w:bCs/>
          <w:sz w:val="21"/>
          <w:szCs w:val="22"/>
          <w:lang w:eastAsia="zh-CN"/>
        </w:rPr>
      </w:pPr>
      <w:r>
        <w:rPr>
          <w:rFonts w:hint="eastAsia"/>
          <w:bCs/>
          <w:lang w:eastAsia="zh-CN"/>
        </w:rPr>
        <w:t>RP-19323</w:t>
      </w:r>
      <w:r>
        <w:rPr>
          <w:rFonts w:hint="eastAsia"/>
          <w:bCs/>
          <w:lang w:val="en-US" w:eastAsia="zh-CN"/>
        </w:rPr>
        <w:t>4</w:t>
      </w:r>
      <w:r>
        <w:rPr>
          <w:rFonts w:hint="eastAsia"/>
          <w:bCs/>
          <w:lang w:eastAsia="zh-CN"/>
        </w:rPr>
        <w:t xml:space="preserve">, </w:t>
      </w:r>
      <w:r>
        <w:rPr>
          <w:rFonts w:hint="eastAsia"/>
          <w:bCs/>
          <w:sz w:val="21"/>
          <w:szCs w:val="22"/>
          <w:lang w:eastAsia="zh-CN"/>
        </w:rPr>
        <w:t>“</w:t>
      </w:r>
      <w:r>
        <w:rPr>
          <w:rFonts w:hint="eastAsia"/>
          <w:bCs/>
          <w:sz w:val="21"/>
          <w:szCs w:val="22"/>
          <w:lang w:eastAsia="zh-CN"/>
        </w:rPr>
        <w:t>Solutions for NR to support non-terrestrial networks (NTN)</w:t>
      </w:r>
      <w:r>
        <w:rPr>
          <w:rFonts w:hint="eastAsia"/>
          <w:bCs/>
          <w:sz w:val="21"/>
          <w:szCs w:val="22"/>
          <w:lang w:eastAsia="zh-CN"/>
        </w:rPr>
        <w:t>”</w:t>
      </w:r>
    </w:p>
    <w:p w:rsidR="001A2809" w:rsidRPr="00194C2D" w:rsidRDefault="000A13A7">
      <w:pPr>
        <w:numPr>
          <w:ilvl w:val="0"/>
          <w:numId w:val="6"/>
        </w:numPr>
        <w:tabs>
          <w:tab w:val="left" w:pos="3167"/>
        </w:tabs>
        <w:rPr>
          <w:bCs/>
          <w:sz w:val="21"/>
          <w:szCs w:val="22"/>
          <w:lang w:eastAsia="zh-CN"/>
        </w:rPr>
      </w:pPr>
      <w:r>
        <w:rPr>
          <w:rFonts w:hint="eastAsia"/>
          <w:bCs/>
          <w:sz w:val="21"/>
          <w:szCs w:val="22"/>
          <w:lang w:val="en-US" w:eastAsia="zh-CN"/>
        </w:rPr>
        <w:t xml:space="preserve">TR 38.821 V1.0.0 </w:t>
      </w:r>
      <w:r>
        <w:rPr>
          <w:bCs/>
          <w:sz w:val="21"/>
          <w:szCs w:val="22"/>
          <w:lang w:val="en-US" w:eastAsia="zh-CN"/>
        </w:rPr>
        <w:t>“</w:t>
      </w:r>
      <w:r>
        <w:t>3rd Generation Partnership Project</w:t>
      </w:r>
      <w:r>
        <w:rPr>
          <w:rFonts w:hint="eastAsia"/>
          <w:lang w:val="en-US" w:eastAsia="zh-CN"/>
        </w:rPr>
        <w:t>;</w:t>
      </w:r>
      <w:r>
        <w:t xml:space="preserve">Technical Specification Group </w:t>
      </w:r>
      <w:r>
        <w:rPr>
          <w:lang w:eastAsia="ja-JP"/>
        </w:rPr>
        <w:t>Radio Access Network</w:t>
      </w:r>
      <w:r>
        <w:t>;</w:t>
      </w:r>
      <w:r>
        <w:rPr>
          <w:lang w:eastAsia="ja-JP"/>
        </w:rPr>
        <w:t>Solutions for NR to support non-terrestrial networks (NTN)</w:t>
      </w:r>
      <w:r>
        <w:rPr>
          <w:lang w:val="en-US" w:eastAsia="zh-CN"/>
        </w:rPr>
        <w:t>”</w:t>
      </w:r>
    </w:p>
    <w:p w:rsidR="00194C2D" w:rsidRDefault="00194C2D">
      <w:pPr>
        <w:numPr>
          <w:ilvl w:val="0"/>
          <w:numId w:val="6"/>
        </w:numPr>
        <w:tabs>
          <w:tab w:val="left" w:pos="3167"/>
        </w:tabs>
        <w:rPr>
          <w:bCs/>
          <w:lang w:eastAsia="zh-CN"/>
        </w:rPr>
      </w:pPr>
      <w:r w:rsidRPr="00194C2D">
        <w:rPr>
          <w:bCs/>
          <w:lang w:eastAsia="zh-CN"/>
        </w:rPr>
        <w:t>R1-2006678,“Other RAN1 aspects for NR NTN”</w:t>
      </w:r>
    </w:p>
    <w:p w:rsidR="00194C2D" w:rsidRPr="00194C2D" w:rsidRDefault="00194C2D">
      <w:pPr>
        <w:numPr>
          <w:ilvl w:val="0"/>
          <w:numId w:val="6"/>
        </w:numPr>
        <w:tabs>
          <w:tab w:val="left" w:pos="3167"/>
        </w:tabs>
        <w:rPr>
          <w:bCs/>
          <w:sz w:val="21"/>
          <w:szCs w:val="22"/>
          <w:lang w:val="en-US" w:eastAsia="zh-CN"/>
        </w:rPr>
      </w:pPr>
      <w:r w:rsidRPr="00194C2D">
        <w:rPr>
          <w:rFonts w:hint="eastAsia"/>
          <w:bCs/>
          <w:sz w:val="21"/>
          <w:szCs w:val="22"/>
          <w:lang w:val="en-US" w:eastAsia="zh-CN"/>
        </w:rPr>
        <w:t>3GPP 38.821</w:t>
      </w:r>
      <w:r w:rsidRPr="00194C2D">
        <w:rPr>
          <w:bCs/>
          <w:sz w:val="21"/>
          <w:szCs w:val="22"/>
          <w:lang w:val="en-US" w:eastAsia="zh-CN"/>
        </w:rPr>
        <w:t>,”Solutions for NR to support non-terrestrial networks (NTN) (Release 16)”</w:t>
      </w:r>
    </w:p>
    <w:sectPr w:rsidR="00194C2D" w:rsidRPr="00194C2D" w:rsidSect="00C35BB0">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881" w:rsidRDefault="00E12881" w:rsidP="00333E62">
      <w:pPr>
        <w:spacing w:after="0"/>
      </w:pPr>
      <w:r>
        <w:separator/>
      </w:r>
    </w:p>
  </w:endnote>
  <w:endnote w:type="continuationSeparator" w:id="0">
    <w:p w:rsidR="00E12881" w:rsidRDefault="00E12881" w:rsidP="00333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881" w:rsidRDefault="00E12881" w:rsidP="00333E62">
      <w:pPr>
        <w:spacing w:after="0"/>
      </w:pPr>
      <w:r>
        <w:separator/>
      </w:r>
    </w:p>
  </w:footnote>
  <w:footnote w:type="continuationSeparator" w:id="0">
    <w:p w:rsidR="00E12881" w:rsidRDefault="00E12881" w:rsidP="00333E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58D4E0"/>
    <w:multiLevelType w:val="singleLevel"/>
    <w:tmpl w:val="C958D4E0"/>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A0850"/>
    <w:multiLevelType w:val="hybridMultilevel"/>
    <w:tmpl w:val="0B6452E6"/>
    <w:lvl w:ilvl="0" w:tplc="E5D82FF6">
      <w:start w:val="1"/>
      <w:numFmt w:val="decimal"/>
      <w:pStyle w:val="Observation"/>
      <w:lvlText w:val="Observation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BD4D5C"/>
    <w:multiLevelType w:val="hybridMultilevel"/>
    <w:tmpl w:val="57189FD6"/>
    <w:lvl w:ilvl="0" w:tplc="4AC83036">
      <w:start w:val="1"/>
      <w:numFmt w:val="decimal"/>
      <w:lvlText w:val="Proposal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1514A1"/>
    <w:multiLevelType w:val="multilevel"/>
    <w:tmpl w:val="199A9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ED84AFC"/>
    <w:multiLevelType w:val="hybridMultilevel"/>
    <w:tmpl w:val="C2A4B66E"/>
    <w:lvl w:ilvl="0" w:tplc="4AC83036">
      <w:start w:val="1"/>
      <w:numFmt w:val="decimal"/>
      <w:lvlText w:val="Proposal %1"/>
      <w:lvlJc w:val="left"/>
      <w:pPr>
        <w:ind w:left="420" w:hanging="420"/>
      </w:pPr>
      <w:rPr>
        <w:rFonts w:hint="eastAsia"/>
        <w:b/>
        <w:bCs w:val="0"/>
        <w:i w:val="0"/>
        <w:iCs w:val="0"/>
        <w:caps w:val="0"/>
        <w:smallCaps w:val="0"/>
        <w:strike w:val="0"/>
        <w:dstrike w:val="0"/>
        <w:vanish w:val="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9"/>
  </w:num>
  <w:num w:numId="2">
    <w:abstractNumId w:val="1"/>
  </w:num>
  <w:num w:numId="3">
    <w:abstractNumId w:val="6"/>
  </w:num>
  <w:num w:numId="4">
    <w:abstractNumId w:val="8"/>
  </w:num>
  <w:num w:numId="5">
    <w:abstractNumId w:val="2"/>
  </w:num>
  <w:num w:numId="6">
    <w:abstractNumId w:val="0"/>
  </w:num>
  <w:num w:numId="7">
    <w:abstractNumId w:val="7"/>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50DC2"/>
    <w:rsid w:val="00000D51"/>
    <w:rsid w:val="00001A02"/>
    <w:rsid w:val="00001BF8"/>
    <w:rsid w:val="00001D31"/>
    <w:rsid w:val="000042B4"/>
    <w:rsid w:val="00006364"/>
    <w:rsid w:val="000105E0"/>
    <w:rsid w:val="00010F1A"/>
    <w:rsid w:val="0001106A"/>
    <w:rsid w:val="00012988"/>
    <w:rsid w:val="00012CE2"/>
    <w:rsid w:val="000135CC"/>
    <w:rsid w:val="00017D6F"/>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44D2"/>
    <w:rsid w:val="000655F9"/>
    <w:rsid w:val="0007182A"/>
    <w:rsid w:val="00072D4B"/>
    <w:rsid w:val="00073DF1"/>
    <w:rsid w:val="0007475A"/>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13A7"/>
    <w:rsid w:val="000A169B"/>
    <w:rsid w:val="000A3110"/>
    <w:rsid w:val="000A46EF"/>
    <w:rsid w:val="000A679B"/>
    <w:rsid w:val="000A744D"/>
    <w:rsid w:val="000A7983"/>
    <w:rsid w:val="000A7EA9"/>
    <w:rsid w:val="000B04DF"/>
    <w:rsid w:val="000B0E6F"/>
    <w:rsid w:val="000B4C97"/>
    <w:rsid w:val="000B4EF1"/>
    <w:rsid w:val="000B68EA"/>
    <w:rsid w:val="000B728E"/>
    <w:rsid w:val="000C02A3"/>
    <w:rsid w:val="000C0576"/>
    <w:rsid w:val="000C096E"/>
    <w:rsid w:val="000C1414"/>
    <w:rsid w:val="000C45C0"/>
    <w:rsid w:val="000C595A"/>
    <w:rsid w:val="000D0900"/>
    <w:rsid w:val="000D6B43"/>
    <w:rsid w:val="000E066A"/>
    <w:rsid w:val="000E0D5F"/>
    <w:rsid w:val="000E18B8"/>
    <w:rsid w:val="000E2A3F"/>
    <w:rsid w:val="000E2DCF"/>
    <w:rsid w:val="000E5890"/>
    <w:rsid w:val="000E58DA"/>
    <w:rsid w:val="000E59D1"/>
    <w:rsid w:val="000E5A74"/>
    <w:rsid w:val="000E5B9B"/>
    <w:rsid w:val="000E5F34"/>
    <w:rsid w:val="000E671A"/>
    <w:rsid w:val="000E67D4"/>
    <w:rsid w:val="000E6C69"/>
    <w:rsid w:val="000E78ED"/>
    <w:rsid w:val="000F04E0"/>
    <w:rsid w:val="000F2C4E"/>
    <w:rsid w:val="000F338A"/>
    <w:rsid w:val="000F4E99"/>
    <w:rsid w:val="000F5628"/>
    <w:rsid w:val="000F65D6"/>
    <w:rsid w:val="000F68B8"/>
    <w:rsid w:val="000F7FA3"/>
    <w:rsid w:val="00100364"/>
    <w:rsid w:val="001004C5"/>
    <w:rsid w:val="001005C1"/>
    <w:rsid w:val="00101113"/>
    <w:rsid w:val="001048BB"/>
    <w:rsid w:val="00105926"/>
    <w:rsid w:val="001059A9"/>
    <w:rsid w:val="00106DB7"/>
    <w:rsid w:val="00111246"/>
    <w:rsid w:val="001117E2"/>
    <w:rsid w:val="001133B7"/>
    <w:rsid w:val="001133CE"/>
    <w:rsid w:val="00115D00"/>
    <w:rsid w:val="00115E9F"/>
    <w:rsid w:val="00116C15"/>
    <w:rsid w:val="00116FFF"/>
    <w:rsid w:val="00117173"/>
    <w:rsid w:val="001175DD"/>
    <w:rsid w:val="00122F19"/>
    <w:rsid w:val="00124684"/>
    <w:rsid w:val="00124F07"/>
    <w:rsid w:val="00126431"/>
    <w:rsid w:val="00126609"/>
    <w:rsid w:val="0012795D"/>
    <w:rsid w:val="001301E2"/>
    <w:rsid w:val="00130DD0"/>
    <w:rsid w:val="00131C09"/>
    <w:rsid w:val="001320CE"/>
    <w:rsid w:val="001320FB"/>
    <w:rsid w:val="001342FD"/>
    <w:rsid w:val="00135A56"/>
    <w:rsid w:val="00136FA6"/>
    <w:rsid w:val="001379C4"/>
    <w:rsid w:val="00140224"/>
    <w:rsid w:val="00141F41"/>
    <w:rsid w:val="00142446"/>
    <w:rsid w:val="00142896"/>
    <w:rsid w:val="001453B1"/>
    <w:rsid w:val="001459CF"/>
    <w:rsid w:val="00147740"/>
    <w:rsid w:val="001507D8"/>
    <w:rsid w:val="00150DBA"/>
    <w:rsid w:val="00153474"/>
    <w:rsid w:val="001535DC"/>
    <w:rsid w:val="001537DD"/>
    <w:rsid w:val="00154D77"/>
    <w:rsid w:val="00155723"/>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594"/>
    <w:rsid w:val="00176A5F"/>
    <w:rsid w:val="00181985"/>
    <w:rsid w:val="00181C2C"/>
    <w:rsid w:val="001828A6"/>
    <w:rsid w:val="001836B0"/>
    <w:rsid w:val="00184D98"/>
    <w:rsid w:val="00186B76"/>
    <w:rsid w:val="00187F7E"/>
    <w:rsid w:val="00190652"/>
    <w:rsid w:val="00190B92"/>
    <w:rsid w:val="001913AA"/>
    <w:rsid w:val="00192123"/>
    <w:rsid w:val="00194448"/>
    <w:rsid w:val="00194C2D"/>
    <w:rsid w:val="0019789C"/>
    <w:rsid w:val="00197942"/>
    <w:rsid w:val="001A172E"/>
    <w:rsid w:val="001A2809"/>
    <w:rsid w:val="001A3869"/>
    <w:rsid w:val="001A55D4"/>
    <w:rsid w:val="001A6BC1"/>
    <w:rsid w:val="001B0189"/>
    <w:rsid w:val="001B117F"/>
    <w:rsid w:val="001B24AF"/>
    <w:rsid w:val="001B24EC"/>
    <w:rsid w:val="001B2AB4"/>
    <w:rsid w:val="001B3905"/>
    <w:rsid w:val="001B5771"/>
    <w:rsid w:val="001B6258"/>
    <w:rsid w:val="001C10D2"/>
    <w:rsid w:val="001C3FE0"/>
    <w:rsid w:val="001C4362"/>
    <w:rsid w:val="001C4588"/>
    <w:rsid w:val="001C459C"/>
    <w:rsid w:val="001C4DF2"/>
    <w:rsid w:val="001C5ACE"/>
    <w:rsid w:val="001C62E4"/>
    <w:rsid w:val="001C6EAB"/>
    <w:rsid w:val="001C7896"/>
    <w:rsid w:val="001D17B1"/>
    <w:rsid w:val="001D20D0"/>
    <w:rsid w:val="001D3635"/>
    <w:rsid w:val="001D7DCD"/>
    <w:rsid w:val="001E0A77"/>
    <w:rsid w:val="001E0E0C"/>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B4F"/>
    <w:rsid w:val="00215ED2"/>
    <w:rsid w:val="00216AE2"/>
    <w:rsid w:val="002172FF"/>
    <w:rsid w:val="00220C77"/>
    <w:rsid w:val="00222C0E"/>
    <w:rsid w:val="00223109"/>
    <w:rsid w:val="00224BA3"/>
    <w:rsid w:val="00227350"/>
    <w:rsid w:val="00230F83"/>
    <w:rsid w:val="002313AB"/>
    <w:rsid w:val="0023246A"/>
    <w:rsid w:val="00233907"/>
    <w:rsid w:val="00233B90"/>
    <w:rsid w:val="00233EBD"/>
    <w:rsid w:val="00234190"/>
    <w:rsid w:val="00234B2A"/>
    <w:rsid w:val="002365EC"/>
    <w:rsid w:val="0024105D"/>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56DAF"/>
    <w:rsid w:val="0026077E"/>
    <w:rsid w:val="0026104C"/>
    <w:rsid w:val="00262051"/>
    <w:rsid w:val="00262791"/>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1B18"/>
    <w:rsid w:val="002E465F"/>
    <w:rsid w:val="002F251D"/>
    <w:rsid w:val="002F69F9"/>
    <w:rsid w:val="002F709D"/>
    <w:rsid w:val="00300E09"/>
    <w:rsid w:val="003037C6"/>
    <w:rsid w:val="00303814"/>
    <w:rsid w:val="003046F4"/>
    <w:rsid w:val="0031231C"/>
    <w:rsid w:val="00312883"/>
    <w:rsid w:val="0031482D"/>
    <w:rsid w:val="00314FC9"/>
    <w:rsid w:val="00315935"/>
    <w:rsid w:val="00315E38"/>
    <w:rsid w:val="003160A6"/>
    <w:rsid w:val="0032075E"/>
    <w:rsid w:val="00322EF7"/>
    <w:rsid w:val="00323B36"/>
    <w:rsid w:val="00327566"/>
    <w:rsid w:val="00330D1D"/>
    <w:rsid w:val="003318DB"/>
    <w:rsid w:val="00332DC2"/>
    <w:rsid w:val="00333524"/>
    <w:rsid w:val="00333A8C"/>
    <w:rsid w:val="00333E62"/>
    <w:rsid w:val="0033469C"/>
    <w:rsid w:val="003355A2"/>
    <w:rsid w:val="00335C27"/>
    <w:rsid w:val="0034233F"/>
    <w:rsid w:val="00342B03"/>
    <w:rsid w:val="00342CE8"/>
    <w:rsid w:val="00343C26"/>
    <w:rsid w:val="00344543"/>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238"/>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F8D"/>
    <w:rsid w:val="003826BE"/>
    <w:rsid w:val="003851E7"/>
    <w:rsid w:val="00385D33"/>
    <w:rsid w:val="00386304"/>
    <w:rsid w:val="00386F09"/>
    <w:rsid w:val="00387F15"/>
    <w:rsid w:val="00391963"/>
    <w:rsid w:val="003932EF"/>
    <w:rsid w:val="003937FC"/>
    <w:rsid w:val="00394F2D"/>
    <w:rsid w:val="00396EA8"/>
    <w:rsid w:val="00397FED"/>
    <w:rsid w:val="003A033E"/>
    <w:rsid w:val="003A1A67"/>
    <w:rsid w:val="003A1CCA"/>
    <w:rsid w:val="003A1F9A"/>
    <w:rsid w:val="003A4BCF"/>
    <w:rsid w:val="003A73FF"/>
    <w:rsid w:val="003A7609"/>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5201"/>
    <w:rsid w:val="003C68EC"/>
    <w:rsid w:val="003D0365"/>
    <w:rsid w:val="003D0CFD"/>
    <w:rsid w:val="003D11AA"/>
    <w:rsid w:val="003D30DF"/>
    <w:rsid w:val="003D44B6"/>
    <w:rsid w:val="003D680D"/>
    <w:rsid w:val="003E013E"/>
    <w:rsid w:val="003E2795"/>
    <w:rsid w:val="003E38FB"/>
    <w:rsid w:val="003E649D"/>
    <w:rsid w:val="003E7AC7"/>
    <w:rsid w:val="003F3D10"/>
    <w:rsid w:val="003F5071"/>
    <w:rsid w:val="003F5844"/>
    <w:rsid w:val="003F5E27"/>
    <w:rsid w:val="003F6055"/>
    <w:rsid w:val="003F7DA7"/>
    <w:rsid w:val="003F7FBE"/>
    <w:rsid w:val="004003F6"/>
    <w:rsid w:val="00401F29"/>
    <w:rsid w:val="004021C7"/>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6E34"/>
    <w:rsid w:val="00480597"/>
    <w:rsid w:val="004810C9"/>
    <w:rsid w:val="00484600"/>
    <w:rsid w:val="004852AF"/>
    <w:rsid w:val="00487D55"/>
    <w:rsid w:val="00490644"/>
    <w:rsid w:val="00490657"/>
    <w:rsid w:val="004906E8"/>
    <w:rsid w:val="00490977"/>
    <w:rsid w:val="00493FD4"/>
    <w:rsid w:val="00494DE9"/>
    <w:rsid w:val="004A3540"/>
    <w:rsid w:val="004A460F"/>
    <w:rsid w:val="004A46C4"/>
    <w:rsid w:val="004A470B"/>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7CE2"/>
    <w:rsid w:val="00507D5F"/>
    <w:rsid w:val="00510CDA"/>
    <w:rsid w:val="00513A4C"/>
    <w:rsid w:val="00513A77"/>
    <w:rsid w:val="00513BCF"/>
    <w:rsid w:val="005155C7"/>
    <w:rsid w:val="00517F25"/>
    <w:rsid w:val="00520270"/>
    <w:rsid w:val="00520AD9"/>
    <w:rsid w:val="00521EBF"/>
    <w:rsid w:val="00522336"/>
    <w:rsid w:val="00525C85"/>
    <w:rsid w:val="0053015B"/>
    <w:rsid w:val="00530E1F"/>
    <w:rsid w:val="00532B6D"/>
    <w:rsid w:val="005330DB"/>
    <w:rsid w:val="0053477C"/>
    <w:rsid w:val="00535D9D"/>
    <w:rsid w:val="0053722A"/>
    <w:rsid w:val="005372FD"/>
    <w:rsid w:val="00537CA4"/>
    <w:rsid w:val="005410A1"/>
    <w:rsid w:val="00541233"/>
    <w:rsid w:val="0054194E"/>
    <w:rsid w:val="00541CEA"/>
    <w:rsid w:val="00545AD4"/>
    <w:rsid w:val="00546651"/>
    <w:rsid w:val="00550442"/>
    <w:rsid w:val="00550CAD"/>
    <w:rsid w:val="00551B48"/>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567A"/>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2D94"/>
    <w:rsid w:val="005A3246"/>
    <w:rsid w:val="005A39BC"/>
    <w:rsid w:val="005A4CCD"/>
    <w:rsid w:val="005A5345"/>
    <w:rsid w:val="005A62AD"/>
    <w:rsid w:val="005A6D97"/>
    <w:rsid w:val="005A74C5"/>
    <w:rsid w:val="005B108C"/>
    <w:rsid w:val="005B1E01"/>
    <w:rsid w:val="005B1F89"/>
    <w:rsid w:val="005B7D12"/>
    <w:rsid w:val="005C1616"/>
    <w:rsid w:val="005C2395"/>
    <w:rsid w:val="005C4134"/>
    <w:rsid w:val="005C41B3"/>
    <w:rsid w:val="005C4878"/>
    <w:rsid w:val="005C4C9E"/>
    <w:rsid w:val="005C5018"/>
    <w:rsid w:val="005C66E9"/>
    <w:rsid w:val="005C6929"/>
    <w:rsid w:val="005C6A06"/>
    <w:rsid w:val="005C7A3B"/>
    <w:rsid w:val="005D03B8"/>
    <w:rsid w:val="005D2936"/>
    <w:rsid w:val="005D4214"/>
    <w:rsid w:val="005D4557"/>
    <w:rsid w:val="005D497B"/>
    <w:rsid w:val="005D4CF6"/>
    <w:rsid w:val="005E05C4"/>
    <w:rsid w:val="005E146F"/>
    <w:rsid w:val="005E2211"/>
    <w:rsid w:val="005E511A"/>
    <w:rsid w:val="005F0A20"/>
    <w:rsid w:val="005F15E5"/>
    <w:rsid w:val="005F1DEB"/>
    <w:rsid w:val="005F3995"/>
    <w:rsid w:val="005F3D27"/>
    <w:rsid w:val="005F48C9"/>
    <w:rsid w:val="005F4C80"/>
    <w:rsid w:val="005F5520"/>
    <w:rsid w:val="005F5A7A"/>
    <w:rsid w:val="005F7729"/>
    <w:rsid w:val="00600092"/>
    <w:rsid w:val="006028C8"/>
    <w:rsid w:val="00602969"/>
    <w:rsid w:val="006042A0"/>
    <w:rsid w:val="00604638"/>
    <w:rsid w:val="0060726F"/>
    <w:rsid w:val="00607B57"/>
    <w:rsid w:val="00612880"/>
    <w:rsid w:val="00613770"/>
    <w:rsid w:val="00615272"/>
    <w:rsid w:val="00615B39"/>
    <w:rsid w:val="006167DF"/>
    <w:rsid w:val="00617108"/>
    <w:rsid w:val="00617A9E"/>
    <w:rsid w:val="00617C72"/>
    <w:rsid w:val="00617FA0"/>
    <w:rsid w:val="00623F11"/>
    <w:rsid w:val="00624576"/>
    <w:rsid w:val="00627128"/>
    <w:rsid w:val="00627F3E"/>
    <w:rsid w:val="00634C79"/>
    <w:rsid w:val="006357A0"/>
    <w:rsid w:val="0063595B"/>
    <w:rsid w:val="00635A76"/>
    <w:rsid w:val="006376ED"/>
    <w:rsid w:val="00637D79"/>
    <w:rsid w:val="006400F8"/>
    <w:rsid w:val="00640D7A"/>
    <w:rsid w:val="00640E27"/>
    <w:rsid w:val="00641623"/>
    <w:rsid w:val="006426BE"/>
    <w:rsid w:val="00644602"/>
    <w:rsid w:val="00650C75"/>
    <w:rsid w:val="00655150"/>
    <w:rsid w:val="00656846"/>
    <w:rsid w:val="0065688E"/>
    <w:rsid w:val="00657B46"/>
    <w:rsid w:val="00661C49"/>
    <w:rsid w:val="00662C63"/>
    <w:rsid w:val="00663517"/>
    <w:rsid w:val="006637A4"/>
    <w:rsid w:val="00664C92"/>
    <w:rsid w:val="00664E34"/>
    <w:rsid w:val="00665243"/>
    <w:rsid w:val="00665633"/>
    <w:rsid w:val="006656B3"/>
    <w:rsid w:val="006657E1"/>
    <w:rsid w:val="00667B56"/>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9B5"/>
    <w:rsid w:val="006903E7"/>
    <w:rsid w:val="006904AC"/>
    <w:rsid w:val="00690A5E"/>
    <w:rsid w:val="00690B5B"/>
    <w:rsid w:val="00692C66"/>
    <w:rsid w:val="00692D8D"/>
    <w:rsid w:val="006932E3"/>
    <w:rsid w:val="006933DE"/>
    <w:rsid w:val="006934C8"/>
    <w:rsid w:val="00694DF8"/>
    <w:rsid w:val="00695443"/>
    <w:rsid w:val="00697CDD"/>
    <w:rsid w:val="006A47C5"/>
    <w:rsid w:val="006A5338"/>
    <w:rsid w:val="006A61C9"/>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45A5"/>
    <w:rsid w:val="006F4813"/>
    <w:rsid w:val="006F4F5A"/>
    <w:rsid w:val="006F6DE6"/>
    <w:rsid w:val="00702107"/>
    <w:rsid w:val="0070358A"/>
    <w:rsid w:val="00704BDA"/>
    <w:rsid w:val="0070675E"/>
    <w:rsid w:val="0070705E"/>
    <w:rsid w:val="0070752F"/>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4F1D"/>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10DE"/>
    <w:rsid w:val="00782300"/>
    <w:rsid w:val="00783124"/>
    <w:rsid w:val="007850DC"/>
    <w:rsid w:val="00785ECB"/>
    <w:rsid w:val="007874A7"/>
    <w:rsid w:val="00791BD9"/>
    <w:rsid w:val="00794298"/>
    <w:rsid w:val="00794A36"/>
    <w:rsid w:val="0079618B"/>
    <w:rsid w:val="00796DBD"/>
    <w:rsid w:val="007A104A"/>
    <w:rsid w:val="007A2CA1"/>
    <w:rsid w:val="007A48B9"/>
    <w:rsid w:val="007A653B"/>
    <w:rsid w:val="007A70B4"/>
    <w:rsid w:val="007B0209"/>
    <w:rsid w:val="007B32E1"/>
    <w:rsid w:val="007B39F7"/>
    <w:rsid w:val="007B4135"/>
    <w:rsid w:val="007B58D5"/>
    <w:rsid w:val="007B646B"/>
    <w:rsid w:val="007C1B29"/>
    <w:rsid w:val="007C2D3A"/>
    <w:rsid w:val="007C3045"/>
    <w:rsid w:val="007C31A3"/>
    <w:rsid w:val="007C3CB2"/>
    <w:rsid w:val="007C42F5"/>
    <w:rsid w:val="007C497A"/>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F4A"/>
    <w:rsid w:val="007F4EBA"/>
    <w:rsid w:val="007F55F4"/>
    <w:rsid w:val="007F6626"/>
    <w:rsid w:val="007F6896"/>
    <w:rsid w:val="007F6D66"/>
    <w:rsid w:val="008062DA"/>
    <w:rsid w:val="0080715F"/>
    <w:rsid w:val="008100F5"/>
    <w:rsid w:val="00810A50"/>
    <w:rsid w:val="00814BCB"/>
    <w:rsid w:val="00816523"/>
    <w:rsid w:val="00817632"/>
    <w:rsid w:val="008177D6"/>
    <w:rsid w:val="00817AD2"/>
    <w:rsid w:val="0082099B"/>
    <w:rsid w:val="00820E68"/>
    <w:rsid w:val="00822024"/>
    <w:rsid w:val="00823BA0"/>
    <w:rsid w:val="00825BDF"/>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5E74"/>
    <w:rsid w:val="008568E9"/>
    <w:rsid w:val="008621B5"/>
    <w:rsid w:val="00862386"/>
    <w:rsid w:val="00863B87"/>
    <w:rsid w:val="00863C79"/>
    <w:rsid w:val="00865E3A"/>
    <w:rsid w:val="00867FC8"/>
    <w:rsid w:val="00870A7D"/>
    <w:rsid w:val="00871748"/>
    <w:rsid w:val="008732B6"/>
    <w:rsid w:val="00873AE2"/>
    <w:rsid w:val="00873F40"/>
    <w:rsid w:val="008745D9"/>
    <w:rsid w:val="00875DDD"/>
    <w:rsid w:val="0087600C"/>
    <w:rsid w:val="0087701D"/>
    <w:rsid w:val="008773B4"/>
    <w:rsid w:val="00880046"/>
    <w:rsid w:val="00890309"/>
    <w:rsid w:val="0089081A"/>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3C71"/>
    <w:rsid w:val="008B670E"/>
    <w:rsid w:val="008B721F"/>
    <w:rsid w:val="008B73E6"/>
    <w:rsid w:val="008B766D"/>
    <w:rsid w:val="008B77C6"/>
    <w:rsid w:val="008C0286"/>
    <w:rsid w:val="008C0F98"/>
    <w:rsid w:val="008C4240"/>
    <w:rsid w:val="008C44B2"/>
    <w:rsid w:val="008C53D2"/>
    <w:rsid w:val="008C705C"/>
    <w:rsid w:val="008C70C9"/>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3645"/>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273F"/>
    <w:rsid w:val="0095327A"/>
    <w:rsid w:val="00953462"/>
    <w:rsid w:val="0095347C"/>
    <w:rsid w:val="00955A7C"/>
    <w:rsid w:val="0095745F"/>
    <w:rsid w:val="0096185E"/>
    <w:rsid w:val="009626CB"/>
    <w:rsid w:val="00963321"/>
    <w:rsid w:val="009638BF"/>
    <w:rsid w:val="0096469A"/>
    <w:rsid w:val="0096476D"/>
    <w:rsid w:val="00965C9C"/>
    <w:rsid w:val="009663A6"/>
    <w:rsid w:val="009665FE"/>
    <w:rsid w:val="00971655"/>
    <w:rsid w:val="00973340"/>
    <w:rsid w:val="00973BC7"/>
    <w:rsid w:val="00973E5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35E"/>
    <w:rsid w:val="009B7934"/>
    <w:rsid w:val="009B7AB9"/>
    <w:rsid w:val="009C13EE"/>
    <w:rsid w:val="009C3FF2"/>
    <w:rsid w:val="009C60B3"/>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24C"/>
    <w:rsid w:val="00A01EEE"/>
    <w:rsid w:val="00A03488"/>
    <w:rsid w:val="00A05A71"/>
    <w:rsid w:val="00A05CCF"/>
    <w:rsid w:val="00A074D0"/>
    <w:rsid w:val="00A07FC5"/>
    <w:rsid w:val="00A11F7E"/>
    <w:rsid w:val="00A12A44"/>
    <w:rsid w:val="00A13F15"/>
    <w:rsid w:val="00A145EF"/>
    <w:rsid w:val="00A15614"/>
    <w:rsid w:val="00A16C24"/>
    <w:rsid w:val="00A16CDC"/>
    <w:rsid w:val="00A16DD0"/>
    <w:rsid w:val="00A17AB5"/>
    <w:rsid w:val="00A20893"/>
    <w:rsid w:val="00A216A9"/>
    <w:rsid w:val="00A21BD8"/>
    <w:rsid w:val="00A2357D"/>
    <w:rsid w:val="00A23935"/>
    <w:rsid w:val="00A23AAE"/>
    <w:rsid w:val="00A243B0"/>
    <w:rsid w:val="00A24523"/>
    <w:rsid w:val="00A25508"/>
    <w:rsid w:val="00A256AF"/>
    <w:rsid w:val="00A25E10"/>
    <w:rsid w:val="00A26437"/>
    <w:rsid w:val="00A27E15"/>
    <w:rsid w:val="00A305B6"/>
    <w:rsid w:val="00A31787"/>
    <w:rsid w:val="00A32296"/>
    <w:rsid w:val="00A33B5D"/>
    <w:rsid w:val="00A35018"/>
    <w:rsid w:val="00A3686C"/>
    <w:rsid w:val="00A36E4D"/>
    <w:rsid w:val="00A401B8"/>
    <w:rsid w:val="00A4020F"/>
    <w:rsid w:val="00A4034C"/>
    <w:rsid w:val="00A4122F"/>
    <w:rsid w:val="00A43915"/>
    <w:rsid w:val="00A5121F"/>
    <w:rsid w:val="00A51F9C"/>
    <w:rsid w:val="00A52DC7"/>
    <w:rsid w:val="00A534B6"/>
    <w:rsid w:val="00A544E6"/>
    <w:rsid w:val="00A5654C"/>
    <w:rsid w:val="00A56C9D"/>
    <w:rsid w:val="00A57231"/>
    <w:rsid w:val="00A57B02"/>
    <w:rsid w:val="00A6000D"/>
    <w:rsid w:val="00A6103E"/>
    <w:rsid w:val="00A616A2"/>
    <w:rsid w:val="00A66860"/>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90463"/>
    <w:rsid w:val="00A90B6E"/>
    <w:rsid w:val="00A93B95"/>
    <w:rsid w:val="00A940EE"/>
    <w:rsid w:val="00A95427"/>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3AC7"/>
    <w:rsid w:val="00AC5EB7"/>
    <w:rsid w:val="00AC6A67"/>
    <w:rsid w:val="00AC7747"/>
    <w:rsid w:val="00AC7EC0"/>
    <w:rsid w:val="00AD12CB"/>
    <w:rsid w:val="00AD2948"/>
    <w:rsid w:val="00AD3C36"/>
    <w:rsid w:val="00AD3D1C"/>
    <w:rsid w:val="00AD4491"/>
    <w:rsid w:val="00AD45E2"/>
    <w:rsid w:val="00AD64FB"/>
    <w:rsid w:val="00AD7435"/>
    <w:rsid w:val="00AD7A1A"/>
    <w:rsid w:val="00AE0631"/>
    <w:rsid w:val="00AE0EA1"/>
    <w:rsid w:val="00AE18C2"/>
    <w:rsid w:val="00AE3A67"/>
    <w:rsid w:val="00AE4793"/>
    <w:rsid w:val="00AE7C85"/>
    <w:rsid w:val="00AF09D2"/>
    <w:rsid w:val="00AF0A95"/>
    <w:rsid w:val="00AF1A61"/>
    <w:rsid w:val="00AF222C"/>
    <w:rsid w:val="00AF474D"/>
    <w:rsid w:val="00B001E9"/>
    <w:rsid w:val="00B003E4"/>
    <w:rsid w:val="00B01E95"/>
    <w:rsid w:val="00B032EA"/>
    <w:rsid w:val="00B03F50"/>
    <w:rsid w:val="00B06FF1"/>
    <w:rsid w:val="00B07EE3"/>
    <w:rsid w:val="00B10A0E"/>
    <w:rsid w:val="00B147CF"/>
    <w:rsid w:val="00B155E4"/>
    <w:rsid w:val="00B17352"/>
    <w:rsid w:val="00B179E5"/>
    <w:rsid w:val="00B20258"/>
    <w:rsid w:val="00B2050B"/>
    <w:rsid w:val="00B20CD3"/>
    <w:rsid w:val="00B21018"/>
    <w:rsid w:val="00B2115F"/>
    <w:rsid w:val="00B2124F"/>
    <w:rsid w:val="00B212CF"/>
    <w:rsid w:val="00B22785"/>
    <w:rsid w:val="00B22CAE"/>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AED"/>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B00AB"/>
    <w:rsid w:val="00BB0CAF"/>
    <w:rsid w:val="00BB105F"/>
    <w:rsid w:val="00BB12D8"/>
    <w:rsid w:val="00BB2054"/>
    <w:rsid w:val="00BB26A5"/>
    <w:rsid w:val="00BB4137"/>
    <w:rsid w:val="00BB4306"/>
    <w:rsid w:val="00BB4BF4"/>
    <w:rsid w:val="00BB53C2"/>
    <w:rsid w:val="00BC07E2"/>
    <w:rsid w:val="00BC0B98"/>
    <w:rsid w:val="00BC0FE3"/>
    <w:rsid w:val="00BC1C23"/>
    <w:rsid w:val="00BC2E0D"/>
    <w:rsid w:val="00BC54A7"/>
    <w:rsid w:val="00BC5C70"/>
    <w:rsid w:val="00BC7E6B"/>
    <w:rsid w:val="00BD060E"/>
    <w:rsid w:val="00BD453D"/>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BF70CF"/>
    <w:rsid w:val="00C02D22"/>
    <w:rsid w:val="00C03187"/>
    <w:rsid w:val="00C03634"/>
    <w:rsid w:val="00C0613E"/>
    <w:rsid w:val="00C06B7F"/>
    <w:rsid w:val="00C06CB4"/>
    <w:rsid w:val="00C07C2B"/>
    <w:rsid w:val="00C07E19"/>
    <w:rsid w:val="00C102AE"/>
    <w:rsid w:val="00C10A8C"/>
    <w:rsid w:val="00C11AED"/>
    <w:rsid w:val="00C12284"/>
    <w:rsid w:val="00C13780"/>
    <w:rsid w:val="00C13E8A"/>
    <w:rsid w:val="00C14810"/>
    <w:rsid w:val="00C14C48"/>
    <w:rsid w:val="00C14E9B"/>
    <w:rsid w:val="00C15415"/>
    <w:rsid w:val="00C171CA"/>
    <w:rsid w:val="00C17C3D"/>
    <w:rsid w:val="00C20A4D"/>
    <w:rsid w:val="00C20DA1"/>
    <w:rsid w:val="00C22F72"/>
    <w:rsid w:val="00C23478"/>
    <w:rsid w:val="00C255A3"/>
    <w:rsid w:val="00C255CF"/>
    <w:rsid w:val="00C26E18"/>
    <w:rsid w:val="00C307A5"/>
    <w:rsid w:val="00C3168C"/>
    <w:rsid w:val="00C32821"/>
    <w:rsid w:val="00C34565"/>
    <w:rsid w:val="00C350BA"/>
    <w:rsid w:val="00C35BB0"/>
    <w:rsid w:val="00C37290"/>
    <w:rsid w:val="00C37ED8"/>
    <w:rsid w:val="00C40990"/>
    <w:rsid w:val="00C41569"/>
    <w:rsid w:val="00C41666"/>
    <w:rsid w:val="00C42D4D"/>
    <w:rsid w:val="00C4317E"/>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823"/>
    <w:rsid w:val="00C60972"/>
    <w:rsid w:val="00C60CF0"/>
    <w:rsid w:val="00C61B43"/>
    <w:rsid w:val="00C6256D"/>
    <w:rsid w:val="00C62F2E"/>
    <w:rsid w:val="00C64335"/>
    <w:rsid w:val="00C65735"/>
    <w:rsid w:val="00C663C0"/>
    <w:rsid w:val="00C66776"/>
    <w:rsid w:val="00C7017A"/>
    <w:rsid w:val="00C701AA"/>
    <w:rsid w:val="00C7178B"/>
    <w:rsid w:val="00C72F91"/>
    <w:rsid w:val="00C74706"/>
    <w:rsid w:val="00C76A84"/>
    <w:rsid w:val="00C777E7"/>
    <w:rsid w:val="00C81C28"/>
    <w:rsid w:val="00C81EC8"/>
    <w:rsid w:val="00C83E2C"/>
    <w:rsid w:val="00C8552E"/>
    <w:rsid w:val="00C85577"/>
    <w:rsid w:val="00C87869"/>
    <w:rsid w:val="00C87B31"/>
    <w:rsid w:val="00C9064A"/>
    <w:rsid w:val="00C91EA6"/>
    <w:rsid w:val="00C935FC"/>
    <w:rsid w:val="00C93B5F"/>
    <w:rsid w:val="00C94971"/>
    <w:rsid w:val="00C9580D"/>
    <w:rsid w:val="00C96460"/>
    <w:rsid w:val="00C97219"/>
    <w:rsid w:val="00C97D91"/>
    <w:rsid w:val="00CA1072"/>
    <w:rsid w:val="00CA48C9"/>
    <w:rsid w:val="00CA50C4"/>
    <w:rsid w:val="00CA57D0"/>
    <w:rsid w:val="00CA5843"/>
    <w:rsid w:val="00CA594F"/>
    <w:rsid w:val="00CA6090"/>
    <w:rsid w:val="00CB0D2C"/>
    <w:rsid w:val="00CB1031"/>
    <w:rsid w:val="00CB2DF4"/>
    <w:rsid w:val="00CB4A32"/>
    <w:rsid w:val="00CB5A1D"/>
    <w:rsid w:val="00CB5D74"/>
    <w:rsid w:val="00CB6CA9"/>
    <w:rsid w:val="00CB77C1"/>
    <w:rsid w:val="00CC08B5"/>
    <w:rsid w:val="00CC2058"/>
    <w:rsid w:val="00CC2695"/>
    <w:rsid w:val="00CC459F"/>
    <w:rsid w:val="00CC51B3"/>
    <w:rsid w:val="00CC5836"/>
    <w:rsid w:val="00CC691A"/>
    <w:rsid w:val="00CD06BD"/>
    <w:rsid w:val="00CD1084"/>
    <w:rsid w:val="00CD4777"/>
    <w:rsid w:val="00CD5B7A"/>
    <w:rsid w:val="00CD6F10"/>
    <w:rsid w:val="00CE17BE"/>
    <w:rsid w:val="00CE27B3"/>
    <w:rsid w:val="00CE36BD"/>
    <w:rsid w:val="00CE3EA5"/>
    <w:rsid w:val="00CE3F5C"/>
    <w:rsid w:val="00CE70EC"/>
    <w:rsid w:val="00CF0E86"/>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06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636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A09"/>
    <w:rsid w:val="00DA1E73"/>
    <w:rsid w:val="00DA3CB6"/>
    <w:rsid w:val="00DA5194"/>
    <w:rsid w:val="00DA679C"/>
    <w:rsid w:val="00DA6B22"/>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2B0"/>
    <w:rsid w:val="00DD609D"/>
    <w:rsid w:val="00DD6E0C"/>
    <w:rsid w:val="00DD7093"/>
    <w:rsid w:val="00DE0573"/>
    <w:rsid w:val="00DE0C38"/>
    <w:rsid w:val="00DE0F89"/>
    <w:rsid w:val="00DE3740"/>
    <w:rsid w:val="00DE53BC"/>
    <w:rsid w:val="00DE7240"/>
    <w:rsid w:val="00DE727F"/>
    <w:rsid w:val="00DF15CF"/>
    <w:rsid w:val="00DF287C"/>
    <w:rsid w:val="00DF6B54"/>
    <w:rsid w:val="00DF753F"/>
    <w:rsid w:val="00E053A1"/>
    <w:rsid w:val="00E05B52"/>
    <w:rsid w:val="00E10DC6"/>
    <w:rsid w:val="00E11129"/>
    <w:rsid w:val="00E11291"/>
    <w:rsid w:val="00E11A13"/>
    <w:rsid w:val="00E12881"/>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2793F"/>
    <w:rsid w:val="00E30304"/>
    <w:rsid w:val="00E32241"/>
    <w:rsid w:val="00E3409C"/>
    <w:rsid w:val="00E3606C"/>
    <w:rsid w:val="00E425E9"/>
    <w:rsid w:val="00E42762"/>
    <w:rsid w:val="00E42EE0"/>
    <w:rsid w:val="00E433B6"/>
    <w:rsid w:val="00E448E0"/>
    <w:rsid w:val="00E45007"/>
    <w:rsid w:val="00E4784E"/>
    <w:rsid w:val="00E50491"/>
    <w:rsid w:val="00E51AD5"/>
    <w:rsid w:val="00E51E8F"/>
    <w:rsid w:val="00E53248"/>
    <w:rsid w:val="00E54B95"/>
    <w:rsid w:val="00E55319"/>
    <w:rsid w:val="00E55B37"/>
    <w:rsid w:val="00E600A2"/>
    <w:rsid w:val="00E608D3"/>
    <w:rsid w:val="00E6163A"/>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CC8"/>
    <w:rsid w:val="00E94DF6"/>
    <w:rsid w:val="00E95057"/>
    <w:rsid w:val="00E977CB"/>
    <w:rsid w:val="00EA10CE"/>
    <w:rsid w:val="00EA18B4"/>
    <w:rsid w:val="00EA2A35"/>
    <w:rsid w:val="00EA2B7B"/>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015"/>
    <w:rsid w:val="00ED642E"/>
    <w:rsid w:val="00ED6E7F"/>
    <w:rsid w:val="00EE02EB"/>
    <w:rsid w:val="00EE0A59"/>
    <w:rsid w:val="00EE4D12"/>
    <w:rsid w:val="00EE51BD"/>
    <w:rsid w:val="00EE5A38"/>
    <w:rsid w:val="00EE5EC0"/>
    <w:rsid w:val="00EE65DC"/>
    <w:rsid w:val="00EE7A14"/>
    <w:rsid w:val="00EE7ED8"/>
    <w:rsid w:val="00EF1410"/>
    <w:rsid w:val="00EF1634"/>
    <w:rsid w:val="00EF172D"/>
    <w:rsid w:val="00EF1A64"/>
    <w:rsid w:val="00EF21DC"/>
    <w:rsid w:val="00EF24B6"/>
    <w:rsid w:val="00EF2809"/>
    <w:rsid w:val="00EF3582"/>
    <w:rsid w:val="00EF3A15"/>
    <w:rsid w:val="00EF3A7C"/>
    <w:rsid w:val="00EF4966"/>
    <w:rsid w:val="00EF4C93"/>
    <w:rsid w:val="00EF7792"/>
    <w:rsid w:val="00F04B16"/>
    <w:rsid w:val="00F059BE"/>
    <w:rsid w:val="00F06AB0"/>
    <w:rsid w:val="00F10666"/>
    <w:rsid w:val="00F115B7"/>
    <w:rsid w:val="00F12D7C"/>
    <w:rsid w:val="00F166F2"/>
    <w:rsid w:val="00F17957"/>
    <w:rsid w:val="00F24CE2"/>
    <w:rsid w:val="00F25F52"/>
    <w:rsid w:val="00F25F78"/>
    <w:rsid w:val="00F30CCB"/>
    <w:rsid w:val="00F30EB9"/>
    <w:rsid w:val="00F34A65"/>
    <w:rsid w:val="00F37529"/>
    <w:rsid w:val="00F378F7"/>
    <w:rsid w:val="00F37976"/>
    <w:rsid w:val="00F37DDC"/>
    <w:rsid w:val="00F42132"/>
    <w:rsid w:val="00F43F36"/>
    <w:rsid w:val="00F4698E"/>
    <w:rsid w:val="00F478B6"/>
    <w:rsid w:val="00F5120B"/>
    <w:rsid w:val="00F51D03"/>
    <w:rsid w:val="00F51EF2"/>
    <w:rsid w:val="00F53E0A"/>
    <w:rsid w:val="00F548FD"/>
    <w:rsid w:val="00F54AA3"/>
    <w:rsid w:val="00F54D89"/>
    <w:rsid w:val="00F54E27"/>
    <w:rsid w:val="00F55563"/>
    <w:rsid w:val="00F6069E"/>
    <w:rsid w:val="00F620CA"/>
    <w:rsid w:val="00F62C51"/>
    <w:rsid w:val="00F66745"/>
    <w:rsid w:val="00F66D12"/>
    <w:rsid w:val="00F7003E"/>
    <w:rsid w:val="00F71257"/>
    <w:rsid w:val="00F71468"/>
    <w:rsid w:val="00F71EAC"/>
    <w:rsid w:val="00F72867"/>
    <w:rsid w:val="00F73325"/>
    <w:rsid w:val="00F73368"/>
    <w:rsid w:val="00F74200"/>
    <w:rsid w:val="00F77DEC"/>
    <w:rsid w:val="00F8148B"/>
    <w:rsid w:val="00F820CF"/>
    <w:rsid w:val="00F82F35"/>
    <w:rsid w:val="00F8304A"/>
    <w:rsid w:val="00F83284"/>
    <w:rsid w:val="00F843CC"/>
    <w:rsid w:val="00F84790"/>
    <w:rsid w:val="00F85A71"/>
    <w:rsid w:val="00F86203"/>
    <w:rsid w:val="00F865C0"/>
    <w:rsid w:val="00F866D2"/>
    <w:rsid w:val="00F879BB"/>
    <w:rsid w:val="00F900CF"/>
    <w:rsid w:val="00F91D2C"/>
    <w:rsid w:val="00F92BAD"/>
    <w:rsid w:val="00F92E85"/>
    <w:rsid w:val="00F9313B"/>
    <w:rsid w:val="00F94714"/>
    <w:rsid w:val="00F957E0"/>
    <w:rsid w:val="00F96FEE"/>
    <w:rsid w:val="00FA1298"/>
    <w:rsid w:val="00FA300A"/>
    <w:rsid w:val="00FA56EE"/>
    <w:rsid w:val="00FA57D1"/>
    <w:rsid w:val="00FA61D5"/>
    <w:rsid w:val="00FA74E7"/>
    <w:rsid w:val="00FB0D2D"/>
    <w:rsid w:val="00FB1C2E"/>
    <w:rsid w:val="00FB2D57"/>
    <w:rsid w:val="00FB3980"/>
    <w:rsid w:val="00FB464F"/>
    <w:rsid w:val="00FB475F"/>
    <w:rsid w:val="00FB5DF6"/>
    <w:rsid w:val="00FB6631"/>
    <w:rsid w:val="00FB6B32"/>
    <w:rsid w:val="00FC1347"/>
    <w:rsid w:val="00FC1D4C"/>
    <w:rsid w:val="00FC23A9"/>
    <w:rsid w:val="00FC2A38"/>
    <w:rsid w:val="00FC6DAF"/>
    <w:rsid w:val="00FD095D"/>
    <w:rsid w:val="00FD17B1"/>
    <w:rsid w:val="00FD2FA5"/>
    <w:rsid w:val="00FD364C"/>
    <w:rsid w:val="00FD4A82"/>
    <w:rsid w:val="00FD553A"/>
    <w:rsid w:val="00FD747B"/>
    <w:rsid w:val="00FE09BE"/>
    <w:rsid w:val="00FE1C79"/>
    <w:rsid w:val="00FE57DE"/>
    <w:rsid w:val="00FE5D27"/>
    <w:rsid w:val="00FE6EE5"/>
    <w:rsid w:val="00FF20A9"/>
    <w:rsid w:val="00FF3261"/>
    <w:rsid w:val="010B45CC"/>
    <w:rsid w:val="02587782"/>
    <w:rsid w:val="02680DB6"/>
    <w:rsid w:val="027557C0"/>
    <w:rsid w:val="032A76A0"/>
    <w:rsid w:val="03963052"/>
    <w:rsid w:val="03AC72CA"/>
    <w:rsid w:val="04397B41"/>
    <w:rsid w:val="043F1E15"/>
    <w:rsid w:val="046352CC"/>
    <w:rsid w:val="04BE1938"/>
    <w:rsid w:val="05996864"/>
    <w:rsid w:val="05C55987"/>
    <w:rsid w:val="068326A3"/>
    <w:rsid w:val="07151FB4"/>
    <w:rsid w:val="07382FE0"/>
    <w:rsid w:val="076816C2"/>
    <w:rsid w:val="07B762A8"/>
    <w:rsid w:val="08AC1B5D"/>
    <w:rsid w:val="08F966F7"/>
    <w:rsid w:val="091B2C55"/>
    <w:rsid w:val="092E093F"/>
    <w:rsid w:val="09D848E8"/>
    <w:rsid w:val="09DA1316"/>
    <w:rsid w:val="0D240FD8"/>
    <w:rsid w:val="0D3F1C0A"/>
    <w:rsid w:val="0D6701A5"/>
    <w:rsid w:val="0D6F3DC4"/>
    <w:rsid w:val="0DA03BE8"/>
    <w:rsid w:val="0ED8138B"/>
    <w:rsid w:val="0F1D1CA0"/>
    <w:rsid w:val="0F75422A"/>
    <w:rsid w:val="0F792658"/>
    <w:rsid w:val="0F984563"/>
    <w:rsid w:val="100B5272"/>
    <w:rsid w:val="10337906"/>
    <w:rsid w:val="10CB5670"/>
    <w:rsid w:val="122E790A"/>
    <w:rsid w:val="13386BA7"/>
    <w:rsid w:val="13F06F6F"/>
    <w:rsid w:val="13F86FC8"/>
    <w:rsid w:val="14E26AA9"/>
    <w:rsid w:val="153C5614"/>
    <w:rsid w:val="16165247"/>
    <w:rsid w:val="17267CE0"/>
    <w:rsid w:val="177F0A02"/>
    <w:rsid w:val="17B93563"/>
    <w:rsid w:val="18560BA1"/>
    <w:rsid w:val="18D25A55"/>
    <w:rsid w:val="1958265C"/>
    <w:rsid w:val="19E3643E"/>
    <w:rsid w:val="1A1256D3"/>
    <w:rsid w:val="1A31271B"/>
    <w:rsid w:val="1A7C7E5B"/>
    <w:rsid w:val="1A902F44"/>
    <w:rsid w:val="1A9B554F"/>
    <w:rsid w:val="1AE040C7"/>
    <w:rsid w:val="1B9A2D86"/>
    <w:rsid w:val="1C0269D8"/>
    <w:rsid w:val="1CBD4A2B"/>
    <w:rsid w:val="1CFF31E5"/>
    <w:rsid w:val="1DDB2C93"/>
    <w:rsid w:val="1F7D4850"/>
    <w:rsid w:val="20082916"/>
    <w:rsid w:val="20C3533E"/>
    <w:rsid w:val="21EE0E44"/>
    <w:rsid w:val="22135624"/>
    <w:rsid w:val="229D4EE6"/>
    <w:rsid w:val="22AB53B5"/>
    <w:rsid w:val="23451A49"/>
    <w:rsid w:val="23574E3B"/>
    <w:rsid w:val="23CB04F2"/>
    <w:rsid w:val="246332E2"/>
    <w:rsid w:val="24CA0C8D"/>
    <w:rsid w:val="24F264DF"/>
    <w:rsid w:val="24FD089C"/>
    <w:rsid w:val="25652677"/>
    <w:rsid w:val="2619257A"/>
    <w:rsid w:val="267B4E5E"/>
    <w:rsid w:val="27075429"/>
    <w:rsid w:val="27982FAB"/>
    <w:rsid w:val="27BC2CB0"/>
    <w:rsid w:val="2C6D5D1F"/>
    <w:rsid w:val="2D512FAC"/>
    <w:rsid w:val="2E267FAA"/>
    <w:rsid w:val="2E303699"/>
    <w:rsid w:val="2E88115D"/>
    <w:rsid w:val="2F3454A5"/>
    <w:rsid w:val="2F70476D"/>
    <w:rsid w:val="2FAC6A34"/>
    <w:rsid w:val="2FFA670A"/>
    <w:rsid w:val="30354B91"/>
    <w:rsid w:val="308E4B43"/>
    <w:rsid w:val="30CA0A99"/>
    <w:rsid w:val="30F9198D"/>
    <w:rsid w:val="313C2048"/>
    <w:rsid w:val="318656B3"/>
    <w:rsid w:val="31BE683F"/>
    <w:rsid w:val="327359E8"/>
    <w:rsid w:val="32856E98"/>
    <w:rsid w:val="328676BB"/>
    <w:rsid w:val="32C704E4"/>
    <w:rsid w:val="32DB68A9"/>
    <w:rsid w:val="33105817"/>
    <w:rsid w:val="339D0EA3"/>
    <w:rsid w:val="33CA570A"/>
    <w:rsid w:val="33DD2B7B"/>
    <w:rsid w:val="340B41D2"/>
    <w:rsid w:val="348374C5"/>
    <w:rsid w:val="349C137C"/>
    <w:rsid w:val="35DC724F"/>
    <w:rsid w:val="35E22887"/>
    <w:rsid w:val="35E5269E"/>
    <w:rsid w:val="35F00D9D"/>
    <w:rsid w:val="360D16DB"/>
    <w:rsid w:val="36484CAE"/>
    <w:rsid w:val="36BB03E9"/>
    <w:rsid w:val="3732226E"/>
    <w:rsid w:val="387276AE"/>
    <w:rsid w:val="3A877139"/>
    <w:rsid w:val="3B463E5B"/>
    <w:rsid w:val="3B4717A7"/>
    <w:rsid w:val="3BE860C1"/>
    <w:rsid w:val="3C594DF6"/>
    <w:rsid w:val="3C942E20"/>
    <w:rsid w:val="3CC90B0F"/>
    <w:rsid w:val="3D9A4AB9"/>
    <w:rsid w:val="3DE043FB"/>
    <w:rsid w:val="3E0A0E30"/>
    <w:rsid w:val="3EC01BA0"/>
    <w:rsid w:val="3F551810"/>
    <w:rsid w:val="3F5A7732"/>
    <w:rsid w:val="3F8A525E"/>
    <w:rsid w:val="3FF639AE"/>
    <w:rsid w:val="427B4FA0"/>
    <w:rsid w:val="44613988"/>
    <w:rsid w:val="4514182B"/>
    <w:rsid w:val="45344F01"/>
    <w:rsid w:val="459A22D4"/>
    <w:rsid w:val="46600664"/>
    <w:rsid w:val="4679122A"/>
    <w:rsid w:val="484B2713"/>
    <w:rsid w:val="48BB572D"/>
    <w:rsid w:val="48C23704"/>
    <w:rsid w:val="4A7A4450"/>
    <w:rsid w:val="4A9B5EFC"/>
    <w:rsid w:val="4AF84D06"/>
    <w:rsid w:val="4BE177A6"/>
    <w:rsid w:val="4BE75826"/>
    <w:rsid w:val="4BFF0911"/>
    <w:rsid w:val="4C735FD9"/>
    <w:rsid w:val="4D446DA3"/>
    <w:rsid w:val="4D7F1B8D"/>
    <w:rsid w:val="4DDE60FE"/>
    <w:rsid w:val="4EC81BF7"/>
    <w:rsid w:val="4F225849"/>
    <w:rsid w:val="4FA87119"/>
    <w:rsid w:val="50877AB6"/>
    <w:rsid w:val="50DD7C4C"/>
    <w:rsid w:val="517656F5"/>
    <w:rsid w:val="519F4C87"/>
    <w:rsid w:val="52092D4F"/>
    <w:rsid w:val="52134E7B"/>
    <w:rsid w:val="521A7094"/>
    <w:rsid w:val="53823A18"/>
    <w:rsid w:val="54037B1D"/>
    <w:rsid w:val="54A661D0"/>
    <w:rsid w:val="559A7500"/>
    <w:rsid w:val="55AD2175"/>
    <w:rsid w:val="566422EF"/>
    <w:rsid w:val="56652213"/>
    <w:rsid w:val="566F42B8"/>
    <w:rsid w:val="56C1592C"/>
    <w:rsid w:val="56F162A7"/>
    <w:rsid w:val="56FF249C"/>
    <w:rsid w:val="575D2A21"/>
    <w:rsid w:val="5819768D"/>
    <w:rsid w:val="58CC159F"/>
    <w:rsid w:val="58D61010"/>
    <w:rsid w:val="59182800"/>
    <w:rsid w:val="59272AAD"/>
    <w:rsid w:val="593358EE"/>
    <w:rsid w:val="5A06105E"/>
    <w:rsid w:val="5A810524"/>
    <w:rsid w:val="5A9B6272"/>
    <w:rsid w:val="5AA6231C"/>
    <w:rsid w:val="5B32759D"/>
    <w:rsid w:val="5B3760D4"/>
    <w:rsid w:val="5B8B61F2"/>
    <w:rsid w:val="5B901491"/>
    <w:rsid w:val="5C7D6CC7"/>
    <w:rsid w:val="5D4374A9"/>
    <w:rsid w:val="5E1B2066"/>
    <w:rsid w:val="5E9F61CF"/>
    <w:rsid w:val="5EDD281B"/>
    <w:rsid w:val="5F480E8D"/>
    <w:rsid w:val="5F6115A8"/>
    <w:rsid w:val="60D339D1"/>
    <w:rsid w:val="61FF70C6"/>
    <w:rsid w:val="627C0A77"/>
    <w:rsid w:val="62FB7763"/>
    <w:rsid w:val="634E4084"/>
    <w:rsid w:val="6440730E"/>
    <w:rsid w:val="64A31E64"/>
    <w:rsid w:val="64E000BA"/>
    <w:rsid w:val="65D71E69"/>
    <w:rsid w:val="664F5FA1"/>
    <w:rsid w:val="666B53D3"/>
    <w:rsid w:val="66EB445C"/>
    <w:rsid w:val="676A0993"/>
    <w:rsid w:val="679A7968"/>
    <w:rsid w:val="67DC167D"/>
    <w:rsid w:val="67E36E6C"/>
    <w:rsid w:val="686E39FA"/>
    <w:rsid w:val="68777D89"/>
    <w:rsid w:val="68DC3591"/>
    <w:rsid w:val="69062176"/>
    <w:rsid w:val="69B224D4"/>
    <w:rsid w:val="6A01749F"/>
    <w:rsid w:val="6A444B7C"/>
    <w:rsid w:val="6A5D318E"/>
    <w:rsid w:val="6A662A40"/>
    <w:rsid w:val="6B2832EC"/>
    <w:rsid w:val="6B56441A"/>
    <w:rsid w:val="6B7F776A"/>
    <w:rsid w:val="6C223FE2"/>
    <w:rsid w:val="6C2B756E"/>
    <w:rsid w:val="6CB01DA8"/>
    <w:rsid w:val="6CE117BC"/>
    <w:rsid w:val="6D432A22"/>
    <w:rsid w:val="6D7E6C6B"/>
    <w:rsid w:val="6DAE69BF"/>
    <w:rsid w:val="6DB11278"/>
    <w:rsid w:val="6DE724D9"/>
    <w:rsid w:val="6DEA3078"/>
    <w:rsid w:val="6E241744"/>
    <w:rsid w:val="6E5E7844"/>
    <w:rsid w:val="6F3D560B"/>
    <w:rsid w:val="6FA91881"/>
    <w:rsid w:val="709552F2"/>
    <w:rsid w:val="710B2AB0"/>
    <w:rsid w:val="71121BEB"/>
    <w:rsid w:val="72A659BA"/>
    <w:rsid w:val="73905B6B"/>
    <w:rsid w:val="73D148C2"/>
    <w:rsid w:val="74377271"/>
    <w:rsid w:val="74ED07CA"/>
    <w:rsid w:val="75243A43"/>
    <w:rsid w:val="75554972"/>
    <w:rsid w:val="762D5099"/>
    <w:rsid w:val="768B6429"/>
    <w:rsid w:val="76EA34FC"/>
    <w:rsid w:val="76F15F38"/>
    <w:rsid w:val="77206C50"/>
    <w:rsid w:val="776C4239"/>
    <w:rsid w:val="77E31806"/>
    <w:rsid w:val="77F607F5"/>
    <w:rsid w:val="783F485F"/>
    <w:rsid w:val="7852436D"/>
    <w:rsid w:val="78AC2B50"/>
    <w:rsid w:val="78BF2965"/>
    <w:rsid w:val="7A2E19CA"/>
    <w:rsid w:val="7A6E3DAB"/>
    <w:rsid w:val="7B3809EA"/>
    <w:rsid w:val="7C874186"/>
    <w:rsid w:val="7D503883"/>
    <w:rsid w:val="7D692113"/>
    <w:rsid w:val="7E2C732A"/>
    <w:rsid w:val="7E650414"/>
    <w:rsid w:val="7EC12587"/>
    <w:rsid w:val="7ED57800"/>
    <w:rsid w:val="7FBE4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2F0F0"/>
  <w15:docId w15:val="{0C9F3ABE-F34C-48E3-B118-CD6D0B3DC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uiPriority="0"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35BB0"/>
    <w:pPr>
      <w:spacing w:after="180"/>
    </w:pPr>
    <w:rPr>
      <w:lang w:val="en-GB" w:eastAsia="en-US"/>
    </w:rPr>
  </w:style>
  <w:style w:type="paragraph" w:styleId="1">
    <w:name w:val="heading 1"/>
    <w:next w:val="a1"/>
    <w:link w:val="10"/>
    <w:uiPriority w:val="99"/>
    <w:qFormat/>
    <w:rsid w:val="00C35BB0"/>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a1"/>
    <w:next w:val="a1"/>
    <w:link w:val="20"/>
    <w:qFormat/>
    <w:rsid w:val="00C35BB0"/>
    <w:pPr>
      <w:tabs>
        <w:tab w:val="left" w:pos="432"/>
      </w:tabs>
      <w:spacing w:before="180"/>
      <w:outlineLvl w:val="1"/>
    </w:pPr>
    <w:rPr>
      <w:sz w:val="32"/>
    </w:rPr>
  </w:style>
  <w:style w:type="paragraph" w:styleId="3">
    <w:name w:val="heading 3"/>
    <w:basedOn w:val="2"/>
    <w:next w:val="a1"/>
    <w:link w:val="30"/>
    <w:qFormat/>
    <w:rsid w:val="00C35BB0"/>
    <w:pPr>
      <w:spacing w:before="120"/>
      <w:outlineLvl w:val="2"/>
    </w:pPr>
    <w:rPr>
      <w:sz w:val="28"/>
    </w:rPr>
  </w:style>
  <w:style w:type="paragraph" w:styleId="4">
    <w:name w:val="heading 4"/>
    <w:basedOn w:val="3"/>
    <w:next w:val="a1"/>
    <w:link w:val="40"/>
    <w:qFormat/>
    <w:rsid w:val="00C35BB0"/>
    <w:pPr>
      <w:outlineLvl w:val="3"/>
    </w:pPr>
    <w:rPr>
      <w:sz w:val="24"/>
    </w:rPr>
  </w:style>
  <w:style w:type="paragraph" w:styleId="5">
    <w:name w:val="heading 5"/>
    <w:basedOn w:val="4"/>
    <w:next w:val="a1"/>
    <w:link w:val="50"/>
    <w:qFormat/>
    <w:rsid w:val="00C35BB0"/>
    <w:pPr>
      <w:outlineLvl w:val="4"/>
    </w:pPr>
    <w:rPr>
      <w:sz w:val="22"/>
    </w:rPr>
  </w:style>
  <w:style w:type="paragraph" w:styleId="6">
    <w:name w:val="heading 6"/>
    <w:basedOn w:val="a1"/>
    <w:next w:val="a1"/>
    <w:link w:val="60"/>
    <w:qFormat/>
    <w:rsid w:val="00C35BB0"/>
    <w:pPr>
      <w:keepNext/>
      <w:keepLines/>
      <w:numPr>
        <w:ilvl w:val="5"/>
        <w:numId w:val="1"/>
      </w:numPr>
      <w:spacing w:before="120"/>
      <w:outlineLvl w:val="5"/>
    </w:pPr>
    <w:rPr>
      <w:rFonts w:ascii="Arial" w:hAnsi="Arial"/>
    </w:rPr>
  </w:style>
  <w:style w:type="paragraph" w:styleId="7">
    <w:name w:val="heading 7"/>
    <w:basedOn w:val="a1"/>
    <w:next w:val="a1"/>
    <w:link w:val="70"/>
    <w:qFormat/>
    <w:rsid w:val="00C35BB0"/>
    <w:pPr>
      <w:keepNext/>
      <w:keepLines/>
      <w:numPr>
        <w:ilvl w:val="6"/>
        <w:numId w:val="1"/>
      </w:numPr>
      <w:spacing w:before="120"/>
      <w:outlineLvl w:val="6"/>
    </w:pPr>
    <w:rPr>
      <w:rFonts w:ascii="Arial" w:hAnsi="Arial"/>
    </w:rPr>
  </w:style>
  <w:style w:type="paragraph" w:styleId="8">
    <w:name w:val="heading 8"/>
    <w:basedOn w:val="1"/>
    <w:next w:val="a1"/>
    <w:link w:val="80"/>
    <w:qFormat/>
    <w:rsid w:val="00C35BB0"/>
    <w:pPr>
      <w:numPr>
        <w:ilvl w:val="7"/>
      </w:numPr>
      <w:outlineLvl w:val="7"/>
    </w:pPr>
  </w:style>
  <w:style w:type="paragraph" w:styleId="9">
    <w:name w:val="heading 9"/>
    <w:basedOn w:val="8"/>
    <w:next w:val="a1"/>
    <w:link w:val="90"/>
    <w:qFormat/>
    <w:rsid w:val="00C35BB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rsid w:val="00C35BB0"/>
    <w:pPr>
      <w:ind w:leftChars="400" w:left="100" w:hangingChars="200" w:hanging="200"/>
      <w:contextualSpacing/>
    </w:pPr>
  </w:style>
  <w:style w:type="paragraph" w:styleId="a5">
    <w:name w:val="caption"/>
    <w:basedOn w:val="a1"/>
    <w:next w:val="a1"/>
    <w:link w:val="a6"/>
    <w:qFormat/>
    <w:rsid w:val="00C35BB0"/>
    <w:pPr>
      <w:spacing w:after="0"/>
    </w:pPr>
    <w:rPr>
      <w:rFonts w:eastAsia="Times New Roman"/>
      <w:b/>
      <w:bCs/>
      <w:lang w:val="en-US"/>
    </w:rPr>
  </w:style>
  <w:style w:type="paragraph" w:styleId="a">
    <w:name w:val="List Bullet"/>
    <w:basedOn w:val="a1"/>
    <w:qFormat/>
    <w:rsid w:val="00C35BB0"/>
    <w:pPr>
      <w:numPr>
        <w:numId w:val="2"/>
      </w:numPr>
      <w:spacing w:after="0"/>
    </w:pPr>
    <w:rPr>
      <w:rFonts w:eastAsia="MS Gothic"/>
      <w:sz w:val="24"/>
      <w:szCs w:val="24"/>
    </w:rPr>
  </w:style>
  <w:style w:type="paragraph" w:styleId="a7">
    <w:name w:val="Document Map"/>
    <w:basedOn w:val="a1"/>
    <w:link w:val="a8"/>
    <w:uiPriority w:val="99"/>
    <w:semiHidden/>
    <w:unhideWhenUsed/>
    <w:qFormat/>
    <w:rsid w:val="00C35BB0"/>
    <w:rPr>
      <w:rFonts w:ascii="宋体"/>
      <w:sz w:val="18"/>
      <w:szCs w:val="18"/>
    </w:rPr>
  </w:style>
  <w:style w:type="paragraph" w:styleId="a9">
    <w:name w:val="Body Text"/>
    <w:basedOn w:val="a1"/>
    <w:link w:val="aa"/>
    <w:qFormat/>
    <w:rsid w:val="00C35BB0"/>
    <w:pPr>
      <w:spacing w:after="120"/>
      <w:jc w:val="both"/>
    </w:pPr>
    <w:rPr>
      <w:rFonts w:asciiTheme="minorHAnsi" w:eastAsia="MS Mincho" w:hAnsiTheme="minorHAnsi" w:cstheme="minorBidi"/>
      <w:kern w:val="2"/>
      <w:sz w:val="21"/>
      <w:szCs w:val="22"/>
      <w:lang w:val="en-US"/>
    </w:rPr>
  </w:style>
  <w:style w:type="paragraph" w:styleId="21">
    <w:name w:val="List 2"/>
    <w:basedOn w:val="a1"/>
    <w:unhideWhenUsed/>
    <w:qFormat/>
    <w:rsid w:val="00C35BB0"/>
    <w:pPr>
      <w:ind w:leftChars="200" w:left="100" w:hangingChars="200" w:hanging="200"/>
      <w:contextualSpacing/>
    </w:pPr>
  </w:style>
  <w:style w:type="paragraph" w:styleId="ab">
    <w:name w:val="Balloon Text"/>
    <w:basedOn w:val="a1"/>
    <w:link w:val="ac"/>
    <w:uiPriority w:val="99"/>
    <w:semiHidden/>
    <w:unhideWhenUsed/>
    <w:qFormat/>
    <w:rsid w:val="00C35BB0"/>
    <w:pPr>
      <w:spacing w:after="0"/>
    </w:pPr>
    <w:rPr>
      <w:sz w:val="18"/>
      <w:szCs w:val="18"/>
    </w:rPr>
  </w:style>
  <w:style w:type="paragraph" w:styleId="ad">
    <w:name w:val="footer"/>
    <w:basedOn w:val="a1"/>
    <w:link w:val="ae"/>
    <w:uiPriority w:val="99"/>
    <w:unhideWhenUsed/>
    <w:qFormat/>
    <w:rsid w:val="00C35BB0"/>
    <w:pPr>
      <w:tabs>
        <w:tab w:val="center" w:pos="4153"/>
        <w:tab w:val="right" w:pos="8306"/>
      </w:tabs>
      <w:snapToGrid w:val="0"/>
    </w:pPr>
    <w:rPr>
      <w:sz w:val="18"/>
      <w:szCs w:val="18"/>
    </w:rPr>
  </w:style>
  <w:style w:type="paragraph" w:styleId="af">
    <w:name w:val="header"/>
    <w:basedOn w:val="a1"/>
    <w:link w:val="af0"/>
    <w:unhideWhenUsed/>
    <w:qFormat/>
    <w:rsid w:val="00C35BB0"/>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qFormat/>
    <w:rsid w:val="00C35BB0"/>
    <w:pPr>
      <w:ind w:left="200" w:hangingChars="200" w:hanging="200"/>
      <w:contextualSpacing/>
    </w:pPr>
  </w:style>
  <w:style w:type="paragraph" w:styleId="af2">
    <w:name w:val="footnote text"/>
    <w:basedOn w:val="a1"/>
    <w:link w:val="af3"/>
    <w:semiHidden/>
    <w:qFormat/>
    <w:rsid w:val="00C35BB0"/>
    <w:pPr>
      <w:keepLines/>
      <w:spacing w:after="0"/>
      <w:ind w:left="454" w:hanging="454"/>
    </w:pPr>
    <w:rPr>
      <w:sz w:val="16"/>
    </w:rPr>
  </w:style>
  <w:style w:type="paragraph" w:styleId="22">
    <w:name w:val="Body Text 2"/>
    <w:basedOn w:val="a1"/>
    <w:uiPriority w:val="99"/>
    <w:unhideWhenUsed/>
    <w:qFormat/>
    <w:rsid w:val="00C35BB0"/>
    <w:pPr>
      <w:spacing w:beforeLines="50" w:afterLines="50"/>
      <w:jc w:val="both"/>
    </w:pPr>
    <w:rPr>
      <w:rFonts w:eastAsiaTheme="minorEastAsia"/>
      <w:sz w:val="22"/>
      <w:lang w:eastAsia="zh-CN"/>
    </w:rPr>
  </w:style>
  <w:style w:type="paragraph" w:styleId="af4">
    <w:name w:val="Normal (Web)"/>
    <w:basedOn w:val="a1"/>
    <w:uiPriority w:val="99"/>
    <w:qFormat/>
    <w:rsid w:val="00C35BB0"/>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rsid w:val="00C35BB0"/>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qFormat/>
    <w:rsid w:val="00C35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sid w:val="00C35BB0"/>
    <w:rPr>
      <w:color w:val="0000FF"/>
      <w:u w:val="single"/>
    </w:rPr>
  </w:style>
  <w:style w:type="character" w:styleId="af7">
    <w:name w:val="footnote reference"/>
    <w:semiHidden/>
    <w:qFormat/>
    <w:rsid w:val="00C35BB0"/>
    <w:rPr>
      <w:b/>
      <w:bCs/>
      <w:position w:val="6"/>
      <w:sz w:val="16"/>
      <w:szCs w:val="16"/>
    </w:rPr>
  </w:style>
  <w:style w:type="character" w:customStyle="1" w:styleId="af0">
    <w:name w:val="页眉 字符"/>
    <w:basedOn w:val="a2"/>
    <w:link w:val="af"/>
    <w:qFormat/>
    <w:rsid w:val="00C35BB0"/>
    <w:rPr>
      <w:sz w:val="18"/>
      <w:szCs w:val="18"/>
    </w:rPr>
  </w:style>
  <w:style w:type="character" w:customStyle="1" w:styleId="ae">
    <w:name w:val="页脚 字符"/>
    <w:basedOn w:val="a2"/>
    <w:link w:val="ad"/>
    <w:uiPriority w:val="99"/>
    <w:qFormat/>
    <w:rsid w:val="00C35BB0"/>
    <w:rPr>
      <w:sz w:val="18"/>
      <w:szCs w:val="18"/>
    </w:rPr>
  </w:style>
  <w:style w:type="character" w:customStyle="1" w:styleId="10">
    <w:name w:val="标题 1 字符"/>
    <w:basedOn w:val="a2"/>
    <w:link w:val="1"/>
    <w:qFormat/>
    <w:rsid w:val="00C35BB0"/>
    <w:rPr>
      <w:rFonts w:ascii="Arial" w:eastAsia="宋体" w:hAnsi="Arial" w:cs="Times New Roman"/>
      <w:sz w:val="36"/>
      <w:lang w:val="en-GB" w:eastAsia="en-US"/>
    </w:rPr>
  </w:style>
  <w:style w:type="character" w:customStyle="1" w:styleId="20">
    <w:name w:val="标题 2 字符"/>
    <w:basedOn w:val="a2"/>
    <w:link w:val="2"/>
    <w:qFormat/>
    <w:rsid w:val="00C35BB0"/>
    <w:rPr>
      <w:rFonts w:ascii="Arial" w:eastAsia="宋体" w:hAnsi="Arial" w:cs="Times New Roman"/>
      <w:sz w:val="32"/>
      <w:lang w:val="en-GB" w:eastAsia="en-US"/>
    </w:rPr>
  </w:style>
  <w:style w:type="character" w:customStyle="1" w:styleId="30">
    <w:name w:val="标题 3 字符"/>
    <w:basedOn w:val="a2"/>
    <w:link w:val="3"/>
    <w:qFormat/>
    <w:rsid w:val="00C35BB0"/>
    <w:rPr>
      <w:rFonts w:ascii="Arial" w:eastAsia="宋体" w:hAnsi="Arial" w:cs="Times New Roman"/>
      <w:kern w:val="0"/>
      <w:sz w:val="28"/>
      <w:szCs w:val="20"/>
      <w:lang w:val="en-GB" w:eastAsia="en-US"/>
    </w:rPr>
  </w:style>
  <w:style w:type="character" w:customStyle="1" w:styleId="40">
    <w:name w:val="标题 4 字符"/>
    <w:basedOn w:val="a2"/>
    <w:link w:val="4"/>
    <w:qFormat/>
    <w:rsid w:val="00C35BB0"/>
    <w:rPr>
      <w:rFonts w:ascii="Arial" w:eastAsia="宋体" w:hAnsi="Arial" w:cs="Times New Roman"/>
      <w:kern w:val="0"/>
      <w:sz w:val="24"/>
      <w:szCs w:val="20"/>
      <w:lang w:val="en-GB" w:eastAsia="en-US"/>
    </w:rPr>
  </w:style>
  <w:style w:type="character" w:customStyle="1" w:styleId="50">
    <w:name w:val="标题 5 字符"/>
    <w:basedOn w:val="a2"/>
    <w:link w:val="5"/>
    <w:qFormat/>
    <w:rsid w:val="00C35BB0"/>
    <w:rPr>
      <w:rFonts w:ascii="Arial" w:eastAsia="宋体" w:hAnsi="Arial" w:cs="Times New Roman"/>
      <w:kern w:val="0"/>
      <w:sz w:val="22"/>
      <w:szCs w:val="20"/>
      <w:lang w:val="en-GB" w:eastAsia="en-US"/>
    </w:rPr>
  </w:style>
  <w:style w:type="character" w:customStyle="1" w:styleId="60">
    <w:name w:val="标题 6 字符"/>
    <w:basedOn w:val="a2"/>
    <w:link w:val="6"/>
    <w:qFormat/>
    <w:rsid w:val="00C35BB0"/>
    <w:rPr>
      <w:rFonts w:ascii="Arial" w:eastAsia="宋体" w:hAnsi="Arial" w:cs="Times New Roman"/>
      <w:kern w:val="0"/>
      <w:sz w:val="20"/>
      <w:szCs w:val="20"/>
      <w:lang w:val="en-GB" w:eastAsia="en-US"/>
    </w:rPr>
  </w:style>
  <w:style w:type="character" w:customStyle="1" w:styleId="70">
    <w:name w:val="标题 7 字符"/>
    <w:basedOn w:val="a2"/>
    <w:link w:val="7"/>
    <w:qFormat/>
    <w:rsid w:val="00C35BB0"/>
    <w:rPr>
      <w:rFonts w:ascii="Arial" w:eastAsia="宋体" w:hAnsi="Arial" w:cs="Times New Roman"/>
      <w:kern w:val="0"/>
      <w:sz w:val="20"/>
      <w:szCs w:val="20"/>
      <w:lang w:val="en-GB" w:eastAsia="en-US"/>
    </w:rPr>
  </w:style>
  <w:style w:type="character" w:customStyle="1" w:styleId="80">
    <w:name w:val="标题 8 字符"/>
    <w:basedOn w:val="a2"/>
    <w:link w:val="8"/>
    <w:qFormat/>
    <w:rsid w:val="00C35BB0"/>
    <w:rPr>
      <w:rFonts w:ascii="Arial" w:eastAsia="宋体" w:hAnsi="Arial" w:cs="Times New Roman"/>
      <w:kern w:val="0"/>
      <w:sz w:val="36"/>
      <w:szCs w:val="20"/>
      <w:lang w:val="en-GB" w:eastAsia="en-US"/>
    </w:rPr>
  </w:style>
  <w:style w:type="character" w:customStyle="1" w:styleId="90">
    <w:name w:val="标题 9 字符"/>
    <w:basedOn w:val="a2"/>
    <w:link w:val="9"/>
    <w:qFormat/>
    <w:rsid w:val="00C35BB0"/>
    <w:rPr>
      <w:rFonts w:ascii="Arial" w:eastAsia="宋体" w:hAnsi="Arial" w:cs="Times New Roman"/>
      <w:kern w:val="0"/>
      <w:sz w:val="36"/>
      <w:szCs w:val="20"/>
      <w:lang w:val="en-GB" w:eastAsia="en-US"/>
    </w:rPr>
  </w:style>
  <w:style w:type="character" w:customStyle="1" w:styleId="af3">
    <w:name w:val="脚注文本 字符"/>
    <w:basedOn w:val="a2"/>
    <w:link w:val="af2"/>
    <w:semiHidden/>
    <w:qFormat/>
    <w:rsid w:val="00C35BB0"/>
    <w:rPr>
      <w:rFonts w:ascii="Times New Roman" w:eastAsia="宋体" w:hAnsi="Times New Roman" w:cs="Times New Roman"/>
      <w:kern w:val="0"/>
      <w:sz w:val="16"/>
      <w:szCs w:val="20"/>
      <w:lang w:val="en-GB" w:eastAsia="en-US"/>
    </w:rPr>
  </w:style>
  <w:style w:type="paragraph" w:styleId="af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1"/>
    <w:link w:val="af9"/>
    <w:uiPriority w:val="34"/>
    <w:qFormat/>
    <w:rsid w:val="00C35BB0"/>
    <w:pPr>
      <w:ind w:firstLineChars="200" w:firstLine="420"/>
    </w:pPr>
  </w:style>
  <w:style w:type="character" w:customStyle="1" w:styleId="ac">
    <w:name w:val="批注框文本 字符"/>
    <w:basedOn w:val="a2"/>
    <w:link w:val="ab"/>
    <w:uiPriority w:val="99"/>
    <w:semiHidden/>
    <w:qFormat/>
    <w:rsid w:val="00C35BB0"/>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qFormat/>
    <w:rsid w:val="00C35BB0"/>
    <w:rPr>
      <w:rFonts w:ascii="宋体" w:eastAsia="宋体" w:hAnsi="Times New Roman" w:cs="Times New Roman"/>
      <w:kern w:val="0"/>
      <w:sz w:val="18"/>
      <w:szCs w:val="18"/>
      <w:lang w:val="en-GB" w:eastAsia="en-US"/>
    </w:rPr>
  </w:style>
  <w:style w:type="character" w:customStyle="1" w:styleId="Char">
    <w:name w:val="正文文本 Char"/>
    <w:basedOn w:val="a2"/>
    <w:qFormat/>
    <w:rsid w:val="00C35BB0"/>
    <w:rPr>
      <w:rFonts w:eastAsia="MS Mincho"/>
      <w:lang w:eastAsia="en-US"/>
    </w:rPr>
  </w:style>
  <w:style w:type="character" w:customStyle="1" w:styleId="aa">
    <w:name w:val="正文文本 字符"/>
    <w:basedOn w:val="a2"/>
    <w:link w:val="a9"/>
    <w:uiPriority w:val="99"/>
    <w:semiHidden/>
    <w:qFormat/>
    <w:rsid w:val="00C35BB0"/>
    <w:rPr>
      <w:rFonts w:ascii="Times New Roman" w:eastAsia="宋体" w:hAnsi="Times New Roman" w:cs="Times New Roman"/>
      <w:kern w:val="0"/>
      <w:sz w:val="20"/>
      <w:szCs w:val="20"/>
      <w:lang w:val="en-GB" w:eastAsia="en-US"/>
    </w:rPr>
  </w:style>
  <w:style w:type="paragraph" w:customStyle="1" w:styleId="LGTdoc">
    <w:name w:val="LGTdoc_본문"/>
    <w:basedOn w:val="a1"/>
    <w:qFormat/>
    <w:rsid w:val="00C35B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rsid w:val="00C35BB0"/>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sid w:val="00C35BB0"/>
    <w:rPr>
      <w:rFonts w:ascii="Times New Roman" w:eastAsia="MS Mincho" w:hAnsi="Times New Roman" w:cs="Times New Roman"/>
      <w:kern w:val="0"/>
      <w:sz w:val="22"/>
      <w:szCs w:val="24"/>
    </w:rPr>
  </w:style>
  <w:style w:type="paragraph" w:customStyle="1" w:styleId="Text">
    <w:name w:val="Text"/>
    <w:basedOn w:val="a1"/>
    <w:qFormat/>
    <w:rsid w:val="00C35BB0"/>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sid w:val="00C35BB0"/>
    <w:rPr>
      <w:rFonts w:ascii="Calibri" w:hAnsi="Calibri"/>
      <w:sz w:val="22"/>
      <w:szCs w:val="22"/>
    </w:rPr>
  </w:style>
  <w:style w:type="paragraph" w:customStyle="1" w:styleId="TAH">
    <w:name w:val="TAH"/>
    <w:basedOn w:val="a1"/>
    <w:qFormat/>
    <w:rsid w:val="00C35BB0"/>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sid w:val="00C35BB0"/>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rsid w:val="00C35BB0"/>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rsid w:val="00C35BB0"/>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sid w:val="00C35BB0"/>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rsid w:val="00C35BB0"/>
    <w:pPr>
      <w:ind w:left="568" w:firstLineChars="0" w:hanging="284"/>
      <w:contextualSpacing w:val="0"/>
    </w:pPr>
    <w:rPr>
      <w:rFonts w:eastAsiaTheme="minorEastAsia"/>
    </w:rPr>
  </w:style>
  <w:style w:type="paragraph" w:customStyle="1" w:styleId="B2">
    <w:name w:val="B2"/>
    <w:basedOn w:val="21"/>
    <w:link w:val="B2Char"/>
    <w:uiPriority w:val="99"/>
    <w:qFormat/>
    <w:rsid w:val="00C35BB0"/>
    <w:pPr>
      <w:ind w:leftChars="0" w:left="851" w:firstLineChars="0" w:hanging="284"/>
      <w:contextualSpacing w:val="0"/>
    </w:pPr>
    <w:rPr>
      <w:rFonts w:eastAsiaTheme="minorEastAsia"/>
    </w:rPr>
  </w:style>
  <w:style w:type="paragraph" w:customStyle="1" w:styleId="B3">
    <w:name w:val="B3"/>
    <w:basedOn w:val="31"/>
    <w:qFormat/>
    <w:rsid w:val="00C35BB0"/>
    <w:pPr>
      <w:ind w:leftChars="0" w:left="1135" w:firstLineChars="0" w:hanging="284"/>
      <w:contextualSpacing w:val="0"/>
    </w:pPr>
    <w:rPr>
      <w:rFonts w:eastAsiaTheme="minorEastAsia"/>
    </w:rPr>
  </w:style>
  <w:style w:type="character" w:customStyle="1" w:styleId="B2Char">
    <w:name w:val="B2 Char"/>
    <w:link w:val="B2"/>
    <w:qFormat/>
    <w:rsid w:val="00C35BB0"/>
    <w:rPr>
      <w:rFonts w:ascii="Times New Roman" w:hAnsi="Times New Roman" w:cs="Times New Roman"/>
      <w:kern w:val="0"/>
      <w:sz w:val="20"/>
      <w:szCs w:val="20"/>
      <w:lang w:val="en-GB" w:eastAsia="en-US"/>
    </w:rPr>
  </w:style>
  <w:style w:type="character" w:customStyle="1" w:styleId="B1Char">
    <w:name w:val="B1 Char"/>
    <w:link w:val="B1"/>
    <w:qFormat/>
    <w:rsid w:val="00C35BB0"/>
    <w:rPr>
      <w:rFonts w:ascii="Times New Roman" w:hAnsi="Times New Roman" w:cs="Times New Roman"/>
      <w:kern w:val="0"/>
      <w:sz w:val="20"/>
      <w:szCs w:val="20"/>
      <w:lang w:val="en-GB" w:eastAsia="en-US"/>
    </w:rPr>
  </w:style>
  <w:style w:type="character" w:customStyle="1" w:styleId="af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f8"/>
    <w:uiPriority w:val="34"/>
    <w:qFormat/>
    <w:rsid w:val="00C35BB0"/>
    <w:rPr>
      <w:rFonts w:ascii="Times New Roman" w:eastAsia="宋体" w:hAnsi="Times New Roman" w:cs="Times New Roman"/>
      <w:kern w:val="0"/>
      <w:sz w:val="20"/>
      <w:szCs w:val="20"/>
      <w:lang w:val="en-GB" w:eastAsia="en-US"/>
    </w:rPr>
  </w:style>
  <w:style w:type="paragraph" w:customStyle="1" w:styleId="afb">
    <w:name w:val="样式 正文"/>
    <w:basedOn w:val="a1"/>
    <w:link w:val="Char0"/>
    <w:qFormat/>
    <w:rsid w:val="00C35BB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sid w:val="00C35BB0"/>
    <w:rPr>
      <w:rFonts w:ascii="Times New Roman" w:eastAsia="宋体" w:hAnsi="Times New Roman" w:cs="宋体"/>
      <w:szCs w:val="20"/>
    </w:rPr>
  </w:style>
  <w:style w:type="paragraph" w:customStyle="1" w:styleId="23">
    <w:name w:val="我的正文首行2缩进"/>
    <w:basedOn w:val="a1"/>
    <w:qFormat/>
    <w:rsid w:val="00C35BB0"/>
    <w:pPr>
      <w:widowControl w:val="0"/>
      <w:snapToGrid w:val="0"/>
      <w:spacing w:after="0"/>
      <w:ind w:firstLine="420"/>
      <w:jc w:val="both"/>
    </w:pPr>
    <w:rPr>
      <w:rFonts w:cs="宋体"/>
      <w:sz w:val="21"/>
      <w:lang w:val="en-US" w:eastAsia="zh-CN"/>
    </w:rPr>
  </w:style>
  <w:style w:type="paragraph" w:customStyle="1" w:styleId="ZchnZchn">
    <w:name w:val="Zchn Zchn"/>
    <w:qFormat/>
    <w:rsid w:val="00C35BB0"/>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a0">
    <w:name w:val="参考文献"/>
    <w:basedOn w:val="a1"/>
    <w:link w:val="Char1"/>
    <w:qFormat/>
    <w:rsid w:val="00C35BB0"/>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sid w:val="00C35BB0"/>
    <w:rPr>
      <w:rFonts w:ascii="Times New Roman" w:hAnsi="Times New Roman"/>
      <w:sz w:val="22"/>
    </w:rPr>
  </w:style>
  <w:style w:type="paragraph" w:customStyle="1" w:styleId="maintext">
    <w:name w:val="main text"/>
    <w:basedOn w:val="a1"/>
    <w:link w:val="maintextChar"/>
    <w:qFormat/>
    <w:rsid w:val="00C35BB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35BB0"/>
    <w:rPr>
      <w:rFonts w:ascii="Times New Roman" w:eastAsia="Malgun Gothic" w:hAnsi="Times New Roman" w:cs="Times New Roman"/>
      <w:kern w:val="0"/>
      <w:sz w:val="20"/>
      <w:szCs w:val="20"/>
      <w:lang w:val="en-GB" w:eastAsia="ko-KR"/>
    </w:rPr>
  </w:style>
  <w:style w:type="paragraph" w:customStyle="1" w:styleId="PL">
    <w:name w:val="PL"/>
    <w:link w:val="PLChar"/>
    <w:qFormat/>
    <w:rsid w:val="00C35B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C35BB0"/>
    <w:rPr>
      <w:rFonts w:ascii="Courier New" w:eastAsia="Batang" w:hAnsi="Courier New" w:cs="Times New Roman"/>
      <w:kern w:val="0"/>
      <w:sz w:val="16"/>
      <w:szCs w:val="20"/>
      <w:shd w:val="clear" w:color="auto" w:fill="E6E6E6"/>
      <w:lang w:val="en-GB" w:eastAsia="sv-SE"/>
    </w:rPr>
  </w:style>
  <w:style w:type="paragraph" w:customStyle="1" w:styleId="3GPPText">
    <w:name w:val="3GPP Text"/>
    <w:basedOn w:val="a1"/>
    <w:link w:val="3GPPTextChar"/>
    <w:qFormat/>
    <w:rsid w:val="00C35BB0"/>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C35BB0"/>
    <w:rPr>
      <w:rFonts w:ascii="Times New Roman" w:eastAsia="宋体" w:hAnsi="Times New Roman" w:cs="Times New Roman"/>
      <w:lang w:eastAsia="en-US"/>
    </w:rPr>
  </w:style>
  <w:style w:type="paragraph" w:customStyle="1" w:styleId="3GPPH2">
    <w:name w:val="3GPP H2"/>
    <w:basedOn w:val="2"/>
    <w:next w:val="3GPPText"/>
    <w:link w:val="3GPPH2Char"/>
    <w:qFormat/>
    <w:rsid w:val="00C35BB0"/>
    <w:pPr>
      <w:tabs>
        <w:tab w:val="clear" w:pos="432"/>
        <w:tab w:val="left" w:pos="576"/>
      </w:tabs>
      <w:overflowPunct w:val="0"/>
      <w:autoSpaceDE w:val="0"/>
      <w:autoSpaceDN w:val="0"/>
      <w:adjustRightInd w:val="0"/>
      <w:spacing w:before="120" w:after="120"/>
      <w:textAlignment w:val="baseline"/>
    </w:pPr>
  </w:style>
  <w:style w:type="character" w:customStyle="1" w:styleId="3GPPH2Char">
    <w:name w:val="3GPP H2 Char"/>
    <w:link w:val="3GPPH2"/>
    <w:qFormat/>
    <w:rsid w:val="00C35BB0"/>
    <w:rPr>
      <w:rFonts w:ascii="Arial" w:eastAsia="宋体" w:hAnsi="Arial" w:cs="Times New Roman"/>
      <w:sz w:val="32"/>
      <w:lang w:val="en-GB" w:eastAsia="en-US"/>
    </w:rPr>
  </w:style>
  <w:style w:type="paragraph" w:customStyle="1" w:styleId="TH">
    <w:name w:val="TH"/>
    <w:basedOn w:val="a1"/>
    <w:link w:val="THChar"/>
    <w:qFormat/>
    <w:rsid w:val="00C35BB0"/>
    <w:pPr>
      <w:keepNext/>
      <w:keepLines/>
      <w:spacing w:before="60"/>
      <w:jc w:val="center"/>
    </w:pPr>
    <w:rPr>
      <w:rFonts w:ascii="Arial" w:eastAsia="Times New Roman" w:hAnsi="Arial"/>
      <w:b/>
    </w:rPr>
  </w:style>
  <w:style w:type="character" w:customStyle="1" w:styleId="THChar">
    <w:name w:val="TH Char"/>
    <w:link w:val="TH"/>
    <w:qFormat/>
    <w:rsid w:val="00C35BB0"/>
    <w:rPr>
      <w:rFonts w:ascii="Arial" w:eastAsia="Times New Roman" w:hAnsi="Arial" w:cs="Times New Roman"/>
      <w:b/>
      <w:lang w:val="en-GB" w:eastAsia="en-US"/>
    </w:rPr>
  </w:style>
  <w:style w:type="paragraph" w:customStyle="1" w:styleId="NO">
    <w:name w:val="NO"/>
    <w:basedOn w:val="a1"/>
    <w:qFormat/>
    <w:rsid w:val="00C35BB0"/>
    <w:pPr>
      <w:keepLines/>
      <w:ind w:left="1135" w:hanging="851"/>
    </w:pPr>
  </w:style>
  <w:style w:type="paragraph" w:customStyle="1" w:styleId="TF">
    <w:name w:val="TF"/>
    <w:basedOn w:val="TH"/>
    <w:qFormat/>
    <w:rsid w:val="00C35BB0"/>
    <w:pPr>
      <w:keepNext w:val="0"/>
      <w:spacing w:before="0" w:after="240"/>
    </w:pPr>
  </w:style>
  <w:style w:type="paragraph" w:customStyle="1" w:styleId="TAC">
    <w:name w:val="TAC"/>
    <w:basedOn w:val="a1"/>
    <w:link w:val="TACChar"/>
    <w:qFormat/>
    <w:rsid w:val="00194C2D"/>
    <w:pPr>
      <w:keepNext/>
      <w:keepLines/>
      <w:spacing w:after="0"/>
      <w:jc w:val="center"/>
    </w:pPr>
    <w:rPr>
      <w:rFonts w:ascii="Arial" w:eastAsiaTheme="minorEastAsia" w:hAnsi="Arial"/>
      <w:sz w:val="18"/>
    </w:rPr>
  </w:style>
  <w:style w:type="character" w:customStyle="1" w:styleId="TACChar">
    <w:name w:val="TAC Char"/>
    <w:link w:val="TAC"/>
    <w:qFormat/>
    <w:locked/>
    <w:rsid w:val="00194C2D"/>
    <w:rPr>
      <w:rFonts w:ascii="Arial" w:eastAsiaTheme="minorEastAsia" w:hAnsi="Arial"/>
      <w:sz w:val="18"/>
      <w:lang w:val="en-GB" w:eastAsia="en-US"/>
    </w:rPr>
  </w:style>
  <w:style w:type="paragraph" w:customStyle="1" w:styleId="Observation">
    <w:name w:val="Observation"/>
    <w:basedOn w:val="a1"/>
    <w:qFormat/>
    <w:rsid w:val="00194C2D"/>
    <w:pPr>
      <w:widowControl w:val="0"/>
      <w:numPr>
        <w:numId w:val="8"/>
      </w:numPr>
      <w:tabs>
        <w:tab w:val="left" w:pos="1701"/>
      </w:tabs>
      <w:spacing w:after="0"/>
      <w:jc w:val="both"/>
    </w:pPr>
    <w:rPr>
      <w:rFonts w:ascii="Arial" w:eastAsiaTheme="minorEastAsia" w:hAnsi="Arial" w:cs="Arial"/>
      <w:b/>
      <w:bCs/>
      <w:kern w:val="2"/>
      <w:sz w:val="21"/>
      <w:szCs w:val="22"/>
      <w:lang w:val="en-US" w:eastAsia="ja-JP"/>
    </w:rPr>
  </w:style>
  <w:style w:type="paragraph" w:customStyle="1" w:styleId="TAN">
    <w:name w:val="TAN"/>
    <w:basedOn w:val="a1"/>
    <w:qFormat/>
    <w:rsid w:val="00194C2D"/>
    <w:pPr>
      <w:keepNext/>
      <w:keepLines/>
      <w:spacing w:after="0"/>
      <w:ind w:left="851" w:hanging="851"/>
    </w:pPr>
    <w:rPr>
      <w:rFonts w:ascii="Arial" w:eastAsiaTheme="minorEastAsia" w:hAnsi="Arial"/>
      <w:sz w:val="18"/>
    </w:rPr>
  </w:style>
  <w:style w:type="character" w:customStyle="1" w:styleId="tlid-translation">
    <w:name w:val="tlid-translation"/>
    <w:basedOn w:val="a2"/>
    <w:rsid w:val="00863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0458">
      <w:bodyDiv w:val="1"/>
      <w:marLeft w:val="0"/>
      <w:marRight w:val="0"/>
      <w:marTop w:val="0"/>
      <w:marBottom w:val="0"/>
      <w:divBdr>
        <w:top w:val="none" w:sz="0" w:space="0" w:color="auto"/>
        <w:left w:val="none" w:sz="0" w:space="0" w:color="auto"/>
        <w:bottom w:val="none" w:sz="0" w:space="0" w:color="auto"/>
        <w:right w:val="none" w:sz="0" w:space="0" w:color="auto"/>
      </w:divBdr>
      <w:divsChild>
        <w:div w:id="1661230216">
          <w:marLeft w:val="0"/>
          <w:marRight w:val="0"/>
          <w:marTop w:val="0"/>
          <w:marBottom w:val="0"/>
          <w:divBdr>
            <w:top w:val="none" w:sz="0" w:space="0" w:color="auto"/>
            <w:left w:val="none" w:sz="0" w:space="0" w:color="auto"/>
            <w:bottom w:val="none" w:sz="0" w:space="0" w:color="auto"/>
            <w:right w:val="none" w:sz="0" w:space="0" w:color="auto"/>
          </w:divBdr>
          <w:divsChild>
            <w:div w:id="386270711">
              <w:marLeft w:val="0"/>
              <w:marRight w:val="0"/>
              <w:marTop w:val="0"/>
              <w:marBottom w:val="0"/>
              <w:divBdr>
                <w:top w:val="none" w:sz="0" w:space="0" w:color="auto"/>
                <w:left w:val="none" w:sz="0" w:space="0" w:color="auto"/>
                <w:bottom w:val="none" w:sz="0" w:space="0" w:color="auto"/>
                <w:right w:val="none" w:sz="0" w:space="0" w:color="auto"/>
              </w:divBdr>
              <w:divsChild>
                <w:div w:id="863439413">
                  <w:marLeft w:val="0"/>
                  <w:marRight w:val="0"/>
                  <w:marTop w:val="0"/>
                  <w:marBottom w:val="0"/>
                  <w:divBdr>
                    <w:top w:val="none" w:sz="0" w:space="0" w:color="auto"/>
                    <w:left w:val="none" w:sz="0" w:space="0" w:color="auto"/>
                    <w:bottom w:val="none" w:sz="0" w:space="0" w:color="auto"/>
                    <w:right w:val="none" w:sz="0" w:space="0" w:color="auto"/>
                  </w:divBdr>
                  <w:divsChild>
                    <w:div w:id="1439256720">
                      <w:marLeft w:val="0"/>
                      <w:marRight w:val="0"/>
                      <w:marTop w:val="0"/>
                      <w:marBottom w:val="0"/>
                      <w:divBdr>
                        <w:top w:val="none" w:sz="0" w:space="0" w:color="auto"/>
                        <w:left w:val="none" w:sz="0" w:space="0" w:color="auto"/>
                        <w:bottom w:val="none" w:sz="0" w:space="0" w:color="auto"/>
                        <w:right w:val="none" w:sz="0" w:space="0" w:color="auto"/>
                      </w:divBdr>
                      <w:divsChild>
                        <w:div w:id="2054034312">
                          <w:marLeft w:val="0"/>
                          <w:marRight w:val="0"/>
                          <w:marTop w:val="0"/>
                          <w:marBottom w:val="0"/>
                          <w:divBdr>
                            <w:top w:val="none" w:sz="0" w:space="0" w:color="auto"/>
                            <w:left w:val="none" w:sz="0" w:space="0" w:color="auto"/>
                            <w:bottom w:val="none" w:sz="0" w:space="0" w:color="auto"/>
                            <w:right w:val="none" w:sz="0" w:space="0" w:color="auto"/>
                          </w:divBdr>
                          <w:divsChild>
                            <w:div w:id="2103453025">
                              <w:marLeft w:val="0"/>
                              <w:marRight w:val="0"/>
                              <w:marTop w:val="0"/>
                              <w:marBottom w:val="0"/>
                              <w:divBdr>
                                <w:top w:val="none" w:sz="0" w:space="0" w:color="auto"/>
                                <w:left w:val="none" w:sz="0" w:space="0" w:color="auto"/>
                                <w:bottom w:val="none" w:sz="0" w:space="0" w:color="auto"/>
                                <w:right w:val="none" w:sz="0" w:space="0" w:color="auto"/>
                              </w:divBdr>
                              <w:divsChild>
                                <w:div w:id="75328556">
                                  <w:marLeft w:val="0"/>
                                  <w:marRight w:val="0"/>
                                  <w:marTop w:val="0"/>
                                  <w:marBottom w:val="0"/>
                                  <w:divBdr>
                                    <w:top w:val="none" w:sz="0" w:space="0" w:color="auto"/>
                                    <w:left w:val="none" w:sz="0" w:space="0" w:color="auto"/>
                                    <w:bottom w:val="none" w:sz="0" w:space="0" w:color="auto"/>
                                    <w:right w:val="none" w:sz="0" w:space="0" w:color="auto"/>
                                  </w:divBdr>
                                  <w:divsChild>
                                    <w:div w:id="397898927">
                                      <w:marLeft w:val="0"/>
                                      <w:marRight w:val="0"/>
                                      <w:marTop w:val="0"/>
                                      <w:marBottom w:val="0"/>
                                      <w:divBdr>
                                        <w:top w:val="none" w:sz="0" w:space="0" w:color="auto"/>
                                        <w:left w:val="none" w:sz="0" w:space="0" w:color="auto"/>
                                        <w:bottom w:val="none" w:sz="0" w:space="0" w:color="auto"/>
                                        <w:right w:val="none" w:sz="0" w:space="0" w:color="auto"/>
                                      </w:divBdr>
                                      <w:divsChild>
                                        <w:div w:id="583732475">
                                          <w:marLeft w:val="0"/>
                                          <w:marRight w:val="0"/>
                                          <w:marTop w:val="0"/>
                                          <w:marBottom w:val="0"/>
                                          <w:divBdr>
                                            <w:top w:val="none" w:sz="0" w:space="0" w:color="auto"/>
                                            <w:left w:val="none" w:sz="0" w:space="0" w:color="auto"/>
                                            <w:bottom w:val="none" w:sz="0" w:space="0" w:color="auto"/>
                                            <w:right w:val="none" w:sz="0" w:space="0" w:color="auto"/>
                                          </w:divBdr>
                                          <w:divsChild>
                                            <w:div w:id="1106080040">
                                              <w:marLeft w:val="0"/>
                                              <w:marRight w:val="0"/>
                                              <w:marTop w:val="0"/>
                                              <w:marBottom w:val="221"/>
                                              <w:divBdr>
                                                <w:top w:val="none" w:sz="0" w:space="0" w:color="auto"/>
                                                <w:left w:val="none" w:sz="0" w:space="0" w:color="auto"/>
                                                <w:bottom w:val="none" w:sz="0" w:space="0" w:color="auto"/>
                                                <w:right w:val="none" w:sz="0" w:space="0" w:color="auto"/>
                                              </w:divBdr>
                                              <w:divsChild>
                                                <w:div w:id="146919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9436958">
      <w:bodyDiv w:val="1"/>
      <w:marLeft w:val="0"/>
      <w:marRight w:val="0"/>
      <w:marTop w:val="0"/>
      <w:marBottom w:val="0"/>
      <w:divBdr>
        <w:top w:val="none" w:sz="0" w:space="0" w:color="auto"/>
        <w:left w:val="none" w:sz="0" w:space="0" w:color="auto"/>
        <w:bottom w:val="none" w:sz="0" w:space="0" w:color="auto"/>
        <w:right w:val="none" w:sz="0" w:space="0" w:color="auto"/>
      </w:divBdr>
    </w:div>
    <w:div w:id="1455636139">
      <w:bodyDiv w:val="1"/>
      <w:marLeft w:val="0"/>
      <w:marRight w:val="0"/>
      <w:marTop w:val="0"/>
      <w:marBottom w:val="0"/>
      <w:divBdr>
        <w:top w:val="none" w:sz="0" w:space="0" w:color="auto"/>
        <w:left w:val="none" w:sz="0" w:space="0" w:color="auto"/>
        <w:bottom w:val="none" w:sz="0" w:space="0" w:color="auto"/>
        <w:right w:val="none" w:sz="0" w:space="0" w:color="auto"/>
      </w:divBdr>
      <w:divsChild>
        <w:div w:id="22830365">
          <w:marLeft w:val="0"/>
          <w:marRight w:val="0"/>
          <w:marTop w:val="0"/>
          <w:marBottom w:val="0"/>
          <w:divBdr>
            <w:top w:val="none" w:sz="0" w:space="0" w:color="auto"/>
            <w:left w:val="none" w:sz="0" w:space="0" w:color="auto"/>
            <w:bottom w:val="none" w:sz="0" w:space="0" w:color="auto"/>
            <w:right w:val="none" w:sz="0" w:space="0" w:color="auto"/>
          </w:divBdr>
          <w:divsChild>
            <w:div w:id="1890847431">
              <w:marLeft w:val="0"/>
              <w:marRight w:val="0"/>
              <w:marTop w:val="0"/>
              <w:marBottom w:val="0"/>
              <w:divBdr>
                <w:top w:val="none" w:sz="0" w:space="0" w:color="auto"/>
                <w:left w:val="none" w:sz="0" w:space="0" w:color="auto"/>
                <w:bottom w:val="none" w:sz="0" w:space="0" w:color="auto"/>
                <w:right w:val="none" w:sz="0" w:space="0" w:color="auto"/>
              </w:divBdr>
              <w:divsChild>
                <w:div w:id="1574579276">
                  <w:marLeft w:val="0"/>
                  <w:marRight w:val="0"/>
                  <w:marTop w:val="0"/>
                  <w:marBottom w:val="0"/>
                  <w:divBdr>
                    <w:top w:val="none" w:sz="0" w:space="0" w:color="auto"/>
                    <w:left w:val="none" w:sz="0" w:space="0" w:color="auto"/>
                    <w:bottom w:val="none" w:sz="0" w:space="0" w:color="auto"/>
                    <w:right w:val="none" w:sz="0" w:space="0" w:color="auto"/>
                  </w:divBdr>
                  <w:divsChild>
                    <w:div w:id="243996963">
                      <w:marLeft w:val="0"/>
                      <w:marRight w:val="0"/>
                      <w:marTop w:val="0"/>
                      <w:marBottom w:val="0"/>
                      <w:divBdr>
                        <w:top w:val="none" w:sz="0" w:space="0" w:color="auto"/>
                        <w:left w:val="none" w:sz="0" w:space="0" w:color="auto"/>
                        <w:bottom w:val="none" w:sz="0" w:space="0" w:color="auto"/>
                        <w:right w:val="none" w:sz="0" w:space="0" w:color="auto"/>
                      </w:divBdr>
                      <w:divsChild>
                        <w:div w:id="450131203">
                          <w:marLeft w:val="0"/>
                          <w:marRight w:val="0"/>
                          <w:marTop w:val="0"/>
                          <w:marBottom w:val="0"/>
                          <w:divBdr>
                            <w:top w:val="none" w:sz="0" w:space="0" w:color="auto"/>
                            <w:left w:val="none" w:sz="0" w:space="0" w:color="auto"/>
                            <w:bottom w:val="none" w:sz="0" w:space="0" w:color="auto"/>
                            <w:right w:val="none" w:sz="0" w:space="0" w:color="auto"/>
                          </w:divBdr>
                          <w:divsChild>
                            <w:div w:id="399716206">
                              <w:marLeft w:val="0"/>
                              <w:marRight w:val="0"/>
                              <w:marTop w:val="0"/>
                              <w:marBottom w:val="0"/>
                              <w:divBdr>
                                <w:top w:val="none" w:sz="0" w:space="0" w:color="auto"/>
                                <w:left w:val="none" w:sz="0" w:space="0" w:color="auto"/>
                                <w:bottom w:val="none" w:sz="0" w:space="0" w:color="auto"/>
                                <w:right w:val="none" w:sz="0" w:space="0" w:color="auto"/>
                              </w:divBdr>
                              <w:divsChild>
                                <w:div w:id="1481843855">
                                  <w:marLeft w:val="0"/>
                                  <w:marRight w:val="0"/>
                                  <w:marTop w:val="0"/>
                                  <w:marBottom w:val="0"/>
                                  <w:divBdr>
                                    <w:top w:val="none" w:sz="0" w:space="0" w:color="auto"/>
                                    <w:left w:val="none" w:sz="0" w:space="0" w:color="auto"/>
                                    <w:bottom w:val="none" w:sz="0" w:space="0" w:color="auto"/>
                                    <w:right w:val="none" w:sz="0" w:space="0" w:color="auto"/>
                                  </w:divBdr>
                                  <w:divsChild>
                                    <w:div w:id="1787503544">
                                      <w:marLeft w:val="0"/>
                                      <w:marRight w:val="0"/>
                                      <w:marTop w:val="0"/>
                                      <w:marBottom w:val="0"/>
                                      <w:divBdr>
                                        <w:top w:val="none" w:sz="0" w:space="0" w:color="auto"/>
                                        <w:left w:val="none" w:sz="0" w:space="0" w:color="auto"/>
                                        <w:bottom w:val="none" w:sz="0" w:space="0" w:color="auto"/>
                                        <w:right w:val="none" w:sz="0" w:space="0" w:color="auto"/>
                                      </w:divBdr>
                                      <w:divsChild>
                                        <w:div w:id="1655986038">
                                          <w:marLeft w:val="0"/>
                                          <w:marRight w:val="0"/>
                                          <w:marTop w:val="0"/>
                                          <w:marBottom w:val="0"/>
                                          <w:divBdr>
                                            <w:top w:val="none" w:sz="0" w:space="0" w:color="auto"/>
                                            <w:left w:val="none" w:sz="0" w:space="0" w:color="auto"/>
                                            <w:bottom w:val="none" w:sz="0" w:space="0" w:color="auto"/>
                                            <w:right w:val="none" w:sz="0" w:space="0" w:color="auto"/>
                                          </w:divBdr>
                                          <w:divsChild>
                                            <w:div w:id="416630711">
                                              <w:marLeft w:val="0"/>
                                              <w:marRight w:val="0"/>
                                              <w:marTop w:val="0"/>
                                              <w:marBottom w:val="221"/>
                                              <w:divBdr>
                                                <w:top w:val="none" w:sz="0" w:space="0" w:color="auto"/>
                                                <w:left w:val="none" w:sz="0" w:space="0" w:color="auto"/>
                                                <w:bottom w:val="none" w:sz="0" w:space="0" w:color="auto"/>
                                                <w:right w:val="none" w:sz="0" w:space="0" w:color="auto"/>
                                              </w:divBdr>
                                              <w:divsChild>
                                                <w:div w:id="144854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1.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FF60A-704F-4554-ACE6-170F603B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1477</Words>
  <Characters>8422</Characters>
  <Application>Microsoft Office Word</Application>
  <DocSecurity>0</DocSecurity>
  <Lines>70</Lines>
  <Paragraphs>19</Paragraphs>
  <ScaleCrop>false</ScaleCrop>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55</cp:revision>
  <dcterms:created xsi:type="dcterms:W3CDTF">2020-10-23T06:16:00Z</dcterms:created>
  <dcterms:modified xsi:type="dcterms:W3CDTF">2020-10-23T09:34:00Z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