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C3B228C"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4B05">
        <w:rPr>
          <w:bCs/>
          <w:noProof w:val="0"/>
          <w:sz w:val="24"/>
          <w:szCs w:val="24"/>
        </w:rPr>
        <w:t>3</w:t>
      </w:r>
      <w:r w:rsidR="00A92278">
        <w:rPr>
          <w:bCs/>
          <w:noProof w:val="0"/>
          <w:sz w:val="24"/>
          <w:szCs w:val="24"/>
        </w:rPr>
        <w:t>-e</w:t>
      </w:r>
      <w:r w:rsidR="001348FE">
        <w:rPr>
          <w:bCs/>
          <w:noProof w:val="0"/>
          <w:sz w:val="24"/>
          <w:szCs w:val="24"/>
        </w:rPr>
        <w:tab/>
      </w:r>
      <w:r w:rsidR="00BA1872" w:rsidRPr="009441D8">
        <w:rPr>
          <w:bCs/>
          <w:noProof w:val="0"/>
          <w:sz w:val="24"/>
          <w:szCs w:val="24"/>
        </w:rPr>
        <w:t>R1-</w:t>
      </w:r>
      <w:r w:rsidR="004C5AE7" w:rsidRPr="009441D8">
        <w:rPr>
          <w:bCs/>
          <w:noProof w:val="0"/>
          <w:sz w:val="24"/>
          <w:szCs w:val="24"/>
        </w:rPr>
        <w:t>2009244</w:t>
      </w:r>
    </w:p>
    <w:p w14:paraId="30E02940" w14:textId="458CF22D" w:rsidR="00CA26CE" w:rsidRDefault="002778BD" w:rsidP="00CA26CE">
      <w:pPr>
        <w:pStyle w:val="Header"/>
        <w:rPr>
          <w:bCs/>
          <w:noProof w:val="0"/>
          <w:sz w:val="24"/>
          <w:szCs w:val="24"/>
        </w:rPr>
      </w:pPr>
      <w:r w:rsidRPr="002778BD">
        <w:rPr>
          <w:bCs/>
          <w:noProof w:val="0"/>
          <w:sz w:val="24"/>
          <w:szCs w:val="24"/>
        </w:rPr>
        <w:t xml:space="preserve">e-Meeting, </w:t>
      </w:r>
      <w:r w:rsidR="00C301A9">
        <w:rPr>
          <w:bCs/>
          <w:noProof w:val="0"/>
          <w:sz w:val="24"/>
          <w:szCs w:val="24"/>
        </w:rPr>
        <w:t>October 26</w:t>
      </w:r>
      <w:r w:rsidR="00C301A9" w:rsidRPr="00C301A9">
        <w:rPr>
          <w:bCs/>
          <w:noProof w:val="0"/>
          <w:sz w:val="24"/>
          <w:szCs w:val="24"/>
          <w:vertAlign w:val="superscript"/>
        </w:rPr>
        <w:t>th</w:t>
      </w:r>
      <w:r w:rsidR="00C301A9">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762F686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2A21">
        <w:rPr>
          <w:rFonts w:cs="Arial"/>
          <w:b/>
          <w:bCs/>
          <w:sz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EBAF2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B0781">
        <w:rPr>
          <w:rFonts w:ascii="Arial" w:hAnsi="Arial" w:cs="Arial"/>
          <w:b/>
          <w:bCs/>
          <w:sz w:val="24"/>
        </w:rPr>
        <w:t>Further discussion o</w:t>
      </w:r>
      <w:r w:rsidR="00637CAC">
        <w:rPr>
          <w:rFonts w:ascii="Arial" w:hAnsi="Arial" w:cs="Arial"/>
          <w:b/>
          <w:bCs/>
          <w:sz w:val="24"/>
        </w:rPr>
        <w:t>n HARQ operation for NTN systems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5821EBAF" w:rsidR="004A77B1" w:rsidRDefault="00637CAC" w:rsidP="00A64A6E">
      <w:bookmarkStart w:id="2" w:name="_Hlk510705081"/>
      <w:r>
        <w:t xml:space="preserve">In the last </w:t>
      </w:r>
      <w:r w:rsidR="004A77B1">
        <w:t>RAN1#10</w:t>
      </w:r>
      <w:r>
        <w:t>2</w:t>
      </w:r>
      <w:r w:rsidR="00A92278">
        <w:t>-e</w:t>
      </w:r>
      <w:r>
        <w:t xml:space="preserve"> meeting there were some discussions on the HARQ operation for supporting NR over NTN. The discussions led to two agreements – one related to the potential of disabling HARQ feedback at least on a per-HARQ process level, while the other was related to the number of HARQ processes. The two agreements are repeated here for easy reference </w:t>
      </w:r>
      <w:r>
        <w:fldChar w:fldCharType="begin"/>
      </w:r>
      <w:r>
        <w:instrText xml:space="preserve"> REF _Ref53137629 \r \h </w:instrText>
      </w:r>
      <w:r>
        <w:fldChar w:fldCharType="separate"/>
      </w:r>
      <w:r>
        <w:t>[1]</w:t>
      </w:r>
      <w:r>
        <w:fldChar w:fldCharType="end"/>
      </w:r>
      <w:r>
        <w:t>:</w:t>
      </w:r>
    </w:p>
    <w:p w14:paraId="2371E9E8" w14:textId="77777777" w:rsidR="00637CAC" w:rsidRPr="00637CAC" w:rsidRDefault="00637CAC" w:rsidP="00637CAC">
      <w:pPr>
        <w:overflowPunct/>
        <w:autoSpaceDE/>
        <w:autoSpaceDN/>
        <w:adjustRightInd/>
        <w:spacing w:after="0"/>
        <w:ind w:left="284"/>
        <w:textAlignment w:val="auto"/>
        <w:rPr>
          <w:rFonts w:ascii="Calibri" w:hAnsi="Calibri" w:cs="Calibri"/>
          <w:sz w:val="22"/>
          <w:szCs w:val="22"/>
          <w:lang w:val="en-US" w:eastAsia="x-none"/>
        </w:rPr>
      </w:pPr>
      <w:r w:rsidRPr="00637CAC">
        <w:rPr>
          <w:rFonts w:ascii="Calibri" w:hAnsi="Calibri" w:cs="Calibri"/>
          <w:sz w:val="22"/>
          <w:szCs w:val="22"/>
          <w:highlight w:val="green"/>
          <w:lang w:val="en-US" w:eastAsia="x-none"/>
        </w:rPr>
        <w:t>Agreement:</w:t>
      </w:r>
    </w:p>
    <w:p w14:paraId="64273B53" w14:textId="77777777" w:rsidR="00637CAC" w:rsidRPr="00637CAC" w:rsidRDefault="00637CAC" w:rsidP="00637CAC">
      <w:pPr>
        <w:overflowPunct/>
        <w:autoSpaceDE/>
        <w:autoSpaceDN/>
        <w:adjustRightInd/>
        <w:spacing w:after="0"/>
        <w:ind w:left="284"/>
        <w:textAlignment w:val="auto"/>
        <w:rPr>
          <w:rFonts w:ascii="Calibri" w:hAnsi="Calibri" w:cs="Calibri"/>
          <w:sz w:val="22"/>
          <w:szCs w:val="22"/>
          <w:lang w:val="en-US" w:eastAsia="x-none"/>
        </w:rPr>
      </w:pPr>
      <w:r w:rsidRPr="00637CAC">
        <w:rPr>
          <w:rFonts w:ascii="Calibri" w:hAnsi="Calibri" w:cs="Calibri"/>
          <w:sz w:val="22"/>
          <w:szCs w:val="22"/>
          <w:lang w:val="en-US" w:eastAsia="x-none"/>
        </w:rPr>
        <w:t>Enabling/disabling on HARQ feedback for downlink transmission should be at least configurable per HARQ process via UE specific RRC signaling</w:t>
      </w:r>
    </w:p>
    <w:p w14:paraId="501BDB62" w14:textId="77777777" w:rsidR="00637CAC" w:rsidRPr="00637CAC" w:rsidRDefault="00637CAC" w:rsidP="00637CAC">
      <w:pPr>
        <w:overflowPunct/>
        <w:autoSpaceDE/>
        <w:autoSpaceDN/>
        <w:adjustRightInd/>
        <w:spacing w:after="0"/>
        <w:ind w:left="284"/>
        <w:textAlignment w:val="auto"/>
        <w:rPr>
          <w:rFonts w:ascii="Calibri" w:hAnsi="Calibri" w:cs="Calibri"/>
          <w:sz w:val="22"/>
          <w:szCs w:val="22"/>
          <w:lang w:val="en-US" w:eastAsia="x-none"/>
        </w:rPr>
      </w:pPr>
    </w:p>
    <w:p w14:paraId="57BC1E95" w14:textId="77777777" w:rsidR="00637CAC" w:rsidRPr="00637CAC" w:rsidRDefault="00637CAC" w:rsidP="00637CAC">
      <w:pPr>
        <w:overflowPunct/>
        <w:autoSpaceDE/>
        <w:autoSpaceDN/>
        <w:adjustRightInd/>
        <w:spacing w:after="0"/>
        <w:ind w:left="284"/>
        <w:textAlignment w:val="auto"/>
        <w:rPr>
          <w:rFonts w:ascii="Calibri" w:hAnsi="Calibri" w:cs="Calibri"/>
          <w:sz w:val="22"/>
          <w:szCs w:val="22"/>
          <w:lang w:val="en-US" w:eastAsia="x-none"/>
        </w:rPr>
      </w:pPr>
      <w:r w:rsidRPr="00637CAC">
        <w:rPr>
          <w:rFonts w:ascii="Calibri" w:hAnsi="Calibri" w:cs="Calibri"/>
          <w:sz w:val="22"/>
          <w:szCs w:val="22"/>
          <w:highlight w:val="green"/>
          <w:lang w:val="en-US" w:eastAsia="x-none"/>
        </w:rPr>
        <w:t>Agreement:</w:t>
      </w:r>
    </w:p>
    <w:p w14:paraId="66EE2E1E" w14:textId="77777777" w:rsidR="00637CAC" w:rsidRPr="00637CAC" w:rsidRDefault="00637CAC" w:rsidP="00637CAC">
      <w:pPr>
        <w:overflowPunct/>
        <w:autoSpaceDE/>
        <w:autoSpaceDN/>
        <w:adjustRightInd/>
        <w:spacing w:after="0"/>
        <w:ind w:left="284"/>
        <w:textAlignment w:val="auto"/>
        <w:rPr>
          <w:rFonts w:ascii="Calibri" w:hAnsi="Calibri" w:cs="Calibri"/>
          <w:sz w:val="22"/>
          <w:szCs w:val="22"/>
          <w:lang w:val="en-US" w:eastAsia="x-none"/>
        </w:rPr>
      </w:pPr>
      <w:r w:rsidRPr="00637CAC">
        <w:rPr>
          <w:rFonts w:ascii="Calibri" w:hAnsi="Calibri" w:cs="Calibri"/>
          <w:sz w:val="22"/>
          <w:szCs w:val="22"/>
          <w:lang w:val="en-US" w:eastAsia="x-none"/>
        </w:rPr>
        <w:t>The extension of maximal HARQ process number can be considered with following assumptions:</w:t>
      </w:r>
    </w:p>
    <w:p w14:paraId="5A6C15A1" w14:textId="77777777" w:rsidR="00637CAC" w:rsidRPr="00637CAC" w:rsidRDefault="00637CAC" w:rsidP="00637CAC">
      <w:pPr>
        <w:numPr>
          <w:ilvl w:val="0"/>
          <w:numId w:val="28"/>
        </w:numPr>
        <w:overflowPunct/>
        <w:autoSpaceDE/>
        <w:autoSpaceDN/>
        <w:adjustRightInd/>
        <w:spacing w:after="0"/>
        <w:ind w:left="1004"/>
        <w:textAlignment w:val="auto"/>
        <w:rPr>
          <w:rFonts w:ascii="Calibri" w:hAnsi="Calibri" w:cs="Calibri"/>
          <w:sz w:val="22"/>
          <w:szCs w:val="22"/>
          <w:lang w:val="en-US" w:eastAsia="x-none"/>
        </w:rPr>
      </w:pPr>
      <w:r w:rsidRPr="00637CAC">
        <w:rPr>
          <w:rFonts w:ascii="Calibri" w:hAnsi="Calibri" w:cs="Calibri"/>
          <w:sz w:val="22"/>
          <w:szCs w:val="22"/>
          <w:lang w:val="en-US" w:eastAsia="x-none"/>
        </w:rPr>
        <w:t>The maximal supported HARQ process number is up to 32.</w:t>
      </w:r>
    </w:p>
    <w:p w14:paraId="7F86AE6E" w14:textId="77777777" w:rsidR="00637CAC" w:rsidRPr="00637CAC" w:rsidRDefault="00637CAC" w:rsidP="00637CAC">
      <w:pPr>
        <w:numPr>
          <w:ilvl w:val="0"/>
          <w:numId w:val="28"/>
        </w:numPr>
        <w:overflowPunct/>
        <w:autoSpaceDE/>
        <w:autoSpaceDN/>
        <w:adjustRightInd/>
        <w:spacing w:after="0"/>
        <w:ind w:left="1004"/>
        <w:textAlignment w:val="auto"/>
        <w:rPr>
          <w:rFonts w:ascii="Calibri" w:hAnsi="Calibri" w:cs="Calibri"/>
          <w:sz w:val="22"/>
          <w:szCs w:val="22"/>
          <w:lang w:val="en-US" w:eastAsia="x-none"/>
        </w:rPr>
      </w:pPr>
      <w:r w:rsidRPr="00637CAC">
        <w:rPr>
          <w:rFonts w:ascii="Calibri" w:hAnsi="Calibri" w:cs="Calibri"/>
          <w:sz w:val="22"/>
          <w:szCs w:val="22"/>
          <w:lang w:val="en-US" w:eastAsia="x-none"/>
        </w:rPr>
        <w:t>FFS: Support on the maximal HARQ process number is up to UE capability</w:t>
      </w:r>
    </w:p>
    <w:p w14:paraId="6CDEB635" w14:textId="77777777" w:rsidR="00637CAC" w:rsidRPr="00637CAC" w:rsidRDefault="00637CAC" w:rsidP="00637CAC">
      <w:pPr>
        <w:numPr>
          <w:ilvl w:val="0"/>
          <w:numId w:val="28"/>
        </w:numPr>
        <w:overflowPunct/>
        <w:autoSpaceDE/>
        <w:autoSpaceDN/>
        <w:adjustRightInd/>
        <w:spacing w:after="0"/>
        <w:ind w:left="1004"/>
        <w:textAlignment w:val="auto"/>
        <w:rPr>
          <w:rFonts w:ascii="Calibri" w:hAnsi="Calibri" w:cs="Calibri"/>
          <w:sz w:val="22"/>
          <w:szCs w:val="22"/>
          <w:lang w:val="en-US" w:eastAsia="x-none"/>
        </w:rPr>
      </w:pPr>
      <w:r w:rsidRPr="00637CAC">
        <w:rPr>
          <w:rFonts w:ascii="Calibri" w:hAnsi="Calibri" w:cs="Calibri"/>
          <w:sz w:val="22"/>
          <w:szCs w:val="22"/>
          <w:lang w:val="en-US" w:eastAsia="x-none"/>
        </w:rPr>
        <w:t>Minimizing the impacts on specification and scheduling</w:t>
      </w:r>
    </w:p>
    <w:p w14:paraId="285B72B7" w14:textId="574C9DA9" w:rsidR="00637CAC" w:rsidRPr="00637CAC" w:rsidRDefault="00637CAC" w:rsidP="00A64A6E">
      <w:pPr>
        <w:rPr>
          <w:lang w:val="en-US"/>
        </w:rPr>
      </w:pPr>
    </w:p>
    <w:p w14:paraId="31494BAA" w14:textId="23A074A6" w:rsidR="00637CAC" w:rsidRDefault="00832CE2" w:rsidP="00A64A6E">
      <w:r>
        <w:t>This contribution will further discuss the aspects related to the operation of HARQ for supporting NR over NTN.</w:t>
      </w:r>
    </w:p>
    <w:p w14:paraId="71230483" w14:textId="72F9C930" w:rsidR="00305297" w:rsidRDefault="007820D0" w:rsidP="00A23DCA">
      <w:pPr>
        <w:pStyle w:val="Heading1"/>
      </w:pPr>
      <w:r>
        <w:t>Discussion</w:t>
      </w:r>
    </w:p>
    <w:p w14:paraId="099DBEAA" w14:textId="13C49FD2" w:rsidR="00832CE2" w:rsidRDefault="00832CE2" w:rsidP="001F201D">
      <w:r>
        <w:t>In the TR</w:t>
      </w:r>
      <w:r w:rsidR="006F1BE6">
        <w:t xml:space="preserve"> for </w:t>
      </w:r>
      <w:r w:rsidR="00B166E0">
        <w:t xml:space="preserve">NR over </w:t>
      </w:r>
      <w:r w:rsidR="006F1BE6">
        <w:t>NTN</w:t>
      </w:r>
      <w:r>
        <w:t xml:space="preserve"> </w:t>
      </w:r>
      <w:r>
        <w:fldChar w:fldCharType="begin"/>
      </w:r>
      <w:r>
        <w:instrText xml:space="preserve"> REF _Ref53139714 \r \h </w:instrText>
      </w:r>
      <w:r>
        <w:fldChar w:fldCharType="separate"/>
      </w:r>
      <w:r>
        <w:t>[2]</w:t>
      </w:r>
      <w:r>
        <w:fldChar w:fldCharType="end"/>
      </w:r>
      <w:r>
        <w:t xml:space="preserve">, RAN1 has raised concerns about the effects of the long latency in the NTN physical interface over the HARQ performance and capabilities. One of the main challenges identified is related to the stop-and-wait mechanisms in HARQ. Through the agreement from last meeting of allowing to enabling or disabling HARQ feedback </w:t>
      </w:r>
      <w:r>
        <w:fldChar w:fldCharType="begin"/>
      </w:r>
      <w:r>
        <w:instrText xml:space="preserve"> REF _Ref53137629 \r \h </w:instrText>
      </w:r>
      <w:r>
        <w:fldChar w:fldCharType="separate"/>
      </w:r>
      <w:r>
        <w:t>[1]</w:t>
      </w:r>
      <w:r>
        <w:fldChar w:fldCharType="end"/>
      </w:r>
      <w:r>
        <w:t xml:space="preserve">, the HARQ stalling problem </w:t>
      </w:r>
      <w:r w:rsidR="003251BD">
        <w:t>has been</w:t>
      </w:r>
      <w:r>
        <w:t xml:space="preserve"> put under the </w:t>
      </w:r>
      <w:proofErr w:type="spellStart"/>
      <w:r>
        <w:t>gNB</w:t>
      </w:r>
      <w:proofErr w:type="spellEnd"/>
      <w:r>
        <w:t xml:space="preserve"> control, such that the </w:t>
      </w:r>
      <w:proofErr w:type="spellStart"/>
      <w:r>
        <w:t>gNB</w:t>
      </w:r>
      <w:proofErr w:type="spellEnd"/>
      <w:r>
        <w:t xml:space="preserve"> will have the possibility</w:t>
      </w:r>
      <w:r w:rsidR="00B166E0">
        <w:t xml:space="preserve"> to </w:t>
      </w:r>
      <w:r>
        <w:t xml:space="preserve">control the amount of feedback in the system. If the </w:t>
      </w:r>
      <w:proofErr w:type="spellStart"/>
      <w:r>
        <w:t>gNB</w:t>
      </w:r>
      <w:proofErr w:type="spellEnd"/>
      <w:r>
        <w:t xml:space="preserve"> for such cases performs its scheduling with considerations of the lack of HARQ protection, it should be possible to achieve the required performance as shown in </w:t>
      </w:r>
      <w:r>
        <w:fldChar w:fldCharType="begin"/>
      </w:r>
      <w:r>
        <w:instrText xml:space="preserve"> REF _Ref53139999 \r \h </w:instrText>
      </w:r>
      <w:r>
        <w:fldChar w:fldCharType="separate"/>
      </w:r>
      <w:r>
        <w:t>[4]</w:t>
      </w:r>
      <w:r>
        <w:fldChar w:fldCharType="end"/>
      </w:r>
      <w:r>
        <w:t xml:space="preserve">. In </w:t>
      </w:r>
      <w:r>
        <w:fldChar w:fldCharType="begin"/>
      </w:r>
      <w:r>
        <w:instrText xml:space="preserve"> REF _Ref53139999 \r \h </w:instrText>
      </w:r>
      <w:r>
        <w:fldChar w:fldCharType="separate"/>
      </w:r>
      <w:r>
        <w:t>[4]</w:t>
      </w:r>
      <w:r>
        <w:fldChar w:fldCharType="end"/>
      </w:r>
      <w:r>
        <w:t xml:space="preserve"> it is shown that by disablin</w:t>
      </w:r>
      <w:r w:rsidR="00463BD9">
        <w:t>g</w:t>
      </w:r>
      <w:r>
        <w:t xml:space="preserve"> the HARQ feedback and lowering the BLER target of a given HARQ process, it is possible to reach the same peak throughput for a given SINR as compared to increasing the number of HARQ processes.</w:t>
      </w:r>
    </w:p>
    <w:p w14:paraId="4B6FF15A" w14:textId="7933E685" w:rsidR="00832CE2" w:rsidRPr="00E27D1A" w:rsidRDefault="00832CE2" w:rsidP="001F201D">
      <w:pPr>
        <w:rPr>
          <w:b/>
          <w:bCs/>
        </w:rPr>
      </w:pPr>
      <w:r w:rsidRPr="00E27D1A">
        <w:rPr>
          <w:b/>
          <w:bCs/>
        </w:rPr>
        <w:t xml:space="preserve">Observation 1: </w:t>
      </w:r>
      <w:r w:rsidR="00DD2789">
        <w:rPr>
          <w:b/>
          <w:bCs/>
        </w:rPr>
        <w:t xml:space="preserve">According to </w:t>
      </w:r>
      <w:r w:rsidR="00DD2789">
        <w:rPr>
          <w:b/>
          <w:bCs/>
        </w:rPr>
        <w:fldChar w:fldCharType="begin"/>
      </w:r>
      <w:r w:rsidR="00DD2789">
        <w:rPr>
          <w:b/>
          <w:bCs/>
        </w:rPr>
        <w:instrText xml:space="preserve"> REF _Ref53139999 \r \h </w:instrText>
      </w:r>
      <w:r w:rsidR="00DD2789">
        <w:rPr>
          <w:b/>
          <w:bCs/>
        </w:rPr>
      </w:r>
      <w:r w:rsidR="00DD2789">
        <w:rPr>
          <w:b/>
          <w:bCs/>
        </w:rPr>
        <w:fldChar w:fldCharType="separate"/>
      </w:r>
      <w:r w:rsidR="00DD2789">
        <w:rPr>
          <w:b/>
          <w:bCs/>
        </w:rPr>
        <w:t>[4]</w:t>
      </w:r>
      <w:r w:rsidR="00DD2789">
        <w:rPr>
          <w:b/>
          <w:bCs/>
        </w:rPr>
        <w:fldChar w:fldCharType="end"/>
      </w:r>
      <w:r w:rsidR="00DD2789">
        <w:rPr>
          <w:b/>
          <w:bCs/>
        </w:rPr>
        <w:t>, d</w:t>
      </w:r>
      <w:r w:rsidRPr="00E27D1A">
        <w:rPr>
          <w:b/>
          <w:bCs/>
        </w:rPr>
        <w:t xml:space="preserve">isabling HARQ </w:t>
      </w:r>
      <w:r w:rsidR="007941FD">
        <w:rPr>
          <w:b/>
          <w:bCs/>
        </w:rPr>
        <w:t>may achieve similar throughput</w:t>
      </w:r>
      <w:r w:rsidR="00E27D1A" w:rsidRPr="00E27D1A">
        <w:rPr>
          <w:b/>
          <w:bCs/>
        </w:rPr>
        <w:t xml:space="preserve"> </w:t>
      </w:r>
      <w:r w:rsidR="007941FD">
        <w:rPr>
          <w:b/>
          <w:bCs/>
        </w:rPr>
        <w:t>compared</w:t>
      </w:r>
      <w:r w:rsidR="00E27D1A" w:rsidRPr="00E27D1A">
        <w:rPr>
          <w:b/>
          <w:bCs/>
        </w:rPr>
        <w:t xml:space="preserve"> </w:t>
      </w:r>
      <w:r w:rsidR="00463BD9">
        <w:rPr>
          <w:b/>
          <w:bCs/>
        </w:rPr>
        <w:t>to</w:t>
      </w:r>
      <w:r w:rsidR="00E27D1A" w:rsidRPr="00E27D1A">
        <w:rPr>
          <w:b/>
          <w:bCs/>
        </w:rPr>
        <w:t xml:space="preserve"> increasing the number of HARQ processes.</w:t>
      </w:r>
    </w:p>
    <w:p w14:paraId="32EA5236" w14:textId="2DC861D1" w:rsidR="00E27D1A" w:rsidRPr="000A55FC" w:rsidRDefault="001A755D" w:rsidP="001F201D">
      <w:r>
        <w:t xml:space="preserve">It should be observed that </w:t>
      </w:r>
      <w:r w:rsidR="00762F65">
        <w:t xml:space="preserve">when </w:t>
      </w:r>
      <w:r w:rsidR="00E45092">
        <w:t xml:space="preserve">operating the system without HARQ feedback, there are multiple potential benefits, while there are also </w:t>
      </w:r>
      <w:r w:rsidR="00E45092" w:rsidRPr="000A55FC">
        <w:t>some potential drawbacks. These are:</w:t>
      </w:r>
    </w:p>
    <w:p w14:paraId="21CAFFE4" w14:textId="16132539" w:rsidR="00E45092" w:rsidRDefault="000A55FC" w:rsidP="00892F5F">
      <w:pPr>
        <w:pStyle w:val="ListParagraph"/>
        <w:numPr>
          <w:ilvl w:val="0"/>
          <w:numId w:val="28"/>
        </w:numPr>
        <w:rPr>
          <w:sz w:val="20"/>
          <w:szCs w:val="20"/>
        </w:rPr>
      </w:pPr>
      <w:proofErr w:type="spellStart"/>
      <w:r w:rsidRPr="000A55FC">
        <w:rPr>
          <w:sz w:val="20"/>
          <w:szCs w:val="20"/>
        </w:rPr>
        <w:t>The</w:t>
      </w:r>
      <w:proofErr w:type="spellEnd"/>
      <w:r w:rsidRPr="000A55FC">
        <w:rPr>
          <w:sz w:val="20"/>
          <w:szCs w:val="20"/>
        </w:rPr>
        <w:t xml:space="preserve"> </w:t>
      </w:r>
      <w:proofErr w:type="spellStart"/>
      <w:r>
        <w:rPr>
          <w:sz w:val="20"/>
          <w:szCs w:val="20"/>
        </w:rPr>
        <w:t>problem</w:t>
      </w:r>
      <w:proofErr w:type="spellEnd"/>
      <w:r>
        <w:rPr>
          <w:sz w:val="20"/>
          <w:szCs w:val="20"/>
        </w:rPr>
        <w:t xml:space="preserve"> of HARQ </w:t>
      </w:r>
      <w:proofErr w:type="spellStart"/>
      <w:r>
        <w:rPr>
          <w:sz w:val="20"/>
          <w:szCs w:val="20"/>
        </w:rPr>
        <w:t>stalling</w:t>
      </w:r>
      <w:proofErr w:type="spellEnd"/>
      <w:r>
        <w:rPr>
          <w:sz w:val="20"/>
          <w:szCs w:val="20"/>
        </w:rPr>
        <w:t xml:space="preserve"> is </w:t>
      </w:r>
      <w:proofErr w:type="spellStart"/>
      <w:r>
        <w:rPr>
          <w:sz w:val="20"/>
          <w:szCs w:val="20"/>
        </w:rPr>
        <w:t>avoided</w:t>
      </w:r>
      <w:proofErr w:type="spellEnd"/>
    </w:p>
    <w:p w14:paraId="7787AF08" w14:textId="455CBEA4" w:rsidR="000A55FC" w:rsidRDefault="000A55FC" w:rsidP="00892F5F">
      <w:pPr>
        <w:pStyle w:val="ListParagraph"/>
        <w:numPr>
          <w:ilvl w:val="0"/>
          <w:numId w:val="28"/>
        </w:numPr>
        <w:rPr>
          <w:sz w:val="20"/>
          <w:szCs w:val="20"/>
        </w:rPr>
      </w:pPr>
      <w:proofErr w:type="spellStart"/>
      <w:r>
        <w:rPr>
          <w:sz w:val="20"/>
          <w:szCs w:val="20"/>
        </w:rPr>
        <w:t>The</w:t>
      </w:r>
      <w:proofErr w:type="spellEnd"/>
      <w:r>
        <w:rPr>
          <w:sz w:val="20"/>
          <w:szCs w:val="20"/>
        </w:rPr>
        <w:t xml:space="preserve"> </w:t>
      </w:r>
      <w:proofErr w:type="spellStart"/>
      <w:r w:rsidR="00484A10">
        <w:rPr>
          <w:sz w:val="20"/>
          <w:szCs w:val="20"/>
        </w:rPr>
        <w:t>need</w:t>
      </w:r>
      <w:proofErr w:type="spellEnd"/>
      <w:r w:rsidR="00484A10">
        <w:rPr>
          <w:sz w:val="20"/>
          <w:szCs w:val="20"/>
        </w:rPr>
        <w:t xml:space="preserve"> for </w:t>
      </w:r>
      <w:proofErr w:type="spellStart"/>
      <w:r w:rsidR="00484A10">
        <w:rPr>
          <w:sz w:val="20"/>
          <w:szCs w:val="20"/>
        </w:rPr>
        <w:t>providing</w:t>
      </w:r>
      <w:proofErr w:type="spellEnd"/>
      <w:r w:rsidR="00484A10">
        <w:rPr>
          <w:sz w:val="20"/>
          <w:szCs w:val="20"/>
        </w:rPr>
        <w:t xml:space="preserve"> UL HARQ-ACK feedback </w:t>
      </w:r>
      <w:proofErr w:type="spellStart"/>
      <w:r w:rsidR="00484A10">
        <w:rPr>
          <w:sz w:val="20"/>
          <w:szCs w:val="20"/>
        </w:rPr>
        <w:t>may</w:t>
      </w:r>
      <w:proofErr w:type="spellEnd"/>
      <w:r w:rsidR="00484A10">
        <w:rPr>
          <w:sz w:val="20"/>
          <w:szCs w:val="20"/>
        </w:rPr>
        <w:t xml:space="preserve"> </w:t>
      </w:r>
      <w:proofErr w:type="spellStart"/>
      <w:r w:rsidR="00484A10">
        <w:rPr>
          <w:sz w:val="20"/>
          <w:szCs w:val="20"/>
        </w:rPr>
        <w:t>be</w:t>
      </w:r>
      <w:proofErr w:type="spellEnd"/>
      <w:r w:rsidR="00484A10">
        <w:rPr>
          <w:sz w:val="20"/>
          <w:szCs w:val="20"/>
        </w:rPr>
        <w:t xml:space="preserve"> </w:t>
      </w:r>
      <w:proofErr w:type="spellStart"/>
      <w:r w:rsidR="00484A10">
        <w:rPr>
          <w:sz w:val="20"/>
          <w:szCs w:val="20"/>
        </w:rPr>
        <w:t>reduced</w:t>
      </w:r>
      <w:proofErr w:type="spellEnd"/>
    </w:p>
    <w:p w14:paraId="6F998207" w14:textId="571F751A" w:rsidR="00484A10" w:rsidRDefault="00DB234D" w:rsidP="00892F5F">
      <w:pPr>
        <w:pStyle w:val="ListParagraph"/>
        <w:numPr>
          <w:ilvl w:val="0"/>
          <w:numId w:val="28"/>
        </w:numPr>
        <w:rPr>
          <w:sz w:val="20"/>
          <w:szCs w:val="20"/>
        </w:rPr>
      </w:pPr>
      <w:proofErr w:type="spellStart"/>
      <w:r>
        <w:rPr>
          <w:sz w:val="20"/>
          <w:szCs w:val="20"/>
        </w:rPr>
        <w:t>The</w:t>
      </w:r>
      <w:proofErr w:type="spellEnd"/>
      <w:r>
        <w:rPr>
          <w:sz w:val="20"/>
          <w:szCs w:val="20"/>
        </w:rPr>
        <w:t xml:space="preserve"> </w:t>
      </w:r>
      <w:proofErr w:type="spellStart"/>
      <w:r>
        <w:rPr>
          <w:sz w:val="20"/>
          <w:szCs w:val="20"/>
        </w:rPr>
        <w:t>maximum</w:t>
      </w:r>
      <w:proofErr w:type="spellEnd"/>
      <w:r>
        <w:rPr>
          <w:sz w:val="20"/>
          <w:szCs w:val="20"/>
        </w:rPr>
        <w:t xml:space="preserve"> </w:t>
      </w:r>
      <w:proofErr w:type="spellStart"/>
      <w:r>
        <w:rPr>
          <w:sz w:val="20"/>
          <w:szCs w:val="20"/>
        </w:rPr>
        <w:t>delay</w:t>
      </w:r>
      <w:proofErr w:type="spellEnd"/>
      <w:r>
        <w:rPr>
          <w:sz w:val="20"/>
          <w:szCs w:val="20"/>
        </w:rPr>
        <w:t xml:space="preserve"> for </w:t>
      </w:r>
      <w:proofErr w:type="spellStart"/>
      <w:r>
        <w:rPr>
          <w:sz w:val="20"/>
          <w:szCs w:val="20"/>
        </w:rPr>
        <w:t>certain</w:t>
      </w:r>
      <w:proofErr w:type="spellEnd"/>
      <w:r>
        <w:rPr>
          <w:sz w:val="20"/>
          <w:szCs w:val="20"/>
        </w:rPr>
        <w:t xml:space="preserve"> (</w:t>
      </w:r>
      <w:proofErr w:type="spellStart"/>
      <w:r>
        <w:rPr>
          <w:sz w:val="20"/>
          <w:szCs w:val="20"/>
        </w:rPr>
        <w:t>acknowledged</w:t>
      </w:r>
      <w:proofErr w:type="spellEnd"/>
      <w:r>
        <w:rPr>
          <w:sz w:val="20"/>
          <w:szCs w:val="20"/>
        </w:rPr>
        <w:t xml:space="preserve">) </w:t>
      </w:r>
      <w:proofErr w:type="spellStart"/>
      <w:r>
        <w:rPr>
          <w:sz w:val="20"/>
          <w:szCs w:val="20"/>
        </w:rPr>
        <w:t>services</w:t>
      </w:r>
      <w:proofErr w:type="spellEnd"/>
      <w:r>
        <w:rPr>
          <w:sz w:val="20"/>
          <w:szCs w:val="20"/>
        </w:rPr>
        <w:t xml:space="preserve"> </w:t>
      </w:r>
      <w:proofErr w:type="spellStart"/>
      <w:r>
        <w:rPr>
          <w:sz w:val="20"/>
          <w:szCs w:val="20"/>
        </w:rPr>
        <w:t>might</w:t>
      </w:r>
      <w:proofErr w:type="spellEnd"/>
      <w:r>
        <w:rPr>
          <w:sz w:val="20"/>
          <w:szCs w:val="20"/>
        </w:rPr>
        <w:t xml:space="preserve"> </w:t>
      </w:r>
      <w:proofErr w:type="spellStart"/>
      <w:r>
        <w:rPr>
          <w:sz w:val="20"/>
          <w:szCs w:val="20"/>
        </w:rPr>
        <w:t>increase</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error</w:t>
      </w:r>
      <w:proofErr w:type="spellEnd"/>
      <w:r>
        <w:rPr>
          <w:sz w:val="20"/>
          <w:szCs w:val="20"/>
        </w:rPr>
        <w:t xml:space="preserve"> </w:t>
      </w:r>
      <w:proofErr w:type="spellStart"/>
      <w:r>
        <w:rPr>
          <w:sz w:val="20"/>
          <w:szCs w:val="20"/>
        </w:rPr>
        <w:t>recovery</w:t>
      </w:r>
      <w:proofErr w:type="spellEnd"/>
      <w:r>
        <w:rPr>
          <w:sz w:val="20"/>
          <w:szCs w:val="20"/>
        </w:rPr>
        <w:t xml:space="preserve"> </w:t>
      </w:r>
      <w:proofErr w:type="spellStart"/>
      <w:r>
        <w:rPr>
          <w:sz w:val="20"/>
          <w:szCs w:val="20"/>
        </w:rPr>
        <w:t>taking</w:t>
      </w:r>
      <w:proofErr w:type="spellEnd"/>
      <w:r>
        <w:rPr>
          <w:sz w:val="20"/>
          <w:szCs w:val="20"/>
        </w:rPr>
        <w:t xml:space="preserve"> </w:t>
      </w:r>
      <w:proofErr w:type="spellStart"/>
      <w:r>
        <w:rPr>
          <w:sz w:val="20"/>
          <w:szCs w:val="20"/>
        </w:rPr>
        <w:t>place</w:t>
      </w:r>
      <w:proofErr w:type="spellEnd"/>
      <w:r>
        <w:rPr>
          <w:sz w:val="20"/>
          <w:szCs w:val="20"/>
        </w:rPr>
        <w:t xml:space="preserve"> on </w:t>
      </w:r>
      <w:proofErr w:type="spellStart"/>
      <w:r>
        <w:rPr>
          <w:sz w:val="20"/>
          <w:szCs w:val="20"/>
        </w:rPr>
        <w:t>higher</w:t>
      </w:r>
      <w:proofErr w:type="spellEnd"/>
      <w:r>
        <w:rPr>
          <w:sz w:val="20"/>
          <w:szCs w:val="20"/>
        </w:rPr>
        <w:t xml:space="preserve"> </w:t>
      </w:r>
      <w:proofErr w:type="spellStart"/>
      <w:r>
        <w:rPr>
          <w:sz w:val="20"/>
          <w:szCs w:val="20"/>
        </w:rPr>
        <w:t>layers</w:t>
      </w:r>
      <w:proofErr w:type="spellEnd"/>
      <w:r>
        <w:rPr>
          <w:sz w:val="20"/>
          <w:szCs w:val="20"/>
        </w:rPr>
        <w:t>.</w:t>
      </w:r>
    </w:p>
    <w:p w14:paraId="772B9560" w14:textId="77777777" w:rsidR="00357ACF" w:rsidRPr="00357ACF" w:rsidRDefault="00357ACF" w:rsidP="00357ACF"/>
    <w:p w14:paraId="02FA5D45" w14:textId="77777777" w:rsidR="00CF447D" w:rsidRDefault="00CF447D" w:rsidP="00CF447D">
      <w:r w:rsidRPr="000A55FC">
        <w:t>Further, upon analysing the</w:t>
      </w:r>
      <w:r>
        <w:t xml:space="preserve"> system level simulation results as presented in </w:t>
      </w:r>
      <w:r>
        <w:fldChar w:fldCharType="begin"/>
      </w:r>
      <w:r>
        <w:instrText xml:space="preserve"> REF _Ref53667925 \r \h </w:instrText>
      </w:r>
      <w:r>
        <w:fldChar w:fldCharType="separate"/>
      </w:r>
      <w:r>
        <w:t>[5]</w:t>
      </w:r>
      <w:r>
        <w:fldChar w:fldCharType="end"/>
      </w:r>
      <w:r>
        <w:t>, it is observed that increasing the amount of HARQ processes above the current maximum value of 16 would bring marginal gains. When observing the simulation results for downlink the UE experienced throughput is similar at any of the observed outage levels, no matter whether 16 or 32 HARQ processes are used.</w:t>
      </w:r>
    </w:p>
    <w:p w14:paraId="59D8D6C3" w14:textId="577B8F1F" w:rsidR="00CF447D" w:rsidRDefault="00CF447D" w:rsidP="00CF447D">
      <w:pPr>
        <w:rPr>
          <w:b/>
          <w:bCs/>
        </w:rPr>
      </w:pPr>
      <w:r w:rsidRPr="00E27D1A">
        <w:rPr>
          <w:b/>
          <w:bCs/>
        </w:rPr>
        <w:lastRenderedPageBreak/>
        <w:t xml:space="preserve">Observation </w:t>
      </w:r>
      <w:r>
        <w:rPr>
          <w:b/>
          <w:bCs/>
        </w:rPr>
        <w:t>2</w:t>
      </w:r>
      <w:r w:rsidRPr="00E27D1A">
        <w:rPr>
          <w:b/>
          <w:bCs/>
        </w:rPr>
        <w:t xml:space="preserve">: </w:t>
      </w:r>
      <w:r>
        <w:rPr>
          <w:b/>
          <w:bCs/>
        </w:rPr>
        <w:t xml:space="preserve">According to </w:t>
      </w:r>
      <w:r>
        <w:rPr>
          <w:b/>
          <w:bCs/>
        </w:rPr>
        <w:fldChar w:fldCharType="begin"/>
      </w:r>
      <w:r>
        <w:rPr>
          <w:b/>
          <w:bCs/>
        </w:rPr>
        <w:instrText xml:space="preserve"> REF _Ref53667925 \r \h </w:instrText>
      </w:r>
      <w:r>
        <w:rPr>
          <w:b/>
          <w:bCs/>
        </w:rPr>
      </w:r>
      <w:r>
        <w:rPr>
          <w:b/>
          <w:bCs/>
        </w:rPr>
        <w:fldChar w:fldCharType="separate"/>
      </w:r>
      <w:r>
        <w:rPr>
          <w:b/>
          <w:bCs/>
        </w:rPr>
        <w:t>[5]</w:t>
      </w:r>
      <w:r>
        <w:rPr>
          <w:b/>
          <w:bCs/>
        </w:rPr>
        <w:fldChar w:fldCharType="end"/>
      </w:r>
      <w:r>
        <w:rPr>
          <w:b/>
          <w:bCs/>
        </w:rPr>
        <w:t xml:space="preserve">, using 16 or 32 DL HARQ processes will give similar </w:t>
      </w:r>
      <w:r w:rsidR="00594552">
        <w:rPr>
          <w:b/>
          <w:bCs/>
        </w:rPr>
        <w:t xml:space="preserve">UE experience </w:t>
      </w:r>
      <w:r w:rsidR="00DE56E0">
        <w:rPr>
          <w:b/>
          <w:bCs/>
        </w:rPr>
        <w:t>in most scenarios</w:t>
      </w:r>
    </w:p>
    <w:p w14:paraId="062247C6" w14:textId="5D0D86DC" w:rsidR="00D3095D" w:rsidRDefault="001C30D0" w:rsidP="001F201D">
      <w:r>
        <w:t xml:space="preserve">Correspondingly, increasing the </w:t>
      </w:r>
      <w:r w:rsidR="002D2FC8">
        <w:t xml:space="preserve">maximum </w:t>
      </w:r>
      <w:r w:rsidR="00792279">
        <w:t xml:space="preserve">number </w:t>
      </w:r>
      <w:r>
        <w:t>of HARQ processes from 16</w:t>
      </w:r>
      <w:r w:rsidR="002D2FC8">
        <w:t xml:space="preserve"> to 32 would </w:t>
      </w:r>
      <w:r w:rsidR="00535FA9">
        <w:t xml:space="preserve">require some amendments or adjustments to the way the HARQ process </w:t>
      </w:r>
      <w:r w:rsidR="00B4232C">
        <w:t xml:space="preserve">ID </w:t>
      </w:r>
      <w:r w:rsidR="008E04F2">
        <w:t xml:space="preserve">is indicated to the UE. Since </w:t>
      </w:r>
      <w:r w:rsidR="00792279">
        <w:t>more</w:t>
      </w:r>
      <w:r w:rsidR="008E04F2">
        <w:t xml:space="preserve"> HARQ processes is not expected to provide </w:t>
      </w:r>
      <w:r w:rsidR="00792279">
        <w:t xml:space="preserve">tangible </w:t>
      </w:r>
      <w:r w:rsidR="008E04F2">
        <w:t>gains</w:t>
      </w:r>
      <w:r w:rsidR="00792279">
        <w:t xml:space="preserve"> in NTN operating scenarios</w:t>
      </w:r>
      <w:r w:rsidR="008E04F2">
        <w:t xml:space="preserve">, this additional </w:t>
      </w:r>
      <w:r w:rsidR="00D3095D">
        <w:t>specification effort does not seem justified.</w:t>
      </w:r>
      <w:r w:rsidR="00690FB2">
        <w:t xml:space="preserve"> If the </w:t>
      </w:r>
      <w:r w:rsidR="00792279">
        <w:t>number</w:t>
      </w:r>
      <w:r w:rsidR="00690FB2">
        <w:t xml:space="preserve"> of HARQ processes for NTN operation is increased to 32, it should be noted that </w:t>
      </w:r>
      <w:r w:rsidR="002674E3">
        <w:t>any methods of implicitly indicating the HARQ process ID would have impacts on the scheduling as wel</w:t>
      </w:r>
      <w:r w:rsidR="001F01F5">
        <w:t xml:space="preserve">l, since the HARQ processes that the </w:t>
      </w:r>
      <w:proofErr w:type="spellStart"/>
      <w:r w:rsidR="001F01F5">
        <w:t>gNB</w:t>
      </w:r>
      <w:proofErr w:type="spellEnd"/>
      <w:r w:rsidR="001F01F5">
        <w:t xml:space="preserve"> will have to manage will </w:t>
      </w:r>
      <w:r w:rsidR="00165699">
        <w:t xml:space="preserve">increase as well, and the </w:t>
      </w:r>
      <w:proofErr w:type="spellStart"/>
      <w:r w:rsidR="00AA38DB">
        <w:t>gNB</w:t>
      </w:r>
      <w:proofErr w:type="spellEnd"/>
      <w:r w:rsidR="00AA38DB">
        <w:t xml:space="preserve"> will potentially lose the </w:t>
      </w:r>
      <w:r w:rsidR="00165699">
        <w:t xml:space="preserve">flexibility </w:t>
      </w:r>
      <w:r w:rsidR="00AA38DB">
        <w:t xml:space="preserve">for indicating </w:t>
      </w:r>
      <w:r w:rsidR="008C0353">
        <w:t xml:space="preserve">any HARQ process id at any time </w:t>
      </w:r>
      <w:r w:rsidR="00045035">
        <w:t xml:space="preserve">- </w:t>
      </w:r>
      <w:r w:rsidR="008C0353">
        <w:t xml:space="preserve">especially if the HARQ process ID is implicitly coupled to </w:t>
      </w:r>
      <w:r w:rsidR="00045035">
        <w:t>the system timing.</w:t>
      </w:r>
      <w:r w:rsidR="00165699">
        <w:t xml:space="preserve"> </w:t>
      </w:r>
    </w:p>
    <w:p w14:paraId="66298775" w14:textId="648A7913" w:rsidR="00401605" w:rsidRPr="00690FB2" w:rsidRDefault="00D3095D" w:rsidP="00A828CB">
      <w:pPr>
        <w:rPr>
          <w:b/>
          <w:bCs/>
        </w:rPr>
      </w:pPr>
      <w:r w:rsidRPr="00690FB2">
        <w:rPr>
          <w:b/>
          <w:bCs/>
        </w:rPr>
        <w:t>Proposal 1:</w:t>
      </w:r>
      <w:r w:rsidR="00045035">
        <w:rPr>
          <w:b/>
          <w:bCs/>
        </w:rPr>
        <w:t xml:space="preserve"> </w:t>
      </w:r>
      <w:r w:rsidR="00305086">
        <w:rPr>
          <w:b/>
          <w:bCs/>
        </w:rPr>
        <w:t xml:space="preserve">Limit the maximum of HARQ processes </w:t>
      </w:r>
      <w:r w:rsidR="00595D9D">
        <w:rPr>
          <w:b/>
          <w:bCs/>
        </w:rPr>
        <w:t xml:space="preserve">for NTN </w:t>
      </w:r>
      <w:r w:rsidR="00305086">
        <w:rPr>
          <w:b/>
          <w:bCs/>
        </w:rPr>
        <w:t xml:space="preserve">to 16 to ensure </w:t>
      </w:r>
      <w:r w:rsidR="00595D9D">
        <w:rPr>
          <w:b/>
          <w:bCs/>
        </w:rPr>
        <w:t>minimum</w:t>
      </w:r>
      <w:r w:rsidR="00305086">
        <w:rPr>
          <w:b/>
          <w:bCs/>
        </w:rPr>
        <w:t xml:space="preserve"> specification changes</w:t>
      </w:r>
    </w:p>
    <w:p w14:paraId="44289FB3" w14:textId="6AFB8AA0" w:rsidR="00D3095D" w:rsidRDefault="000D5D2D" w:rsidP="00A828CB">
      <w:r>
        <w:t xml:space="preserve">Additionally, when considering the </w:t>
      </w:r>
      <w:r w:rsidR="00174005">
        <w:t>alternative to disabling HARQ</w:t>
      </w:r>
      <w:r w:rsidR="00B465B3">
        <w:t xml:space="preserve">, which is </w:t>
      </w:r>
      <w:r w:rsidR="00B210B5">
        <w:t xml:space="preserve">slot aggregation, we have performed some link simulations, which use the following </w:t>
      </w:r>
      <w:r w:rsidR="007F4CDA">
        <w:t>configuration:</w:t>
      </w:r>
    </w:p>
    <w:tbl>
      <w:tblPr>
        <w:tblStyle w:val="GridTable4-Accent1"/>
        <w:tblW w:w="0" w:type="auto"/>
        <w:tblLook w:val="04A0" w:firstRow="1" w:lastRow="0" w:firstColumn="1" w:lastColumn="0" w:noHBand="0" w:noVBand="1"/>
      </w:tblPr>
      <w:tblGrid>
        <w:gridCol w:w="4814"/>
        <w:gridCol w:w="4815"/>
      </w:tblGrid>
      <w:tr w:rsidR="00616D44" w14:paraId="4441942C" w14:textId="77777777" w:rsidTr="003C4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5D04D8D" w14:textId="28B60A60" w:rsidR="00616D44" w:rsidRDefault="00C95104" w:rsidP="00A828CB">
            <w:r>
              <w:t>Parameter</w:t>
            </w:r>
          </w:p>
        </w:tc>
        <w:tc>
          <w:tcPr>
            <w:tcW w:w="4815" w:type="dxa"/>
          </w:tcPr>
          <w:p w14:paraId="533C1D6C" w14:textId="3BAAAF51" w:rsidR="00616D44" w:rsidRDefault="00C95104" w:rsidP="00A828CB">
            <w:pPr>
              <w:cnfStyle w:val="100000000000" w:firstRow="1" w:lastRow="0" w:firstColumn="0" w:lastColumn="0" w:oddVBand="0" w:evenVBand="0" w:oddHBand="0" w:evenHBand="0" w:firstRowFirstColumn="0" w:firstRowLastColumn="0" w:lastRowFirstColumn="0" w:lastRowLastColumn="0"/>
            </w:pPr>
            <w:r>
              <w:t>Value</w:t>
            </w:r>
          </w:p>
        </w:tc>
      </w:tr>
      <w:tr w:rsidR="00616D44" w14:paraId="0B95B3A7"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2DE30F5" w14:textId="6AB8C05E" w:rsidR="00616D44" w:rsidRDefault="00C95104" w:rsidP="00A828CB">
            <w:r>
              <w:t>Channel model</w:t>
            </w:r>
          </w:p>
        </w:tc>
        <w:tc>
          <w:tcPr>
            <w:tcW w:w="4815" w:type="dxa"/>
          </w:tcPr>
          <w:p w14:paraId="4108D9BB" w14:textId="6A4D7F78" w:rsidR="00616D44" w:rsidRPr="00AF2566" w:rsidRDefault="00AF2566" w:rsidP="00A828CB">
            <w:pPr>
              <w:cnfStyle w:val="000000100000" w:firstRow="0" w:lastRow="0" w:firstColumn="0" w:lastColumn="0" w:oddVBand="0" w:evenVBand="0" w:oddHBand="1" w:evenHBand="0" w:firstRowFirstColumn="0" w:firstRowLastColumn="0" w:lastRowFirstColumn="0" w:lastRowLastColumn="0"/>
            </w:pPr>
            <w:r w:rsidRPr="00AF2566">
              <w:t>NTN-TDL-C with DS=100 ns</w:t>
            </w:r>
          </w:p>
        </w:tc>
      </w:tr>
      <w:tr w:rsidR="00616D44" w14:paraId="1B0DC06E"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0919C38C" w14:textId="38836948" w:rsidR="00616D44" w:rsidRDefault="008B1D1F" w:rsidP="00A828CB">
            <w:r>
              <w:t>UE speed</w:t>
            </w:r>
          </w:p>
        </w:tc>
        <w:tc>
          <w:tcPr>
            <w:tcW w:w="4815" w:type="dxa"/>
          </w:tcPr>
          <w:p w14:paraId="3C6F75FA" w14:textId="1C6C623E" w:rsidR="00616D44" w:rsidRDefault="001235AC" w:rsidP="00A828CB">
            <w:pPr>
              <w:cnfStyle w:val="000000000000" w:firstRow="0" w:lastRow="0" w:firstColumn="0" w:lastColumn="0" w:oddVBand="0" w:evenVBand="0" w:oddHBand="0" w:evenHBand="0" w:firstRowFirstColumn="0" w:firstRowLastColumn="0" w:lastRowFirstColumn="0" w:lastRowLastColumn="0"/>
            </w:pPr>
            <w:r>
              <w:t>3 km/hr</w:t>
            </w:r>
          </w:p>
        </w:tc>
      </w:tr>
      <w:tr w:rsidR="00616D44" w14:paraId="6CF94D56"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99BEFCF" w14:textId="62708447" w:rsidR="00616D44" w:rsidRDefault="008B1D1F" w:rsidP="00A828CB">
            <w:r>
              <w:t>Subcarrier spacing</w:t>
            </w:r>
          </w:p>
        </w:tc>
        <w:tc>
          <w:tcPr>
            <w:tcW w:w="4815" w:type="dxa"/>
          </w:tcPr>
          <w:p w14:paraId="6E4BCCB6" w14:textId="14B5CB44" w:rsidR="00616D44" w:rsidRDefault="001235AC" w:rsidP="00A828CB">
            <w:pPr>
              <w:cnfStyle w:val="000000100000" w:firstRow="0" w:lastRow="0" w:firstColumn="0" w:lastColumn="0" w:oddVBand="0" w:evenVBand="0" w:oddHBand="1" w:evenHBand="0" w:firstRowFirstColumn="0" w:firstRowLastColumn="0" w:lastRowFirstColumn="0" w:lastRowLastColumn="0"/>
            </w:pPr>
            <w:r>
              <w:t>15 kHz</w:t>
            </w:r>
          </w:p>
        </w:tc>
      </w:tr>
      <w:tr w:rsidR="00616D44" w14:paraId="0043C831"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3318D9C0" w14:textId="6F1ECA8D" w:rsidR="00616D44" w:rsidRDefault="008B1D1F" w:rsidP="00A828CB">
            <w:r>
              <w:t>Modulation</w:t>
            </w:r>
          </w:p>
        </w:tc>
        <w:tc>
          <w:tcPr>
            <w:tcW w:w="4815" w:type="dxa"/>
          </w:tcPr>
          <w:p w14:paraId="5B6657D1" w14:textId="626181A2" w:rsidR="00616D44" w:rsidRDefault="006874AA" w:rsidP="00A828CB">
            <w:pPr>
              <w:cnfStyle w:val="000000000000" w:firstRow="0" w:lastRow="0" w:firstColumn="0" w:lastColumn="0" w:oddVBand="0" w:evenVBand="0" w:oddHBand="0" w:evenHBand="0" w:firstRowFirstColumn="0" w:firstRowLastColumn="0" w:lastRowFirstColumn="0" w:lastRowLastColumn="0"/>
            </w:pPr>
            <w:r>
              <w:t>QPSK</w:t>
            </w:r>
          </w:p>
        </w:tc>
      </w:tr>
      <w:tr w:rsidR="00616D44" w14:paraId="0CFF3FAC"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363BC6B" w14:textId="4E9AD694" w:rsidR="008B1D1F" w:rsidRDefault="008B1D1F" w:rsidP="00A828CB">
            <w:r>
              <w:t>Channel coding</w:t>
            </w:r>
          </w:p>
        </w:tc>
        <w:tc>
          <w:tcPr>
            <w:tcW w:w="4815" w:type="dxa"/>
          </w:tcPr>
          <w:p w14:paraId="64402CB0" w14:textId="52B17EA9" w:rsidR="00616D44" w:rsidRDefault="006874AA" w:rsidP="00A828CB">
            <w:pPr>
              <w:cnfStyle w:val="000000100000" w:firstRow="0" w:lastRow="0" w:firstColumn="0" w:lastColumn="0" w:oddVBand="0" w:evenVBand="0" w:oddHBand="1" w:evenHBand="0" w:firstRowFirstColumn="0" w:firstRowLastColumn="0" w:lastRowFirstColumn="0" w:lastRowLastColumn="0"/>
            </w:pPr>
            <w:r>
              <w:t>LDPC</w:t>
            </w:r>
          </w:p>
        </w:tc>
      </w:tr>
      <w:tr w:rsidR="00616D44" w14:paraId="538B1B40"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373A53E5" w14:textId="4C20D084" w:rsidR="00616D44" w:rsidRDefault="000260F8" w:rsidP="00A828CB">
            <w:r>
              <w:t>Allocated bandwidth</w:t>
            </w:r>
          </w:p>
        </w:tc>
        <w:tc>
          <w:tcPr>
            <w:tcW w:w="4815" w:type="dxa"/>
          </w:tcPr>
          <w:p w14:paraId="53B14AB0" w14:textId="21EC3145" w:rsidR="00616D44" w:rsidRDefault="006874AA" w:rsidP="00A828CB">
            <w:pPr>
              <w:cnfStyle w:val="000000000000" w:firstRow="0" w:lastRow="0" w:firstColumn="0" w:lastColumn="0" w:oddVBand="0" w:evenVBand="0" w:oddHBand="0" w:evenHBand="0" w:firstRowFirstColumn="0" w:firstRowLastColumn="0" w:lastRowFirstColumn="0" w:lastRowLastColumn="0"/>
            </w:pPr>
            <w:r>
              <w:t>6 PRBs</w:t>
            </w:r>
          </w:p>
        </w:tc>
      </w:tr>
      <w:tr w:rsidR="00616D44" w14:paraId="47870D11"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A153DF" w14:textId="11CF7FE4" w:rsidR="00616D44" w:rsidRDefault="00DE1035" w:rsidP="00A828CB">
            <w:r>
              <w:t>Redundancy versions</w:t>
            </w:r>
            <w:r w:rsidR="008D11F2">
              <w:t xml:space="preserve"> (up to 8 retransmissions)</w:t>
            </w:r>
          </w:p>
        </w:tc>
        <w:tc>
          <w:tcPr>
            <w:tcW w:w="4815" w:type="dxa"/>
          </w:tcPr>
          <w:p w14:paraId="3A1B61E3" w14:textId="3FC58CEA" w:rsidR="00616D44" w:rsidRDefault="008D11F2" w:rsidP="00A828CB">
            <w:pPr>
              <w:cnfStyle w:val="000000100000" w:firstRow="0" w:lastRow="0" w:firstColumn="0" w:lastColumn="0" w:oddVBand="0" w:evenVBand="0" w:oddHBand="1" w:evenHBand="0" w:firstRowFirstColumn="0" w:firstRowLastColumn="0" w:lastRowFirstColumn="0" w:lastRowLastColumn="0"/>
            </w:pPr>
            <w:r>
              <w:t>[0 2 3 1 0 2 3 1]</w:t>
            </w:r>
          </w:p>
        </w:tc>
      </w:tr>
      <w:tr w:rsidR="00DE1035" w14:paraId="11FC3835"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35B87B30" w14:textId="75856FA5" w:rsidR="00DE1035" w:rsidRDefault="006874AA" w:rsidP="00A828CB">
            <w:r>
              <w:t>Number of HARQ processes</w:t>
            </w:r>
          </w:p>
        </w:tc>
        <w:tc>
          <w:tcPr>
            <w:tcW w:w="4815" w:type="dxa"/>
          </w:tcPr>
          <w:p w14:paraId="015AC31F" w14:textId="2771005A" w:rsidR="00DE1035" w:rsidRDefault="006874AA" w:rsidP="00A828CB">
            <w:pPr>
              <w:cnfStyle w:val="000000000000" w:firstRow="0" w:lastRow="0" w:firstColumn="0" w:lastColumn="0" w:oddVBand="0" w:evenVBand="0" w:oddHBand="0" w:evenHBand="0" w:firstRowFirstColumn="0" w:firstRowLastColumn="0" w:lastRowFirstColumn="0" w:lastRowLastColumn="0"/>
            </w:pPr>
            <w:r>
              <w:t>16</w:t>
            </w:r>
          </w:p>
        </w:tc>
      </w:tr>
      <w:tr w:rsidR="00DE1035" w14:paraId="14A49AD2"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7294A87" w14:textId="011520A1" w:rsidR="00DE1035" w:rsidRDefault="006874AA" w:rsidP="00A828CB">
            <w:r>
              <w:t>Aggregation factor for slot aggregation</w:t>
            </w:r>
          </w:p>
        </w:tc>
        <w:tc>
          <w:tcPr>
            <w:tcW w:w="4815" w:type="dxa"/>
          </w:tcPr>
          <w:p w14:paraId="361D1468" w14:textId="59A25BE0" w:rsidR="00DE1035" w:rsidRDefault="006874AA" w:rsidP="00A828CB">
            <w:pPr>
              <w:cnfStyle w:val="000000100000" w:firstRow="0" w:lastRow="0" w:firstColumn="0" w:lastColumn="0" w:oddVBand="0" w:evenVBand="0" w:oddHBand="1" w:evenHBand="0" w:firstRowFirstColumn="0" w:firstRowLastColumn="0" w:lastRowFirstColumn="0" w:lastRowLastColumn="0"/>
            </w:pPr>
            <w:r>
              <w:t>1,2,4,8</w:t>
            </w:r>
          </w:p>
        </w:tc>
      </w:tr>
    </w:tbl>
    <w:p w14:paraId="63D40155" w14:textId="77777777" w:rsidR="007F4CDA" w:rsidRDefault="007F4CDA" w:rsidP="00A828CB"/>
    <w:p w14:paraId="73A82122" w14:textId="7D69D73A" w:rsidR="001F201D" w:rsidRDefault="00FD6383" w:rsidP="001F201D">
      <w:r>
        <w:t xml:space="preserve">Further, when evaluating the slot aggregation, the transport block sizes were configured such that the effective code rate (after a transmission burst) would correspond to ~0.1 for </w:t>
      </w:r>
      <w:r w:rsidR="00CB7587">
        <w:t>all considered cases.</w:t>
      </w:r>
    </w:p>
    <w:tbl>
      <w:tblPr>
        <w:tblStyle w:val="GridTable4-Accent5"/>
        <w:tblW w:w="0" w:type="auto"/>
        <w:tblLook w:val="04A0" w:firstRow="1" w:lastRow="0" w:firstColumn="1" w:lastColumn="0" w:noHBand="0" w:noVBand="1"/>
      </w:tblPr>
      <w:tblGrid>
        <w:gridCol w:w="4814"/>
        <w:gridCol w:w="4815"/>
      </w:tblGrid>
      <w:tr w:rsidR="00453293" w14:paraId="661F6E64" w14:textId="77777777" w:rsidTr="003C4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15B1798" w14:textId="34FAEAD8" w:rsidR="00453293" w:rsidRDefault="00EF79FC" w:rsidP="001F201D">
            <w:r>
              <w:t>Aggregation factor</w:t>
            </w:r>
            <w:r w:rsidR="005F30A2">
              <w:t>, K</w:t>
            </w:r>
          </w:p>
        </w:tc>
        <w:tc>
          <w:tcPr>
            <w:tcW w:w="4815" w:type="dxa"/>
          </w:tcPr>
          <w:p w14:paraId="0EA4DF83" w14:textId="54BE4715" w:rsidR="00453293" w:rsidRDefault="00416C7F" w:rsidP="001F201D">
            <w:pPr>
              <w:cnfStyle w:val="100000000000" w:firstRow="1" w:lastRow="0" w:firstColumn="0" w:lastColumn="0" w:oddVBand="0" w:evenVBand="0" w:oddHBand="0" w:evenHBand="0" w:firstRowFirstColumn="0" w:firstRowLastColumn="0" w:lastRowFirstColumn="0" w:lastRowLastColumn="0"/>
            </w:pPr>
            <w:r>
              <w:t>Transport block size</w:t>
            </w:r>
            <w:r w:rsidR="0038352E">
              <w:t>, N</w:t>
            </w:r>
            <w:r w:rsidR="0098060C">
              <w:t xml:space="preserve"> [bits]</w:t>
            </w:r>
          </w:p>
        </w:tc>
      </w:tr>
      <w:tr w:rsidR="00453293" w14:paraId="0A6F985C"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DAEF4F" w14:textId="19104254" w:rsidR="00453293" w:rsidRDefault="005F30A2" w:rsidP="001F201D">
            <w:r>
              <w:t>1</w:t>
            </w:r>
          </w:p>
        </w:tc>
        <w:tc>
          <w:tcPr>
            <w:tcW w:w="4815" w:type="dxa"/>
          </w:tcPr>
          <w:p w14:paraId="101B82A4" w14:textId="646AB01B" w:rsidR="00453293" w:rsidRDefault="00431162" w:rsidP="001F201D">
            <w:pPr>
              <w:cnfStyle w:val="000000100000" w:firstRow="0" w:lastRow="0" w:firstColumn="0" w:lastColumn="0" w:oddVBand="0" w:evenVBand="0" w:oddHBand="1" w:evenHBand="0" w:firstRowFirstColumn="0" w:firstRowLastColumn="0" w:lastRowFirstColumn="0" w:lastRowLastColumn="0"/>
            </w:pPr>
            <w:r>
              <w:t>200</w:t>
            </w:r>
          </w:p>
        </w:tc>
      </w:tr>
      <w:tr w:rsidR="00453293" w14:paraId="2F6D1FEF"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7634BF89" w14:textId="1FCD4C89" w:rsidR="00453293" w:rsidRDefault="005F30A2" w:rsidP="001F201D">
            <w:r>
              <w:t>2</w:t>
            </w:r>
          </w:p>
        </w:tc>
        <w:tc>
          <w:tcPr>
            <w:tcW w:w="4815" w:type="dxa"/>
          </w:tcPr>
          <w:p w14:paraId="60A4DADC" w14:textId="4D8B8880" w:rsidR="00453293" w:rsidRDefault="0098060C" w:rsidP="001F201D">
            <w:pPr>
              <w:cnfStyle w:val="000000000000" w:firstRow="0" w:lastRow="0" w:firstColumn="0" w:lastColumn="0" w:oddVBand="0" w:evenVBand="0" w:oddHBand="0" w:evenHBand="0" w:firstRowFirstColumn="0" w:firstRowLastColumn="0" w:lastRowFirstColumn="0" w:lastRowLastColumn="0"/>
            </w:pPr>
            <w:r>
              <w:t>400</w:t>
            </w:r>
          </w:p>
        </w:tc>
      </w:tr>
      <w:tr w:rsidR="00453293" w14:paraId="040D72A7" w14:textId="77777777" w:rsidTr="003C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6EF0E4" w14:textId="21FDEA34" w:rsidR="00453293" w:rsidRDefault="005F30A2" w:rsidP="001F201D">
            <w:r>
              <w:t>4</w:t>
            </w:r>
          </w:p>
        </w:tc>
        <w:tc>
          <w:tcPr>
            <w:tcW w:w="4815" w:type="dxa"/>
          </w:tcPr>
          <w:p w14:paraId="231BFEDF" w14:textId="577C6E29" w:rsidR="00453293" w:rsidRDefault="0098060C" w:rsidP="001F201D">
            <w:pPr>
              <w:cnfStyle w:val="000000100000" w:firstRow="0" w:lastRow="0" w:firstColumn="0" w:lastColumn="0" w:oddVBand="0" w:evenVBand="0" w:oddHBand="1" w:evenHBand="0" w:firstRowFirstColumn="0" w:firstRowLastColumn="0" w:lastRowFirstColumn="0" w:lastRowLastColumn="0"/>
            </w:pPr>
            <w:r>
              <w:t>800</w:t>
            </w:r>
          </w:p>
        </w:tc>
      </w:tr>
      <w:tr w:rsidR="00453293" w14:paraId="7F50105C" w14:textId="77777777" w:rsidTr="003C4E3B">
        <w:tc>
          <w:tcPr>
            <w:cnfStyle w:val="001000000000" w:firstRow="0" w:lastRow="0" w:firstColumn="1" w:lastColumn="0" w:oddVBand="0" w:evenVBand="0" w:oddHBand="0" w:evenHBand="0" w:firstRowFirstColumn="0" w:firstRowLastColumn="0" w:lastRowFirstColumn="0" w:lastRowLastColumn="0"/>
            <w:tcW w:w="4814" w:type="dxa"/>
          </w:tcPr>
          <w:p w14:paraId="12F428A4" w14:textId="250E9CD7" w:rsidR="00453293" w:rsidRDefault="005F30A2" w:rsidP="001F201D">
            <w:r>
              <w:t>8</w:t>
            </w:r>
          </w:p>
        </w:tc>
        <w:tc>
          <w:tcPr>
            <w:tcW w:w="4815" w:type="dxa"/>
          </w:tcPr>
          <w:p w14:paraId="3BC7E95B" w14:textId="5AA25580" w:rsidR="00453293" w:rsidRDefault="0098060C" w:rsidP="001F201D">
            <w:pPr>
              <w:cnfStyle w:val="000000000000" w:firstRow="0" w:lastRow="0" w:firstColumn="0" w:lastColumn="0" w:oddVBand="0" w:evenVBand="0" w:oddHBand="0" w:evenHBand="0" w:firstRowFirstColumn="0" w:firstRowLastColumn="0" w:lastRowFirstColumn="0" w:lastRowLastColumn="0"/>
            </w:pPr>
            <w:r>
              <w:t>1600</w:t>
            </w:r>
          </w:p>
        </w:tc>
      </w:tr>
    </w:tbl>
    <w:p w14:paraId="2ED9EDC4" w14:textId="77777777" w:rsidR="00CB7587" w:rsidRDefault="00CB7587" w:rsidP="001F201D"/>
    <w:p w14:paraId="5F1FEAF0" w14:textId="1DC833BD" w:rsidR="00A746E6" w:rsidRDefault="000819F0" w:rsidP="001F201D">
      <w:r>
        <w:t xml:space="preserve">The results from the link simulations are shown in </w:t>
      </w:r>
      <w:r w:rsidR="00F4033E">
        <w:fldChar w:fldCharType="begin"/>
      </w:r>
      <w:r w:rsidR="00F4033E">
        <w:instrText xml:space="preserve"> REF _Ref54261921 \h </w:instrText>
      </w:r>
      <w:r w:rsidR="00F4033E">
        <w:fldChar w:fldCharType="separate"/>
      </w:r>
      <w:r w:rsidR="00F4033E">
        <w:t xml:space="preserve">Figure </w:t>
      </w:r>
      <w:r w:rsidR="00F4033E">
        <w:rPr>
          <w:noProof/>
        </w:rPr>
        <w:t>1</w:t>
      </w:r>
      <w:r w:rsidR="00F4033E">
        <w:fldChar w:fldCharType="end"/>
      </w:r>
      <w:r w:rsidR="00F4033E">
        <w:t xml:space="preserve"> and </w:t>
      </w:r>
      <w:r w:rsidR="00F4033E">
        <w:fldChar w:fldCharType="begin"/>
      </w:r>
      <w:r w:rsidR="00F4033E">
        <w:instrText xml:space="preserve"> REF _Ref54261956 \h </w:instrText>
      </w:r>
      <w:r w:rsidR="00F4033E">
        <w:fldChar w:fldCharType="separate"/>
      </w:r>
      <w:r w:rsidR="00F4033E">
        <w:t xml:space="preserve">Figure </w:t>
      </w:r>
      <w:r w:rsidR="00F4033E">
        <w:rPr>
          <w:noProof/>
        </w:rPr>
        <w:t>2</w:t>
      </w:r>
      <w:r w:rsidR="00F4033E">
        <w:fldChar w:fldCharType="end"/>
      </w:r>
      <w:r w:rsidR="00F4033E">
        <w:t xml:space="preserve"> for the block error rate and spectral efficiency respectively. From the results it is seen that </w:t>
      </w:r>
      <w:r w:rsidR="009A7856">
        <w:t xml:space="preserve">while operating at relatively low </w:t>
      </w:r>
      <w:r w:rsidR="00AC5216">
        <w:t xml:space="preserve">effective code rate, there </w:t>
      </w:r>
      <w:r w:rsidR="008B3282">
        <w:t xml:space="preserve">is a substantial SNR gain of ~1 dB of operating the system with a slot aggregation factor of 2 or </w:t>
      </w:r>
      <w:r w:rsidR="00E75BD3">
        <w:t>4.</w:t>
      </w:r>
    </w:p>
    <w:p w14:paraId="7973C243" w14:textId="77777777" w:rsidR="000819F0" w:rsidRDefault="000819F0" w:rsidP="001F201D"/>
    <w:p w14:paraId="23F466F1" w14:textId="77777777" w:rsidR="00901FFC" w:rsidRDefault="000819F0" w:rsidP="00901FFC">
      <w:pPr>
        <w:keepNext/>
      </w:pPr>
      <w:r w:rsidRPr="000819F0">
        <w:rPr>
          <w:noProof/>
        </w:rPr>
        <w:lastRenderedPageBreak/>
        <w:drawing>
          <wp:inline distT="0" distB="0" distL="0" distR="0" wp14:anchorId="37A34039" wp14:editId="0CE39FFB">
            <wp:extent cx="3200135" cy="2399187"/>
            <wp:effectExtent l="0" t="0" r="635" b="1270"/>
            <wp:docPr id="6" name="Picture 5" descr="Chart, line chart&#10;&#10;Description automatically generated">
              <a:extLst xmlns:a="http://schemas.openxmlformats.org/drawingml/2006/main">
                <a:ext uri="{FF2B5EF4-FFF2-40B4-BE49-F238E27FC236}">
                  <a16:creationId xmlns:a16="http://schemas.microsoft.com/office/drawing/2014/main" id="{12776004-BD57-4D90-8B01-B80D6B3D32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12776004-BD57-4D90-8B01-B80D6B3D32C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00135" cy="2399187"/>
                    </a:xfrm>
                    <a:prstGeom prst="rect">
                      <a:avLst/>
                    </a:prstGeom>
                  </pic:spPr>
                </pic:pic>
              </a:graphicData>
            </a:graphic>
          </wp:inline>
        </w:drawing>
      </w:r>
    </w:p>
    <w:p w14:paraId="6F24EE23" w14:textId="2E9E8ABA" w:rsidR="000819F0" w:rsidRDefault="00901FFC" w:rsidP="00901FFC">
      <w:pPr>
        <w:pStyle w:val="Caption"/>
      </w:pPr>
      <w:bookmarkStart w:id="3" w:name="_Ref54261921"/>
      <w:r>
        <w:t xml:space="preserve">Figure </w:t>
      </w:r>
      <w:r>
        <w:fldChar w:fldCharType="begin"/>
      </w:r>
      <w:r>
        <w:instrText xml:space="preserve"> SEQ Figure \* ARABIC </w:instrText>
      </w:r>
      <w:r>
        <w:fldChar w:fldCharType="separate"/>
      </w:r>
      <w:r>
        <w:rPr>
          <w:noProof/>
        </w:rPr>
        <w:t>1</w:t>
      </w:r>
      <w:r>
        <w:fldChar w:fldCharType="end"/>
      </w:r>
      <w:bookmarkEnd w:id="3"/>
      <w:r w:rsidR="00E55818">
        <w:t xml:space="preserve"> Block error rate </w:t>
      </w:r>
      <w:r w:rsidR="00A31E77">
        <w:t>as a function of user experienced SNR for various slot aggregation levels with a target effective code rate of ~0.1.</w:t>
      </w:r>
    </w:p>
    <w:p w14:paraId="494868DA" w14:textId="77777777" w:rsidR="00C0611F" w:rsidRDefault="00C0611F" w:rsidP="001F201D"/>
    <w:p w14:paraId="62892F9C" w14:textId="77777777" w:rsidR="00901FFC" w:rsidRDefault="00C0611F" w:rsidP="00901FFC">
      <w:pPr>
        <w:keepNext/>
      </w:pPr>
      <w:r w:rsidRPr="00C0611F">
        <w:rPr>
          <w:noProof/>
        </w:rPr>
        <w:drawing>
          <wp:inline distT="0" distB="0" distL="0" distR="0" wp14:anchorId="2041F302" wp14:editId="1D1468EC">
            <wp:extent cx="3200135" cy="2399187"/>
            <wp:effectExtent l="0" t="0" r="635" b="1270"/>
            <wp:docPr id="9" name="Picture 8" descr="Chart, line chart&#10;&#10;Description automatically generated">
              <a:extLst xmlns:a="http://schemas.openxmlformats.org/drawingml/2006/main">
                <a:ext uri="{FF2B5EF4-FFF2-40B4-BE49-F238E27FC236}">
                  <a16:creationId xmlns:a16="http://schemas.microsoft.com/office/drawing/2014/main" id="{0C352AA6-A6F5-469C-AC30-5C3CC7DF2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C352AA6-A6F5-469C-AC30-5C3CC7DF2C7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00135" cy="2399187"/>
                    </a:xfrm>
                    <a:prstGeom prst="rect">
                      <a:avLst/>
                    </a:prstGeom>
                  </pic:spPr>
                </pic:pic>
              </a:graphicData>
            </a:graphic>
          </wp:inline>
        </w:drawing>
      </w:r>
    </w:p>
    <w:p w14:paraId="559D856B" w14:textId="2738CB7D" w:rsidR="00C0611F" w:rsidRDefault="00901FFC" w:rsidP="00901FFC">
      <w:pPr>
        <w:pStyle w:val="Caption"/>
      </w:pPr>
      <w:bookmarkStart w:id="4" w:name="_Ref54261956"/>
      <w:r>
        <w:t xml:space="preserve">Figure </w:t>
      </w:r>
      <w:r>
        <w:fldChar w:fldCharType="begin"/>
      </w:r>
      <w:r>
        <w:instrText xml:space="preserve"> SEQ Figure \* ARABIC </w:instrText>
      </w:r>
      <w:r>
        <w:fldChar w:fldCharType="separate"/>
      </w:r>
      <w:r>
        <w:rPr>
          <w:noProof/>
        </w:rPr>
        <w:t>2</w:t>
      </w:r>
      <w:r>
        <w:fldChar w:fldCharType="end"/>
      </w:r>
      <w:bookmarkEnd w:id="4"/>
      <w:r w:rsidR="00450F49" w:rsidRPr="00450F49">
        <w:t xml:space="preserve"> </w:t>
      </w:r>
      <w:r w:rsidR="00450F49">
        <w:t xml:space="preserve">Corresponding spectral efficiency from </w:t>
      </w:r>
      <w:r w:rsidR="00450F49">
        <w:fldChar w:fldCharType="begin"/>
      </w:r>
      <w:r w:rsidR="00450F49">
        <w:instrText xml:space="preserve"> REF _Ref54261921 \h </w:instrText>
      </w:r>
      <w:r w:rsidR="00450F49">
        <w:fldChar w:fldCharType="separate"/>
      </w:r>
      <w:r w:rsidR="00450F49">
        <w:t xml:space="preserve">Figure </w:t>
      </w:r>
      <w:r w:rsidR="00450F49">
        <w:rPr>
          <w:noProof/>
        </w:rPr>
        <w:t>1</w:t>
      </w:r>
      <w:r w:rsidR="00450F49">
        <w:fldChar w:fldCharType="end"/>
      </w:r>
      <w:r w:rsidR="00450F49">
        <w:t xml:space="preserve"> for various slot aggregation levels with a target effective code rate of ~0.1.</w:t>
      </w:r>
    </w:p>
    <w:p w14:paraId="12BB0931" w14:textId="79710CD9" w:rsidR="0010770D" w:rsidRPr="0010770D" w:rsidRDefault="0010770D" w:rsidP="001F201D">
      <w:r>
        <w:t>Based on the above, we make the following observations and proposals.</w:t>
      </w:r>
    </w:p>
    <w:p w14:paraId="4F790E28" w14:textId="7FC30A49" w:rsidR="0098060C" w:rsidRPr="0010770D" w:rsidRDefault="00E75BD3" w:rsidP="001F201D">
      <w:pPr>
        <w:rPr>
          <w:b/>
          <w:bCs/>
        </w:rPr>
      </w:pPr>
      <w:r w:rsidRPr="0010770D">
        <w:rPr>
          <w:b/>
          <w:bCs/>
        </w:rPr>
        <w:t>Observation</w:t>
      </w:r>
      <w:r w:rsidR="0010770D">
        <w:rPr>
          <w:b/>
          <w:bCs/>
        </w:rPr>
        <w:t xml:space="preserve"> 3</w:t>
      </w:r>
      <w:r w:rsidRPr="0010770D">
        <w:rPr>
          <w:b/>
          <w:bCs/>
        </w:rPr>
        <w:t xml:space="preserve">: Using slot aggregation at low effective code rates will </w:t>
      </w:r>
      <w:r w:rsidR="009C78CE" w:rsidRPr="0010770D">
        <w:rPr>
          <w:b/>
          <w:bCs/>
        </w:rPr>
        <w:t>provide efficiency gains for cases with 2 or 4 slots being aggregated.</w:t>
      </w:r>
    </w:p>
    <w:p w14:paraId="195B6775" w14:textId="460534A6" w:rsidR="009C78CE" w:rsidRPr="0010770D" w:rsidRDefault="009C78CE" w:rsidP="001F201D">
      <w:pPr>
        <w:rPr>
          <w:b/>
          <w:bCs/>
        </w:rPr>
      </w:pPr>
      <w:r w:rsidRPr="0010770D">
        <w:rPr>
          <w:b/>
          <w:bCs/>
        </w:rPr>
        <w:t>Observation</w:t>
      </w:r>
      <w:r w:rsidR="0010770D">
        <w:rPr>
          <w:b/>
          <w:bCs/>
        </w:rPr>
        <w:t xml:space="preserve"> 4</w:t>
      </w:r>
      <w:r w:rsidRPr="0010770D">
        <w:rPr>
          <w:b/>
          <w:bCs/>
        </w:rPr>
        <w:t xml:space="preserve">: Slot aggregation </w:t>
      </w:r>
      <w:r w:rsidR="000D3945" w:rsidRPr="0010770D">
        <w:rPr>
          <w:b/>
          <w:bCs/>
        </w:rPr>
        <w:t>allows for supporting larger RTT delays while not compromising the HARQ performance.</w:t>
      </w:r>
    </w:p>
    <w:p w14:paraId="01AD5EA2" w14:textId="2FF0B6B3" w:rsidR="000D3945" w:rsidRPr="0010770D" w:rsidRDefault="000D3945" w:rsidP="001F201D">
      <w:pPr>
        <w:rPr>
          <w:b/>
          <w:bCs/>
        </w:rPr>
      </w:pPr>
      <w:r w:rsidRPr="0010770D">
        <w:rPr>
          <w:b/>
          <w:bCs/>
        </w:rPr>
        <w:t>Proposal</w:t>
      </w:r>
      <w:r w:rsidR="0010770D">
        <w:rPr>
          <w:b/>
          <w:bCs/>
        </w:rPr>
        <w:t xml:space="preserve"> 2</w:t>
      </w:r>
      <w:r w:rsidRPr="0010770D">
        <w:rPr>
          <w:b/>
          <w:bCs/>
        </w:rPr>
        <w:t xml:space="preserve">: For </w:t>
      </w:r>
      <w:r w:rsidR="00AF6468" w:rsidRPr="0010770D">
        <w:rPr>
          <w:b/>
          <w:bCs/>
        </w:rPr>
        <w:t xml:space="preserve">operating NTN systems, mechanisms like HARQ process disabling and slot aggregation are </w:t>
      </w:r>
      <w:proofErr w:type="gramStart"/>
      <w:r w:rsidR="00AF6468" w:rsidRPr="0010770D">
        <w:rPr>
          <w:b/>
          <w:bCs/>
        </w:rPr>
        <w:t>sufficient</w:t>
      </w:r>
      <w:proofErr w:type="gramEnd"/>
      <w:r w:rsidR="00AF6468" w:rsidRPr="0010770D">
        <w:rPr>
          <w:b/>
          <w:bCs/>
        </w:rPr>
        <w:t xml:space="preserve"> means </w:t>
      </w:r>
      <w:r w:rsidR="0010770D" w:rsidRPr="0010770D">
        <w:rPr>
          <w:b/>
          <w:bCs/>
        </w:rPr>
        <w:t>for addressing the HARQ stalling problem.</w:t>
      </w:r>
    </w:p>
    <w:p w14:paraId="5277A031" w14:textId="77777777" w:rsidR="00450F49" w:rsidRPr="001F201D" w:rsidRDefault="00450F49" w:rsidP="001F201D"/>
    <w:bookmarkEnd w:id="2"/>
    <w:p w14:paraId="10445A01" w14:textId="480CC7E1" w:rsidR="00885580" w:rsidRDefault="007820D0" w:rsidP="00885580">
      <w:pPr>
        <w:pStyle w:val="Heading1"/>
      </w:pPr>
      <w:r>
        <w:t>Conclusion</w:t>
      </w:r>
    </w:p>
    <w:p w14:paraId="384567B8" w14:textId="3731D697" w:rsidR="001337A5" w:rsidRDefault="009441D8" w:rsidP="001F201D">
      <w:r>
        <w:t>In this contribution we have presented our views on HARQ operation for NTN, and our observations proposals are as follows:</w:t>
      </w:r>
    </w:p>
    <w:p w14:paraId="33AB047B" w14:textId="77777777" w:rsidR="009441D8" w:rsidRPr="00E27D1A" w:rsidRDefault="009441D8" w:rsidP="009441D8">
      <w:pPr>
        <w:rPr>
          <w:b/>
          <w:bCs/>
        </w:rPr>
      </w:pPr>
      <w:r w:rsidRPr="00E27D1A">
        <w:rPr>
          <w:b/>
          <w:bCs/>
        </w:rPr>
        <w:t xml:space="preserve">Observation 1: </w:t>
      </w:r>
      <w:r>
        <w:rPr>
          <w:b/>
          <w:bCs/>
        </w:rPr>
        <w:t xml:space="preserve">According to </w:t>
      </w:r>
      <w:r>
        <w:rPr>
          <w:b/>
          <w:bCs/>
        </w:rPr>
        <w:fldChar w:fldCharType="begin"/>
      </w:r>
      <w:r>
        <w:rPr>
          <w:b/>
          <w:bCs/>
        </w:rPr>
        <w:instrText xml:space="preserve"> REF _Ref53139999 \r \h </w:instrText>
      </w:r>
      <w:r>
        <w:rPr>
          <w:b/>
          <w:bCs/>
        </w:rPr>
      </w:r>
      <w:r>
        <w:rPr>
          <w:b/>
          <w:bCs/>
        </w:rPr>
        <w:fldChar w:fldCharType="separate"/>
      </w:r>
      <w:r>
        <w:rPr>
          <w:b/>
          <w:bCs/>
        </w:rPr>
        <w:t>[4]</w:t>
      </w:r>
      <w:r>
        <w:rPr>
          <w:b/>
          <w:bCs/>
        </w:rPr>
        <w:fldChar w:fldCharType="end"/>
      </w:r>
      <w:r>
        <w:rPr>
          <w:b/>
          <w:bCs/>
        </w:rPr>
        <w:t>, d</w:t>
      </w:r>
      <w:r w:rsidRPr="00E27D1A">
        <w:rPr>
          <w:b/>
          <w:bCs/>
        </w:rPr>
        <w:t xml:space="preserve">isabling HARQ </w:t>
      </w:r>
      <w:r>
        <w:rPr>
          <w:b/>
          <w:bCs/>
        </w:rPr>
        <w:t>may achieve similar throughput</w:t>
      </w:r>
      <w:r w:rsidRPr="00E27D1A">
        <w:rPr>
          <w:b/>
          <w:bCs/>
        </w:rPr>
        <w:t xml:space="preserve"> </w:t>
      </w:r>
      <w:r>
        <w:rPr>
          <w:b/>
          <w:bCs/>
        </w:rPr>
        <w:t>compared</w:t>
      </w:r>
      <w:r w:rsidRPr="00E27D1A">
        <w:rPr>
          <w:b/>
          <w:bCs/>
        </w:rPr>
        <w:t xml:space="preserve"> </w:t>
      </w:r>
      <w:r>
        <w:rPr>
          <w:b/>
          <w:bCs/>
        </w:rPr>
        <w:t>to</w:t>
      </w:r>
      <w:r w:rsidRPr="00E27D1A">
        <w:rPr>
          <w:b/>
          <w:bCs/>
        </w:rPr>
        <w:t xml:space="preserve"> increasing the number of HARQ processes.</w:t>
      </w:r>
    </w:p>
    <w:p w14:paraId="76BBB856" w14:textId="77777777" w:rsidR="009441D8" w:rsidRDefault="009441D8" w:rsidP="009441D8">
      <w:pPr>
        <w:rPr>
          <w:b/>
          <w:bCs/>
        </w:rPr>
      </w:pPr>
      <w:r w:rsidRPr="00E27D1A">
        <w:rPr>
          <w:b/>
          <w:bCs/>
        </w:rPr>
        <w:lastRenderedPageBreak/>
        <w:t xml:space="preserve">Observation </w:t>
      </w:r>
      <w:r>
        <w:rPr>
          <w:b/>
          <w:bCs/>
        </w:rPr>
        <w:t>2</w:t>
      </w:r>
      <w:r w:rsidRPr="00E27D1A">
        <w:rPr>
          <w:b/>
          <w:bCs/>
        </w:rPr>
        <w:t xml:space="preserve">: </w:t>
      </w:r>
      <w:r>
        <w:rPr>
          <w:b/>
          <w:bCs/>
        </w:rPr>
        <w:t xml:space="preserve">According to </w:t>
      </w:r>
      <w:r>
        <w:rPr>
          <w:b/>
          <w:bCs/>
        </w:rPr>
        <w:fldChar w:fldCharType="begin"/>
      </w:r>
      <w:r>
        <w:rPr>
          <w:b/>
          <w:bCs/>
        </w:rPr>
        <w:instrText xml:space="preserve"> REF _Ref53667925 \r \h </w:instrText>
      </w:r>
      <w:r>
        <w:rPr>
          <w:b/>
          <w:bCs/>
        </w:rPr>
      </w:r>
      <w:r>
        <w:rPr>
          <w:b/>
          <w:bCs/>
        </w:rPr>
        <w:fldChar w:fldCharType="separate"/>
      </w:r>
      <w:r>
        <w:rPr>
          <w:b/>
          <w:bCs/>
        </w:rPr>
        <w:t>[5]</w:t>
      </w:r>
      <w:r>
        <w:rPr>
          <w:b/>
          <w:bCs/>
        </w:rPr>
        <w:fldChar w:fldCharType="end"/>
      </w:r>
      <w:r>
        <w:rPr>
          <w:b/>
          <w:bCs/>
        </w:rPr>
        <w:t>, using 16 or 32 DL HARQ processes will give similar UE experience in most scenarios</w:t>
      </w:r>
    </w:p>
    <w:p w14:paraId="776ABC10" w14:textId="77777777" w:rsidR="009441D8" w:rsidRPr="0010770D" w:rsidRDefault="009441D8" w:rsidP="009441D8">
      <w:pPr>
        <w:rPr>
          <w:b/>
          <w:bCs/>
        </w:rPr>
      </w:pPr>
      <w:r w:rsidRPr="0010770D">
        <w:rPr>
          <w:b/>
          <w:bCs/>
        </w:rPr>
        <w:t>Observation</w:t>
      </w:r>
      <w:r>
        <w:rPr>
          <w:b/>
          <w:bCs/>
        </w:rPr>
        <w:t xml:space="preserve"> 3</w:t>
      </w:r>
      <w:r w:rsidRPr="0010770D">
        <w:rPr>
          <w:b/>
          <w:bCs/>
        </w:rPr>
        <w:t>: Using slot aggregation at low effective code rates will provide efficiency gains for cases with 2 or 4 slots being aggregated.</w:t>
      </w:r>
    </w:p>
    <w:p w14:paraId="54BDA487" w14:textId="77777777" w:rsidR="009441D8" w:rsidRPr="0010770D" w:rsidRDefault="009441D8" w:rsidP="009441D8">
      <w:pPr>
        <w:rPr>
          <w:b/>
          <w:bCs/>
        </w:rPr>
      </w:pPr>
      <w:r w:rsidRPr="0010770D">
        <w:rPr>
          <w:b/>
          <w:bCs/>
        </w:rPr>
        <w:t>Observation</w:t>
      </w:r>
      <w:r>
        <w:rPr>
          <w:b/>
          <w:bCs/>
        </w:rPr>
        <w:t xml:space="preserve"> 4</w:t>
      </w:r>
      <w:r w:rsidRPr="0010770D">
        <w:rPr>
          <w:b/>
          <w:bCs/>
        </w:rPr>
        <w:t>: Slot aggregation allows for supporting larger RTT delays while not compromising the HARQ performance.</w:t>
      </w:r>
    </w:p>
    <w:p w14:paraId="014EF89E" w14:textId="77777777" w:rsidR="009441D8" w:rsidRPr="00690FB2" w:rsidRDefault="009441D8" w:rsidP="009441D8">
      <w:pPr>
        <w:rPr>
          <w:b/>
          <w:bCs/>
        </w:rPr>
      </w:pPr>
      <w:r w:rsidRPr="00690FB2">
        <w:rPr>
          <w:b/>
          <w:bCs/>
        </w:rPr>
        <w:t>Proposal 1:</w:t>
      </w:r>
      <w:r>
        <w:rPr>
          <w:b/>
          <w:bCs/>
        </w:rPr>
        <w:t xml:space="preserve"> Limit the maximum of HARQ processes for NTN to 16 to ensure minimum specification changes</w:t>
      </w:r>
    </w:p>
    <w:p w14:paraId="0A5DAC7B" w14:textId="77777777" w:rsidR="009441D8" w:rsidRPr="0010770D" w:rsidRDefault="009441D8" w:rsidP="009441D8">
      <w:pPr>
        <w:rPr>
          <w:b/>
          <w:bCs/>
        </w:rPr>
      </w:pPr>
      <w:r w:rsidRPr="0010770D">
        <w:rPr>
          <w:b/>
          <w:bCs/>
        </w:rPr>
        <w:t>Proposal</w:t>
      </w:r>
      <w:r>
        <w:rPr>
          <w:b/>
          <w:bCs/>
        </w:rPr>
        <w:t xml:space="preserve"> 2</w:t>
      </w:r>
      <w:r w:rsidRPr="0010770D">
        <w:rPr>
          <w:b/>
          <w:bCs/>
        </w:rPr>
        <w:t xml:space="preserve">: For operating NTN systems, mechanisms like HARQ process disabling and slot aggregation are </w:t>
      </w:r>
      <w:proofErr w:type="gramStart"/>
      <w:r w:rsidRPr="0010770D">
        <w:rPr>
          <w:b/>
          <w:bCs/>
        </w:rPr>
        <w:t>sufficient</w:t>
      </w:r>
      <w:proofErr w:type="gramEnd"/>
      <w:r w:rsidRPr="0010770D">
        <w:rPr>
          <w:b/>
          <w:bCs/>
        </w:rPr>
        <w:t xml:space="preserve"> means for addressing the HARQ stalling problem.</w:t>
      </w:r>
    </w:p>
    <w:p w14:paraId="33AC549D" w14:textId="77777777" w:rsidR="009441D8" w:rsidRPr="009441D8" w:rsidRDefault="009441D8" w:rsidP="001F201D"/>
    <w:p w14:paraId="53CD9119" w14:textId="5206E1F5" w:rsidR="00885580" w:rsidRDefault="00885580" w:rsidP="00885580">
      <w:pPr>
        <w:pStyle w:val="Heading1"/>
        <w:numPr>
          <w:ilvl w:val="0"/>
          <w:numId w:val="0"/>
        </w:numPr>
      </w:pPr>
      <w:r>
        <w:t>References</w:t>
      </w:r>
    </w:p>
    <w:p w14:paraId="2C6979C9" w14:textId="0DE230F2" w:rsidR="00205A4B" w:rsidRDefault="00A92278" w:rsidP="00205A4B">
      <w:pPr>
        <w:pStyle w:val="ListParagraph"/>
        <w:numPr>
          <w:ilvl w:val="0"/>
          <w:numId w:val="27"/>
        </w:numPr>
        <w:rPr>
          <w:sz w:val="20"/>
          <w:szCs w:val="20"/>
        </w:rPr>
      </w:pPr>
      <w:bookmarkStart w:id="5" w:name="_Ref53137629"/>
      <w:r w:rsidRPr="0010770D">
        <w:rPr>
          <w:sz w:val="20"/>
          <w:szCs w:val="20"/>
        </w:rPr>
        <w:t>(R1-2007501),</w:t>
      </w:r>
      <w:r>
        <w:rPr>
          <w:sz w:val="20"/>
          <w:szCs w:val="20"/>
        </w:rPr>
        <w:t xml:space="preserve"> </w:t>
      </w:r>
      <w:proofErr w:type="spellStart"/>
      <w:r>
        <w:rPr>
          <w:sz w:val="20"/>
          <w:szCs w:val="20"/>
        </w:rPr>
        <w:t>Chairman’s</w:t>
      </w:r>
      <w:proofErr w:type="spellEnd"/>
      <w:r>
        <w:rPr>
          <w:sz w:val="20"/>
          <w:szCs w:val="20"/>
        </w:rPr>
        <w:t xml:space="preserve"> </w:t>
      </w:r>
      <w:proofErr w:type="spellStart"/>
      <w:r>
        <w:rPr>
          <w:sz w:val="20"/>
          <w:szCs w:val="20"/>
        </w:rPr>
        <w:t>notes</w:t>
      </w:r>
      <w:proofErr w:type="spellEnd"/>
      <w:r>
        <w:rPr>
          <w:sz w:val="20"/>
          <w:szCs w:val="20"/>
        </w:rPr>
        <w:t>, RAN WG1 meeting#102-e</w:t>
      </w:r>
      <w:bookmarkEnd w:id="5"/>
    </w:p>
    <w:p w14:paraId="397C7E78" w14:textId="167D6B40" w:rsidR="00832CE2" w:rsidRPr="00832CE2" w:rsidRDefault="00832CE2" w:rsidP="00832CE2">
      <w:pPr>
        <w:pStyle w:val="ListParagraph"/>
        <w:numPr>
          <w:ilvl w:val="0"/>
          <w:numId w:val="27"/>
        </w:numPr>
        <w:rPr>
          <w:sz w:val="20"/>
          <w:szCs w:val="20"/>
        </w:rPr>
      </w:pPr>
      <w:bookmarkStart w:id="6" w:name="_Ref53139714"/>
      <w:r w:rsidRPr="00832CE2">
        <w:rPr>
          <w:sz w:val="20"/>
          <w:szCs w:val="20"/>
        </w:rPr>
        <w:t xml:space="preserve">TR 38.821 v.1.1.0, 3GPP, “Solutions for NR to </w:t>
      </w:r>
      <w:proofErr w:type="spellStart"/>
      <w:r w:rsidRPr="00832CE2">
        <w:rPr>
          <w:sz w:val="20"/>
          <w:szCs w:val="20"/>
        </w:rPr>
        <w:t>support</w:t>
      </w:r>
      <w:proofErr w:type="spellEnd"/>
      <w:r w:rsidRPr="00832CE2">
        <w:rPr>
          <w:sz w:val="20"/>
          <w:szCs w:val="20"/>
        </w:rPr>
        <w:t xml:space="preserve"> </w:t>
      </w:r>
      <w:proofErr w:type="spellStart"/>
      <w:r w:rsidRPr="00832CE2">
        <w:rPr>
          <w:sz w:val="20"/>
          <w:szCs w:val="20"/>
        </w:rPr>
        <w:t>non-terrestrial</w:t>
      </w:r>
      <w:proofErr w:type="spellEnd"/>
      <w:r w:rsidRPr="00832CE2">
        <w:rPr>
          <w:sz w:val="20"/>
          <w:szCs w:val="20"/>
        </w:rPr>
        <w:t xml:space="preserve"> </w:t>
      </w:r>
      <w:proofErr w:type="spellStart"/>
      <w:r w:rsidRPr="00832CE2">
        <w:rPr>
          <w:sz w:val="20"/>
          <w:szCs w:val="20"/>
        </w:rPr>
        <w:t>networks</w:t>
      </w:r>
      <w:proofErr w:type="spellEnd"/>
      <w:r w:rsidRPr="00832CE2">
        <w:rPr>
          <w:sz w:val="20"/>
          <w:szCs w:val="20"/>
        </w:rPr>
        <w:t>”, 2019</w:t>
      </w:r>
      <w:bookmarkEnd w:id="6"/>
    </w:p>
    <w:p w14:paraId="093EE10C" w14:textId="7B45E677" w:rsidR="00205A4B" w:rsidRDefault="00832CE2" w:rsidP="00205A4B">
      <w:pPr>
        <w:pStyle w:val="ListParagraph"/>
        <w:numPr>
          <w:ilvl w:val="0"/>
          <w:numId w:val="27"/>
        </w:numPr>
        <w:rPr>
          <w:sz w:val="20"/>
          <w:szCs w:val="20"/>
        </w:rPr>
      </w:pPr>
      <w:r w:rsidRPr="00832CE2">
        <w:rPr>
          <w:sz w:val="20"/>
          <w:szCs w:val="20"/>
        </w:rPr>
        <w:t>R1-2006423</w:t>
      </w:r>
      <w:r>
        <w:rPr>
          <w:sz w:val="20"/>
          <w:szCs w:val="20"/>
        </w:rPr>
        <w:t>, ”</w:t>
      </w:r>
      <w:proofErr w:type="spellStart"/>
      <w:r w:rsidRPr="00832CE2">
        <w:rPr>
          <w:sz w:val="20"/>
          <w:szCs w:val="20"/>
        </w:rPr>
        <w:t>Discussion</w:t>
      </w:r>
      <w:proofErr w:type="spellEnd"/>
      <w:r w:rsidRPr="00832CE2">
        <w:rPr>
          <w:sz w:val="20"/>
          <w:szCs w:val="20"/>
        </w:rPr>
        <w:t xml:space="preserve"> on HARQ </w:t>
      </w:r>
      <w:proofErr w:type="spellStart"/>
      <w:r w:rsidRPr="00832CE2">
        <w:rPr>
          <w:sz w:val="20"/>
          <w:szCs w:val="20"/>
        </w:rPr>
        <w:t>stalling</w:t>
      </w:r>
      <w:proofErr w:type="spellEnd"/>
      <w:r w:rsidRPr="00832CE2">
        <w:rPr>
          <w:sz w:val="20"/>
          <w:szCs w:val="20"/>
        </w:rPr>
        <w:t xml:space="preserve"> </w:t>
      </w:r>
      <w:proofErr w:type="spellStart"/>
      <w:r w:rsidRPr="00832CE2">
        <w:rPr>
          <w:sz w:val="20"/>
          <w:szCs w:val="20"/>
        </w:rPr>
        <w:t>avoidance</w:t>
      </w:r>
      <w:proofErr w:type="spellEnd"/>
      <w:r>
        <w:rPr>
          <w:sz w:val="20"/>
          <w:szCs w:val="20"/>
        </w:rPr>
        <w:t xml:space="preserve">”, </w:t>
      </w:r>
      <w:r w:rsidRPr="00832CE2">
        <w:rPr>
          <w:sz w:val="20"/>
          <w:szCs w:val="20"/>
        </w:rPr>
        <w:t>Nokia, Nokia Shanghai Bell</w:t>
      </w:r>
    </w:p>
    <w:p w14:paraId="43A74EFA" w14:textId="5C012054" w:rsidR="00832CE2" w:rsidRDefault="00832CE2" w:rsidP="00205A4B">
      <w:pPr>
        <w:pStyle w:val="ListParagraph"/>
        <w:numPr>
          <w:ilvl w:val="0"/>
          <w:numId w:val="27"/>
        </w:numPr>
        <w:rPr>
          <w:sz w:val="20"/>
          <w:szCs w:val="20"/>
        </w:rPr>
      </w:pPr>
      <w:bookmarkStart w:id="7" w:name="_Ref53139999"/>
      <w:r w:rsidRPr="00832CE2">
        <w:rPr>
          <w:sz w:val="20"/>
          <w:szCs w:val="20"/>
        </w:rPr>
        <w:t>R1-1912726</w:t>
      </w:r>
      <w:r>
        <w:rPr>
          <w:sz w:val="20"/>
          <w:szCs w:val="20"/>
        </w:rPr>
        <w:t>, ”</w:t>
      </w:r>
      <w:r w:rsidRPr="00832CE2">
        <w:rPr>
          <w:sz w:val="20"/>
          <w:szCs w:val="20"/>
        </w:rPr>
        <w:t xml:space="preserve">On </w:t>
      </w:r>
      <w:proofErr w:type="spellStart"/>
      <w:r w:rsidRPr="00832CE2">
        <w:rPr>
          <w:sz w:val="20"/>
          <w:szCs w:val="20"/>
        </w:rPr>
        <w:t>more</w:t>
      </w:r>
      <w:proofErr w:type="spellEnd"/>
      <w:r w:rsidRPr="00832CE2">
        <w:rPr>
          <w:sz w:val="20"/>
          <w:szCs w:val="20"/>
        </w:rPr>
        <w:t xml:space="preserve"> </w:t>
      </w:r>
      <w:proofErr w:type="spellStart"/>
      <w:r w:rsidRPr="00832CE2">
        <w:rPr>
          <w:sz w:val="20"/>
          <w:szCs w:val="20"/>
        </w:rPr>
        <w:t>delay</w:t>
      </w:r>
      <w:proofErr w:type="spellEnd"/>
      <w:r w:rsidRPr="00832CE2">
        <w:rPr>
          <w:sz w:val="20"/>
          <w:szCs w:val="20"/>
        </w:rPr>
        <w:t xml:space="preserve"> </w:t>
      </w:r>
      <w:proofErr w:type="spellStart"/>
      <w:r w:rsidRPr="00832CE2">
        <w:rPr>
          <w:sz w:val="20"/>
          <w:szCs w:val="20"/>
        </w:rPr>
        <w:t>tolerant</w:t>
      </w:r>
      <w:proofErr w:type="spellEnd"/>
      <w:r w:rsidRPr="00832CE2">
        <w:rPr>
          <w:sz w:val="20"/>
          <w:szCs w:val="20"/>
        </w:rPr>
        <w:t xml:space="preserve"> </w:t>
      </w:r>
      <w:proofErr w:type="spellStart"/>
      <w:r w:rsidRPr="00832CE2">
        <w:rPr>
          <w:sz w:val="20"/>
          <w:szCs w:val="20"/>
        </w:rPr>
        <w:t>retransmission</w:t>
      </w:r>
      <w:proofErr w:type="spellEnd"/>
      <w:r w:rsidRPr="00832CE2">
        <w:rPr>
          <w:sz w:val="20"/>
          <w:szCs w:val="20"/>
        </w:rPr>
        <w:t xml:space="preserve"> </w:t>
      </w:r>
      <w:proofErr w:type="spellStart"/>
      <w:r w:rsidRPr="00832CE2">
        <w:rPr>
          <w:sz w:val="20"/>
          <w:szCs w:val="20"/>
        </w:rPr>
        <w:t>mechanisms</w:t>
      </w:r>
      <w:proofErr w:type="spellEnd"/>
      <w:r w:rsidRPr="00832CE2">
        <w:rPr>
          <w:sz w:val="20"/>
          <w:szCs w:val="20"/>
        </w:rPr>
        <w:t xml:space="preserve"> for NTN</w:t>
      </w:r>
      <w:r>
        <w:rPr>
          <w:sz w:val="20"/>
          <w:szCs w:val="20"/>
        </w:rPr>
        <w:t xml:space="preserve">”, </w:t>
      </w:r>
      <w:r w:rsidRPr="00832CE2">
        <w:rPr>
          <w:sz w:val="20"/>
          <w:szCs w:val="20"/>
        </w:rPr>
        <w:t>Ericsson</w:t>
      </w:r>
      <w:bookmarkEnd w:id="7"/>
    </w:p>
    <w:p w14:paraId="32421EE4" w14:textId="73390CE3" w:rsidR="007F2422" w:rsidRPr="00205A4B" w:rsidRDefault="007F2422" w:rsidP="00205A4B">
      <w:pPr>
        <w:pStyle w:val="ListParagraph"/>
        <w:numPr>
          <w:ilvl w:val="0"/>
          <w:numId w:val="27"/>
        </w:numPr>
        <w:rPr>
          <w:sz w:val="20"/>
          <w:szCs w:val="20"/>
        </w:rPr>
      </w:pPr>
      <w:bookmarkStart w:id="8" w:name="_Ref53667925"/>
      <w:r>
        <w:rPr>
          <w:sz w:val="20"/>
          <w:szCs w:val="20"/>
        </w:rPr>
        <w:t xml:space="preserve">R1-2005312, </w:t>
      </w:r>
      <w:r w:rsidR="003A4189">
        <w:rPr>
          <w:sz w:val="20"/>
          <w:szCs w:val="20"/>
        </w:rPr>
        <w:t>”</w:t>
      </w:r>
      <w:proofErr w:type="spellStart"/>
      <w:r w:rsidR="003A4189" w:rsidRPr="003A4189">
        <w:rPr>
          <w:sz w:val="20"/>
          <w:szCs w:val="20"/>
        </w:rPr>
        <w:t>Discussion</w:t>
      </w:r>
      <w:proofErr w:type="spellEnd"/>
      <w:r w:rsidR="003A4189" w:rsidRPr="003A4189">
        <w:rPr>
          <w:sz w:val="20"/>
          <w:szCs w:val="20"/>
        </w:rPr>
        <w:t xml:space="preserve"> on HARQ for NTN</w:t>
      </w:r>
      <w:r w:rsidR="003A4189">
        <w:rPr>
          <w:sz w:val="20"/>
          <w:szCs w:val="20"/>
        </w:rPr>
        <w:t xml:space="preserve">”, </w:t>
      </w:r>
      <w:proofErr w:type="spellStart"/>
      <w:r w:rsidR="00EE22D2" w:rsidRPr="00EE22D2">
        <w:rPr>
          <w:sz w:val="20"/>
          <w:szCs w:val="20"/>
        </w:rPr>
        <w:t>Discussion</w:t>
      </w:r>
      <w:proofErr w:type="spellEnd"/>
      <w:r w:rsidR="00EE22D2" w:rsidRPr="00EE22D2">
        <w:rPr>
          <w:sz w:val="20"/>
          <w:szCs w:val="20"/>
        </w:rPr>
        <w:t xml:space="preserve"> on HARQ for NTN</w:t>
      </w:r>
      <w:bookmarkEnd w:id="8"/>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CF965" w14:textId="77777777" w:rsidR="004805A2" w:rsidRDefault="004805A2">
      <w:r>
        <w:separator/>
      </w:r>
    </w:p>
  </w:endnote>
  <w:endnote w:type="continuationSeparator" w:id="0">
    <w:p w14:paraId="34FE5B2B" w14:textId="77777777" w:rsidR="004805A2" w:rsidRDefault="004805A2">
      <w:r>
        <w:continuationSeparator/>
      </w:r>
    </w:p>
  </w:endnote>
  <w:endnote w:type="continuationNotice" w:id="1">
    <w:p w14:paraId="14F9B724" w14:textId="77777777" w:rsidR="004805A2" w:rsidRDefault="00480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402D0" w14:textId="77777777" w:rsidR="004805A2" w:rsidRDefault="004805A2">
      <w:r>
        <w:separator/>
      </w:r>
    </w:p>
  </w:footnote>
  <w:footnote w:type="continuationSeparator" w:id="0">
    <w:p w14:paraId="2E6F8B43" w14:textId="77777777" w:rsidR="004805A2" w:rsidRDefault="004805A2">
      <w:r>
        <w:continuationSeparator/>
      </w:r>
    </w:p>
  </w:footnote>
  <w:footnote w:type="continuationNotice" w:id="1">
    <w:p w14:paraId="58C6978B" w14:textId="77777777" w:rsidR="004805A2" w:rsidRDefault="004805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2"/>
  </w:num>
  <w:num w:numId="3">
    <w:abstractNumId w:val="0"/>
  </w:num>
  <w:num w:numId="4">
    <w:abstractNumId w:val="2"/>
  </w:num>
  <w:num w:numId="5">
    <w:abstractNumId w:val="12"/>
  </w:num>
  <w:num w:numId="6">
    <w:abstractNumId w:val="23"/>
  </w:num>
  <w:num w:numId="7">
    <w:abstractNumId w:val="14"/>
  </w:num>
  <w:num w:numId="8">
    <w:abstractNumId w:val="11"/>
  </w:num>
  <w:num w:numId="9">
    <w:abstractNumId w:val="26"/>
  </w:num>
  <w:num w:numId="10">
    <w:abstractNumId w:val="4"/>
  </w:num>
  <w:num w:numId="11">
    <w:abstractNumId w:val="16"/>
  </w:num>
  <w:num w:numId="12">
    <w:abstractNumId w:val="3"/>
  </w:num>
  <w:num w:numId="13">
    <w:abstractNumId w:val="9"/>
  </w:num>
  <w:num w:numId="14">
    <w:abstractNumId w:val="20"/>
  </w:num>
  <w:num w:numId="15">
    <w:abstractNumId w:val="13"/>
  </w:num>
  <w:num w:numId="16">
    <w:abstractNumId w:val="1"/>
  </w:num>
  <w:num w:numId="17">
    <w:abstractNumId w:val="19"/>
  </w:num>
  <w:num w:numId="18">
    <w:abstractNumId w:val="10"/>
  </w:num>
  <w:num w:numId="19">
    <w:abstractNumId w:val="15"/>
  </w:num>
  <w:num w:numId="20">
    <w:abstractNumId w:val="25"/>
  </w:num>
  <w:num w:numId="21">
    <w:abstractNumId w:val="27"/>
  </w:num>
  <w:num w:numId="22">
    <w:abstractNumId w:val="17"/>
  </w:num>
  <w:num w:numId="23">
    <w:abstractNumId w:val="8"/>
  </w:num>
  <w:num w:numId="24">
    <w:abstractNumId w:val="5"/>
  </w:num>
  <w:num w:numId="25">
    <w:abstractNumId w:val="24"/>
  </w:num>
  <w:num w:numId="26">
    <w:abstractNumId w:val="21"/>
  </w:num>
  <w:num w:numId="27">
    <w:abstractNumId w:val="7"/>
  </w:num>
  <w:num w:numId="2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0F8"/>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035"/>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3E0"/>
    <w:rsid w:val="00064AD3"/>
    <w:rsid w:val="00065088"/>
    <w:rsid w:val="000652D3"/>
    <w:rsid w:val="000654A0"/>
    <w:rsid w:val="00065E94"/>
    <w:rsid w:val="00066719"/>
    <w:rsid w:val="0006796E"/>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9F0"/>
    <w:rsid w:val="00081EC2"/>
    <w:rsid w:val="00082154"/>
    <w:rsid w:val="00083800"/>
    <w:rsid w:val="00084A65"/>
    <w:rsid w:val="0008559A"/>
    <w:rsid w:val="000902C2"/>
    <w:rsid w:val="0009170A"/>
    <w:rsid w:val="00091A92"/>
    <w:rsid w:val="00093C49"/>
    <w:rsid w:val="00095A80"/>
    <w:rsid w:val="000973E1"/>
    <w:rsid w:val="000A1402"/>
    <w:rsid w:val="000A20BA"/>
    <w:rsid w:val="000A262C"/>
    <w:rsid w:val="000A3C8D"/>
    <w:rsid w:val="000A3DFE"/>
    <w:rsid w:val="000A40EC"/>
    <w:rsid w:val="000A54EE"/>
    <w:rsid w:val="000A55F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1BF"/>
    <w:rsid w:val="000D1440"/>
    <w:rsid w:val="000D27AD"/>
    <w:rsid w:val="000D29D1"/>
    <w:rsid w:val="000D2B0A"/>
    <w:rsid w:val="000D3286"/>
    <w:rsid w:val="000D344D"/>
    <w:rsid w:val="000D3945"/>
    <w:rsid w:val="000D3B37"/>
    <w:rsid w:val="000D40E7"/>
    <w:rsid w:val="000D584F"/>
    <w:rsid w:val="000D5D2D"/>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0770D"/>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AC"/>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13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699"/>
    <w:rsid w:val="00165926"/>
    <w:rsid w:val="001665EB"/>
    <w:rsid w:val="001670EA"/>
    <w:rsid w:val="001674A0"/>
    <w:rsid w:val="00170A50"/>
    <w:rsid w:val="00174005"/>
    <w:rsid w:val="00174BF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55D"/>
    <w:rsid w:val="001B01FA"/>
    <w:rsid w:val="001B0832"/>
    <w:rsid w:val="001B18A7"/>
    <w:rsid w:val="001B2762"/>
    <w:rsid w:val="001B36FC"/>
    <w:rsid w:val="001B41ED"/>
    <w:rsid w:val="001B4607"/>
    <w:rsid w:val="001B7E0C"/>
    <w:rsid w:val="001C0674"/>
    <w:rsid w:val="001C0CBB"/>
    <w:rsid w:val="001C1405"/>
    <w:rsid w:val="001C1B93"/>
    <w:rsid w:val="001C226F"/>
    <w:rsid w:val="001C30D0"/>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5"/>
    <w:rsid w:val="001F01FB"/>
    <w:rsid w:val="001F0658"/>
    <w:rsid w:val="001F06C6"/>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0E7"/>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974"/>
    <w:rsid w:val="00262D9D"/>
    <w:rsid w:val="002632DF"/>
    <w:rsid w:val="00263946"/>
    <w:rsid w:val="002640BA"/>
    <w:rsid w:val="00264CF2"/>
    <w:rsid w:val="002667A8"/>
    <w:rsid w:val="002674E3"/>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FC8"/>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86"/>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1BD"/>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BED"/>
    <w:rsid w:val="00351E01"/>
    <w:rsid w:val="00352968"/>
    <w:rsid w:val="0035298B"/>
    <w:rsid w:val="00352D21"/>
    <w:rsid w:val="0035443D"/>
    <w:rsid w:val="00354AA2"/>
    <w:rsid w:val="00354FEE"/>
    <w:rsid w:val="00356275"/>
    <w:rsid w:val="00356C0B"/>
    <w:rsid w:val="00357ACF"/>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EBD"/>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52E"/>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18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1FDE"/>
    <w:rsid w:val="003C4E3B"/>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243"/>
    <w:rsid w:val="003F5547"/>
    <w:rsid w:val="003F5C40"/>
    <w:rsid w:val="003F6E12"/>
    <w:rsid w:val="003F6F8B"/>
    <w:rsid w:val="003F75ED"/>
    <w:rsid w:val="004002B7"/>
    <w:rsid w:val="00400F31"/>
    <w:rsid w:val="00401605"/>
    <w:rsid w:val="004023BA"/>
    <w:rsid w:val="00406B4D"/>
    <w:rsid w:val="00412A21"/>
    <w:rsid w:val="0041443C"/>
    <w:rsid w:val="0041488F"/>
    <w:rsid w:val="00415030"/>
    <w:rsid w:val="004154F7"/>
    <w:rsid w:val="00416C7F"/>
    <w:rsid w:val="00416D44"/>
    <w:rsid w:val="004176FF"/>
    <w:rsid w:val="00417A1E"/>
    <w:rsid w:val="00421A27"/>
    <w:rsid w:val="00421D0A"/>
    <w:rsid w:val="004226C3"/>
    <w:rsid w:val="004228BA"/>
    <w:rsid w:val="004241C5"/>
    <w:rsid w:val="00424FA7"/>
    <w:rsid w:val="00425D2C"/>
    <w:rsid w:val="00426A87"/>
    <w:rsid w:val="00427007"/>
    <w:rsid w:val="004309D8"/>
    <w:rsid w:val="00431162"/>
    <w:rsid w:val="004313D1"/>
    <w:rsid w:val="00432110"/>
    <w:rsid w:val="004328EE"/>
    <w:rsid w:val="00433EBE"/>
    <w:rsid w:val="00434406"/>
    <w:rsid w:val="00437ABE"/>
    <w:rsid w:val="00440FED"/>
    <w:rsid w:val="00441B92"/>
    <w:rsid w:val="00443A9F"/>
    <w:rsid w:val="0044474B"/>
    <w:rsid w:val="00445FF7"/>
    <w:rsid w:val="004508A8"/>
    <w:rsid w:val="00450E7F"/>
    <w:rsid w:val="00450F49"/>
    <w:rsid w:val="00451BAE"/>
    <w:rsid w:val="00452CA7"/>
    <w:rsid w:val="00453293"/>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1ACE"/>
    <w:rsid w:val="00462490"/>
    <w:rsid w:val="00462AC9"/>
    <w:rsid w:val="00463BD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5A2"/>
    <w:rsid w:val="0048076D"/>
    <w:rsid w:val="0048134D"/>
    <w:rsid w:val="00481624"/>
    <w:rsid w:val="00481765"/>
    <w:rsid w:val="00481D90"/>
    <w:rsid w:val="00482700"/>
    <w:rsid w:val="00482CD4"/>
    <w:rsid w:val="00483261"/>
    <w:rsid w:val="0048328A"/>
    <w:rsid w:val="00484377"/>
    <w:rsid w:val="00484A10"/>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AE7"/>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FA9"/>
    <w:rsid w:val="00536698"/>
    <w:rsid w:val="005375FE"/>
    <w:rsid w:val="00537D48"/>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1D0"/>
    <w:rsid w:val="00567415"/>
    <w:rsid w:val="00567610"/>
    <w:rsid w:val="00570D9F"/>
    <w:rsid w:val="0057185C"/>
    <w:rsid w:val="00571CA8"/>
    <w:rsid w:val="00572947"/>
    <w:rsid w:val="00573138"/>
    <w:rsid w:val="005734A7"/>
    <w:rsid w:val="005746C4"/>
    <w:rsid w:val="00574B50"/>
    <w:rsid w:val="00577835"/>
    <w:rsid w:val="00580793"/>
    <w:rsid w:val="00580A3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552"/>
    <w:rsid w:val="00595A8C"/>
    <w:rsid w:val="00595C2C"/>
    <w:rsid w:val="00595D9D"/>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0A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D4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CAC"/>
    <w:rsid w:val="00641283"/>
    <w:rsid w:val="006413CF"/>
    <w:rsid w:val="00641413"/>
    <w:rsid w:val="00641465"/>
    <w:rsid w:val="0064165D"/>
    <w:rsid w:val="00642E8C"/>
    <w:rsid w:val="006433BD"/>
    <w:rsid w:val="00643562"/>
    <w:rsid w:val="00643784"/>
    <w:rsid w:val="00643E25"/>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1CD"/>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874AA"/>
    <w:rsid w:val="006904ED"/>
    <w:rsid w:val="00690E2E"/>
    <w:rsid w:val="00690FB2"/>
    <w:rsid w:val="006915D7"/>
    <w:rsid w:val="00692814"/>
    <w:rsid w:val="006932E7"/>
    <w:rsid w:val="00693347"/>
    <w:rsid w:val="0069334C"/>
    <w:rsid w:val="00693D2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BE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2CF"/>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2F65"/>
    <w:rsid w:val="007651CA"/>
    <w:rsid w:val="00767519"/>
    <w:rsid w:val="007704E1"/>
    <w:rsid w:val="00770E5C"/>
    <w:rsid w:val="00772569"/>
    <w:rsid w:val="00772E8C"/>
    <w:rsid w:val="00772FDB"/>
    <w:rsid w:val="0077316B"/>
    <w:rsid w:val="007736D3"/>
    <w:rsid w:val="0077500F"/>
    <w:rsid w:val="0077548E"/>
    <w:rsid w:val="00777315"/>
    <w:rsid w:val="007801F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279"/>
    <w:rsid w:val="00792CEE"/>
    <w:rsid w:val="007936A8"/>
    <w:rsid w:val="007941FD"/>
    <w:rsid w:val="007962B4"/>
    <w:rsid w:val="00796F15"/>
    <w:rsid w:val="00797E22"/>
    <w:rsid w:val="007A138F"/>
    <w:rsid w:val="007A1640"/>
    <w:rsid w:val="007A1AE4"/>
    <w:rsid w:val="007A39DF"/>
    <w:rsid w:val="007A43ED"/>
    <w:rsid w:val="007A4BDD"/>
    <w:rsid w:val="007A6CFD"/>
    <w:rsid w:val="007A72EE"/>
    <w:rsid w:val="007B0397"/>
    <w:rsid w:val="007B0ADB"/>
    <w:rsid w:val="007B1E36"/>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422"/>
    <w:rsid w:val="007F2845"/>
    <w:rsid w:val="007F2A69"/>
    <w:rsid w:val="007F38A2"/>
    <w:rsid w:val="007F43BC"/>
    <w:rsid w:val="007F4740"/>
    <w:rsid w:val="007F4CDA"/>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2CE2"/>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1B4A"/>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F5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D1F"/>
    <w:rsid w:val="008B2257"/>
    <w:rsid w:val="008B2436"/>
    <w:rsid w:val="008B3282"/>
    <w:rsid w:val="008B3B51"/>
    <w:rsid w:val="008B4057"/>
    <w:rsid w:val="008B4145"/>
    <w:rsid w:val="008B5071"/>
    <w:rsid w:val="008B5290"/>
    <w:rsid w:val="008B6A40"/>
    <w:rsid w:val="008B710D"/>
    <w:rsid w:val="008B72EC"/>
    <w:rsid w:val="008C0353"/>
    <w:rsid w:val="008C2CFD"/>
    <w:rsid w:val="008C3FDC"/>
    <w:rsid w:val="008C47AD"/>
    <w:rsid w:val="008C603A"/>
    <w:rsid w:val="008C71C8"/>
    <w:rsid w:val="008D11F2"/>
    <w:rsid w:val="008D167D"/>
    <w:rsid w:val="008D3116"/>
    <w:rsid w:val="008D492A"/>
    <w:rsid w:val="008D4B58"/>
    <w:rsid w:val="008D4B7F"/>
    <w:rsid w:val="008D4B8A"/>
    <w:rsid w:val="008D6541"/>
    <w:rsid w:val="008D7D7B"/>
    <w:rsid w:val="008E04F2"/>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FFC"/>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1D8"/>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60C"/>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856"/>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8CE"/>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94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E77"/>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94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46E6"/>
    <w:rsid w:val="00A75A52"/>
    <w:rsid w:val="00A7618B"/>
    <w:rsid w:val="00A7640B"/>
    <w:rsid w:val="00A773A8"/>
    <w:rsid w:val="00A7778B"/>
    <w:rsid w:val="00A803BC"/>
    <w:rsid w:val="00A80969"/>
    <w:rsid w:val="00A828CB"/>
    <w:rsid w:val="00A85798"/>
    <w:rsid w:val="00A8609D"/>
    <w:rsid w:val="00A86EA7"/>
    <w:rsid w:val="00A91244"/>
    <w:rsid w:val="00A91774"/>
    <w:rsid w:val="00A91C7F"/>
    <w:rsid w:val="00A92066"/>
    <w:rsid w:val="00A92278"/>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8DB"/>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216"/>
    <w:rsid w:val="00AC60B4"/>
    <w:rsid w:val="00AC67B6"/>
    <w:rsid w:val="00AC67DF"/>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9D2"/>
    <w:rsid w:val="00AE3DE1"/>
    <w:rsid w:val="00AE5439"/>
    <w:rsid w:val="00AE61B2"/>
    <w:rsid w:val="00AE78D1"/>
    <w:rsid w:val="00AE7F89"/>
    <w:rsid w:val="00AF2566"/>
    <w:rsid w:val="00AF2D54"/>
    <w:rsid w:val="00AF3458"/>
    <w:rsid w:val="00AF3F7B"/>
    <w:rsid w:val="00AF42B4"/>
    <w:rsid w:val="00AF4B8A"/>
    <w:rsid w:val="00AF4F1B"/>
    <w:rsid w:val="00AF5EC6"/>
    <w:rsid w:val="00AF6468"/>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6E0"/>
    <w:rsid w:val="00B1746F"/>
    <w:rsid w:val="00B20725"/>
    <w:rsid w:val="00B2087E"/>
    <w:rsid w:val="00B20B11"/>
    <w:rsid w:val="00B20B94"/>
    <w:rsid w:val="00B210B5"/>
    <w:rsid w:val="00B241A1"/>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32C"/>
    <w:rsid w:val="00B42A32"/>
    <w:rsid w:val="00B42FA6"/>
    <w:rsid w:val="00B4399E"/>
    <w:rsid w:val="00B43A16"/>
    <w:rsid w:val="00B45CE1"/>
    <w:rsid w:val="00B465B3"/>
    <w:rsid w:val="00B46A75"/>
    <w:rsid w:val="00B470A7"/>
    <w:rsid w:val="00B500CD"/>
    <w:rsid w:val="00B5109D"/>
    <w:rsid w:val="00B5239C"/>
    <w:rsid w:val="00B52F96"/>
    <w:rsid w:val="00B53259"/>
    <w:rsid w:val="00B53893"/>
    <w:rsid w:val="00B548C2"/>
    <w:rsid w:val="00B54B6A"/>
    <w:rsid w:val="00B55428"/>
    <w:rsid w:val="00B558D5"/>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5F61"/>
    <w:rsid w:val="00BD723F"/>
    <w:rsid w:val="00BD75B4"/>
    <w:rsid w:val="00BD7D14"/>
    <w:rsid w:val="00BE02B4"/>
    <w:rsid w:val="00BE28C1"/>
    <w:rsid w:val="00BE3492"/>
    <w:rsid w:val="00BE3B62"/>
    <w:rsid w:val="00BE4EC9"/>
    <w:rsid w:val="00BE631E"/>
    <w:rsid w:val="00BE6BEC"/>
    <w:rsid w:val="00BF0CCB"/>
    <w:rsid w:val="00BF0CCF"/>
    <w:rsid w:val="00BF0FC5"/>
    <w:rsid w:val="00BF10BC"/>
    <w:rsid w:val="00BF21AC"/>
    <w:rsid w:val="00BF27A1"/>
    <w:rsid w:val="00BF2D81"/>
    <w:rsid w:val="00BF2E53"/>
    <w:rsid w:val="00BF352A"/>
    <w:rsid w:val="00BF3669"/>
    <w:rsid w:val="00BF3C0D"/>
    <w:rsid w:val="00BF4BC7"/>
    <w:rsid w:val="00BF6252"/>
    <w:rsid w:val="00BF711C"/>
    <w:rsid w:val="00BF748E"/>
    <w:rsid w:val="00BF789B"/>
    <w:rsid w:val="00C03309"/>
    <w:rsid w:val="00C037E0"/>
    <w:rsid w:val="00C0611F"/>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337"/>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104"/>
    <w:rsid w:val="00C95609"/>
    <w:rsid w:val="00C96F79"/>
    <w:rsid w:val="00C97235"/>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B7587"/>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47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95D"/>
    <w:rsid w:val="00D30CF0"/>
    <w:rsid w:val="00D31681"/>
    <w:rsid w:val="00D3191C"/>
    <w:rsid w:val="00D31A9A"/>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29F"/>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AE6"/>
    <w:rsid w:val="00D82BF2"/>
    <w:rsid w:val="00D84A57"/>
    <w:rsid w:val="00D87307"/>
    <w:rsid w:val="00D874DF"/>
    <w:rsid w:val="00D87A12"/>
    <w:rsid w:val="00D908FD"/>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34D"/>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789"/>
    <w:rsid w:val="00DD3029"/>
    <w:rsid w:val="00DD55E0"/>
    <w:rsid w:val="00DE1035"/>
    <w:rsid w:val="00DE18A3"/>
    <w:rsid w:val="00DE1904"/>
    <w:rsid w:val="00DE1DAA"/>
    <w:rsid w:val="00DE3DBB"/>
    <w:rsid w:val="00DE43A2"/>
    <w:rsid w:val="00DE4A74"/>
    <w:rsid w:val="00DE4B05"/>
    <w:rsid w:val="00DE4EE9"/>
    <w:rsid w:val="00DE541C"/>
    <w:rsid w:val="00DE56E0"/>
    <w:rsid w:val="00DE5EA8"/>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27D1A"/>
    <w:rsid w:val="00E30F2D"/>
    <w:rsid w:val="00E319DB"/>
    <w:rsid w:val="00E31AFC"/>
    <w:rsid w:val="00E3250F"/>
    <w:rsid w:val="00E3409E"/>
    <w:rsid w:val="00E34F76"/>
    <w:rsid w:val="00E37BE5"/>
    <w:rsid w:val="00E41A27"/>
    <w:rsid w:val="00E41AB4"/>
    <w:rsid w:val="00E42737"/>
    <w:rsid w:val="00E43BE9"/>
    <w:rsid w:val="00E44906"/>
    <w:rsid w:val="00E45092"/>
    <w:rsid w:val="00E45C77"/>
    <w:rsid w:val="00E4608B"/>
    <w:rsid w:val="00E46D7F"/>
    <w:rsid w:val="00E501D3"/>
    <w:rsid w:val="00E53A01"/>
    <w:rsid w:val="00E55818"/>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3"/>
    <w:rsid w:val="00E76034"/>
    <w:rsid w:val="00E80440"/>
    <w:rsid w:val="00E817E0"/>
    <w:rsid w:val="00E82EE4"/>
    <w:rsid w:val="00E831E7"/>
    <w:rsid w:val="00E839B9"/>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078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2D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9FC"/>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3E"/>
    <w:rsid w:val="00F403A1"/>
    <w:rsid w:val="00F403DB"/>
    <w:rsid w:val="00F4065A"/>
    <w:rsid w:val="00F4275C"/>
    <w:rsid w:val="00F434B2"/>
    <w:rsid w:val="00F45693"/>
    <w:rsid w:val="00F51217"/>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383"/>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GridTable4-Accent1">
    <w:name w:val="Grid Table 4 Accent 1"/>
    <w:basedOn w:val="TableNormal"/>
    <w:uiPriority w:val="49"/>
    <w:rsid w:val="003C4E3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3C4E3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1172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5978331">
      <w:bodyDiv w:val="1"/>
      <w:marLeft w:val="0"/>
      <w:marRight w:val="0"/>
      <w:marTop w:val="0"/>
      <w:marBottom w:val="0"/>
      <w:divBdr>
        <w:top w:val="none" w:sz="0" w:space="0" w:color="auto"/>
        <w:left w:val="none" w:sz="0" w:space="0" w:color="auto"/>
        <w:bottom w:val="none" w:sz="0" w:space="0" w:color="auto"/>
        <w:right w:val="none" w:sz="0" w:space="0" w:color="auto"/>
      </w:divBdr>
    </w:div>
    <w:div w:id="10987213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84576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88643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86932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872700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B2BDD-DA1B-4CFE-ACAD-BD1F96D1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1149</Words>
  <Characters>6442</Characters>
  <Application>Microsoft Office Word</Application>
  <DocSecurity>0</DocSecurity>
  <Lines>53</Lines>
  <Paragraphs>15</Paragraphs>
  <ScaleCrop>false</ScaleCrop>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2020-10-23T12:01:00Z</dcterms:created>
  <dcterms:modified xsi:type="dcterms:W3CDTF">2020-10-23T12:01:00Z</dcterms:modified>
</cp:coreProperties>
</file>